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360" w:lineRule="auto"/>
        <w:jc w:val="center"/>
        <w:outlineLvl w:val="0"/>
        <w:rPr>
          <w:rFonts w:hint="eastAsia" w:eastAsia="黑体"/>
          <w:bCs/>
          <w:sz w:val="72"/>
          <w:szCs w:val="72"/>
          <w:lang w:val="en-US" w:eastAsia="zh-CN"/>
        </w:rPr>
      </w:pPr>
      <w:r>
        <w:rPr>
          <w:rFonts w:hint="eastAsia" w:eastAsia="黑体"/>
          <w:bCs/>
          <w:sz w:val="72"/>
          <w:szCs w:val="72"/>
          <w:lang w:val="en-US" w:eastAsia="zh-CN"/>
        </w:rPr>
        <w:t xml:space="preserve"> </w:t>
      </w:r>
    </w:p>
    <w:p>
      <w:pPr>
        <w:adjustRightInd w:val="0"/>
        <w:snapToGrid w:val="0"/>
        <w:jc w:val="center"/>
        <w:outlineLvl w:val="0"/>
        <w:rPr>
          <w:rFonts w:ascii="Times New Roman" w:hAnsi="Times New Roman" w:eastAsia="方正小标宋_GBK" w:cs="Times New Roman"/>
          <w:bCs/>
          <w:color w:val="auto"/>
          <w:sz w:val="72"/>
          <w:szCs w:val="72"/>
        </w:rPr>
      </w:pPr>
      <w:r>
        <w:rPr>
          <w:rFonts w:ascii="Times New Roman" w:hAnsi="Times New Roman" w:eastAsia="方正小标宋_GBK" w:cs="Times New Roman"/>
          <w:bCs/>
          <w:color w:val="auto"/>
          <w:sz w:val="72"/>
          <w:szCs w:val="72"/>
        </w:rPr>
        <w:t>建设项目环境影响报告表</w:t>
      </w:r>
    </w:p>
    <w:p>
      <w:pPr>
        <w:adjustRightInd w:val="0"/>
        <w:snapToGrid w:val="0"/>
        <w:spacing w:before="192" w:beforeLines="80"/>
        <w:jc w:val="center"/>
        <w:rPr>
          <w:rFonts w:ascii="Times New Roman" w:hAnsi="Times New Roman" w:eastAsia="楷体_GB2312" w:cs="Times New Roman"/>
          <w:bCs/>
          <w:color w:val="auto"/>
          <w:sz w:val="48"/>
          <w:szCs w:val="48"/>
        </w:rPr>
      </w:pPr>
      <w:r>
        <w:rPr>
          <w:rFonts w:ascii="Times New Roman" w:hAnsi="Times New Roman" w:eastAsia="楷体_GB2312" w:cs="Times New Roman"/>
          <w:bCs/>
          <w:color w:val="auto"/>
          <w:sz w:val="48"/>
          <w:szCs w:val="48"/>
        </w:rPr>
        <w:t>（污染影响类）</w:t>
      </w:r>
    </w:p>
    <w:p>
      <w:pPr>
        <w:ind w:firstLine="1040"/>
        <w:rPr>
          <w:rFonts w:eastAsia="仿宋"/>
          <w:sz w:val="44"/>
          <w:szCs w:val="44"/>
        </w:rPr>
      </w:pPr>
      <w:r>
        <w:rPr>
          <w:rFonts w:eastAsia="仿宋"/>
          <w:sz w:val="44"/>
          <w:szCs w:val="44"/>
        </w:rPr>
        <w:t xml:space="preserve"> </w:t>
      </w:r>
    </w:p>
    <w:p>
      <w:pPr>
        <w:ind w:firstLine="1040"/>
        <w:rPr>
          <w:rFonts w:eastAsia="仿宋"/>
          <w:sz w:val="44"/>
          <w:szCs w:val="44"/>
        </w:rPr>
      </w:pPr>
      <w:r>
        <w:rPr>
          <w:rFonts w:eastAsia="仿宋"/>
          <w:sz w:val="44"/>
          <w:szCs w:val="44"/>
        </w:rPr>
        <w:t xml:space="preserve"> </w:t>
      </w:r>
    </w:p>
    <w:p>
      <w:pPr>
        <w:ind w:firstLine="1040"/>
        <w:rPr>
          <w:rFonts w:eastAsia="仿宋"/>
          <w:sz w:val="44"/>
          <w:szCs w:val="44"/>
        </w:rPr>
      </w:pPr>
      <w:r>
        <w:rPr>
          <w:rFonts w:eastAsia="仿宋"/>
          <w:sz w:val="44"/>
          <w:szCs w:val="44"/>
        </w:rPr>
        <w:t xml:space="preserve"> </w:t>
      </w:r>
    </w:p>
    <w:p>
      <w:pPr>
        <w:ind w:firstLine="1040"/>
        <w:rPr>
          <w:rFonts w:eastAsia="仿宋"/>
          <w:sz w:val="44"/>
          <w:szCs w:val="44"/>
        </w:rPr>
      </w:pPr>
      <w:r>
        <w:rPr>
          <w:rFonts w:eastAsia="仿宋"/>
          <w:sz w:val="44"/>
          <w:szCs w:val="44"/>
        </w:rPr>
        <w:t xml:space="preserve"> </w:t>
      </w:r>
    </w:p>
    <w:p>
      <w:pPr>
        <w:ind w:firstLine="1040"/>
        <w:rPr>
          <w:rFonts w:eastAsia="仿宋"/>
          <w:sz w:val="44"/>
          <w:szCs w:val="44"/>
        </w:rPr>
      </w:pPr>
      <w:r>
        <w:rPr>
          <w:rFonts w:eastAsia="仿宋"/>
          <w:sz w:val="44"/>
          <w:szCs w:val="44"/>
        </w:rPr>
        <w:t xml:space="preserve"> </w:t>
      </w:r>
    </w:p>
    <w:p>
      <w:pPr>
        <w:ind w:firstLine="1040"/>
        <w:rPr>
          <w:rFonts w:eastAsia="仿宋"/>
          <w:sz w:val="44"/>
          <w:szCs w:val="44"/>
        </w:rPr>
      </w:pPr>
      <w:r>
        <w:rPr>
          <w:rFonts w:eastAsia="仿宋"/>
          <w:sz w:val="44"/>
          <w:szCs w:val="44"/>
        </w:rPr>
        <w:t xml:space="preserve"> </w:t>
      </w:r>
    </w:p>
    <w:p>
      <w:pPr>
        <w:ind w:firstLine="1040"/>
        <w:rPr>
          <w:rFonts w:eastAsia="仿宋"/>
          <w:sz w:val="44"/>
          <w:szCs w:val="44"/>
        </w:rPr>
      </w:pPr>
      <w:r>
        <w:rPr>
          <w:rFonts w:eastAsia="仿宋"/>
          <w:sz w:val="44"/>
          <w:szCs w:val="44"/>
        </w:rPr>
        <w:t xml:space="preserve"> </w:t>
      </w:r>
    </w:p>
    <w:p>
      <w:pPr>
        <w:adjustRightInd w:val="0"/>
        <w:snapToGrid w:val="0"/>
        <w:spacing w:line="360" w:lineRule="auto"/>
        <w:ind w:left="1440" w:right="31" w:rightChars="15" w:hanging="1440" w:hangingChars="400"/>
        <w:rPr>
          <w:rFonts w:hint="eastAsia" w:ascii="Times New Roman" w:hAnsi="Times New Roman" w:eastAsia="仿宋_GB2312" w:cs="Times New Roman"/>
          <w:color w:val="auto"/>
          <w:sz w:val="36"/>
          <w:szCs w:val="36"/>
          <w:lang w:val="en-US" w:eastAsia="zh-CN"/>
        </w:rPr>
      </w:pPr>
      <w:r>
        <w:rPr>
          <w:rFonts w:ascii="Times New Roman" w:hAnsi="Times New Roman" w:eastAsia="仿宋_GB2312" w:cs="Times New Roman"/>
          <w:color w:val="auto"/>
          <w:sz w:val="36"/>
          <w:szCs w:val="36"/>
        </w:rPr>
        <w:t>项目名称：</w:t>
      </w:r>
      <w:r>
        <w:rPr>
          <w:rFonts w:hint="eastAsia" w:ascii="Times New Roman" w:hAnsi="Times New Roman" w:eastAsia="仿宋_GB2312" w:cs="Times New Roman"/>
          <w:color w:val="auto"/>
          <w:sz w:val="36"/>
          <w:szCs w:val="36"/>
          <w:u w:val="single"/>
          <w:lang w:val="en-US" w:eastAsia="zh-CN"/>
        </w:rPr>
        <w:t xml:space="preserve"> </w:t>
      </w:r>
      <w:r>
        <w:rPr>
          <w:rFonts w:hint="eastAsia" w:ascii="Times New Roman" w:hAnsi="Times New Roman" w:eastAsia="仿宋_GB2312" w:cs="Times New Roman"/>
          <w:color w:val="auto"/>
          <w:sz w:val="36"/>
          <w:szCs w:val="36"/>
          <w:u w:val="single"/>
          <w:lang w:eastAsia="zh-CN"/>
        </w:rPr>
        <w:t>半导体元器件</w:t>
      </w:r>
      <w:r>
        <w:rPr>
          <w:rFonts w:ascii="Times New Roman" w:hAnsi="Times New Roman" w:eastAsia="仿宋_GB2312" w:cs="Times New Roman"/>
          <w:color w:val="auto"/>
          <w:sz w:val="36"/>
          <w:szCs w:val="36"/>
          <w:u w:val="single"/>
        </w:rPr>
        <w:t>与SMT数码智能制造项目</w:t>
      </w:r>
    </w:p>
    <w:p>
      <w:pPr>
        <w:adjustRightInd w:val="0"/>
        <w:snapToGrid w:val="0"/>
        <w:spacing w:line="360" w:lineRule="auto"/>
        <w:ind w:left="1440" w:right="31" w:rightChars="15" w:hanging="1440" w:hangingChars="400"/>
        <w:rPr>
          <w:rFonts w:ascii="Times New Roman" w:hAnsi="Times New Roman" w:eastAsia="仿宋_GB2312" w:cs="Times New Roman"/>
          <w:color w:val="auto"/>
          <w:sz w:val="36"/>
          <w:szCs w:val="36"/>
        </w:rPr>
      </w:pPr>
      <w:r>
        <w:rPr>
          <w:rFonts w:ascii="Times New Roman" w:hAnsi="Times New Roman" w:eastAsia="仿宋_GB2312" w:cs="Times New Roman"/>
          <w:color w:val="auto"/>
          <w:sz w:val="36"/>
          <w:szCs w:val="36"/>
        </w:rPr>
        <w:t xml:space="preserve">建设单位（盖章）： </w:t>
      </w:r>
      <w:r>
        <w:rPr>
          <w:rFonts w:ascii="Times New Roman" w:hAnsi="Times New Roman" w:eastAsia="仿宋_GB2312" w:cs="Times New Roman"/>
          <w:color w:val="auto"/>
          <w:sz w:val="36"/>
          <w:szCs w:val="36"/>
          <w:u w:val="single"/>
        </w:rPr>
        <w:t xml:space="preserve">  蓝标科技（安徽）有限公司</w:t>
      </w:r>
      <w:r>
        <w:rPr>
          <w:rFonts w:hint="eastAsia" w:eastAsia="仿宋_GB2312" w:cs="Times New Roman"/>
          <w:color w:val="auto"/>
          <w:sz w:val="36"/>
          <w:szCs w:val="36"/>
          <w:u w:val="single"/>
          <w:lang w:val="en-US" w:eastAsia="zh-CN"/>
        </w:rPr>
        <w:t xml:space="preserve"> </w:t>
      </w:r>
      <w:r>
        <w:rPr>
          <w:rFonts w:ascii="Times New Roman" w:hAnsi="Times New Roman" w:eastAsia="仿宋_GB2312" w:cs="Times New Roman"/>
          <w:color w:val="auto"/>
          <w:sz w:val="36"/>
          <w:szCs w:val="36"/>
        </w:rPr>
        <w:t xml:space="preserve">  </w:t>
      </w:r>
    </w:p>
    <w:p>
      <w:pPr>
        <w:adjustRightInd w:val="0"/>
        <w:snapToGrid w:val="0"/>
        <w:spacing w:line="360" w:lineRule="auto"/>
        <w:ind w:left="1440" w:right="31" w:rightChars="15" w:hanging="1440" w:hangingChars="400"/>
        <w:rPr>
          <w:rFonts w:ascii="Times New Roman" w:hAnsi="Times New Roman" w:eastAsia="仿宋_GB2312" w:cs="Times New Roman"/>
          <w:color w:val="auto"/>
          <w:sz w:val="36"/>
          <w:szCs w:val="36"/>
        </w:rPr>
      </w:pPr>
      <w:r>
        <w:rPr>
          <w:rFonts w:ascii="Times New Roman" w:hAnsi="Times New Roman" w:eastAsia="仿宋_GB2312" w:cs="Times New Roman"/>
          <w:color w:val="auto"/>
          <w:sz w:val="36"/>
          <w:szCs w:val="36"/>
        </w:rPr>
        <w:t>编制日期：</w:t>
      </w:r>
      <w:r>
        <w:rPr>
          <w:rFonts w:ascii="Times New Roman" w:hAnsi="Times New Roman" w:eastAsia="仿宋_GB2312" w:cs="Times New Roman"/>
          <w:color w:val="auto"/>
          <w:sz w:val="36"/>
          <w:szCs w:val="36"/>
          <w:u w:val="single"/>
        </w:rPr>
        <w:t xml:space="preserve">            202</w:t>
      </w:r>
      <w:r>
        <w:rPr>
          <w:rFonts w:hint="eastAsia" w:eastAsia="仿宋_GB2312" w:cs="Times New Roman"/>
          <w:color w:val="auto"/>
          <w:sz w:val="36"/>
          <w:szCs w:val="36"/>
          <w:u w:val="single"/>
          <w:lang w:val="en-US" w:eastAsia="zh-CN"/>
        </w:rPr>
        <w:t>4</w:t>
      </w:r>
      <w:r>
        <w:rPr>
          <w:rFonts w:ascii="Times New Roman" w:hAnsi="Times New Roman" w:eastAsia="仿宋_GB2312" w:cs="Times New Roman"/>
          <w:color w:val="auto"/>
          <w:sz w:val="36"/>
          <w:szCs w:val="36"/>
          <w:u w:val="single"/>
        </w:rPr>
        <w:t>年</w:t>
      </w:r>
      <w:r>
        <w:rPr>
          <w:rFonts w:hint="eastAsia" w:eastAsia="仿宋_GB2312" w:cs="Times New Roman"/>
          <w:color w:val="auto"/>
          <w:sz w:val="36"/>
          <w:szCs w:val="36"/>
          <w:u w:val="single"/>
          <w:lang w:val="en-US" w:eastAsia="zh-CN"/>
        </w:rPr>
        <w:t>1</w:t>
      </w:r>
      <w:r>
        <w:rPr>
          <w:rFonts w:ascii="Times New Roman" w:hAnsi="Times New Roman" w:eastAsia="仿宋_GB2312" w:cs="Times New Roman"/>
          <w:color w:val="auto"/>
          <w:sz w:val="36"/>
          <w:szCs w:val="36"/>
          <w:u w:val="single"/>
        </w:rPr>
        <w:t xml:space="preserve">月              </w:t>
      </w:r>
    </w:p>
    <w:p>
      <w:pPr>
        <w:adjustRightInd w:val="0"/>
        <w:snapToGrid w:val="0"/>
        <w:spacing w:line="480" w:lineRule="auto"/>
        <w:ind w:left="1440" w:right="31" w:rightChars="15" w:hanging="1440" w:hangingChars="400"/>
        <w:rPr>
          <w:rFonts w:ascii="Times New Roman" w:hAnsi="Times New Roman" w:eastAsia="仿宋_GB2312" w:cs="Times New Roman"/>
          <w:color w:val="auto"/>
          <w:sz w:val="36"/>
          <w:szCs w:val="36"/>
        </w:rPr>
      </w:pPr>
    </w:p>
    <w:p>
      <w:pPr>
        <w:adjustRightInd w:val="0"/>
        <w:snapToGrid w:val="0"/>
        <w:spacing w:line="288" w:lineRule="auto"/>
        <w:ind w:firstLine="1040"/>
        <w:rPr>
          <w:rFonts w:eastAsia="仿宋_GB2312"/>
          <w:sz w:val="36"/>
          <w:szCs w:val="36"/>
        </w:rPr>
      </w:pPr>
      <w:r>
        <w:rPr>
          <w:rFonts w:eastAsia="仿宋_GB2312"/>
          <w:sz w:val="36"/>
          <w:szCs w:val="36"/>
        </w:rPr>
        <w:t xml:space="preserve"> </w:t>
      </w:r>
    </w:p>
    <w:p>
      <w:pPr>
        <w:adjustRightInd w:val="0"/>
        <w:snapToGrid w:val="0"/>
        <w:spacing w:line="288" w:lineRule="auto"/>
        <w:ind w:firstLine="1040"/>
        <w:rPr>
          <w:rFonts w:eastAsia="仿宋_GB2312"/>
          <w:sz w:val="36"/>
          <w:szCs w:val="36"/>
        </w:rPr>
      </w:pPr>
      <w:r>
        <w:rPr>
          <w:rFonts w:eastAsia="仿宋_GB2312"/>
          <w:sz w:val="36"/>
          <w:szCs w:val="36"/>
        </w:rPr>
        <w:t xml:space="preserve"> </w:t>
      </w:r>
    </w:p>
    <w:p>
      <w:pPr>
        <w:adjustRightInd w:val="0"/>
        <w:snapToGrid w:val="0"/>
        <w:spacing w:line="288" w:lineRule="auto"/>
        <w:jc w:val="center"/>
        <w:outlineLvl w:val="0"/>
        <w:rPr>
          <w:rFonts w:ascii="Times New Roman" w:hAnsi="Times New Roman" w:eastAsia="楷体_GB2312" w:cs="Times New Roman"/>
          <w:color w:val="auto"/>
          <w:sz w:val="36"/>
          <w:szCs w:val="36"/>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楷体_GB2312" w:cs="Times New Roman"/>
          <w:color w:val="auto"/>
          <w:sz w:val="36"/>
          <w:szCs w:val="36"/>
        </w:rPr>
        <w:t>中华人民共和国生态环境部制</w:t>
      </w:r>
    </w:p>
    <w:p>
      <w:pPr>
        <w:pStyle w:val="4"/>
        <w:bidi w:val="0"/>
      </w:pPr>
      <w:r>
        <w:t>一、建设项目基本情况</w:t>
      </w:r>
    </w:p>
    <w:tbl>
      <w:tblPr>
        <w:tblStyle w:val="18"/>
        <w:tblW w:w="912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465"/>
        <w:gridCol w:w="1232"/>
        <w:gridCol w:w="3050"/>
        <w:gridCol w:w="1437"/>
        <w:gridCol w:w="2912"/>
        <w:gridCol w:w="3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113" w:hRule="atLeast"/>
          <w:jc w:val="center"/>
        </w:trPr>
        <w:tc>
          <w:tcPr>
            <w:tcW w:w="1697" w:type="dxa"/>
            <w:gridSpan w:val="2"/>
            <w:tcBorders>
              <w:top w:val="single" w:color="auto" w:sz="8"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建设项目名称</w:t>
            </w:r>
          </w:p>
        </w:tc>
        <w:tc>
          <w:tcPr>
            <w:tcW w:w="7399" w:type="dxa"/>
            <w:gridSpan w:val="3"/>
            <w:tcBorders>
              <w:top w:val="single" w:color="auto" w:sz="8"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eastAsia"/>
                <w:sz w:val="24"/>
                <w:szCs w:val="24"/>
                <w:lang w:eastAsia="zh-CN"/>
              </w:rPr>
              <w:t>半导体元器件</w:t>
            </w:r>
            <w:r>
              <w:rPr>
                <w:rFonts w:hint="default"/>
                <w:sz w:val="24"/>
                <w:szCs w:val="24"/>
              </w:rPr>
              <w:t>与SMT数码智能制造项目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113"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项目代码</w:t>
            </w:r>
          </w:p>
        </w:tc>
        <w:tc>
          <w:tcPr>
            <w:tcW w:w="7399" w:type="dxa"/>
            <w:gridSpan w:val="3"/>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2211-340463-04-01-511406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454"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建设单位</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联系人</w:t>
            </w:r>
          </w:p>
        </w:tc>
        <w:tc>
          <w:tcPr>
            <w:tcW w:w="30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宋体"/>
                <w:sz w:val="24"/>
                <w:szCs w:val="24"/>
                <w:lang w:val="en-US" w:eastAsia="zh-CN"/>
              </w:rPr>
            </w:pPr>
            <w:r>
              <w:rPr>
                <w:rFonts w:hint="eastAsia"/>
                <w:sz w:val="24"/>
                <w:szCs w:val="24"/>
                <w:lang w:val="en-US" w:eastAsia="zh-CN"/>
              </w:rPr>
              <w:t>郑霖镇</w:t>
            </w:r>
          </w:p>
        </w:tc>
        <w:tc>
          <w:tcPr>
            <w:tcW w:w="143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联系方式</w:t>
            </w:r>
          </w:p>
        </w:tc>
        <w:tc>
          <w:tcPr>
            <w:tcW w:w="2912" w:type="dxa"/>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宋体"/>
                <w:sz w:val="24"/>
                <w:szCs w:val="24"/>
                <w:lang w:val="en-US" w:eastAsia="zh-CN"/>
              </w:rPr>
            </w:pPr>
            <w:r>
              <w:rPr>
                <w:rFonts w:hint="eastAsia"/>
                <w:sz w:val="24"/>
                <w:szCs w:val="24"/>
                <w:lang w:val="en-US" w:eastAsia="zh-CN"/>
              </w:rPr>
              <w:t>13600412423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57"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建设地点</w:t>
            </w:r>
          </w:p>
        </w:tc>
        <w:tc>
          <w:tcPr>
            <w:tcW w:w="7399" w:type="dxa"/>
            <w:gridSpan w:val="3"/>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安徽省淮南市高新区新型显示产业园7号楼3、4、5层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57"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地理坐标</w:t>
            </w:r>
          </w:p>
        </w:tc>
        <w:tc>
          <w:tcPr>
            <w:tcW w:w="7399" w:type="dxa"/>
            <w:gridSpan w:val="3"/>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spacing w:before="0" w:beforeAutospacing="0" w:after="0" w:afterAutospacing="0"/>
              <w:ind w:left="0" w:right="0"/>
              <w:jc w:val="center"/>
              <w:rPr>
                <w:rFonts w:hint="default"/>
                <w:sz w:val="24"/>
                <w:szCs w:val="24"/>
              </w:rPr>
            </w:pPr>
            <w:r>
              <w:rPr>
                <w:rFonts w:hint="default"/>
                <w:sz w:val="24"/>
                <w:szCs w:val="24"/>
              </w:rPr>
              <w:t>（厂区中心坐标</w:t>
            </w:r>
            <w:r>
              <w:rPr>
                <w:rFonts w:hint="default"/>
                <w:sz w:val="24"/>
                <w:szCs w:val="24"/>
                <w:u w:val="single"/>
              </w:rPr>
              <w:t>116</w:t>
            </w:r>
            <w:r>
              <w:rPr>
                <w:rFonts w:hint="default"/>
                <w:sz w:val="24"/>
                <w:szCs w:val="24"/>
              </w:rPr>
              <w:t>度</w:t>
            </w:r>
            <w:r>
              <w:rPr>
                <w:rFonts w:hint="default"/>
                <w:sz w:val="24"/>
                <w:szCs w:val="24"/>
                <w:u w:val="single"/>
              </w:rPr>
              <w:t>59</w:t>
            </w:r>
            <w:r>
              <w:rPr>
                <w:rFonts w:hint="default"/>
                <w:sz w:val="24"/>
                <w:szCs w:val="24"/>
              </w:rPr>
              <w:t>分</w:t>
            </w:r>
            <w:r>
              <w:rPr>
                <w:rFonts w:hint="default"/>
                <w:sz w:val="24"/>
                <w:szCs w:val="24"/>
                <w:u w:val="single"/>
              </w:rPr>
              <w:t>32.878</w:t>
            </w:r>
            <w:r>
              <w:rPr>
                <w:rFonts w:hint="default"/>
                <w:sz w:val="24"/>
                <w:szCs w:val="24"/>
              </w:rPr>
              <w:t>秒，</w:t>
            </w:r>
            <w:r>
              <w:rPr>
                <w:rFonts w:hint="default"/>
                <w:sz w:val="24"/>
                <w:szCs w:val="24"/>
                <w:u w:val="single"/>
              </w:rPr>
              <w:t>32</w:t>
            </w:r>
            <w:r>
              <w:rPr>
                <w:rFonts w:hint="default"/>
                <w:sz w:val="24"/>
                <w:szCs w:val="24"/>
              </w:rPr>
              <w:t>度</w:t>
            </w:r>
            <w:r>
              <w:rPr>
                <w:rFonts w:hint="default"/>
                <w:sz w:val="24"/>
                <w:szCs w:val="24"/>
                <w:u w:val="single"/>
              </w:rPr>
              <w:t>34</w:t>
            </w:r>
            <w:r>
              <w:rPr>
                <w:rFonts w:hint="default"/>
                <w:sz w:val="24"/>
                <w:szCs w:val="24"/>
              </w:rPr>
              <w:t>分</w:t>
            </w:r>
            <w:r>
              <w:rPr>
                <w:rFonts w:hint="default"/>
                <w:sz w:val="24"/>
                <w:szCs w:val="24"/>
                <w:u w:val="single"/>
              </w:rPr>
              <w:t>16.489</w:t>
            </w:r>
            <w:r>
              <w:rPr>
                <w:rFonts w:hint="default"/>
                <w:sz w:val="24"/>
                <w:szCs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454"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国民经济行业</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类别</w:t>
            </w:r>
          </w:p>
        </w:tc>
        <w:tc>
          <w:tcPr>
            <w:tcW w:w="30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宋体"/>
                <w:sz w:val="24"/>
                <w:szCs w:val="24"/>
                <w:lang w:val="en-US" w:eastAsia="zh-CN"/>
              </w:rPr>
            </w:pPr>
            <w:r>
              <w:rPr>
                <w:rFonts w:hint="default"/>
                <w:sz w:val="24"/>
                <w:szCs w:val="24"/>
              </w:rPr>
              <w:t>C3</w:t>
            </w:r>
            <w:r>
              <w:rPr>
                <w:rFonts w:hint="eastAsia"/>
                <w:sz w:val="24"/>
                <w:szCs w:val="24"/>
                <w:lang w:val="en-US" w:eastAsia="zh-CN"/>
              </w:rPr>
              <w:t>981 电阻电容电感元件制造</w:t>
            </w:r>
          </w:p>
        </w:tc>
        <w:tc>
          <w:tcPr>
            <w:tcW w:w="143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bookmarkStart w:id="0" w:name="_Hlk49843745"/>
            <w:r>
              <w:rPr>
                <w:rFonts w:hint="default"/>
                <w:sz w:val="24"/>
                <w:szCs w:val="24"/>
              </w:rPr>
              <w:t>建设项目行业</w:t>
            </w:r>
            <w:bookmarkEnd w:id="0"/>
            <w:r>
              <w:rPr>
                <w:rFonts w:hint="default"/>
                <w:sz w:val="24"/>
                <w:szCs w:val="24"/>
              </w:rPr>
              <w:t>类别</w:t>
            </w:r>
          </w:p>
        </w:tc>
        <w:tc>
          <w:tcPr>
            <w:tcW w:w="2912" w:type="dxa"/>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宋体"/>
                <w:sz w:val="24"/>
                <w:szCs w:val="24"/>
                <w:lang w:val="en-US" w:eastAsia="zh-CN"/>
              </w:rPr>
            </w:pPr>
            <w:r>
              <w:rPr>
                <w:rFonts w:hint="eastAsia"/>
                <w:sz w:val="24"/>
                <w:szCs w:val="24"/>
                <w:lang w:val="en-US" w:eastAsia="zh-CN"/>
              </w:rPr>
              <w:t>81电子元件及电子专用材料制造398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454"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建设性质</w:t>
            </w:r>
          </w:p>
        </w:tc>
        <w:tc>
          <w:tcPr>
            <w:tcW w:w="30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sz w:val="24"/>
                <w:szCs w:val="24"/>
              </w:rPr>
            </w:pPr>
            <w:r>
              <w:rPr>
                <w:rFonts w:hint="default" w:ascii="Times New Roman" w:hAnsi="Times New Roman" w:cs="Times New Roman"/>
                <w:color w:val="auto"/>
                <w:szCs w:val="21"/>
                <w:highlight w:val="none"/>
              </w:rPr>
              <w:sym w:font="Wingdings 2" w:char="0052"/>
            </w:r>
            <w:r>
              <w:rPr>
                <w:rFonts w:hint="default"/>
                <w:sz w:val="24"/>
                <w:szCs w:val="24"/>
              </w:rPr>
              <w:t>新建（迁建）</w:t>
            </w:r>
          </w:p>
          <w:p>
            <w:pPr>
              <w:keepNext w:val="0"/>
              <w:keepLines w:val="0"/>
              <w:suppressLineNumbers w:val="0"/>
              <w:adjustRightInd w:val="0"/>
              <w:snapToGrid w:val="0"/>
              <w:spacing w:before="0" w:beforeAutospacing="0" w:after="0" w:afterAutospacing="0"/>
              <w:ind w:left="0" w:right="0"/>
              <w:jc w:val="left"/>
              <w:rPr>
                <w:rFonts w:hint="default"/>
                <w:sz w:val="24"/>
                <w:szCs w:val="24"/>
              </w:rPr>
            </w:pPr>
            <w:r>
              <w:rPr>
                <w:rFonts w:hint="default" w:ascii="Times New Roman" w:hAnsi="Times New Roman" w:cs="Times New Roman"/>
                <w:color w:val="auto"/>
                <w:szCs w:val="21"/>
                <w:highlight w:val="none"/>
              </w:rPr>
              <w:sym w:font="Wingdings 2" w:char="00A3"/>
            </w:r>
            <w:r>
              <w:rPr>
                <w:rFonts w:hint="default"/>
                <w:sz w:val="24"/>
                <w:szCs w:val="24"/>
              </w:rPr>
              <w:t>改建</w:t>
            </w:r>
          </w:p>
          <w:p>
            <w:pPr>
              <w:keepNext w:val="0"/>
              <w:keepLines w:val="0"/>
              <w:suppressLineNumbers w:val="0"/>
              <w:adjustRightInd w:val="0"/>
              <w:snapToGrid w:val="0"/>
              <w:spacing w:before="0" w:beforeAutospacing="0" w:after="0" w:afterAutospacing="0"/>
              <w:ind w:left="0" w:right="0"/>
              <w:jc w:val="left"/>
              <w:rPr>
                <w:rFonts w:hint="default"/>
                <w:sz w:val="24"/>
                <w:szCs w:val="24"/>
              </w:rPr>
            </w:pPr>
            <w:r>
              <w:rPr>
                <w:rFonts w:hint="default" w:ascii="Times New Roman" w:hAnsi="Times New Roman" w:cs="Times New Roman"/>
                <w:color w:val="auto"/>
                <w:szCs w:val="21"/>
                <w:highlight w:val="none"/>
              </w:rPr>
              <w:sym w:font="Wingdings 2" w:char="00A3"/>
            </w:r>
            <w:r>
              <w:rPr>
                <w:rFonts w:hint="default"/>
                <w:sz w:val="24"/>
                <w:szCs w:val="24"/>
              </w:rPr>
              <w:t>扩建</w:t>
            </w:r>
          </w:p>
          <w:p>
            <w:pPr>
              <w:keepNext w:val="0"/>
              <w:keepLines w:val="0"/>
              <w:suppressLineNumbers w:val="0"/>
              <w:adjustRightInd w:val="0"/>
              <w:snapToGrid w:val="0"/>
              <w:spacing w:before="0" w:beforeAutospacing="0" w:after="0" w:afterAutospacing="0"/>
              <w:ind w:left="0" w:right="0"/>
              <w:jc w:val="left"/>
              <w:rPr>
                <w:rFonts w:hint="default"/>
                <w:sz w:val="24"/>
                <w:szCs w:val="24"/>
              </w:rPr>
            </w:pPr>
            <w:r>
              <w:rPr>
                <w:rFonts w:hint="default" w:ascii="Times New Roman" w:hAnsi="Times New Roman" w:cs="Times New Roman"/>
                <w:color w:val="auto"/>
                <w:szCs w:val="21"/>
                <w:highlight w:val="none"/>
              </w:rPr>
              <w:sym w:font="Wingdings 2" w:char="00A3"/>
            </w:r>
            <w:r>
              <w:rPr>
                <w:rFonts w:hint="default"/>
                <w:sz w:val="24"/>
                <w:szCs w:val="24"/>
              </w:rPr>
              <w:t>技术改造</w:t>
            </w:r>
          </w:p>
        </w:tc>
        <w:tc>
          <w:tcPr>
            <w:tcW w:w="143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建设项目</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申报情形</w:t>
            </w:r>
          </w:p>
        </w:tc>
        <w:tc>
          <w:tcPr>
            <w:tcW w:w="2912" w:type="dxa"/>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left"/>
              <w:rPr>
                <w:rFonts w:hint="default"/>
                <w:sz w:val="24"/>
                <w:szCs w:val="24"/>
              </w:rPr>
            </w:pPr>
            <w:r>
              <w:rPr>
                <w:rFonts w:hint="default" w:ascii="Times New Roman" w:hAnsi="Times New Roman" w:cs="Times New Roman"/>
                <w:color w:val="auto"/>
                <w:szCs w:val="21"/>
                <w:highlight w:val="none"/>
              </w:rPr>
              <w:sym w:font="Wingdings 2" w:char="0052"/>
            </w:r>
            <w:r>
              <w:rPr>
                <w:rFonts w:hint="default"/>
                <w:sz w:val="24"/>
                <w:szCs w:val="24"/>
              </w:rPr>
              <w:t>首次申报项目</w:t>
            </w:r>
          </w:p>
          <w:p>
            <w:pPr>
              <w:keepNext w:val="0"/>
              <w:keepLines w:val="0"/>
              <w:suppressLineNumbers w:val="0"/>
              <w:adjustRightInd w:val="0"/>
              <w:snapToGrid w:val="0"/>
              <w:spacing w:before="0" w:beforeAutospacing="0" w:after="0" w:afterAutospacing="0"/>
              <w:ind w:left="0" w:right="0"/>
              <w:jc w:val="left"/>
              <w:rPr>
                <w:rFonts w:hint="default"/>
                <w:sz w:val="24"/>
                <w:szCs w:val="24"/>
              </w:rPr>
            </w:pPr>
            <w:r>
              <w:rPr>
                <w:rFonts w:hint="default" w:ascii="Times New Roman" w:hAnsi="Times New Roman" w:cs="Times New Roman"/>
                <w:color w:val="auto"/>
                <w:szCs w:val="21"/>
                <w:highlight w:val="none"/>
              </w:rPr>
              <w:sym w:font="Wingdings 2" w:char="00A3"/>
            </w:r>
            <w:r>
              <w:rPr>
                <w:rFonts w:hint="default"/>
                <w:sz w:val="24"/>
                <w:szCs w:val="24"/>
              </w:rPr>
              <w:t>不予批准后再次申报项目</w:t>
            </w:r>
          </w:p>
          <w:p>
            <w:pPr>
              <w:keepNext w:val="0"/>
              <w:keepLines w:val="0"/>
              <w:suppressLineNumbers w:val="0"/>
              <w:adjustRightInd w:val="0"/>
              <w:snapToGrid w:val="0"/>
              <w:spacing w:before="0" w:beforeAutospacing="0" w:after="0" w:afterAutospacing="0"/>
              <w:ind w:left="0" w:right="0"/>
              <w:jc w:val="left"/>
              <w:rPr>
                <w:rFonts w:hint="default"/>
                <w:sz w:val="24"/>
                <w:szCs w:val="24"/>
              </w:rPr>
            </w:pPr>
            <w:r>
              <w:rPr>
                <w:rFonts w:hint="default" w:ascii="Times New Roman" w:hAnsi="Times New Roman" w:cs="Times New Roman"/>
                <w:color w:val="auto"/>
                <w:szCs w:val="21"/>
                <w:highlight w:val="none"/>
              </w:rPr>
              <w:sym w:font="Wingdings 2" w:char="00A3"/>
            </w:r>
            <w:r>
              <w:rPr>
                <w:rFonts w:hint="default"/>
                <w:sz w:val="24"/>
                <w:szCs w:val="24"/>
              </w:rPr>
              <w:t>超五年重新审核项目</w:t>
            </w:r>
          </w:p>
          <w:p>
            <w:pPr>
              <w:keepNext w:val="0"/>
              <w:keepLines w:val="0"/>
              <w:suppressLineNumbers w:val="0"/>
              <w:adjustRightInd w:val="0"/>
              <w:snapToGrid w:val="0"/>
              <w:spacing w:before="0" w:beforeAutospacing="0" w:after="0" w:afterAutospacing="0"/>
              <w:ind w:left="0" w:right="0"/>
              <w:rPr>
                <w:rFonts w:hint="default"/>
                <w:sz w:val="24"/>
                <w:szCs w:val="24"/>
              </w:rPr>
            </w:pPr>
            <w:r>
              <w:rPr>
                <w:rFonts w:hint="default" w:ascii="Times New Roman" w:hAnsi="Times New Roman" w:cs="Times New Roman"/>
                <w:color w:val="auto"/>
                <w:szCs w:val="21"/>
                <w:highlight w:val="none"/>
              </w:rPr>
              <w:sym w:font="Wingdings 2" w:char="00A3"/>
            </w:r>
            <w:r>
              <w:rPr>
                <w:rFonts w:hint="default"/>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454"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项目审批</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（核准/备案）</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部门（选填）</w:t>
            </w:r>
          </w:p>
        </w:tc>
        <w:tc>
          <w:tcPr>
            <w:tcW w:w="30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安徽淮南高新技术产业开发区管理委员会（淮南市山南新区管理委员会）经济发展局</w:t>
            </w:r>
          </w:p>
        </w:tc>
        <w:tc>
          <w:tcPr>
            <w:tcW w:w="143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项目审批</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（核准/备案）</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文号（选填）</w:t>
            </w:r>
          </w:p>
        </w:tc>
        <w:tc>
          <w:tcPr>
            <w:tcW w:w="2912" w:type="dxa"/>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23"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rPr>
                <w:rFonts w:hint="default"/>
                <w:sz w:val="24"/>
                <w:szCs w:val="24"/>
              </w:rPr>
            </w:pPr>
            <w:r>
              <w:rPr>
                <w:rFonts w:hint="default"/>
                <w:sz w:val="24"/>
                <w:szCs w:val="24"/>
              </w:rPr>
              <w:t>总投资（万元）</w:t>
            </w:r>
          </w:p>
        </w:tc>
        <w:tc>
          <w:tcPr>
            <w:tcW w:w="30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宋体"/>
                <w:sz w:val="24"/>
                <w:szCs w:val="24"/>
                <w:lang w:val="en-US" w:eastAsia="zh-CN"/>
              </w:rPr>
            </w:pPr>
            <w:r>
              <w:rPr>
                <w:rFonts w:hint="eastAsia"/>
                <w:sz w:val="24"/>
                <w:szCs w:val="24"/>
              </w:rPr>
              <w:t>2</w:t>
            </w:r>
            <w:r>
              <w:rPr>
                <w:rFonts w:hint="default"/>
                <w:sz w:val="24"/>
                <w:szCs w:val="24"/>
              </w:rPr>
              <w:t>0000</w:t>
            </w:r>
            <w:r>
              <w:rPr>
                <w:rFonts w:hint="eastAsia"/>
                <w:sz w:val="24"/>
                <w:szCs w:val="24"/>
                <w:lang w:val="en-US" w:eastAsia="zh-CN"/>
              </w:rPr>
              <w:t>.0</w:t>
            </w:r>
          </w:p>
        </w:tc>
        <w:tc>
          <w:tcPr>
            <w:tcW w:w="1437"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环保投资</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（万元）</w:t>
            </w:r>
          </w:p>
        </w:tc>
        <w:tc>
          <w:tcPr>
            <w:tcW w:w="2912" w:type="dxa"/>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宋体"/>
                <w:sz w:val="24"/>
                <w:szCs w:val="24"/>
                <w:lang w:val="en-US" w:eastAsia="zh-CN"/>
              </w:rPr>
            </w:pPr>
            <w:r>
              <w:rPr>
                <w:rFonts w:hint="eastAsia"/>
                <w:sz w:val="24"/>
                <w:szCs w:val="24"/>
                <w:lang w:val="en-US" w:eastAsia="zh-CN"/>
              </w:rPr>
              <w:t>47.0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23"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环保投资占比</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w:t>
            </w:r>
          </w:p>
        </w:tc>
        <w:tc>
          <w:tcPr>
            <w:tcW w:w="30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宋体"/>
                <w:sz w:val="24"/>
                <w:szCs w:val="24"/>
                <w:lang w:val="en-US" w:eastAsia="zh-CN"/>
              </w:rPr>
            </w:pPr>
            <w:r>
              <w:rPr>
                <w:rFonts w:hint="eastAsia"/>
                <w:sz w:val="24"/>
                <w:szCs w:val="24"/>
                <w:lang w:val="en-US" w:eastAsia="zh-CN"/>
              </w:rPr>
              <w:t>0.235</w:t>
            </w:r>
          </w:p>
        </w:tc>
        <w:tc>
          <w:tcPr>
            <w:tcW w:w="1437"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施工工期</w:t>
            </w:r>
          </w:p>
        </w:tc>
        <w:tc>
          <w:tcPr>
            <w:tcW w:w="2912" w:type="dxa"/>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23"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是否开工建设</w:t>
            </w:r>
          </w:p>
        </w:tc>
        <w:tc>
          <w:tcPr>
            <w:tcW w:w="305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sz w:val="24"/>
                <w:szCs w:val="24"/>
              </w:rPr>
            </w:pPr>
            <w:r>
              <w:rPr>
                <w:rFonts w:hint="default" w:ascii="Times New Roman" w:hAnsi="Times New Roman" w:cs="Times New Roman"/>
                <w:color w:val="auto"/>
                <w:szCs w:val="21"/>
                <w:highlight w:val="none"/>
              </w:rPr>
              <w:sym w:font="Wingdings 2" w:char="0052"/>
            </w:r>
            <w:r>
              <w:rPr>
                <w:rFonts w:hint="default"/>
                <w:sz w:val="24"/>
                <w:szCs w:val="24"/>
              </w:rPr>
              <w:t>否</w:t>
            </w:r>
          </w:p>
          <w:p>
            <w:pPr>
              <w:keepNext w:val="0"/>
              <w:keepLines w:val="0"/>
              <w:suppressLineNumbers w:val="0"/>
              <w:adjustRightInd w:val="0"/>
              <w:snapToGrid w:val="0"/>
              <w:spacing w:before="0" w:beforeAutospacing="0" w:after="0" w:afterAutospacing="0"/>
              <w:ind w:left="0" w:right="0"/>
              <w:rPr>
                <w:rFonts w:hint="default"/>
                <w:sz w:val="24"/>
                <w:szCs w:val="24"/>
              </w:rPr>
            </w:pPr>
            <w:r>
              <w:rPr>
                <w:rFonts w:hint="default" w:ascii="Times New Roman" w:hAnsi="Times New Roman" w:cs="Times New Roman"/>
                <w:color w:val="auto"/>
                <w:szCs w:val="21"/>
                <w:highlight w:val="none"/>
              </w:rPr>
              <w:sym w:font="Wingdings 2" w:char="00A3"/>
            </w:r>
            <w:r>
              <w:rPr>
                <w:rFonts w:hint="default"/>
                <w:sz w:val="24"/>
                <w:szCs w:val="24"/>
              </w:rPr>
              <w:t>是：</w:t>
            </w:r>
            <w:r>
              <w:rPr>
                <w:rFonts w:hint="default"/>
                <w:sz w:val="24"/>
                <w:szCs w:val="24"/>
                <w:u w:val="single"/>
              </w:rPr>
              <w:t xml:space="preserve">              </w:t>
            </w:r>
          </w:p>
        </w:tc>
        <w:tc>
          <w:tcPr>
            <w:tcW w:w="1437" w:type="dxa"/>
            <w:tcBorders>
              <w:top w:val="single" w:color="auto" w:sz="4" w:space="0"/>
              <w:left w:val="single" w:color="auto" w:sz="4" w:space="0"/>
              <w:bottom w:val="single" w:color="auto" w:sz="4" w:space="0"/>
              <w:right w:val="single" w:color="auto" w:sz="4" w:space="0"/>
            </w:tcBorders>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用地（用海）</w:t>
            </w:r>
          </w:p>
          <w:p>
            <w:pPr>
              <w:keepNext w:val="0"/>
              <w:keepLines w:val="0"/>
              <w:suppressLineNumbers w:val="0"/>
              <w:adjustRightInd w:val="0"/>
              <w:snapToGrid w:val="0"/>
              <w:spacing w:before="0" w:beforeAutospacing="0" w:after="0" w:afterAutospacing="0"/>
              <w:ind w:left="0" w:right="0"/>
              <w:jc w:val="center"/>
              <w:rPr>
                <w:rFonts w:hint="default"/>
                <w:sz w:val="24"/>
                <w:szCs w:val="24"/>
              </w:rPr>
            </w:pPr>
            <w:r>
              <w:rPr>
                <w:rFonts w:hint="default"/>
                <w:sz w:val="24"/>
                <w:szCs w:val="24"/>
              </w:rPr>
              <w:t>面积（m</w:t>
            </w:r>
            <w:r>
              <w:rPr>
                <w:rFonts w:hint="default"/>
                <w:sz w:val="24"/>
                <w:szCs w:val="24"/>
                <w:vertAlign w:val="superscript"/>
              </w:rPr>
              <w:t>2</w:t>
            </w:r>
            <w:r>
              <w:rPr>
                <w:rFonts w:hint="default"/>
                <w:sz w:val="24"/>
                <w:szCs w:val="24"/>
              </w:rPr>
              <w:t>）</w:t>
            </w:r>
          </w:p>
        </w:tc>
        <w:tc>
          <w:tcPr>
            <w:tcW w:w="2912" w:type="dxa"/>
            <w:tcBorders>
              <w:top w:val="single" w:color="auto" w:sz="4" w:space="0"/>
              <w:left w:val="single" w:color="auto" w:sz="4" w:space="0"/>
              <w:bottom w:val="single" w:color="auto" w:sz="4" w:space="0"/>
              <w:right w:val="single" w:color="auto" w:sz="8"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eastAsia="宋体"/>
                <w:sz w:val="24"/>
                <w:szCs w:val="24"/>
                <w:lang w:val="en-US" w:eastAsia="zh-CN"/>
              </w:rPr>
            </w:pPr>
            <w:r>
              <w:rPr>
                <w:rFonts w:hint="eastAsia"/>
                <w:sz w:val="24"/>
                <w:szCs w:val="24"/>
                <w:lang w:val="en-US" w:eastAsia="zh-CN"/>
              </w:rPr>
              <w:t>14852.0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23"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szCs w:val="24"/>
              </w:rPr>
            </w:pPr>
            <w:r>
              <w:rPr>
                <w:rFonts w:hint="default"/>
                <w:kern w:val="0"/>
                <w:sz w:val="24"/>
                <w:szCs w:val="24"/>
              </w:rPr>
              <w:t>专项评价设置情况</w:t>
            </w:r>
          </w:p>
        </w:tc>
        <w:tc>
          <w:tcPr>
            <w:tcW w:w="7399" w:type="dxa"/>
            <w:gridSpan w:val="3"/>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eastAsia="宋体"/>
                <w:b/>
                <w:kern w:val="0"/>
                <w:sz w:val="24"/>
                <w:szCs w:val="24"/>
                <w:lang w:eastAsia="zh-CN"/>
              </w:rPr>
            </w:pPr>
            <w:r>
              <w:rPr>
                <w:rFonts w:hint="eastAsia"/>
                <w:kern w:val="0"/>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992"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szCs w:val="24"/>
              </w:rPr>
            </w:pPr>
            <w:r>
              <w:rPr>
                <w:rFonts w:hint="default"/>
                <w:sz w:val="24"/>
                <w:szCs w:val="24"/>
              </w:rPr>
              <w:t>规划情况</w:t>
            </w:r>
          </w:p>
        </w:tc>
        <w:tc>
          <w:tcPr>
            <w:tcW w:w="7399" w:type="dxa"/>
            <w:gridSpan w:val="3"/>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pPr>
              <w:keepNext w:val="0"/>
              <w:keepLines w:val="0"/>
              <w:suppressLineNumbers w:val="0"/>
              <w:spacing w:before="0" w:beforeAutospacing="0" w:after="0" w:afterAutospacing="0" w:line="312" w:lineRule="auto"/>
              <w:ind w:left="0" w:right="0"/>
              <w:rPr>
                <w:rFonts w:hint="default"/>
                <w:sz w:val="24"/>
                <w:szCs w:val="24"/>
              </w:rPr>
            </w:pPr>
            <w:r>
              <w:rPr>
                <w:rFonts w:hint="default"/>
                <w:sz w:val="24"/>
                <w:szCs w:val="24"/>
              </w:rPr>
              <w:t>规划名称：《淮南市高新技术产业开发区总体规划（2018-2035年）》；</w:t>
            </w:r>
          </w:p>
          <w:p>
            <w:pPr>
              <w:keepNext w:val="0"/>
              <w:keepLines w:val="0"/>
              <w:suppressLineNumbers w:val="0"/>
              <w:spacing w:before="0" w:beforeAutospacing="0" w:after="0" w:afterAutospacing="0" w:line="312" w:lineRule="auto"/>
              <w:ind w:left="0" w:right="0"/>
              <w:rPr>
                <w:rFonts w:hint="default"/>
                <w:sz w:val="24"/>
                <w:szCs w:val="24"/>
              </w:rPr>
            </w:pPr>
            <w:r>
              <w:rPr>
                <w:rFonts w:hint="default"/>
                <w:sz w:val="24"/>
                <w:szCs w:val="24"/>
              </w:rPr>
              <w:t>审批机关：国务院；</w:t>
            </w:r>
          </w:p>
          <w:p>
            <w:pPr>
              <w:keepNext w:val="0"/>
              <w:keepLines w:val="0"/>
              <w:suppressLineNumbers w:val="0"/>
              <w:spacing w:before="0" w:beforeAutospacing="0" w:after="0" w:afterAutospacing="0" w:line="312" w:lineRule="auto"/>
              <w:ind w:left="0" w:right="0"/>
              <w:rPr>
                <w:rFonts w:hint="default"/>
                <w:sz w:val="24"/>
                <w:szCs w:val="24"/>
              </w:rPr>
            </w:pPr>
            <w:r>
              <w:rPr>
                <w:rFonts w:hint="default"/>
                <w:sz w:val="24"/>
                <w:szCs w:val="24"/>
              </w:rPr>
              <w:t>审批文件及文号：《国务院关于同意淮南高新技术产业开发区升级为国家高新技术产业开发区的批复》（国函[2018]46号）。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After w:val="1"/>
          <w:wAfter w:w="32" w:type="dxa"/>
          <w:trHeight w:val="1925" w:hRule="atLeast"/>
          <w:jc w:val="center"/>
        </w:trPr>
        <w:tc>
          <w:tcPr>
            <w:tcW w:w="1697" w:type="dxa"/>
            <w:gridSpan w:val="2"/>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pPr>
              <w:keepNext w:val="0"/>
              <w:keepLines w:val="0"/>
              <w:suppressLineNumbers w:val="0"/>
              <w:adjustRightInd w:val="0"/>
              <w:snapToGrid w:val="0"/>
              <w:spacing w:before="0" w:beforeAutospacing="0" w:after="0" w:afterAutospacing="0"/>
              <w:ind w:left="0" w:right="0"/>
              <w:jc w:val="center"/>
              <w:rPr>
                <w:rFonts w:hint="default"/>
                <w:kern w:val="0"/>
                <w:sz w:val="24"/>
                <w:szCs w:val="24"/>
              </w:rPr>
            </w:pPr>
            <w:r>
              <w:rPr>
                <w:rFonts w:hint="default"/>
                <w:sz w:val="24"/>
                <w:szCs w:val="24"/>
              </w:rPr>
              <w:t>规划环境影响评价情况</w:t>
            </w:r>
          </w:p>
        </w:tc>
        <w:tc>
          <w:tcPr>
            <w:tcW w:w="7399" w:type="dxa"/>
            <w:gridSpan w:val="3"/>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vAlign w:val="center"/>
          </w:tcPr>
          <w:p>
            <w:pPr>
              <w:keepNext w:val="0"/>
              <w:keepLines w:val="0"/>
              <w:suppressLineNumbers w:val="0"/>
              <w:autoSpaceDE w:val="0"/>
              <w:autoSpaceDN w:val="0"/>
              <w:adjustRightInd w:val="0"/>
              <w:snapToGrid w:val="0"/>
              <w:spacing w:before="0" w:beforeAutospacing="0" w:after="0" w:afterAutospacing="0" w:line="312" w:lineRule="auto"/>
              <w:ind w:left="0" w:right="0"/>
              <w:rPr>
                <w:rFonts w:hint="default"/>
                <w:color w:val="000000"/>
                <w:sz w:val="24"/>
                <w:szCs w:val="24"/>
              </w:rPr>
            </w:pPr>
            <w:r>
              <w:rPr>
                <w:rFonts w:hint="default"/>
                <w:kern w:val="0"/>
                <w:sz w:val="24"/>
                <w:szCs w:val="24"/>
              </w:rPr>
              <w:t>规划名称：《淮南高新技术开发区总体规划（2010-2020年）环境影响评价报告书》</w:t>
            </w:r>
          </w:p>
          <w:p>
            <w:pPr>
              <w:keepNext w:val="0"/>
              <w:keepLines w:val="0"/>
              <w:suppressLineNumbers w:val="0"/>
              <w:autoSpaceDE w:val="0"/>
              <w:autoSpaceDN w:val="0"/>
              <w:adjustRightInd w:val="0"/>
              <w:snapToGrid w:val="0"/>
              <w:spacing w:before="0" w:beforeAutospacing="0" w:after="0" w:afterAutospacing="0" w:line="312" w:lineRule="auto"/>
              <w:ind w:left="0" w:right="0"/>
              <w:rPr>
                <w:rFonts w:hint="default"/>
                <w:color w:val="000000"/>
                <w:sz w:val="24"/>
                <w:szCs w:val="24"/>
              </w:rPr>
            </w:pPr>
            <w:r>
              <w:rPr>
                <w:rFonts w:hint="default"/>
                <w:color w:val="000000"/>
                <w:sz w:val="24"/>
                <w:szCs w:val="24"/>
              </w:rPr>
              <w:t>审查单位</w:t>
            </w:r>
            <w:r>
              <w:rPr>
                <w:rFonts w:hint="default"/>
                <w:color w:val="000000"/>
                <w:sz w:val="24"/>
                <w:szCs w:val="24"/>
                <w:highlight w:val="none"/>
              </w:rPr>
              <w:t>：原淮南市环境保护局</w:t>
            </w:r>
          </w:p>
          <w:p>
            <w:pPr>
              <w:keepNext w:val="0"/>
              <w:keepLines w:val="0"/>
              <w:suppressLineNumbers w:val="0"/>
              <w:autoSpaceDE w:val="0"/>
              <w:autoSpaceDN w:val="0"/>
              <w:adjustRightInd w:val="0"/>
              <w:snapToGrid w:val="0"/>
              <w:spacing w:before="0" w:beforeAutospacing="0" w:after="0" w:afterAutospacing="0" w:line="312" w:lineRule="auto"/>
              <w:ind w:left="0" w:right="0"/>
              <w:rPr>
                <w:rFonts w:hint="default"/>
                <w:kern w:val="0"/>
                <w:sz w:val="24"/>
                <w:szCs w:val="24"/>
              </w:rPr>
            </w:pPr>
            <w:r>
              <w:rPr>
                <w:rFonts w:hint="default"/>
                <w:kern w:val="0"/>
                <w:sz w:val="24"/>
                <w:szCs w:val="24"/>
              </w:rPr>
              <w:t>审查文件及文号：《关于淮南高新技术产业开发区总体规划环境影响报告书审查意见的函》（淮环函〔2010〕71号）</w:t>
            </w:r>
          </w:p>
          <w:p>
            <w:pPr>
              <w:keepNext w:val="0"/>
              <w:keepLines w:val="0"/>
              <w:suppressLineNumbers w:val="0"/>
              <w:autoSpaceDE w:val="0"/>
              <w:autoSpaceDN w:val="0"/>
              <w:adjustRightInd w:val="0"/>
              <w:snapToGrid w:val="0"/>
              <w:spacing w:before="0" w:beforeAutospacing="0" w:after="0" w:afterAutospacing="0" w:line="312" w:lineRule="auto"/>
              <w:ind w:left="0" w:right="0"/>
              <w:rPr>
                <w:rFonts w:hint="default"/>
                <w:kern w:val="0"/>
                <w:sz w:val="24"/>
                <w:szCs w:val="24"/>
              </w:rPr>
            </w:pPr>
            <w:r>
              <w:rPr>
                <w:rFonts w:hint="default"/>
                <w:kern w:val="0"/>
                <w:sz w:val="24"/>
                <w:szCs w:val="24"/>
              </w:rPr>
              <w:t>跟踪评价文件名称：《淮南高新技术产业开发区总体规划环境影响跟踪评价报告书》</w:t>
            </w:r>
          </w:p>
          <w:p>
            <w:pPr>
              <w:keepNext w:val="0"/>
              <w:keepLines w:val="0"/>
              <w:suppressLineNumbers w:val="0"/>
              <w:autoSpaceDE w:val="0"/>
              <w:autoSpaceDN w:val="0"/>
              <w:adjustRightInd w:val="0"/>
              <w:snapToGrid w:val="0"/>
              <w:spacing w:before="0" w:beforeAutospacing="0" w:after="0" w:afterAutospacing="0" w:line="312" w:lineRule="auto"/>
              <w:ind w:left="0" w:right="0"/>
              <w:rPr>
                <w:rFonts w:hint="default"/>
                <w:kern w:val="0"/>
                <w:sz w:val="24"/>
                <w:szCs w:val="24"/>
                <w:highlight w:val="cyan"/>
              </w:rPr>
            </w:pPr>
            <w:r>
              <w:rPr>
                <w:rFonts w:hint="default"/>
                <w:kern w:val="0"/>
                <w:sz w:val="24"/>
                <w:szCs w:val="24"/>
              </w:rPr>
              <w:t>审查机关：</w:t>
            </w:r>
            <w:r>
              <w:rPr>
                <w:rFonts w:hint="default"/>
                <w:kern w:val="0"/>
                <w:sz w:val="24"/>
                <w:szCs w:val="24"/>
                <w:highlight w:val="none"/>
              </w:rPr>
              <w:t>淮南市生态环境局</w:t>
            </w:r>
          </w:p>
          <w:p>
            <w:pPr>
              <w:keepNext w:val="0"/>
              <w:keepLines w:val="0"/>
              <w:suppressLineNumbers w:val="0"/>
              <w:autoSpaceDE w:val="0"/>
              <w:autoSpaceDN w:val="0"/>
              <w:adjustRightInd w:val="0"/>
              <w:snapToGrid w:val="0"/>
              <w:spacing w:before="0" w:beforeAutospacing="0" w:after="0" w:afterAutospacing="0" w:line="312" w:lineRule="auto"/>
              <w:ind w:left="0" w:right="0"/>
              <w:rPr>
                <w:rFonts w:hint="default"/>
                <w:kern w:val="0"/>
                <w:sz w:val="24"/>
                <w:szCs w:val="24"/>
              </w:rPr>
            </w:pPr>
            <w:r>
              <w:rPr>
                <w:rFonts w:hint="default"/>
                <w:kern w:val="0"/>
                <w:sz w:val="24"/>
                <w:szCs w:val="24"/>
              </w:rPr>
              <w:t>审查文件及文号：《关于淮南高新技术产业开发区总体规划环境影响跟踪评价报告书审查意见的函》</w:t>
            </w:r>
            <w:r>
              <w:rPr>
                <w:rFonts w:hint="eastAsia"/>
                <w:kern w:val="0"/>
                <w:sz w:val="24"/>
                <w:szCs w:val="24"/>
                <w:lang w:eastAsia="zh-CN"/>
              </w:rPr>
              <w:t>（</w:t>
            </w:r>
            <w:r>
              <w:rPr>
                <w:rFonts w:hint="default"/>
                <w:kern w:val="0"/>
                <w:sz w:val="24"/>
                <w:szCs w:val="24"/>
              </w:rPr>
              <w:t>淮环函[2022]109号</w:t>
            </w:r>
            <w:r>
              <w:rPr>
                <w:rFonts w:hint="eastAsia"/>
                <w:kern w:val="0"/>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919" w:hRule="atLeast"/>
          <w:jc w:val="center"/>
        </w:trPr>
        <w:tc>
          <w:tcPr>
            <w:tcW w:w="465"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szCs w:val="24"/>
              </w:rPr>
            </w:pPr>
            <w:r>
              <w:rPr>
                <w:rFonts w:hint="default"/>
                <w:kern w:val="0"/>
                <w:sz w:val="24"/>
                <w:szCs w:val="24"/>
              </w:rPr>
              <w:t>规划及规划环境影响评价符合性分析</w:t>
            </w:r>
          </w:p>
        </w:tc>
        <w:tc>
          <w:tcPr>
            <w:tcW w:w="8663" w:type="dxa"/>
            <w:gridSpan w:val="5"/>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tcPr>
          <w:p>
            <w:pPr>
              <w:pStyle w:val="23"/>
              <w:keepNext w:val="0"/>
              <w:keepLines w:val="0"/>
              <w:suppressLineNumbers w:val="0"/>
              <w:bidi w:val="0"/>
              <w:spacing w:before="0" w:beforeAutospacing="0" w:after="0" w:afterAutospacing="0"/>
              <w:ind w:left="0" w:right="0"/>
              <w:rPr>
                <w:rFonts w:hint="default"/>
              </w:rPr>
            </w:pPr>
            <w:r>
              <w:rPr>
                <w:rFonts w:hint="default"/>
              </w:rPr>
              <w:t>1、与《淮南市高新技术产业开发区总体规划》符合性分析</w:t>
            </w:r>
          </w:p>
          <w:p>
            <w:pPr>
              <w:pStyle w:val="23"/>
              <w:keepNext w:val="0"/>
              <w:keepLines w:val="0"/>
              <w:suppressLineNumbers w:val="0"/>
              <w:bidi w:val="0"/>
              <w:spacing w:before="0" w:beforeAutospacing="0" w:after="0" w:afterAutospacing="0"/>
              <w:ind w:left="0" w:right="0"/>
              <w:rPr>
                <w:rFonts w:hint="default"/>
              </w:rPr>
            </w:pPr>
            <w:r>
              <w:rPr>
                <w:rFonts w:hint="default"/>
              </w:rPr>
              <w:t>项目选址位于安徽省淮南市高新区新型显示产业园7号楼，根据《淮南市高新技术产业开发区总体规划》，淮南高新技术产业开发区以机械电子、新型材料和建材、生物医药、节能环保等为主导产业。本项目产品为</w:t>
            </w:r>
            <w:r>
              <w:rPr>
                <w:rFonts w:hint="eastAsia"/>
                <w:lang w:eastAsia="zh-CN"/>
              </w:rPr>
              <w:t>半导体元器件</w:t>
            </w:r>
            <w:r>
              <w:rPr>
                <w:rFonts w:hint="default"/>
              </w:rPr>
              <w:t>与SMT数码智能产品，</w:t>
            </w:r>
            <w:r>
              <w:rPr>
                <w:rFonts w:hint="eastAsia"/>
                <w:lang w:val="en-US" w:eastAsia="zh-CN"/>
              </w:rPr>
              <w:t>属</w:t>
            </w:r>
            <w:r>
              <w:rPr>
                <w:rFonts w:hint="default"/>
              </w:rPr>
              <w:t>于</w:t>
            </w:r>
            <w:r>
              <w:rPr>
                <w:rFonts w:hint="eastAsia"/>
                <w:lang w:eastAsia="zh-CN"/>
              </w:rPr>
              <w:t>电阻电容电感元件制造</w:t>
            </w:r>
            <w:r>
              <w:rPr>
                <w:rFonts w:hint="default"/>
              </w:rPr>
              <w:t>C3</w:t>
            </w:r>
            <w:r>
              <w:rPr>
                <w:rFonts w:hint="eastAsia"/>
                <w:lang w:val="en-US" w:eastAsia="zh-CN"/>
              </w:rPr>
              <w:t>563，</w:t>
            </w:r>
            <w:r>
              <w:rPr>
                <w:rFonts w:hint="default"/>
              </w:rPr>
              <w:t>，</w:t>
            </w:r>
            <w:r>
              <w:rPr>
                <w:rFonts w:hint="eastAsia"/>
                <w:lang w:val="en-US" w:eastAsia="zh-CN"/>
              </w:rPr>
              <w:t>为园区的主导产业</w:t>
            </w:r>
            <w:r>
              <w:rPr>
                <w:rFonts w:hint="default"/>
              </w:rPr>
              <w:t>。项目用地性质为工业用地，符合总体规划要求。</w:t>
            </w:r>
          </w:p>
          <w:p>
            <w:pPr>
              <w:pStyle w:val="23"/>
              <w:keepNext w:val="0"/>
              <w:keepLines w:val="0"/>
              <w:suppressLineNumbers w:val="0"/>
              <w:bidi w:val="0"/>
              <w:spacing w:before="0" w:beforeAutospacing="0" w:after="0" w:afterAutospacing="0"/>
              <w:ind w:left="0" w:right="0"/>
              <w:rPr>
                <w:rFonts w:hint="default"/>
              </w:rPr>
            </w:pPr>
            <w:r>
              <w:rPr>
                <w:rFonts w:hint="default"/>
              </w:rPr>
              <w:t>2、与《淮南高新技术产业开发区总体规划环境影响报告书》符合性分析</w:t>
            </w:r>
          </w:p>
          <w:p>
            <w:pPr>
              <w:pStyle w:val="23"/>
              <w:keepNext w:val="0"/>
              <w:keepLines w:val="0"/>
              <w:suppressLineNumbers w:val="0"/>
              <w:bidi w:val="0"/>
              <w:spacing w:before="0" w:beforeAutospacing="0" w:after="0" w:afterAutospacing="0"/>
              <w:ind w:left="0" w:right="0"/>
              <w:rPr>
                <w:rFonts w:hint="default"/>
              </w:rPr>
            </w:pPr>
            <w:r>
              <w:rPr>
                <w:rFonts w:hint="default"/>
              </w:rPr>
              <w:t>产业功能定位：</w:t>
            </w:r>
          </w:p>
          <w:p>
            <w:pPr>
              <w:pStyle w:val="23"/>
              <w:keepNext w:val="0"/>
              <w:keepLines w:val="0"/>
              <w:suppressLineNumbers w:val="0"/>
              <w:bidi w:val="0"/>
              <w:spacing w:before="0" w:beforeAutospacing="0" w:after="0" w:afterAutospacing="0"/>
              <w:ind w:left="0" w:right="0"/>
              <w:rPr>
                <w:rFonts w:hint="default"/>
              </w:rPr>
            </w:pPr>
            <w:r>
              <w:rPr>
                <w:rFonts w:hint="default"/>
              </w:rPr>
              <w:t>（1）合芜蚌和皖江城市带地区重要的高新技术产业生产制造基地。重点发展与淮南市传统优势产业结合、配套的相关高新技术产业，具体包括：机械电子（印刷机械、矿山机械、矿用电子、光纤系列产品、特种线缆产品等）、新型材料和建材（汽车用材料、锚固新材料、煤矸石建材等）、生物医药（原料药及制剂加工、生物工程及新医药等）、节能环保（煤电技术、汽车用甲醇等）。</w:t>
            </w:r>
          </w:p>
          <w:p>
            <w:pPr>
              <w:pStyle w:val="23"/>
              <w:keepNext w:val="0"/>
              <w:keepLines w:val="0"/>
              <w:suppressLineNumbers w:val="0"/>
              <w:bidi w:val="0"/>
              <w:spacing w:before="0" w:beforeAutospacing="0" w:after="0" w:afterAutospacing="0"/>
              <w:ind w:left="0" w:right="0"/>
              <w:rPr>
                <w:rFonts w:hint="default"/>
              </w:rPr>
            </w:pPr>
            <w:r>
              <w:rPr>
                <w:rFonts w:hint="default"/>
              </w:rPr>
              <w:t>（2）以科技研发、人才培养、孵化培育和生产性综合服务为主要内容的淮南市经济发展助推器。充分利用淮南市的教育、科研优势和淮南高新区的政策优势，大力推进产学研联动和科技成果转化；大力培育和孵化科技型中小企业，大力发展为生产制造业服务的商务、物流、中介、会展、营销等功能，既为制造业发展提供动力，又提升生产制造业的附加值，带动高新区由产业区向城市新区的转化。</w:t>
            </w:r>
          </w:p>
          <w:p>
            <w:pPr>
              <w:pStyle w:val="23"/>
              <w:keepNext w:val="0"/>
              <w:keepLines w:val="0"/>
              <w:suppressLineNumbers w:val="0"/>
              <w:bidi w:val="0"/>
              <w:spacing w:before="0" w:beforeAutospacing="0" w:after="0" w:afterAutospacing="0"/>
              <w:ind w:left="0" w:right="0"/>
              <w:rPr>
                <w:rFonts w:hint="default"/>
              </w:rPr>
            </w:pPr>
            <w:r>
              <w:rPr>
                <w:rFonts w:hint="default"/>
              </w:rPr>
              <w:t>主导产业：</w:t>
            </w:r>
          </w:p>
          <w:p>
            <w:pPr>
              <w:pStyle w:val="23"/>
              <w:keepNext w:val="0"/>
              <w:keepLines w:val="0"/>
              <w:suppressLineNumbers w:val="0"/>
              <w:bidi w:val="0"/>
              <w:spacing w:before="0" w:beforeAutospacing="0" w:after="0" w:afterAutospacing="0"/>
              <w:ind w:left="0" w:right="0"/>
              <w:rPr>
                <w:rFonts w:hint="default"/>
              </w:rPr>
            </w:pPr>
            <w:r>
              <w:rPr>
                <w:rFonts w:hint="default"/>
              </w:rPr>
              <w:t>机械电子、新型材料和建材、生物医药、节能环保及其它国家鼓励类有关产业和符合</w:t>
            </w:r>
            <w:r>
              <w:rPr>
                <w:rFonts w:hint="eastAsia"/>
                <w:lang w:eastAsia="zh-CN"/>
              </w:rPr>
              <w:t>“</w:t>
            </w:r>
            <w:r>
              <w:rPr>
                <w:rFonts w:hint="default"/>
              </w:rPr>
              <w:t>中国高新技术产品目录</w:t>
            </w:r>
            <w:r>
              <w:rPr>
                <w:rFonts w:hint="eastAsia"/>
                <w:lang w:eastAsia="zh-CN"/>
              </w:rPr>
              <w:t>”</w:t>
            </w:r>
            <w:r>
              <w:rPr>
                <w:rFonts w:hint="default"/>
              </w:rPr>
              <w:t>的高新技术产业。</w:t>
            </w:r>
          </w:p>
          <w:p>
            <w:pPr>
              <w:pStyle w:val="23"/>
              <w:keepNext w:val="0"/>
              <w:keepLines w:val="0"/>
              <w:suppressLineNumbers w:val="0"/>
              <w:bidi w:val="0"/>
              <w:spacing w:before="0" w:beforeAutospacing="0" w:after="0" w:afterAutospacing="0"/>
              <w:ind w:left="0" w:right="0"/>
              <w:rPr>
                <w:rFonts w:hint="default"/>
              </w:rPr>
            </w:pPr>
            <w:r>
              <w:rPr>
                <w:rFonts w:hint="default"/>
              </w:rPr>
              <w:t>本项目属于</w:t>
            </w:r>
            <w:r>
              <w:rPr>
                <w:rFonts w:hint="eastAsia"/>
                <w:lang w:eastAsia="zh-CN"/>
              </w:rPr>
              <w:t>电阻电容电感元件制造</w:t>
            </w:r>
            <w:r>
              <w:rPr>
                <w:rFonts w:hint="default"/>
              </w:rPr>
              <w:t>C3</w:t>
            </w:r>
            <w:r>
              <w:rPr>
                <w:rFonts w:hint="eastAsia"/>
                <w:lang w:val="en-US" w:eastAsia="zh-CN"/>
              </w:rPr>
              <w:t>563</w:t>
            </w:r>
            <w:r>
              <w:rPr>
                <w:rFonts w:hint="default"/>
              </w:rPr>
              <w:t>，属于</w:t>
            </w:r>
            <w:r>
              <w:rPr>
                <w:rFonts w:hint="eastAsia"/>
                <w:lang w:eastAsia="zh-CN"/>
              </w:rPr>
              <w:t>“</w:t>
            </w:r>
            <w:r>
              <w:rPr>
                <w:rFonts w:hint="default"/>
              </w:rPr>
              <w:t>新一代信息技术产业</w:t>
            </w:r>
            <w:r>
              <w:rPr>
                <w:rFonts w:hint="eastAsia"/>
                <w:lang w:eastAsia="zh-CN"/>
              </w:rPr>
              <w:t>”</w:t>
            </w:r>
            <w:r>
              <w:rPr>
                <w:rFonts w:hint="default"/>
              </w:rPr>
              <w:t>配套产业，符合园区规划产业功能定位。</w:t>
            </w:r>
          </w:p>
          <w:p>
            <w:pPr>
              <w:pStyle w:val="23"/>
              <w:keepNext w:val="0"/>
              <w:keepLines w:val="0"/>
              <w:suppressLineNumbers w:val="0"/>
              <w:bidi w:val="0"/>
              <w:spacing w:before="0" w:beforeAutospacing="0" w:after="0" w:afterAutospacing="0"/>
              <w:ind w:left="0" w:right="0"/>
              <w:rPr>
                <w:rFonts w:hint="default"/>
              </w:rPr>
            </w:pPr>
            <w:r>
              <w:rPr>
                <w:rFonts w:hint="default"/>
              </w:rPr>
              <w:t>3、与《淮南高新技术产业开发区总体规划环境影响报告书》审查意见的符合性分析</w:t>
            </w:r>
          </w:p>
          <w:p>
            <w:pPr>
              <w:pStyle w:val="11"/>
              <w:keepNext w:val="0"/>
              <w:keepLines w:val="0"/>
              <w:suppressLineNumbers w:val="0"/>
              <w:bidi w:val="0"/>
              <w:spacing w:before="0" w:after="0" w:afterAutospacing="0"/>
              <w:ind w:right="0"/>
              <w:rPr>
                <w:rFonts w:hint="default"/>
              </w:rPr>
            </w:pPr>
            <w:r>
              <w:rPr>
                <w:rFonts w:hint="default"/>
              </w:rPr>
              <w:t>表1-1 本项目与《淮南高新技术产业开发区总体规划环境影响报告书》及其审查意见的符合性分析</w:t>
            </w:r>
          </w:p>
          <w:tbl>
            <w:tblPr>
              <w:tblStyle w:val="19"/>
              <w:tblW w:w="8599"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25"/>
              <w:gridCol w:w="4127"/>
              <w:gridCol w:w="3068"/>
              <w:gridCol w:w="87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525"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序号</w:t>
                  </w:r>
                </w:p>
              </w:tc>
              <w:tc>
                <w:tcPr>
                  <w:tcW w:w="4127"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规划环评及审查意见内容</w:t>
                  </w:r>
                </w:p>
              </w:tc>
              <w:tc>
                <w:tcPr>
                  <w:tcW w:w="3068"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本项目情况</w:t>
                  </w:r>
                </w:p>
              </w:tc>
              <w:tc>
                <w:tcPr>
                  <w:tcW w:w="879"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525"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1</w:t>
                  </w:r>
                </w:p>
              </w:tc>
              <w:tc>
                <w:tcPr>
                  <w:tcW w:w="4127" w:type="dxa"/>
                  <w:vAlign w:val="center"/>
                </w:tcPr>
                <w:p>
                  <w:pPr>
                    <w:keepNext w:val="0"/>
                    <w:keepLines w:val="0"/>
                    <w:suppressLineNumbers w:val="0"/>
                    <w:spacing w:before="0" w:beforeAutospacing="0" w:after="0" w:afterAutospacing="0" w:line="240" w:lineRule="auto"/>
                    <w:ind w:left="0" w:right="0"/>
                    <w:rPr>
                      <w:rFonts w:hint="eastAsia" w:eastAsia="宋体"/>
                      <w:b w:val="0"/>
                      <w:bCs/>
                      <w:sz w:val="21"/>
                      <w:szCs w:val="21"/>
                      <w:lang w:eastAsia="zh-CN"/>
                    </w:rPr>
                  </w:pPr>
                  <w:r>
                    <w:rPr>
                      <w:rFonts w:hint="default"/>
                      <w:b w:val="0"/>
                      <w:bCs/>
                      <w:sz w:val="21"/>
                      <w:szCs w:val="21"/>
                    </w:rPr>
                    <w:t>合理规划高新区用地布局，按照《报告书》提出的布局调整意见，进一步完善高新区规划，优化用地布局，并且在开发过程中不得随意改变各用地区域的使用功能</w:t>
                  </w:r>
                  <w:r>
                    <w:rPr>
                      <w:rFonts w:hint="eastAsia"/>
                      <w:b w:val="0"/>
                      <w:bCs/>
                      <w:sz w:val="21"/>
                      <w:szCs w:val="21"/>
                      <w:lang w:eastAsia="zh-CN"/>
                    </w:rPr>
                    <w:t>。</w:t>
                  </w:r>
                </w:p>
              </w:tc>
              <w:tc>
                <w:tcPr>
                  <w:tcW w:w="3068" w:type="dxa"/>
                  <w:vAlign w:val="center"/>
                </w:tcPr>
                <w:p>
                  <w:pPr>
                    <w:keepNext w:val="0"/>
                    <w:keepLines w:val="0"/>
                    <w:suppressLineNumbers w:val="0"/>
                    <w:spacing w:before="0" w:beforeAutospacing="0" w:after="0" w:afterAutospacing="0" w:line="240" w:lineRule="auto"/>
                    <w:ind w:left="0" w:right="0"/>
                    <w:rPr>
                      <w:rFonts w:hint="default"/>
                      <w:b w:val="0"/>
                      <w:bCs/>
                      <w:sz w:val="21"/>
                      <w:szCs w:val="21"/>
                    </w:rPr>
                  </w:pPr>
                  <w:r>
                    <w:rPr>
                      <w:rFonts w:hint="default"/>
                      <w:b w:val="0"/>
                      <w:bCs/>
                      <w:sz w:val="21"/>
                      <w:szCs w:val="21"/>
                    </w:rPr>
                    <w:t>本项目租赁高新技术产业区新型显示产业园7号楼3、4、5层，用地属于工业用地，没有改变用地区域的使用功能。</w:t>
                  </w:r>
                </w:p>
              </w:tc>
              <w:tc>
                <w:tcPr>
                  <w:tcW w:w="879"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525"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2</w:t>
                  </w:r>
                </w:p>
              </w:tc>
              <w:tc>
                <w:tcPr>
                  <w:tcW w:w="4127" w:type="dxa"/>
                  <w:vAlign w:val="center"/>
                </w:tcPr>
                <w:p>
                  <w:pPr>
                    <w:keepNext w:val="0"/>
                    <w:keepLines w:val="0"/>
                    <w:suppressLineNumbers w:val="0"/>
                    <w:spacing w:before="0" w:beforeAutospacing="0" w:after="0" w:afterAutospacing="0" w:line="240" w:lineRule="auto"/>
                    <w:ind w:left="0" w:right="0"/>
                    <w:jc w:val="center"/>
                    <w:rPr>
                      <w:rFonts w:hint="eastAsia" w:eastAsia="宋体"/>
                      <w:b w:val="0"/>
                      <w:bCs/>
                      <w:sz w:val="21"/>
                      <w:szCs w:val="21"/>
                      <w:lang w:eastAsia="zh-CN"/>
                    </w:rPr>
                  </w:pPr>
                  <w:r>
                    <w:rPr>
                      <w:rFonts w:hint="default"/>
                      <w:b w:val="0"/>
                      <w:bCs/>
                      <w:sz w:val="21"/>
                      <w:szCs w:val="21"/>
                    </w:rPr>
                    <w:t>优化高新区产业结构，提高入区项目技术含量，采用新型清洁生产工艺和设备。严格控制污染严重和有重大环境风险隐患的企业入区，高能耗、高水耗项目不应入区；不符合国家产业政策、环保政策及高新区产业要求的项目不得入区</w:t>
                  </w:r>
                  <w:r>
                    <w:rPr>
                      <w:rFonts w:hint="eastAsia"/>
                      <w:b w:val="0"/>
                      <w:bCs/>
                      <w:sz w:val="21"/>
                      <w:szCs w:val="21"/>
                      <w:lang w:eastAsia="zh-CN"/>
                    </w:rPr>
                    <w:t>。</w:t>
                  </w:r>
                </w:p>
              </w:tc>
              <w:tc>
                <w:tcPr>
                  <w:tcW w:w="3068" w:type="dxa"/>
                  <w:vAlign w:val="center"/>
                </w:tcPr>
                <w:p>
                  <w:pPr>
                    <w:keepNext w:val="0"/>
                    <w:keepLines w:val="0"/>
                    <w:suppressLineNumbers w:val="0"/>
                    <w:spacing w:before="0" w:beforeAutospacing="0" w:after="0" w:afterAutospacing="0" w:line="240" w:lineRule="auto"/>
                    <w:ind w:left="0" w:right="0"/>
                    <w:jc w:val="center"/>
                    <w:rPr>
                      <w:rFonts w:hint="eastAsia" w:eastAsia="宋体"/>
                      <w:b w:val="0"/>
                      <w:bCs/>
                      <w:sz w:val="21"/>
                      <w:szCs w:val="21"/>
                      <w:lang w:eastAsia="zh-CN"/>
                    </w:rPr>
                  </w:pPr>
                  <w:r>
                    <w:rPr>
                      <w:rFonts w:hint="default"/>
                      <w:b w:val="0"/>
                      <w:bCs/>
                      <w:sz w:val="21"/>
                      <w:szCs w:val="21"/>
                    </w:rPr>
                    <w:t>本项目产品主要为</w:t>
                  </w:r>
                  <w:r>
                    <w:rPr>
                      <w:rFonts w:hint="eastAsia"/>
                      <w:b w:val="0"/>
                      <w:bCs/>
                      <w:sz w:val="21"/>
                      <w:szCs w:val="21"/>
                      <w:lang w:eastAsia="zh-CN"/>
                    </w:rPr>
                    <w:t>半导体元器件</w:t>
                  </w:r>
                  <w:r>
                    <w:rPr>
                      <w:rFonts w:hint="default"/>
                      <w:b w:val="0"/>
                      <w:bCs/>
                      <w:sz w:val="21"/>
                      <w:szCs w:val="21"/>
                    </w:rPr>
                    <w:t>与SMT数码智能产品，本项目产业不在园区负面清单内，项目不属于污染严重和有重大环境风险隐患的企业，不属于高能耗、高水耗项目</w:t>
                  </w:r>
                  <w:r>
                    <w:rPr>
                      <w:rFonts w:hint="eastAsia"/>
                      <w:b w:val="0"/>
                      <w:bCs/>
                      <w:sz w:val="21"/>
                      <w:szCs w:val="21"/>
                      <w:lang w:eastAsia="zh-CN"/>
                    </w:rPr>
                    <w:t>。</w:t>
                  </w:r>
                </w:p>
              </w:tc>
              <w:tc>
                <w:tcPr>
                  <w:tcW w:w="879"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525"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3</w:t>
                  </w:r>
                </w:p>
              </w:tc>
              <w:tc>
                <w:tcPr>
                  <w:tcW w:w="4127" w:type="dxa"/>
                  <w:vAlign w:val="center"/>
                </w:tcPr>
                <w:p>
                  <w:pPr>
                    <w:keepNext w:val="0"/>
                    <w:keepLines w:val="0"/>
                    <w:suppressLineNumbers w:val="0"/>
                    <w:spacing w:before="0" w:beforeAutospacing="0" w:after="0" w:afterAutospacing="0" w:line="240" w:lineRule="auto"/>
                    <w:ind w:left="0" w:right="0"/>
                    <w:jc w:val="center"/>
                    <w:rPr>
                      <w:rFonts w:hint="eastAsia" w:eastAsia="宋体"/>
                      <w:b w:val="0"/>
                      <w:bCs/>
                      <w:sz w:val="21"/>
                      <w:szCs w:val="21"/>
                      <w:lang w:eastAsia="zh-CN"/>
                    </w:rPr>
                  </w:pPr>
                  <w:r>
                    <w:rPr>
                      <w:rFonts w:hint="default"/>
                      <w:b w:val="0"/>
                      <w:bCs/>
                      <w:sz w:val="21"/>
                      <w:szCs w:val="21"/>
                    </w:rPr>
                    <w:t>高新区生活污水、生产废水应经预处理达到接管标准后，排入山南新区污水处理厂集中处理。山南新区污水处理厂正式投运前，高新区生活污水、生产废水，必须采取治理措施，废水排放应满足《污水综合排放标准》</w:t>
                  </w:r>
                  <w:r>
                    <w:rPr>
                      <w:rFonts w:hint="eastAsia"/>
                      <w:b w:val="0"/>
                      <w:bCs/>
                      <w:sz w:val="21"/>
                      <w:szCs w:val="21"/>
                      <w:lang w:eastAsia="zh-CN"/>
                    </w:rPr>
                    <w:t>（</w:t>
                  </w:r>
                  <w:r>
                    <w:rPr>
                      <w:rFonts w:hint="default"/>
                      <w:b w:val="0"/>
                      <w:bCs/>
                      <w:sz w:val="21"/>
                      <w:szCs w:val="21"/>
                    </w:rPr>
                    <w:t>GB8978-1996</w:t>
                  </w:r>
                  <w:r>
                    <w:rPr>
                      <w:rFonts w:hint="eastAsia"/>
                      <w:b w:val="0"/>
                      <w:bCs/>
                      <w:sz w:val="21"/>
                      <w:szCs w:val="21"/>
                      <w:lang w:eastAsia="zh-CN"/>
                    </w:rPr>
                    <w:t>）</w:t>
                  </w:r>
                  <w:r>
                    <w:rPr>
                      <w:rFonts w:hint="default"/>
                      <w:b w:val="0"/>
                      <w:bCs/>
                      <w:sz w:val="21"/>
                      <w:szCs w:val="21"/>
                    </w:rPr>
                    <w:t>一级标准要求</w:t>
                  </w:r>
                  <w:r>
                    <w:rPr>
                      <w:rFonts w:hint="eastAsia"/>
                      <w:b w:val="0"/>
                      <w:bCs/>
                      <w:sz w:val="21"/>
                      <w:szCs w:val="21"/>
                      <w:lang w:eastAsia="zh-CN"/>
                    </w:rPr>
                    <w:t>。</w:t>
                  </w:r>
                </w:p>
              </w:tc>
              <w:tc>
                <w:tcPr>
                  <w:tcW w:w="3068"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废水主要为</w:t>
                  </w:r>
                  <w:r>
                    <w:rPr>
                      <w:rFonts w:hint="eastAsia"/>
                      <w:b w:val="0"/>
                      <w:bCs/>
                      <w:sz w:val="21"/>
                      <w:szCs w:val="21"/>
                      <w:lang w:val="en-US" w:eastAsia="zh-CN"/>
                    </w:rPr>
                    <w:t>清洗</w:t>
                  </w:r>
                  <w:r>
                    <w:rPr>
                      <w:rFonts w:hint="default"/>
                      <w:b w:val="0"/>
                      <w:bCs/>
                      <w:sz w:val="21"/>
                      <w:szCs w:val="21"/>
                    </w:rPr>
                    <w:t>废水、纯水制备废水和生活污水，生产废水主要包括清洗废水，清洗废水</w:t>
                  </w:r>
                  <w:r>
                    <w:rPr>
                      <w:rFonts w:hint="eastAsia"/>
                      <w:b w:val="0"/>
                      <w:bCs/>
                      <w:sz w:val="21"/>
                      <w:szCs w:val="21"/>
                      <w:lang w:eastAsia="zh-CN"/>
                    </w:rPr>
                    <w:t>，</w:t>
                  </w:r>
                  <w:r>
                    <w:rPr>
                      <w:rFonts w:hint="eastAsia"/>
                      <w:b w:val="0"/>
                      <w:bCs/>
                      <w:sz w:val="21"/>
                      <w:szCs w:val="21"/>
                      <w:lang w:val="en-US" w:eastAsia="zh-CN"/>
                    </w:rPr>
                    <w:t>经</w:t>
                  </w:r>
                  <w:r>
                    <w:rPr>
                      <w:rFonts w:hint="eastAsia"/>
                      <w:b w:val="0"/>
                      <w:bCs/>
                      <w:sz w:val="21"/>
                      <w:szCs w:val="21"/>
                      <w:lang w:eastAsia="zh-CN"/>
                    </w:rPr>
                    <w:t>厂区地上污水管网排入园区污水管网</w:t>
                  </w:r>
                  <w:r>
                    <w:rPr>
                      <w:rFonts w:hint="default"/>
                      <w:b w:val="0"/>
                      <w:bCs/>
                      <w:sz w:val="21"/>
                      <w:szCs w:val="21"/>
                    </w:rPr>
                    <w:t>；生活污水经化粪池处理后排入</w:t>
                  </w:r>
                  <w:r>
                    <w:rPr>
                      <w:rFonts w:hint="eastAsia"/>
                      <w:b w:val="0"/>
                      <w:bCs/>
                      <w:sz w:val="21"/>
                      <w:szCs w:val="21"/>
                      <w:lang w:eastAsia="zh-CN"/>
                    </w:rPr>
                    <w:t>园区污水管网</w:t>
                  </w:r>
                  <w:r>
                    <w:rPr>
                      <w:rFonts w:hint="default"/>
                      <w:b w:val="0"/>
                      <w:bCs/>
                      <w:sz w:val="21"/>
                      <w:szCs w:val="21"/>
                    </w:rPr>
                    <w:t>。各类废水处理达《电子工业水污染排放标准》（GB39731-2020）表1水污染物排放限值中间接排放限值和山南污水处理厂接管限值后进入山南新区污水处理厂处理。</w:t>
                  </w:r>
                </w:p>
              </w:tc>
              <w:tc>
                <w:tcPr>
                  <w:tcW w:w="879" w:type="dxa"/>
                  <w:vAlign w:val="center"/>
                </w:tcPr>
                <w:p>
                  <w:pPr>
                    <w:keepNext w:val="0"/>
                    <w:keepLines w:val="0"/>
                    <w:suppressLineNumbers w:val="0"/>
                    <w:spacing w:before="0" w:beforeAutospacing="0" w:after="0" w:afterAutospacing="0" w:line="240" w:lineRule="auto"/>
                    <w:ind w:left="0" w:right="0"/>
                    <w:rPr>
                      <w:rFonts w:hint="default"/>
                      <w:b w:val="0"/>
                      <w:bCs/>
                      <w:sz w:val="21"/>
                      <w:szCs w:val="21"/>
                    </w:rPr>
                  </w:pPr>
                  <w:r>
                    <w:rPr>
                      <w:rFonts w:hint="default"/>
                      <w:b w:val="0"/>
                      <w:bCs/>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525"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4</w:t>
                  </w:r>
                </w:p>
              </w:tc>
              <w:tc>
                <w:tcPr>
                  <w:tcW w:w="4127" w:type="dxa"/>
                  <w:vAlign w:val="center"/>
                </w:tcPr>
                <w:p>
                  <w:pPr>
                    <w:keepNext w:val="0"/>
                    <w:keepLines w:val="0"/>
                    <w:suppressLineNumbers w:val="0"/>
                    <w:spacing w:before="0" w:beforeAutospacing="0" w:after="0" w:afterAutospacing="0" w:line="240" w:lineRule="auto"/>
                    <w:ind w:left="0" w:right="0"/>
                    <w:rPr>
                      <w:rFonts w:hint="eastAsia" w:eastAsia="宋体"/>
                      <w:b w:val="0"/>
                      <w:bCs/>
                      <w:sz w:val="21"/>
                      <w:szCs w:val="21"/>
                      <w:lang w:eastAsia="zh-CN"/>
                    </w:rPr>
                  </w:pPr>
                  <w:r>
                    <w:rPr>
                      <w:rFonts w:hint="default"/>
                      <w:b w:val="0"/>
                      <w:bCs/>
                      <w:sz w:val="21"/>
                      <w:szCs w:val="21"/>
                    </w:rPr>
                    <w:t>按照循环经济的要求，提高高新区固废的综合利用率，减少排放量。设置生活垃圾收集系统及中转站，生活垃圾由环卫部门统一清运；一般工业固废回收或综合利用，严禁企业随意弃置；企业产生的危险固废的收集、贮存应满足《危险废物贮存污染控制标准》</w:t>
                  </w:r>
                  <w:r>
                    <w:rPr>
                      <w:rFonts w:hint="eastAsia"/>
                      <w:b w:val="0"/>
                      <w:bCs/>
                      <w:sz w:val="21"/>
                      <w:szCs w:val="21"/>
                      <w:lang w:eastAsia="zh-CN"/>
                    </w:rPr>
                    <w:t>（</w:t>
                  </w:r>
                  <w:r>
                    <w:rPr>
                      <w:rFonts w:hint="default"/>
                      <w:b w:val="0"/>
                      <w:bCs/>
                      <w:sz w:val="21"/>
                      <w:szCs w:val="21"/>
                    </w:rPr>
                    <w:t>GB18597-20</w:t>
                  </w:r>
                  <w:r>
                    <w:rPr>
                      <w:rFonts w:hint="eastAsia"/>
                      <w:b w:val="0"/>
                      <w:bCs/>
                      <w:sz w:val="21"/>
                      <w:szCs w:val="21"/>
                      <w:lang w:val="en-US" w:eastAsia="zh-CN"/>
                    </w:rPr>
                    <w:t>23</w:t>
                  </w:r>
                  <w:r>
                    <w:rPr>
                      <w:rFonts w:hint="eastAsia"/>
                      <w:b w:val="0"/>
                      <w:bCs/>
                      <w:sz w:val="21"/>
                      <w:szCs w:val="21"/>
                      <w:lang w:eastAsia="zh-CN"/>
                    </w:rPr>
                    <w:t>）</w:t>
                  </w:r>
                  <w:r>
                    <w:rPr>
                      <w:rFonts w:hint="default"/>
                      <w:b w:val="0"/>
                      <w:bCs/>
                      <w:sz w:val="21"/>
                      <w:szCs w:val="21"/>
                    </w:rPr>
                    <w:t>的要求，并送有资质的危险废物处置单位处置，危险废物的转运应执行《危险废物转移联单管理办法》的有关规定</w:t>
                  </w:r>
                  <w:r>
                    <w:rPr>
                      <w:rFonts w:hint="eastAsia"/>
                      <w:b w:val="0"/>
                      <w:bCs/>
                      <w:sz w:val="21"/>
                      <w:szCs w:val="21"/>
                      <w:lang w:eastAsia="zh-CN"/>
                    </w:rPr>
                    <w:t>。</w:t>
                  </w:r>
                </w:p>
              </w:tc>
              <w:tc>
                <w:tcPr>
                  <w:tcW w:w="3068" w:type="dxa"/>
                  <w:vAlign w:val="center"/>
                </w:tcPr>
                <w:p>
                  <w:pPr>
                    <w:keepNext w:val="0"/>
                    <w:keepLines w:val="0"/>
                    <w:suppressLineNumbers w:val="0"/>
                    <w:spacing w:before="0" w:beforeAutospacing="0" w:after="0" w:afterAutospacing="0" w:line="240" w:lineRule="auto"/>
                    <w:ind w:left="0" w:right="0"/>
                    <w:rPr>
                      <w:rFonts w:hint="default"/>
                      <w:b w:val="0"/>
                      <w:bCs/>
                      <w:sz w:val="21"/>
                      <w:szCs w:val="21"/>
                    </w:rPr>
                  </w:pPr>
                  <w:r>
                    <w:rPr>
                      <w:rFonts w:hint="default"/>
                      <w:b w:val="0"/>
                      <w:bCs/>
                      <w:sz w:val="21"/>
                      <w:szCs w:val="21"/>
                      <w:highlight w:val="none"/>
                    </w:rPr>
                    <w:t>生活垃圾委托环卫部门清运。产生的一般工业固体废物暂存于一般工业固体废物暂存间内，外售综合利用。</w:t>
                  </w:r>
                  <w:r>
                    <w:rPr>
                      <w:rFonts w:hint="eastAsia"/>
                      <w:b w:val="0"/>
                      <w:bCs/>
                      <w:sz w:val="21"/>
                      <w:szCs w:val="21"/>
                      <w:highlight w:val="none"/>
                      <w:lang w:val="en-US" w:eastAsia="zh-CN"/>
                    </w:rPr>
                    <w:t>产生的危险废物暂存与危险废物暂存库，委托有资质单位处置。</w:t>
                  </w:r>
                  <w:r>
                    <w:rPr>
                      <w:rFonts w:hint="default"/>
                      <w:b w:val="0"/>
                      <w:bCs/>
                      <w:sz w:val="21"/>
                      <w:szCs w:val="21"/>
                      <w:highlight w:val="none"/>
                    </w:rPr>
                    <w:t>项目产生的各类固体废物均能得到有效处置，不会造成二次污染。</w:t>
                  </w:r>
                </w:p>
              </w:tc>
              <w:tc>
                <w:tcPr>
                  <w:tcW w:w="879"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525"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5</w:t>
                  </w:r>
                </w:p>
              </w:tc>
              <w:tc>
                <w:tcPr>
                  <w:tcW w:w="4127" w:type="dxa"/>
                  <w:vAlign w:val="center"/>
                </w:tcPr>
                <w:p>
                  <w:pPr>
                    <w:keepNext w:val="0"/>
                    <w:keepLines w:val="0"/>
                    <w:suppressLineNumbers w:val="0"/>
                    <w:spacing w:before="0" w:beforeAutospacing="0" w:after="0" w:afterAutospacing="0" w:line="240" w:lineRule="auto"/>
                    <w:ind w:left="0" w:right="0"/>
                    <w:rPr>
                      <w:rFonts w:hint="eastAsia" w:eastAsia="宋体"/>
                      <w:b w:val="0"/>
                      <w:bCs/>
                      <w:sz w:val="21"/>
                      <w:szCs w:val="21"/>
                      <w:lang w:eastAsia="zh-CN"/>
                    </w:rPr>
                  </w:pPr>
                  <w:r>
                    <w:rPr>
                      <w:rFonts w:hint="default"/>
                      <w:b w:val="0"/>
                      <w:bCs/>
                      <w:sz w:val="21"/>
                      <w:szCs w:val="21"/>
                    </w:rPr>
                    <w:t>应充分考虑规划区域内居民拆迁安置问题，根据开发计划和进度及时拆迁，妥善安置，并积极加强对拆迁居民的培训，拓宽就业渠道，保证其生活基本稳定</w:t>
                  </w:r>
                  <w:r>
                    <w:rPr>
                      <w:rFonts w:hint="eastAsia"/>
                      <w:b w:val="0"/>
                      <w:bCs/>
                      <w:sz w:val="21"/>
                      <w:szCs w:val="21"/>
                      <w:lang w:eastAsia="zh-CN"/>
                    </w:rPr>
                    <w:t>。</w:t>
                  </w:r>
                </w:p>
              </w:tc>
              <w:tc>
                <w:tcPr>
                  <w:tcW w:w="3068" w:type="dxa"/>
                  <w:vAlign w:val="center"/>
                </w:tcPr>
                <w:p>
                  <w:pPr>
                    <w:keepNext w:val="0"/>
                    <w:keepLines w:val="0"/>
                    <w:suppressLineNumbers w:val="0"/>
                    <w:spacing w:before="0" w:beforeAutospacing="0" w:after="0" w:afterAutospacing="0" w:line="240" w:lineRule="auto"/>
                    <w:ind w:left="0" w:right="0"/>
                    <w:rPr>
                      <w:rFonts w:hint="eastAsia" w:eastAsia="宋体"/>
                      <w:b w:val="0"/>
                      <w:bCs/>
                      <w:sz w:val="21"/>
                      <w:szCs w:val="21"/>
                      <w:lang w:val="en-US" w:eastAsia="zh-CN"/>
                    </w:rPr>
                  </w:pPr>
                  <w:r>
                    <w:rPr>
                      <w:rFonts w:hint="default"/>
                      <w:b w:val="0"/>
                      <w:bCs/>
                      <w:sz w:val="21"/>
                      <w:szCs w:val="21"/>
                    </w:rPr>
                    <w:t>本项目不涉及拆迁</w:t>
                  </w:r>
                  <w:r>
                    <w:rPr>
                      <w:rFonts w:hint="eastAsia"/>
                      <w:b w:val="0"/>
                      <w:bCs/>
                      <w:sz w:val="21"/>
                      <w:szCs w:val="21"/>
                      <w:lang w:val="en-US" w:eastAsia="zh-CN"/>
                    </w:rPr>
                    <w:t>。</w:t>
                  </w:r>
                </w:p>
              </w:tc>
              <w:tc>
                <w:tcPr>
                  <w:tcW w:w="879"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rPr>
              <w:tc>
                <w:tcPr>
                  <w:tcW w:w="525"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6</w:t>
                  </w:r>
                </w:p>
              </w:tc>
              <w:tc>
                <w:tcPr>
                  <w:tcW w:w="4127" w:type="dxa"/>
                  <w:vAlign w:val="center"/>
                </w:tcPr>
                <w:p>
                  <w:pPr>
                    <w:keepNext w:val="0"/>
                    <w:keepLines w:val="0"/>
                    <w:suppressLineNumbers w:val="0"/>
                    <w:spacing w:before="0" w:beforeAutospacing="0" w:after="0" w:afterAutospacing="0" w:line="240" w:lineRule="auto"/>
                    <w:ind w:left="0" w:right="0"/>
                    <w:rPr>
                      <w:rFonts w:hint="eastAsia" w:eastAsia="宋体"/>
                      <w:b w:val="0"/>
                      <w:bCs/>
                      <w:sz w:val="21"/>
                      <w:szCs w:val="21"/>
                      <w:lang w:eastAsia="zh-CN"/>
                    </w:rPr>
                  </w:pPr>
                  <w:r>
                    <w:rPr>
                      <w:rFonts w:hint="default"/>
                      <w:b w:val="0"/>
                      <w:bCs/>
                      <w:sz w:val="21"/>
                      <w:szCs w:val="21"/>
                    </w:rPr>
                    <w:t>作为合芜蚌和皖江城市带地区重要的高新技术产业生产制造基地，重点发展与淮南市传统优势产业结合、配套的相关高新技术产业，包括机械电子、新型材料和建材、生物医药、节能环保等。高新区入区项目必须围绕机械电子、新型材料和建材、节能环保及其它国家鼓励类有关产业和符合</w:t>
                  </w:r>
                  <w:r>
                    <w:rPr>
                      <w:rFonts w:hint="eastAsia"/>
                      <w:b w:val="0"/>
                      <w:bCs/>
                      <w:sz w:val="21"/>
                      <w:szCs w:val="21"/>
                      <w:lang w:eastAsia="zh-CN"/>
                    </w:rPr>
                    <w:t>“</w:t>
                  </w:r>
                  <w:r>
                    <w:rPr>
                      <w:rFonts w:hint="default"/>
                      <w:b w:val="0"/>
                      <w:bCs/>
                      <w:sz w:val="21"/>
                      <w:szCs w:val="21"/>
                    </w:rPr>
                    <w:t>中国高新技术产品目录</w:t>
                  </w:r>
                  <w:r>
                    <w:rPr>
                      <w:rFonts w:hint="eastAsia"/>
                      <w:b w:val="0"/>
                      <w:bCs/>
                      <w:sz w:val="21"/>
                      <w:szCs w:val="21"/>
                      <w:lang w:eastAsia="zh-CN"/>
                    </w:rPr>
                    <w:t>”</w:t>
                  </w:r>
                  <w:r>
                    <w:rPr>
                      <w:rFonts w:hint="default"/>
                      <w:b w:val="0"/>
                      <w:bCs/>
                      <w:sz w:val="21"/>
                      <w:szCs w:val="21"/>
                    </w:rPr>
                    <w:t>的高新技术产业，发展高新技术的产业，建设工艺先进，技术创新，排污量少的新型企业</w:t>
                  </w:r>
                  <w:r>
                    <w:rPr>
                      <w:rFonts w:hint="eastAsia"/>
                      <w:b w:val="0"/>
                      <w:bCs/>
                      <w:sz w:val="21"/>
                      <w:szCs w:val="21"/>
                      <w:lang w:eastAsia="zh-CN"/>
                    </w:rPr>
                    <w:t>。</w:t>
                  </w:r>
                </w:p>
              </w:tc>
              <w:tc>
                <w:tcPr>
                  <w:tcW w:w="3068" w:type="dxa"/>
                  <w:vAlign w:val="center"/>
                </w:tcPr>
                <w:p>
                  <w:pPr>
                    <w:keepNext w:val="0"/>
                    <w:keepLines w:val="0"/>
                    <w:suppressLineNumbers w:val="0"/>
                    <w:spacing w:before="0" w:beforeAutospacing="0" w:after="0" w:afterAutospacing="0" w:line="240" w:lineRule="auto"/>
                    <w:ind w:left="0" w:right="0"/>
                    <w:rPr>
                      <w:rFonts w:hint="default"/>
                      <w:b w:val="0"/>
                      <w:bCs/>
                      <w:sz w:val="21"/>
                      <w:szCs w:val="21"/>
                    </w:rPr>
                  </w:pPr>
                  <w:r>
                    <w:rPr>
                      <w:rFonts w:hint="default"/>
                      <w:b w:val="0"/>
                      <w:bCs/>
                      <w:sz w:val="21"/>
                      <w:szCs w:val="21"/>
                    </w:rPr>
                    <w:t>本项目选址位于高新区新型显示产业园7号楼，本项目为</w:t>
                  </w:r>
                  <w:r>
                    <w:rPr>
                      <w:rFonts w:hint="eastAsia"/>
                      <w:b w:val="0"/>
                      <w:bCs/>
                      <w:sz w:val="21"/>
                      <w:szCs w:val="21"/>
                      <w:lang w:eastAsia="zh-CN"/>
                    </w:rPr>
                    <w:t>电阻电容电感元件制造</w:t>
                  </w:r>
                  <w:r>
                    <w:rPr>
                      <w:rFonts w:hint="default"/>
                      <w:b w:val="0"/>
                      <w:bCs/>
                      <w:sz w:val="21"/>
                      <w:szCs w:val="21"/>
                    </w:rPr>
                    <w:t>，</w:t>
                  </w:r>
                  <w:r>
                    <w:rPr>
                      <w:rFonts w:hint="eastAsia"/>
                      <w:b w:val="0"/>
                      <w:bCs/>
                      <w:sz w:val="21"/>
                      <w:szCs w:val="21"/>
                      <w:lang w:val="en-US" w:eastAsia="zh-CN"/>
                    </w:rPr>
                    <w:t>为园区主导产业，优先入园</w:t>
                  </w:r>
                  <w:r>
                    <w:rPr>
                      <w:rFonts w:hint="default"/>
                      <w:b w:val="0"/>
                      <w:bCs/>
                      <w:sz w:val="21"/>
                      <w:szCs w:val="21"/>
                    </w:rPr>
                    <w:t>。项目采用清洁生产工艺且不属于污染严重、有重大环境风险隐患、高能耗、高水耗的项目。本项目符合国家产业政策、环保政策及高新区入园产业要求。</w:t>
                  </w:r>
                </w:p>
              </w:tc>
              <w:tc>
                <w:tcPr>
                  <w:tcW w:w="879"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符合</w:t>
                  </w:r>
                </w:p>
              </w:tc>
            </w:tr>
          </w:tbl>
          <w:p>
            <w:pPr>
              <w:pStyle w:val="23"/>
              <w:keepNext w:val="0"/>
              <w:keepLines w:val="0"/>
              <w:suppressLineNumbers w:val="0"/>
              <w:bidi w:val="0"/>
              <w:spacing w:before="0" w:beforeAutospacing="0" w:after="0" w:afterAutospacing="0"/>
              <w:ind w:left="0" w:right="0"/>
              <w:rPr>
                <w:rFonts w:hint="default"/>
              </w:rPr>
            </w:pPr>
            <w:r>
              <w:rPr>
                <w:rFonts w:hint="default"/>
              </w:rPr>
              <w:t>根据上表可知，本项目与《淮南高新技术产业开发区总体规划环境影响报告书》规划环评及审查意见相符。</w:t>
            </w:r>
          </w:p>
          <w:p>
            <w:pPr>
              <w:pStyle w:val="23"/>
              <w:keepNext w:val="0"/>
              <w:keepLines w:val="0"/>
              <w:numPr>
                <w:ilvl w:val="0"/>
                <w:numId w:val="0"/>
              </w:numPr>
              <w:suppressLineNumbers w:val="0"/>
              <w:bidi w:val="0"/>
              <w:spacing w:before="0" w:beforeAutospacing="0" w:after="0" w:afterAutospacing="0"/>
              <w:ind w:left="0" w:leftChars="0" w:right="0" w:rightChars="0" w:firstLine="480" w:firstLineChars="200"/>
              <w:rPr>
                <w:rFonts w:hint="eastAsia"/>
                <w:b w:val="0"/>
                <w:bCs w:val="0"/>
                <w:lang w:val="en-US" w:eastAsia="zh-CN"/>
              </w:rPr>
            </w:pPr>
            <w:r>
              <w:rPr>
                <w:rFonts w:hint="eastAsia" w:cs="Times New Roman"/>
                <w:b w:val="0"/>
                <w:bCs w:val="0"/>
                <w:kern w:val="2"/>
                <w:sz w:val="24"/>
                <w:szCs w:val="21"/>
                <w:lang w:val="en-US" w:eastAsia="zh-CN" w:bidi="ar-SA"/>
              </w:rPr>
              <w:t>4</w:t>
            </w:r>
            <w:r>
              <w:rPr>
                <w:rFonts w:hint="eastAsia" w:ascii="Times New Roman" w:hAnsi="Times New Roman" w:eastAsia="宋体" w:cs="Times New Roman"/>
                <w:b w:val="0"/>
                <w:bCs w:val="0"/>
                <w:kern w:val="2"/>
                <w:sz w:val="24"/>
                <w:szCs w:val="21"/>
                <w:lang w:val="en-US" w:eastAsia="zh-CN" w:bidi="ar-SA"/>
              </w:rPr>
              <w:t>、</w:t>
            </w:r>
            <w:r>
              <w:rPr>
                <w:rFonts w:hint="eastAsia"/>
                <w:b w:val="0"/>
                <w:bCs w:val="0"/>
                <w:lang w:val="en-US" w:eastAsia="zh-CN"/>
              </w:rPr>
              <w:t>项目与《淮南高新技术产业开发区总体规划环境影响跟踪评价报告书》及审查意见要求相符性</w:t>
            </w:r>
          </w:p>
          <w:p>
            <w:pPr>
              <w:pStyle w:val="2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default"/>
                <w:lang w:val="en-US" w:eastAsia="zh-CN"/>
              </w:rPr>
            </w:pPr>
            <w:r>
              <w:rPr>
                <w:rFonts w:hint="default"/>
                <w:lang w:val="en-US" w:eastAsia="zh-CN"/>
              </w:rPr>
              <w:t>根据《淮南高新技术产业开发区总体规划环境影响跟踪评价报告书》及《关于淮南高新技术产业开发区总体规划环境影响跟踪评价报告书审查意见的函》（2022.10.14），淮环函[2022]109 号，本项目与跟踪评价及审查意见要求相符性分析如下。</w:t>
            </w:r>
          </w:p>
          <w:p>
            <w:pPr>
              <w:pStyle w:val="11"/>
              <w:keepNext w:val="0"/>
              <w:keepLines w:val="0"/>
              <w:suppressLineNumbers w:val="0"/>
              <w:bidi w:val="0"/>
              <w:spacing w:before="0" w:after="0" w:afterAutospacing="0" w:line="240" w:lineRule="auto"/>
              <w:ind w:right="0"/>
              <w:rPr>
                <w:rFonts w:hint="default"/>
              </w:rPr>
            </w:pPr>
            <w:r>
              <w:rPr>
                <w:rFonts w:hint="default"/>
              </w:rPr>
              <w:t>表1-</w:t>
            </w:r>
            <w:r>
              <w:rPr>
                <w:rFonts w:hint="eastAsia"/>
                <w:lang w:val="en-US" w:eastAsia="zh-CN"/>
              </w:rPr>
              <w:t>2</w:t>
            </w:r>
            <w:r>
              <w:rPr>
                <w:rFonts w:hint="default"/>
              </w:rPr>
              <w:t xml:space="preserve"> 本项目与</w:t>
            </w:r>
            <w:r>
              <w:rPr>
                <w:rFonts w:hint="default"/>
                <w:lang w:val="en-US" w:eastAsia="zh-CN"/>
              </w:rPr>
              <w:t>淮南高新技术产业开发区总体规划环境影响跟踪评价报告书》</w:t>
            </w:r>
            <w:r>
              <w:rPr>
                <w:rFonts w:hint="default"/>
              </w:rPr>
              <w:t>及其审查意见的符合性分析</w:t>
            </w:r>
          </w:p>
          <w:tbl>
            <w:tblPr>
              <w:tblStyle w:val="1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17"/>
              <w:gridCol w:w="4053"/>
              <w:gridCol w:w="3115"/>
              <w:gridCol w:w="76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517"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序号</w:t>
                  </w:r>
                </w:p>
              </w:tc>
              <w:tc>
                <w:tcPr>
                  <w:tcW w:w="4053"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eastAsia"/>
                      <w:b w:val="0"/>
                      <w:bCs/>
                      <w:sz w:val="21"/>
                      <w:szCs w:val="21"/>
                      <w:lang w:val="en-US" w:eastAsia="zh-CN"/>
                    </w:rPr>
                    <w:t>跟踪评价</w:t>
                  </w:r>
                  <w:r>
                    <w:rPr>
                      <w:rFonts w:hint="default"/>
                      <w:b w:val="0"/>
                      <w:bCs/>
                      <w:sz w:val="21"/>
                      <w:szCs w:val="21"/>
                    </w:rPr>
                    <w:t>及审查意见内容</w:t>
                  </w:r>
                </w:p>
              </w:tc>
              <w:tc>
                <w:tcPr>
                  <w:tcW w:w="3115"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本项目情况</w:t>
                  </w:r>
                </w:p>
              </w:tc>
              <w:tc>
                <w:tcPr>
                  <w:tcW w:w="762"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17" w:type="dxa"/>
                  <w:vAlign w:val="center"/>
                </w:tcPr>
                <w:p>
                  <w:pPr>
                    <w:keepNext w:val="0"/>
                    <w:keepLines w:val="0"/>
                    <w:suppressLineNumbers w:val="0"/>
                    <w:spacing w:before="0" w:beforeAutospacing="0" w:after="0" w:afterAutospacing="0" w:line="240" w:lineRule="auto"/>
                    <w:ind w:left="0" w:right="0"/>
                    <w:jc w:val="center"/>
                    <w:rPr>
                      <w:rFonts w:hint="default"/>
                      <w:b w:val="0"/>
                      <w:bCs/>
                      <w:sz w:val="21"/>
                      <w:szCs w:val="21"/>
                    </w:rPr>
                  </w:pPr>
                  <w:r>
                    <w:rPr>
                      <w:rFonts w:hint="default"/>
                      <w:b w:val="0"/>
                      <w:bCs/>
                      <w:sz w:val="21"/>
                      <w:szCs w:val="21"/>
                    </w:rPr>
                    <w:t>1</w:t>
                  </w:r>
                </w:p>
              </w:tc>
              <w:tc>
                <w:tcPr>
                  <w:tcW w:w="4053" w:type="dxa"/>
                  <w:vAlign w:val="center"/>
                </w:tcPr>
                <w:p>
                  <w:pPr>
                    <w:keepNext w:val="0"/>
                    <w:keepLines w:val="0"/>
                    <w:suppressLineNumbers w:val="0"/>
                    <w:spacing w:before="0" w:beforeAutospacing="0" w:after="0" w:afterAutospacing="0" w:line="240" w:lineRule="auto"/>
                    <w:ind w:left="0" w:right="0"/>
                    <w:jc w:val="center"/>
                    <w:rPr>
                      <w:rFonts w:hint="eastAsia" w:eastAsia="宋体"/>
                      <w:b w:val="0"/>
                      <w:bCs/>
                      <w:sz w:val="21"/>
                      <w:szCs w:val="21"/>
                      <w:lang w:eastAsia="zh-CN"/>
                    </w:rPr>
                  </w:pPr>
                  <w:r>
                    <w:rPr>
                      <w:rFonts w:hint="eastAsia" w:eastAsia="宋体"/>
                      <w:b w:val="0"/>
                      <w:bCs/>
                      <w:sz w:val="21"/>
                      <w:szCs w:val="21"/>
                      <w:lang w:eastAsia="zh-CN"/>
                    </w:rPr>
                    <w:t>根据《关于淮南高新技术产业开发区总体规划环境影响报告书审查意见的函》，规划面积东至淮河大道，西至高压走廊，南至南纬十一路，北至南纬七路，主导产业为机械电子、新型材料和建材、生物医药、节能环保。</w:t>
                  </w:r>
                </w:p>
              </w:tc>
              <w:tc>
                <w:tcPr>
                  <w:tcW w:w="3115" w:type="dxa"/>
                  <w:vAlign w:val="center"/>
                </w:tcPr>
                <w:p>
                  <w:pPr>
                    <w:keepNext w:val="0"/>
                    <w:keepLines w:val="0"/>
                    <w:suppressLineNumbers w:val="0"/>
                    <w:spacing w:before="0" w:beforeAutospacing="0" w:after="0" w:afterAutospacing="0" w:line="240" w:lineRule="auto"/>
                    <w:ind w:left="0" w:right="0"/>
                    <w:jc w:val="center"/>
                    <w:rPr>
                      <w:rFonts w:hint="eastAsia" w:eastAsia="宋体"/>
                      <w:b w:val="0"/>
                      <w:bCs/>
                      <w:sz w:val="21"/>
                      <w:szCs w:val="21"/>
                      <w:lang w:val="en-US" w:eastAsia="zh-CN"/>
                    </w:rPr>
                  </w:pPr>
                  <w:r>
                    <w:rPr>
                      <w:rFonts w:hint="default"/>
                      <w:b w:val="0"/>
                      <w:bCs/>
                      <w:sz w:val="21"/>
                      <w:szCs w:val="21"/>
                    </w:rPr>
                    <w:t>本项目位于淮南市山南新区高新产业园7号楼3、4、5层，本项目为</w:t>
                  </w:r>
                  <w:r>
                    <w:rPr>
                      <w:rFonts w:hint="eastAsia"/>
                      <w:b w:val="0"/>
                      <w:bCs/>
                      <w:sz w:val="21"/>
                      <w:szCs w:val="21"/>
                      <w:lang w:eastAsia="zh-CN"/>
                    </w:rPr>
                    <w:t>半导体元器件</w:t>
                  </w:r>
                  <w:r>
                    <w:rPr>
                      <w:rFonts w:hint="default"/>
                      <w:b w:val="0"/>
                      <w:bCs/>
                      <w:sz w:val="21"/>
                      <w:szCs w:val="21"/>
                    </w:rPr>
                    <w:t>与SMT数码智能产品，</w:t>
                  </w:r>
                  <w:r>
                    <w:rPr>
                      <w:rFonts w:hint="eastAsia"/>
                      <w:b w:val="0"/>
                      <w:bCs/>
                      <w:sz w:val="21"/>
                      <w:szCs w:val="21"/>
                      <w:lang w:val="en-US" w:eastAsia="zh-CN"/>
                    </w:rPr>
                    <w:t>属于园区主导产业</w:t>
                  </w:r>
                  <w:r>
                    <w:rPr>
                      <w:rFonts w:hint="default"/>
                      <w:b w:val="0"/>
                      <w:bCs/>
                      <w:sz w:val="21"/>
                      <w:szCs w:val="21"/>
                    </w:rPr>
                    <w:t>，符合淮南高新技术产业开发区产业定</w:t>
                  </w:r>
                  <w:r>
                    <w:rPr>
                      <w:rFonts w:hint="eastAsia"/>
                      <w:b w:val="0"/>
                      <w:bCs/>
                      <w:sz w:val="21"/>
                      <w:szCs w:val="21"/>
                      <w:lang w:val="en-US" w:eastAsia="zh-CN"/>
                    </w:rPr>
                    <w:t>位。</w:t>
                  </w:r>
                </w:p>
              </w:tc>
              <w:tc>
                <w:tcPr>
                  <w:tcW w:w="762" w:type="dxa"/>
                  <w:vAlign w:val="center"/>
                </w:tcPr>
                <w:p>
                  <w:pPr>
                    <w:keepNext w:val="0"/>
                    <w:keepLines w:val="0"/>
                    <w:suppressLineNumbers w:val="0"/>
                    <w:spacing w:before="0" w:beforeAutospacing="0" w:after="0" w:afterAutospacing="0" w:line="240" w:lineRule="auto"/>
                    <w:ind w:left="0" w:right="0"/>
                    <w:jc w:val="center"/>
                    <w:rPr>
                      <w:rFonts w:hint="eastAsia" w:eastAsia="宋体"/>
                      <w:b w:val="0"/>
                      <w:bCs/>
                      <w:sz w:val="21"/>
                      <w:szCs w:val="21"/>
                      <w:lang w:val="en-US" w:eastAsia="zh-CN"/>
                    </w:rPr>
                  </w:pPr>
                  <w:r>
                    <w:rPr>
                      <w:rFonts w:hint="eastAsia"/>
                      <w:b w:val="0"/>
                      <w:bCs/>
                      <w:sz w:val="21"/>
                      <w:szCs w:val="21"/>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17" w:type="dxa"/>
                  <w:vAlign w:val="center"/>
                </w:tcPr>
                <w:p>
                  <w:pPr>
                    <w:keepNext w:val="0"/>
                    <w:keepLines w:val="0"/>
                    <w:suppressLineNumbers w:val="0"/>
                    <w:spacing w:before="0" w:beforeAutospacing="0" w:after="0" w:afterAutospacing="0" w:line="240" w:lineRule="auto"/>
                    <w:ind w:left="0" w:right="0"/>
                    <w:jc w:val="center"/>
                    <w:rPr>
                      <w:rFonts w:hint="default" w:eastAsia="宋体"/>
                      <w:b w:val="0"/>
                      <w:bCs/>
                      <w:sz w:val="21"/>
                      <w:szCs w:val="21"/>
                      <w:lang w:eastAsia="zh-CN"/>
                    </w:rPr>
                  </w:pPr>
                  <w:r>
                    <w:rPr>
                      <w:rFonts w:hint="default" w:eastAsia="宋体"/>
                      <w:b w:val="0"/>
                      <w:bCs/>
                      <w:sz w:val="21"/>
                      <w:szCs w:val="21"/>
                      <w:lang w:eastAsia="zh-CN"/>
                    </w:rPr>
                    <w:t>2</w:t>
                  </w:r>
                </w:p>
              </w:tc>
              <w:tc>
                <w:tcPr>
                  <w:tcW w:w="4053" w:type="dxa"/>
                  <w:vAlign w:val="center"/>
                </w:tcPr>
                <w:p>
                  <w:pPr>
                    <w:keepNext w:val="0"/>
                    <w:keepLines w:val="0"/>
                    <w:suppressLineNumbers w:val="0"/>
                    <w:spacing w:before="0" w:beforeAutospacing="0" w:after="0" w:afterAutospacing="0" w:line="240" w:lineRule="auto"/>
                    <w:ind w:left="0" w:right="0"/>
                    <w:jc w:val="center"/>
                    <w:rPr>
                      <w:rFonts w:hint="eastAsia" w:eastAsia="宋体"/>
                      <w:b w:val="0"/>
                      <w:bCs/>
                      <w:sz w:val="21"/>
                      <w:szCs w:val="21"/>
                      <w:lang w:eastAsia="zh-CN"/>
                    </w:rPr>
                  </w:pPr>
                  <w:r>
                    <w:rPr>
                      <w:rFonts w:hint="eastAsia" w:eastAsia="宋体"/>
                      <w:b w:val="0"/>
                      <w:bCs/>
                      <w:sz w:val="21"/>
                      <w:szCs w:val="21"/>
                      <w:lang w:eastAsia="zh-CN"/>
                    </w:rPr>
                    <w:t>在高新区后期发展中西北角不得入驻高 VOCs污染项目：对工业用地和敏感点中间设置缓冲带，布置科研，服务或低污染项目，不得新建、改建、扩建可能造成土壤污染的建设项目、新建有色金属冶炼、焦化等行业企业</w:t>
                  </w:r>
                </w:p>
              </w:tc>
              <w:tc>
                <w:tcPr>
                  <w:tcW w:w="3115" w:type="dxa"/>
                  <w:vAlign w:val="center"/>
                </w:tcPr>
                <w:p>
                  <w:pPr>
                    <w:keepNext w:val="0"/>
                    <w:keepLines w:val="0"/>
                    <w:suppressLineNumbers w:val="0"/>
                    <w:spacing w:before="0" w:beforeAutospacing="0" w:after="0" w:afterAutospacing="0" w:line="240" w:lineRule="auto"/>
                    <w:ind w:left="0" w:right="0"/>
                    <w:jc w:val="center"/>
                    <w:rPr>
                      <w:rFonts w:hint="default" w:eastAsia="宋体"/>
                      <w:b w:val="0"/>
                      <w:bCs/>
                      <w:sz w:val="21"/>
                      <w:szCs w:val="21"/>
                      <w:lang w:val="en-US" w:eastAsia="zh-CN"/>
                    </w:rPr>
                  </w:pPr>
                  <w:r>
                    <w:rPr>
                      <w:rFonts w:hint="eastAsia" w:eastAsia="宋体"/>
                      <w:b w:val="0"/>
                      <w:bCs/>
                      <w:sz w:val="21"/>
                      <w:szCs w:val="21"/>
                      <w:lang w:eastAsia="zh-CN"/>
                    </w:rPr>
                    <w:t>本项目</w:t>
                  </w:r>
                  <w:r>
                    <w:rPr>
                      <w:rFonts w:hint="eastAsia"/>
                      <w:b w:val="0"/>
                      <w:bCs/>
                      <w:sz w:val="21"/>
                      <w:szCs w:val="21"/>
                      <w:lang w:val="en-US" w:eastAsia="zh-CN"/>
                    </w:rPr>
                    <w:t>不属于</w:t>
                  </w:r>
                  <w:r>
                    <w:rPr>
                      <w:rFonts w:hint="eastAsia" w:eastAsia="宋体"/>
                      <w:b w:val="0"/>
                      <w:bCs/>
                      <w:sz w:val="21"/>
                      <w:szCs w:val="21"/>
                      <w:lang w:eastAsia="zh-CN"/>
                    </w:rPr>
                    <w:t>高VOCs污染项目，且VOCs废气产生从源头加强控制</w:t>
                  </w:r>
                  <w:r>
                    <w:rPr>
                      <w:rFonts w:hint="eastAsia"/>
                      <w:b w:val="0"/>
                      <w:bCs/>
                      <w:sz w:val="21"/>
                      <w:szCs w:val="21"/>
                      <w:lang w:eastAsia="zh-CN"/>
                    </w:rPr>
                    <w:t>，</w:t>
                  </w:r>
                  <w:r>
                    <w:rPr>
                      <w:rFonts w:hint="eastAsia"/>
                      <w:b w:val="0"/>
                      <w:bCs/>
                      <w:sz w:val="21"/>
                      <w:szCs w:val="21"/>
                      <w:lang w:val="en-US" w:eastAsia="zh-CN"/>
                    </w:rPr>
                    <w:t>产生的挥发性有机物经二级活性炭装置处理后排放。</w:t>
                  </w:r>
                </w:p>
              </w:tc>
              <w:tc>
                <w:tcPr>
                  <w:tcW w:w="762" w:type="dxa"/>
                  <w:vAlign w:val="center"/>
                </w:tcPr>
                <w:p>
                  <w:pPr>
                    <w:keepNext w:val="0"/>
                    <w:keepLines w:val="0"/>
                    <w:suppressLineNumbers w:val="0"/>
                    <w:spacing w:before="0" w:beforeAutospacing="0" w:after="0" w:afterAutospacing="0" w:line="240" w:lineRule="auto"/>
                    <w:ind w:left="0" w:right="0"/>
                    <w:jc w:val="center"/>
                    <w:rPr>
                      <w:rFonts w:hint="eastAsia" w:eastAsia="宋体"/>
                      <w:b w:val="0"/>
                      <w:bCs/>
                      <w:sz w:val="21"/>
                      <w:szCs w:val="21"/>
                      <w:lang w:val="en-US" w:eastAsia="zh-CN"/>
                    </w:rPr>
                  </w:pPr>
                  <w:r>
                    <w:rPr>
                      <w:rFonts w:hint="eastAsia"/>
                      <w:b w:val="0"/>
                      <w:bCs/>
                      <w:sz w:val="21"/>
                      <w:szCs w:val="21"/>
                      <w:lang w:val="en-US" w:eastAsia="zh-CN"/>
                    </w:rPr>
                    <w:t>符合</w:t>
                  </w:r>
                </w:p>
              </w:tc>
            </w:tr>
          </w:tbl>
          <w:p>
            <w:pPr>
              <w:pStyle w:val="23"/>
              <w:keepNext w:val="0"/>
              <w:keepLines w:val="0"/>
              <w:suppressLineNumbers w:val="0"/>
              <w:bidi w:val="0"/>
              <w:spacing w:before="0" w:beforeAutospacing="0" w:after="0" w:afterAutospacing="0"/>
              <w:ind w:left="0" w:right="0"/>
              <w:rPr>
                <w:rFonts w:hint="default"/>
              </w:rPr>
            </w:pPr>
            <w:r>
              <w:rPr>
                <w:rFonts w:hint="default"/>
              </w:rPr>
              <w:t>根据上表可知，本项目与</w:t>
            </w:r>
            <w:r>
              <w:rPr>
                <w:rFonts w:hint="eastAsia"/>
                <w:lang w:eastAsia="zh-CN"/>
              </w:rPr>
              <w:t>《</w:t>
            </w:r>
            <w:r>
              <w:rPr>
                <w:rFonts w:hint="default"/>
                <w:lang w:val="en-US" w:eastAsia="zh-CN"/>
              </w:rPr>
              <w:t>淮南高新技术产业开发区总体规划环境影响跟踪评价报告书》</w:t>
            </w:r>
            <w:r>
              <w:rPr>
                <w:rFonts w:hint="default"/>
              </w:rPr>
              <w:t>及审查意见相符。</w:t>
            </w:r>
          </w:p>
          <w:p>
            <w:pPr>
              <w:pStyle w:val="2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default"/>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203" w:hRule="atLeast"/>
          <w:jc w:val="center"/>
        </w:trPr>
        <w:tc>
          <w:tcPr>
            <w:tcW w:w="465" w:type="dxa"/>
            <w:tcBorders>
              <w:top w:val="single" w:color="auto" w:sz="4" w:space="0"/>
              <w:left w:val="single" w:color="auto" w:sz="8" w:space="0"/>
              <w:bottom w:val="single" w:color="auto" w:sz="4" w:space="0"/>
              <w:right w:val="single" w:color="auto" w:sz="4" w:space="0"/>
            </w:tcBorders>
            <w:tcMar>
              <w:top w:w="0" w:type="dxa"/>
              <w:left w:w="108" w:type="dxa"/>
              <w:bottom w:w="0" w:type="dxa"/>
              <w:right w:w="108"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szCs w:val="24"/>
              </w:rPr>
            </w:pPr>
            <w:r>
              <w:rPr>
                <w:rFonts w:hint="default"/>
                <w:kern w:val="0"/>
                <w:sz w:val="24"/>
                <w:szCs w:val="24"/>
              </w:rPr>
              <w:t>其他符合性</w:t>
            </w:r>
          </w:p>
          <w:p>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szCs w:val="24"/>
              </w:rPr>
            </w:pPr>
            <w:r>
              <w:rPr>
                <w:rFonts w:hint="default"/>
                <w:kern w:val="0"/>
                <w:sz w:val="24"/>
                <w:szCs w:val="24"/>
              </w:rPr>
              <w:t>分析</w:t>
            </w:r>
          </w:p>
        </w:tc>
        <w:tc>
          <w:tcPr>
            <w:tcW w:w="8663" w:type="dxa"/>
            <w:gridSpan w:val="5"/>
            <w:tcBorders>
              <w:top w:val="single" w:color="auto" w:sz="4" w:space="0"/>
              <w:left w:val="single" w:color="auto" w:sz="4" w:space="0"/>
              <w:bottom w:val="single" w:color="auto" w:sz="4" w:space="0"/>
              <w:right w:val="single" w:color="auto" w:sz="8" w:space="0"/>
            </w:tcBorders>
            <w:tcMar>
              <w:top w:w="0" w:type="dxa"/>
              <w:left w:w="108" w:type="dxa"/>
              <w:bottom w:w="0" w:type="dxa"/>
              <w:right w:w="108" w:type="dxa"/>
            </w:tcMar>
          </w:tcPr>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rPr>
            </w:pPr>
            <w:r>
              <w:rPr>
                <w:rFonts w:hint="default"/>
              </w:rPr>
              <w:t>1、产业政策符合性分析</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rPr>
            </w:pPr>
            <w:r>
              <w:rPr>
                <w:rFonts w:hint="default"/>
              </w:rPr>
              <w:t>根据《国民经济行业分类与代码》（GB/T4754-2017），本项目属于</w:t>
            </w:r>
            <w:r>
              <w:rPr>
                <w:rFonts w:hint="eastAsia"/>
                <w:lang w:eastAsia="zh-CN"/>
              </w:rPr>
              <w:t>电阻电容电感元件制造</w:t>
            </w:r>
            <w:r>
              <w:rPr>
                <w:rFonts w:hint="default"/>
              </w:rPr>
              <w:t>C3</w:t>
            </w:r>
            <w:r>
              <w:rPr>
                <w:rFonts w:hint="eastAsia"/>
                <w:lang w:val="en-US" w:eastAsia="zh-CN"/>
              </w:rPr>
              <w:t>563</w:t>
            </w:r>
            <w:r>
              <w:rPr>
                <w:rFonts w:hint="default"/>
              </w:rPr>
              <w:t>，根据国家发展和改革委员会《产业结构调整指导名录（</w:t>
            </w:r>
            <w:r>
              <w:rPr>
                <w:rFonts w:hint="eastAsia"/>
                <w:lang w:val="en-US" w:eastAsia="zh-CN"/>
              </w:rPr>
              <w:t>2024</w:t>
            </w:r>
            <w:r>
              <w:rPr>
                <w:rFonts w:hint="default"/>
              </w:rPr>
              <w:t>年本）》中相关规定，本项目属于鼓励类第二十八条</w:t>
            </w:r>
            <w:r>
              <w:rPr>
                <w:rFonts w:hint="eastAsia"/>
                <w:lang w:eastAsia="zh-CN"/>
              </w:rPr>
              <w:t>“</w:t>
            </w:r>
            <w:r>
              <w:rPr>
                <w:rFonts w:hint="eastAsia"/>
                <w:lang w:val="en-US" w:eastAsia="zh-CN"/>
              </w:rPr>
              <w:t>5</w:t>
            </w:r>
            <w:r>
              <w:rPr>
                <w:rFonts w:hint="default"/>
              </w:rPr>
              <w:t>、</w:t>
            </w:r>
            <w:r>
              <w:rPr>
                <w:rFonts w:hint="eastAsia"/>
                <w:lang w:val="en-US" w:eastAsia="zh-CN"/>
              </w:rPr>
              <w:t>新型电子元器件制造：片式元器件、敏感元器件及传感器、频率控制与选择元件、混合集成电路、电力电子器件、光电子器件、新型机电元件、高分子固体电容器、超级电容......</w:t>
            </w:r>
            <w:r>
              <w:rPr>
                <w:rFonts w:hint="eastAsia"/>
                <w:lang w:eastAsia="zh-CN"/>
              </w:rPr>
              <w:t>”</w:t>
            </w:r>
            <w:r>
              <w:rPr>
                <w:rFonts w:hint="default"/>
              </w:rPr>
              <w:t>。项目已于2022年11月28日取得了安徽淮南高新技术产业开发区管理委员会（淮南市山南新区管理委员会）经济发展局出具的备案文件，项目代码：2211-340463-04-01-511406。因此，本项目的建设符合国家和地方产业政策的要求。</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rPr>
            </w:pPr>
            <w:r>
              <w:rPr>
                <w:rFonts w:hint="default"/>
              </w:rPr>
              <w:t>2、</w:t>
            </w:r>
            <w:r>
              <w:rPr>
                <w:rFonts w:hint="eastAsia"/>
                <w:lang w:eastAsia="zh-CN"/>
              </w:rPr>
              <w:t>“</w:t>
            </w:r>
            <w:r>
              <w:rPr>
                <w:rFonts w:hint="default"/>
              </w:rPr>
              <w:t>三线一单</w:t>
            </w:r>
            <w:r>
              <w:rPr>
                <w:rFonts w:hint="eastAsia"/>
                <w:lang w:eastAsia="zh-CN"/>
              </w:rPr>
              <w:t>”</w:t>
            </w:r>
            <w:r>
              <w:rPr>
                <w:rFonts w:hint="default"/>
              </w:rPr>
              <w:t>符合性分析判定</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eastAsia" w:eastAsia="宋体"/>
                <w:lang w:eastAsia="zh-CN"/>
              </w:rPr>
            </w:pPr>
            <w:r>
              <w:rPr>
                <w:rFonts w:hint="default"/>
              </w:rPr>
              <w:t>根据原环境保护部《关于以改善环境质量为核心加强环境影响评价管理的通知》</w:t>
            </w:r>
            <w:r>
              <w:rPr>
                <w:rFonts w:hint="eastAsia"/>
                <w:lang w:eastAsia="zh-CN"/>
              </w:rPr>
              <w:t>（</w:t>
            </w:r>
            <w:r>
              <w:rPr>
                <w:rFonts w:hint="default"/>
              </w:rPr>
              <w:t>环环评</w:t>
            </w:r>
            <w:r>
              <w:rPr>
                <w:rFonts w:hint="eastAsia"/>
                <w:lang w:eastAsia="zh-CN"/>
              </w:rPr>
              <w:t>（</w:t>
            </w:r>
            <w:r>
              <w:rPr>
                <w:rFonts w:hint="default"/>
              </w:rPr>
              <w:t>2016]150号</w:t>
            </w:r>
            <w:r>
              <w:rPr>
                <w:rFonts w:hint="eastAsia"/>
                <w:lang w:eastAsia="zh-CN"/>
              </w:rPr>
              <w:t>）</w:t>
            </w:r>
            <w:r>
              <w:rPr>
                <w:rFonts w:hint="default"/>
              </w:rPr>
              <w:t>、安徽省人民政府《安徽省人民政府关于发布安徽省生态保护红线的通知》</w:t>
            </w:r>
            <w:r>
              <w:rPr>
                <w:rFonts w:hint="eastAsia"/>
                <w:lang w:eastAsia="zh-CN"/>
              </w:rPr>
              <w:t>（</w:t>
            </w:r>
            <w:r>
              <w:rPr>
                <w:rFonts w:hint="default"/>
              </w:rPr>
              <w:t>皖政秘</w:t>
            </w:r>
            <w:r>
              <w:rPr>
                <w:rFonts w:hint="eastAsia"/>
                <w:lang w:val="en-US" w:eastAsia="zh-CN"/>
              </w:rPr>
              <w:t>[</w:t>
            </w:r>
            <w:r>
              <w:rPr>
                <w:rFonts w:hint="default"/>
              </w:rPr>
              <w:t>2018]120号</w:t>
            </w:r>
            <w:r>
              <w:rPr>
                <w:rFonts w:hint="eastAsia"/>
                <w:lang w:eastAsia="zh-CN"/>
              </w:rPr>
              <w:t>）</w:t>
            </w:r>
            <w:r>
              <w:rPr>
                <w:rFonts w:hint="default"/>
              </w:rPr>
              <w:t>、《淮南市“三线一单”编制文本》、《安徽省“三线一单”生态环境分区管控管理办法（暂行）》（皖环发</w:t>
            </w:r>
            <w:r>
              <w:rPr>
                <w:rFonts w:hint="eastAsia"/>
                <w:lang w:val="en-US" w:eastAsia="zh-CN"/>
              </w:rPr>
              <w:t>[</w:t>
            </w:r>
            <w:r>
              <w:rPr>
                <w:rFonts w:hint="default"/>
              </w:rPr>
              <w:t>2022</w:t>
            </w:r>
            <w:r>
              <w:rPr>
                <w:rFonts w:hint="eastAsia"/>
                <w:lang w:val="en-US" w:eastAsia="zh-CN"/>
              </w:rPr>
              <w:t>]</w:t>
            </w:r>
            <w:r>
              <w:rPr>
                <w:rFonts w:hint="default"/>
              </w:rPr>
              <w:t>5号），项目"三线一单”符合性分析见</w:t>
            </w:r>
            <w:r>
              <w:rPr>
                <w:rFonts w:hint="eastAsia"/>
                <w:lang w:val="en-US" w:eastAsia="zh-CN"/>
              </w:rPr>
              <w:t>如下：</w:t>
            </w:r>
          </w:p>
          <w:p>
            <w:pPr>
              <w:pStyle w:val="2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480" w:firstLineChars="200"/>
              <w:textAlignment w:val="auto"/>
              <w:rPr>
                <w:rFonts w:hint="eastAsia"/>
                <w:lang w:val="en-US" w:eastAsia="zh-CN"/>
              </w:rPr>
            </w:pPr>
            <w:r>
              <w:rPr>
                <w:rFonts w:hint="eastAsia" w:ascii="Times New Roman" w:hAnsi="Times New Roman" w:eastAsia="宋体" w:cs="Times New Roman"/>
                <w:kern w:val="2"/>
                <w:sz w:val="24"/>
                <w:szCs w:val="21"/>
                <w:lang w:val="en-US" w:eastAsia="zh-CN" w:bidi="ar-SA"/>
              </w:rPr>
              <w:t>（1）</w:t>
            </w:r>
            <w:r>
              <w:rPr>
                <w:rFonts w:hint="eastAsia"/>
                <w:lang w:val="en-US" w:eastAsia="zh-CN"/>
              </w:rPr>
              <w:t>分区管控要求</w:t>
            </w:r>
          </w:p>
          <w:p>
            <w:pPr>
              <w:pStyle w:val="2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420" w:leftChars="200" w:right="0" w:rightChars="0"/>
              <w:textAlignment w:val="auto"/>
              <w:rPr>
                <w:rFonts w:hint="default"/>
                <w:lang w:val="en-US" w:eastAsia="zh-CN"/>
              </w:rPr>
            </w:pPr>
            <w:r>
              <w:rPr>
                <w:rFonts w:hint="default"/>
                <w:lang w:val="en-US" w:eastAsia="zh-CN"/>
              </w:rPr>
              <w:t>①</w:t>
            </w:r>
            <w:r>
              <w:rPr>
                <w:rFonts w:hint="eastAsia"/>
                <w:lang w:val="en-US" w:eastAsia="zh-CN"/>
              </w:rPr>
              <w:t>“三线一单”数据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80" w:firstLineChars="200"/>
              <w:textAlignment w:val="auto"/>
              <w:rPr>
                <w:rFonts w:hint="default" w:ascii="Times New Roman" w:hAnsi="Times New Roman" w:eastAsia="宋体" w:cs="Times New Roman"/>
                <w:kern w:val="2"/>
                <w:sz w:val="24"/>
                <w:szCs w:val="21"/>
                <w:lang w:val="en-US" w:eastAsia="zh-CN" w:bidi="ar-SA"/>
              </w:rPr>
            </w:pPr>
            <w:r>
              <w:rPr>
                <w:rFonts w:hint="default" w:ascii="Times New Roman" w:hAnsi="Times New Roman" w:eastAsia="宋体" w:cs="Times New Roman"/>
                <w:kern w:val="2"/>
                <w:sz w:val="24"/>
                <w:szCs w:val="21"/>
                <w:lang w:val="en-US" w:eastAsia="zh-CN" w:bidi="ar-SA"/>
              </w:rPr>
              <w:drawing>
                <wp:inline distT="0" distB="0" distL="114300" distR="114300">
                  <wp:extent cx="4276090" cy="2478405"/>
                  <wp:effectExtent l="0" t="0" r="10160" b="17145"/>
                  <wp:docPr id="5" name="图片 5" descr="20240124045020690管控要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40124045020690管控要求"/>
                          <pic:cNvPicPr>
                            <a:picLocks noChangeAspect="1"/>
                          </pic:cNvPicPr>
                        </pic:nvPicPr>
                        <pic:blipFill>
                          <a:blip r:embed="rId5"/>
                          <a:stretch>
                            <a:fillRect/>
                          </a:stretch>
                        </pic:blipFill>
                        <pic:spPr>
                          <a:xfrm>
                            <a:off x="0" y="0"/>
                            <a:ext cx="4276090" cy="2478405"/>
                          </a:xfrm>
                          <a:prstGeom prst="rect">
                            <a:avLst/>
                          </a:prstGeom>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kern w:val="2"/>
                <w:sz w:val="24"/>
                <w:szCs w:val="21"/>
                <w:lang w:val="en-US" w:eastAsia="zh-CN" w:bidi="ar-SA"/>
              </w:rPr>
            </w:pPr>
            <w:r>
              <w:rPr>
                <w:rFonts w:hint="default" w:ascii="Times New Roman" w:hAnsi="Times New Roman" w:eastAsia="宋体" w:cs="Times New Roman"/>
                <w:kern w:val="2"/>
                <w:sz w:val="24"/>
                <w:szCs w:val="21"/>
                <w:lang w:val="en-US" w:eastAsia="zh-CN" w:bidi="ar-SA"/>
              </w:rPr>
              <w:t>经与安徽省“三线一单”成果数据分析，与1个环境管控单元存在交叠，其中优先保护类0个，重点管控类</w:t>
            </w:r>
            <w:r>
              <w:rPr>
                <w:rFonts w:hint="eastAsia" w:ascii="Times New Roman" w:hAnsi="Times New Roman" w:eastAsia="宋体" w:cs="Times New Roman"/>
                <w:kern w:val="2"/>
                <w:sz w:val="24"/>
                <w:szCs w:val="21"/>
                <w:lang w:val="en-US" w:eastAsia="zh-CN" w:bidi="ar-SA"/>
              </w:rPr>
              <w:t>1</w:t>
            </w:r>
            <w:r>
              <w:rPr>
                <w:rFonts w:hint="default" w:ascii="Times New Roman" w:hAnsi="Times New Roman" w:eastAsia="宋体" w:cs="Times New Roman"/>
                <w:kern w:val="2"/>
                <w:sz w:val="24"/>
                <w:szCs w:val="21"/>
                <w:lang w:val="en-US" w:eastAsia="zh-CN" w:bidi="ar-SA"/>
              </w:rPr>
              <w:t>个，一般管控类</w:t>
            </w:r>
            <w:r>
              <w:rPr>
                <w:rFonts w:hint="eastAsia" w:ascii="Times New Roman" w:hAnsi="Times New Roman" w:eastAsia="宋体" w:cs="Times New Roman"/>
                <w:kern w:val="2"/>
                <w:sz w:val="24"/>
                <w:szCs w:val="21"/>
                <w:lang w:val="en-US" w:eastAsia="zh-CN" w:bidi="ar-SA"/>
              </w:rPr>
              <w:t>0</w:t>
            </w:r>
            <w:r>
              <w:rPr>
                <w:rFonts w:hint="default" w:ascii="Times New Roman" w:hAnsi="Times New Roman" w:eastAsia="宋体" w:cs="Times New Roman"/>
                <w:kern w:val="2"/>
                <w:sz w:val="24"/>
                <w:szCs w:val="21"/>
                <w:lang w:val="en-US" w:eastAsia="zh-CN" w:bidi="ar-SA"/>
              </w:rPr>
              <w:t>个。具体管控要求及交叠情况详见</w:t>
            </w:r>
            <w:r>
              <w:rPr>
                <w:rFonts w:hint="eastAsia" w:ascii="Times New Roman" w:hAnsi="Times New Roman" w:eastAsia="宋体" w:cs="Times New Roman"/>
                <w:kern w:val="2"/>
                <w:sz w:val="24"/>
                <w:szCs w:val="21"/>
                <w:lang w:val="en-US" w:eastAsia="zh-CN" w:bidi="ar-SA"/>
              </w:rPr>
              <w:t>下表。</w:t>
            </w:r>
          </w:p>
          <w:p>
            <w:pPr>
              <w:pStyle w:val="1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Times New Roman" w:hAnsi="Times New Roman" w:eastAsia="黑体" w:cs="Times New Roman"/>
                <w:kern w:val="0"/>
                <w:sz w:val="24"/>
                <w:szCs w:val="24"/>
                <w:lang w:val="en-US" w:eastAsia="zh-CN" w:bidi="ar-SA"/>
              </w:rPr>
            </w:pPr>
            <w:r>
              <w:rPr>
                <w:rFonts w:hint="default" w:ascii="Times New Roman" w:hAnsi="Times New Roman" w:eastAsia="黑体" w:cs="Times New Roman"/>
                <w:kern w:val="0"/>
                <w:sz w:val="24"/>
                <w:szCs w:val="24"/>
                <w:lang w:val="en-US" w:eastAsia="zh-CN" w:bidi="ar-SA"/>
              </w:rPr>
              <w:t>表</w:t>
            </w:r>
            <w:r>
              <w:rPr>
                <w:rFonts w:hint="eastAsia" w:ascii="Times New Roman" w:hAnsi="Times New Roman" w:eastAsia="黑体" w:cs="Times New Roman"/>
                <w:kern w:val="0"/>
                <w:sz w:val="24"/>
                <w:szCs w:val="24"/>
                <w:lang w:val="en-US" w:eastAsia="zh-CN" w:bidi="ar-SA"/>
              </w:rPr>
              <w:t>1-3</w:t>
            </w:r>
            <w:r>
              <w:rPr>
                <w:rFonts w:hint="default" w:ascii="Times New Roman" w:hAnsi="Times New Roman" w:eastAsia="黑体" w:cs="Times New Roman"/>
                <w:kern w:val="0"/>
                <w:sz w:val="24"/>
                <w:szCs w:val="24"/>
                <w:lang w:val="en-US" w:eastAsia="zh-CN" w:bidi="ar-SA"/>
              </w:rPr>
              <w:t xml:space="preserve"> </w:t>
            </w:r>
            <w:r>
              <w:rPr>
                <w:rFonts w:hint="eastAsia" w:ascii="Times New Roman" w:hAnsi="Times New Roman" w:eastAsia="黑体" w:cs="Times New Roman"/>
                <w:kern w:val="0"/>
                <w:sz w:val="24"/>
                <w:szCs w:val="24"/>
                <w:lang w:val="en-US" w:eastAsia="zh-CN" w:bidi="ar-SA"/>
              </w:rPr>
              <w:t>项目与</w:t>
            </w:r>
            <w:r>
              <w:rPr>
                <w:rFonts w:hint="default" w:ascii="Times New Roman" w:hAnsi="Times New Roman" w:eastAsia="黑体" w:cs="Times New Roman"/>
                <w:kern w:val="0"/>
                <w:sz w:val="24"/>
                <w:szCs w:val="24"/>
                <w:lang w:val="en-US" w:eastAsia="zh-CN" w:bidi="ar-SA"/>
              </w:rPr>
              <w:t>管控要求及交叠情况</w:t>
            </w:r>
          </w:p>
          <w:tbl>
            <w:tblPr>
              <w:tblStyle w:val="1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7"/>
              <w:gridCol w:w="2847"/>
              <w:gridCol w:w="27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58"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环境管控单元编码</w:t>
                  </w:r>
                </w:p>
              </w:tc>
              <w:tc>
                <w:tcPr>
                  <w:tcW w:w="3058"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环境管控单元名称</w:t>
                  </w:r>
                </w:p>
              </w:tc>
              <w:tc>
                <w:tcPr>
                  <w:tcW w:w="2957"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环境管控单元分类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58"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ZH34</w:t>
                  </w:r>
                  <w:r>
                    <w:rPr>
                      <w:rFonts w:hint="eastAsia" w:cs="Times New Roman"/>
                      <w:color w:val="auto"/>
                      <w:sz w:val="21"/>
                      <w:szCs w:val="21"/>
                      <w:lang w:val="en-US" w:eastAsia="zh-CN"/>
                    </w:rPr>
                    <w:t>040320242</w:t>
                  </w:r>
                </w:p>
              </w:tc>
              <w:tc>
                <w:tcPr>
                  <w:tcW w:w="3058"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2957"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重点</w:t>
                  </w:r>
                  <w:r>
                    <w:rPr>
                      <w:rFonts w:hint="default" w:ascii="Times New Roman" w:hAnsi="Times New Roman" w:eastAsia="宋体" w:cs="Times New Roman"/>
                      <w:color w:val="auto"/>
                      <w:sz w:val="21"/>
                      <w:szCs w:val="21"/>
                    </w:rPr>
                    <w:t>管控单元</w:t>
                  </w:r>
                </w:p>
              </w:tc>
            </w:tr>
          </w:tbl>
          <w:p>
            <w:pPr>
              <w:pStyle w:val="23"/>
              <w:keepNext w:val="0"/>
              <w:keepLines w:val="0"/>
              <w:suppressLineNumbers w:val="0"/>
              <w:bidi w:val="0"/>
              <w:spacing w:before="0" w:beforeAutospacing="0" w:after="0" w:afterAutospacing="0"/>
              <w:ind w:left="0" w:right="0"/>
              <w:rPr>
                <w:rFonts w:hint="eastAsia"/>
                <w:lang w:val="en-US" w:eastAsia="zh-CN"/>
              </w:rPr>
            </w:pPr>
            <w:r>
              <w:rPr>
                <w:rFonts w:hint="default"/>
                <w:lang w:eastAsia="zh-CN"/>
              </w:rPr>
              <w:t>②</w:t>
            </w:r>
            <w:r>
              <w:rPr>
                <w:rFonts w:hint="eastAsia"/>
                <w:lang w:val="en-US" w:eastAsia="zh-CN"/>
              </w:rPr>
              <w:t>环境管控单元管控要求</w:t>
            </w:r>
          </w:p>
          <w:p>
            <w:pPr>
              <w:pStyle w:val="10"/>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lang w:val="en-US" w:eastAsia="zh-CN"/>
              </w:rPr>
            </w:pPr>
            <w:r>
              <w:rPr>
                <w:rFonts w:hint="default" w:ascii="Times New Roman" w:hAnsi="Times New Roman" w:eastAsia="黑体" w:cs="Times New Roman"/>
                <w:kern w:val="0"/>
                <w:sz w:val="24"/>
                <w:szCs w:val="24"/>
                <w:lang w:val="en-US" w:eastAsia="zh-CN" w:bidi="ar-SA"/>
              </w:rPr>
              <w:t>表</w:t>
            </w:r>
            <w:r>
              <w:rPr>
                <w:rFonts w:hint="eastAsia" w:eastAsia="黑体" w:cs="Times New Roman"/>
                <w:kern w:val="0"/>
                <w:sz w:val="24"/>
                <w:szCs w:val="24"/>
                <w:lang w:val="en-US" w:eastAsia="zh-CN" w:bidi="ar-SA"/>
              </w:rPr>
              <w:t>1-4</w:t>
            </w:r>
            <w:r>
              <w:rPr>
                <w:rFonts w:hint="default" w:ascii="Times New Roman" w:hAnsi="Times New Roman" w:eastAsia="黑体" w:cs="Times New Roman"/>
                <w:kern w:val="0"/>
                <w:sz w:val="24"/>
                <w:szCs w:val="24"/>
                <w:lang w:val="en-US" w:eastAsia="zh-CN" w:bidi="ar-SA"/>
              </w:rPr>
              <w:t xml:space="preserve"> </w:t>
            </w:r>
            <w:r>
              <w:rPr>
                <w:rFonts w:hint="eastAsia" w:ascii="Times New Roman" w:hAnsi="Times New Roman" w:eastAsia="黑体" w:cs="Times New Roman"/>
                <w:kern w:val="0"/>
                <w:sz w:val="24"/>
                <w:szCs w:val="24"/>
                <w:lang w:val="en-US" w:eastAsia="zh-CN" w:bidi="ar-SA"/>
              </w:rPr>
              <w:t>项目与《安徽省“三线一单”生态环境管控单元》符合性分析</w:t>
            </w:r>
          </w:p>
          <w:tbl>
            <w:tblPr>
              <w:tblStyle w:val="1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4"/>
              <w:gridCol w:w="551"/>
              <w:gridCol w:w="710"/>
              <w:gridCol w:w="580"/>
              <w:gridCol w:w="440"/>
              <w:gridCol w:w="5070"/>
              <w:gridCol w:w="36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3" w:hRule="atLeast"/>
                <w:jc w:val="center"/>
              </w:trPr>
              <w:tc>
                <w:tcPr>
                  <w:tcW w:w="734"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环境管控单元</w:t>
                  </w:r>
                </w:p>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编码</w:t>
                  </w:r>
                </w:p>
              </w:tc>
              <w:tc>
                <w:tcPr>
                  <w:tcW w:w="551"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管控单元名称</w:t>
                  </w:r>
                </w:p>
              </w:tc>
              <w:tc>
                <w:tcPr>
                  <w:tcW w:w="710"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环境管控单元分类</w:t>
                  </w:r>
                </w:p>
              </w:tc>
              <w:tc>
                <w:tcPr>
                  <w:tcW w:w="580"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区域管控要求</w:t>
                  </w:r>
                </w:p>
              </w:tc>
              <w:tc>
                <w:tcPr>
                  <w:tcW w:w="440"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管控类别</w:t>
                  </w:r>
                </w:p>
              </w:tc>
              <w:tc>
                <w:tcPr>
                  <w:tcW w:w="5070"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管控要求</w:t>
                  </w:r>
                </w:p>
              </w:tc>
              <w:tc>
                <w:tcPr>
                  <w:tcW w:w="362"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688" w:hRule="atLeast"/>
                <w:jc w:val="center"/>
              </w:trPr>
              <w:tc>
                <w:tcPr>
                  <w:tcW w:w="734"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ZH34</w:t>
                  </w:r>
                  <w:r>
                    <w:rPr>
                      <w:rFonts w:hint="eastAsia" w:cs="Times New Roman"/>
                      <w:color w:val="auto"/>
                      <w:sz w:val="21"/>
                      <w:szCs w:val="21"/>
                      <w:lang w:val="en-US" w:eastAsia="zh-CN"/>
                    </w:rPr>
                    <w:t>040320242</w:t>
                  </w:r>
                </w:p>
              </w:tc>
              <w:tc>
                <w:tcPr>
                  <w:tcW w:w="551"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10"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重点</w:t>
                  </w:r>
                  <w:r>
                    <w:rPr>
                      <w:rFonts w:hint="default" w:ascii="Times New Roman" w:hAnsi="Times New Roman" w:eastAsia="宋体" w:cs="Times New Roman"/>
                      <w:color w:val="auto"/>
                      <w:sz w:val="21"/>
                      <w:szCs w:val="21"/>
                    </w:rPr>
                    <w:t>管控单元</w:t>
                  </w:r>
                </w:p>
              </w:tc>
              <w:tc>
                <w:tcPr>
                  <w:tcW w:w="580" w:type="dxa"/>
                  <w:tcBorders>
                    <w:tl2br w:val="nil"/>
                    <w:tr2bl w:val="nil"/>
                  </w:tcBorders>
                  <w:noWrap w:val="0"/>
                  <w:vAlign w:val="center"/>
                </w:tcPr>
                <w:p>
                  <w:pPr>
                    <w:keepNext w:val="0"/>
                    <w:keepLines w:val="0"/>
                    <w:suppressLineNumbers w:val="0"/>
                    <w:spacing w:before="0" w:beforeLines="0" w:beforeAutospacing="0" w:after="0" w:afterLines="0" w:afterAutospacing="0"/>
                    <w:ind w:left="0" w:right="0"/>
                    <w:jc w:val="left"/>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沿淮绿色生态</w:t>
                  </w:r>
                </w:p>
                <w:p>
                  <w:pPr>
                    <w:keepNext w:val="0"/>
                    <w:keepLines w:val="0"/>
                    <w:suppressLineNumbers w:val="0"/>
                    <w:spacing w:before="0" w:beforeLines="0" w:beforeAutospacing="0" w:after="0" w:afterLines="0" w:afterAutospacing="0"/>
                    <w:ind w:left="0" w:right="0"/>
                    <w:jc w:val="left"/>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廊道区-重点</w:t>
                  </w:r>
                </w:p>
                <w:p>
                  <w:pPr>
                    <w:keepNext w:val="0"/>
                    <w:keepLines w:val="0"/>
                    <w:suppressLineNumbers w:val="0"/>
                    <w:spacing w:before="0" w:beforeLines="0" w:beforeAutospacing="0" w:after="0" w:afterLines="0" w:afterAutospacing="0"/>
                    <w:ind w:left="0" w:right="0"/>
                    <w:jc w:val="left"/>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管控单元</w:t>
                  </w:r>
                </w:p>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kern w:val="0"/>
                      <w:sz w:val="21"/>
                      <w:szCs w:val="21"/>
                      <w:lang w:val="en-US" w:eastAsia="zh-CN" w:bidi="ar-SA"/>
                    </w:rPr>
                    <w:t>9</w:t>
                  </w:r>
                </w:p>
              </w:tc>
              <w:tc>
                <w:tcPr>
                  <w:tcW w:w="440"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5070"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严格城市规划蓝线管理，城市规划区范围内应保留一定比例的水域面积，现有水域面积不得减少。新建项目一律不得违规占用水域。2.落实磷石膏综合利用途径，综合利用不畅的可利用现有磷石膏库堆存，不得新建、扩建磷石膏库(暂存场除外)。3.坚持以水定城、以水定地、以水定人、以水定产，严格控制缺水地区、水污染严重地区和敏感区域高耗水、高污染行业发展，鼓励推动高耗水企业向水资源条件允许的工业园区集中。4.引导石化、化工、钢铁、建材、有色金属等重点行业合理布局，提高化工、有色金属、农副食品加工、印染、制革、原料药制造、电镀等行业集聚水平。5.严格控制缺水地区、水污染严重地区和敏感区域高耗水、高污染行业发展，鼓励推动高耗水企业向水资源条件允许的工业园区集中。6.新建、扩建磷化工项目应布设在依法合规设立的化工园区或具有化工定位的产业园区内，所在化工园区或产业园区应依法开展规划环境影响评价工作，磷化工建设项目应符合园区规划及规划环评要求。7.持续开展涉水“散乱污”企业 清理整治，严把能耗、环保等标准，促使一批达不到标准或淘汰类产能的企业，依法8依规关停退出。8.推动污染企业退出。城市建成区内现有钢铁、有色金属、造纸、印染、原料药制造、化工等污染较重的企业应有序搬迁改造或依法关闭。9.严格水域岸线用途管制，土地开发利用应按照有关法律法规和技术标准要求，留足河道、湖泊的管理和保护范围，非法挤占的应限期退出。10.国家禁止新建不符合国家产业政策的小型造纸、制革、印染、染料、炼焦、炼硫、炼砷、炼汞、炼油、电镀、农药、石棉、水泥、玻璃、钢铁、火电以及其他严重污染水环境的生产项目。1.查明河道两岸和水体周边所有排污口，对污水直排的排污口实施截污纳管，实现旱季污水不入河。严格实施排污许可和排水许可制度，加强入河排污口监督监测。加强对小餐饮、理发店、洗车店等排污的执法管理，加大对乱排、偷排行为的整治和处罚力度。2.城市建成区排放污水的工业企业应依法持有排污许可证，并严格按证排污。排入城镇水体的工业污水应符合相关行业标准及地方标准要求，严禁任何企业、单位超标和超总量排污，对超标或超总量的排污单位一律限制生产或停产整顿。3.科学确定城市河道疏浚范围和清淤深度，妥善处理底泥，严禁清淤底泥沿岸随意堆放或作为水体治理工程回填土，防止二次污染。4.严肃执法监督，严格执行排污许可、排水许可制度，严禁生活污水和工业废水直排水体。严防道路冲洗污水、洗车冲洗污水、餐饮泔水、施工排水等污水进入雨水口。5.积极推行低影响开发建设模式，建设滞、渗、蓄、用、排相结合的雨水收集利用设施，加快海绵城市建设。新建城区可渗透地面占总硬化地面面积比</w:t>
                  </w:r>
                </w:p>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例要达到40%以上。6.加快对河道两岸违法建设的清理。对河道湖泊绿线范围内的岸线进行排查、清理，重点治理河湖水域岸线乱建、乱占行为。对硬质驳岸的非行洪河道、渠道，有计划实施生态修复与改造。1.严格控制高毒高风险农药使用，推进化肥农药减量施用。2.推广精准施肥、有机肥替代化肥，加强农业投入品规范化管理，探索与畜禽粪肥还田利用有机结合，健全投入品追溯系统。3.持续推进农药化肥减量增效。4.推进农作物病虫害统防统治与全程绿色防控，因地制宜推广先进施肥施药机械和技术。1.在城市城区及其近郊禁止新建、扩建钢铁、有色、石化、水泥、化工等重污染企业。 2.禁止新建燃料类煤气发生炉（园区现有企业统一建设的清洁煤制气中心除外）。3.严禁新增钢铁、焦化、电解铝、铸造、水泥和平板玻璃等产能；严格执行钢铁、水泥、平板玻璃等行业产能置换实施办法。4.严格执行国家关于“两高”产业准入目录和产能总量控制政策措施。严禁新增钢铁、焦化、电解铝、铸造、水泥和平板玻璃等产能；新、改、扩建涉及大宗物料运输的建设项目，原则上不得采用公路运输。5.非电行业新建项目，禁止配套建设自备纯凝、抽凝燃煤电站。6.在城市建成区及居民区、医院、学校等环境敏感区域，严禁现场露天灰土拌合。7.严格控制新增“两高”项目审批，认真分析评估拟建项目必要性、可行性和对产业高质量发展、能耗双控、碳排放和环境质量的影响，严格审查项目是否符合产业政策、产业规划、“三线一单”、规划环评要求，是否依法依规落实产能置换、能耗置换、煤炭消费减量替代、污染物排放区域削减等要求。对已建成投产的存量“两高”项目，有节能减排潜力的加快改造升级，属于落后产能的加快淘汰。8.禁止建设生产和使用高挥发性有机物含量涂料、油墨、胶粘剂、清洗剂等项目。9.禁止新建不符合国家规定的燃煤发电机组、燃油发电机组和燃煤热电机组。10.禁止新建、扩建分散燃煤供热锅炉。11.在城市规划区内禁止新建、扩建大气污染严重的建设项目。12.禁止高灰分、高硫分煤炭进入市场。新建煤矿应当同步建设煤炭洗选设施，已建成的煤矿所采煤炭属于高灰分、高硫分的，应当在国家和省规定的期限内建成配套的煤炭洗选设施，使煤炭中的灰分、硫分达到规定的标准。13.禁止在人口集中地区、机场周围、交通干线附近以及当地人民政府划定的区域露天焚烧秸秆、落叶、垃圾等产生烟尘污染的物质。14.在燃气管网和集中供热管网覆盖的区域，不得新建、扩建、改建燃烧煤炭、重油、渣油的供热设施；原有分散的中小型燃煤供热锅炉应当限期拆除。15.禁止在居民住宅楼、未配套设立专用烟道的商住综合楼、商住综合楼内与居住层相邻的商业楼层内新建、改建、扩建产生油烟、异味、废气的饮食服务项目。16.任何单位和个人不得在政府划定的禁止露天烧烤区域内露天烧烤食品或者为露天烧烤食品提供场地。17.在机关、学校、医院、居民住宅区等人口集中地区和其他依法需要特殊保护的区域内，禁止从事下列生产活动：（1）橡胶制品生产、经营性喷漆、制骨胶、制骨粉、屠宰、畜禽养殖、生物发酵等产生恶臭、有毒有害气体的生产经营活动；（2）露天焚烧油毡、沥青、橡胶、塑料、皮革、垃圾或者其他可能产生恶臭、有毒有害气体的活动。18.严禁钢铁、水泥、电解铝、平板玻璃等行业新增产能，对确有必要新建的必须实施等量或减量置换。19.禁止淘汰落后类的产业进入开发区。20.从事餐饮服务业的经营活动，不得有下列行为：（一）未经处理直接排放、倾倒废弃油脂和含油废物；（二）在居民住宅楼、未配套设立专用烟道的商住综合楼以及商住综合楼内与居住层相邻的商业楼层内新建、改建、扩建产生油烟、异味、废气的餐饮服务项目；（三）在当地人民政府禁止的区域内露天烧烤食品或者为露天烧烤食品提供场所。21.加大钢铁、铸造、炼焦、建材、电解铝等产能压减力度。22严格资源节约和环保准入门槛，转入项目必须符合国家产业政策、资源节约和污染物排放强度要求，避免产业转移中的资源浪费和污染扩散。23.对污染治理不规范的露天矿山，依法责令停产整治，整治完成并经相关部门组织验收合格后方可恢复生产。24.加大落后产能淘汰和过剩产能压减。严防“地条钢”死灰复燃。25.国家和省已明确退出或淘汰的低端落后铸造产能、在确认置换前已拆除熔炼设备的产能(市级主管部门已公告的退出铸造产能除外)、钢铁和有色金属冶炼等非铸造行业冶炼设备产能，不得用于置换。26.重点区域钢铁、水泥、焦化、石化、化工、有色等行业，二氧化硫、氮氧化物、颗粒物、挥发性有机物（VOCs）排放全面执行大气污染物特别排放限值。27.加大工业涂装、包装印刷等行业低挥发性有机物含量原辅材料替代力度，严格执行涂料、油墨、胶粘剂、清洗剂挥</w:t>
                  </w:r>
                </w:p>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发性有机物含量限值标准，确保生产、销售、进口、使用符合标准的产品。28.加快城市建成区、重点流域的重污染企业和危险化学品企业搬迁改造，加快推进危险化学品生产企业搬迁改造工程。29.对城区内已建重污染企业要结合产业结构调整实施搬迁改造。30.城市规划区内已建的大气污染严重的建设项目应当搬迁、改造，城市建成区应当在规定的时间内完成重污染企业搬迁、改造或者关闭退出。31.严格执行环境保护法律法规，对超过大气和水等污染物排放标准排污，以及超过重点污染物总量控制指标排污的企业，责令限制生产、停产整治等；情节严重的，报经有批准权的地方政府批准，责令停业、关闭。依法打击违反固体废物管理法律法规行为。32.加快区域产业调整。加快城市建成区重污染企业搬迁改造或关闭退出；城市钢铁企业要切实采取彻底关停、转型发展、就地改造、域外搬迁等方式，推动转型升级。加大现有化工园区整治力度。退城企业，逾期不退城的予以停产。33.对不服从整改的餐饮企业，责令停业整治。依法关闭市、县（区）人民政府禁止区域内的露天餐饮、烧烤摊点，推广无炭烧烤。34.对违反资源环境法律法规、规划，污染环境、破坏生态、乱采滥挖的露天矿山，依法予以关闭；对污染治理不规范的露天矿山，依法责令停产整治，对拒不停产或擅自恢复生产的依法强制关闭。35.对热效率低下、敞开未封闭，装备简易落后、自动化程度低，无组织排放突出，以及无治理设施或治理设施工艺落后等严重污染环境的工业炉窑，依法责令停业关闭。36.对以煤、石油焦、渣油、重油等为燃料的工业炉窑，加快使用清洁低碳能源以及利用工厂余热、电厂热力等进行替代。重点区域禁止掺烧高硫石油焦（硫含量大于3%）。玻璃行业全面禁止掺烧高硫石油焦。37.重点区域取缔燃煤热风炉，基本淘汰热电联产供热管网覆盖范围内的燃煤加热、</w:t>
                  </w:r>
                </w:p>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烘干炉（窑）。加快推动铸造（10吨/小时及以下）、岩棉等行业冲天炉改为电炉。38.强化“散乱污”企业综合整治。全面开展“散乱污”企业及集群综合整治行动。根据产业政策、产业布局规划，以及土地、环保、质量、安全、能耗等要求，制定“散乱污”企业及集群整治标准。按照“先停后治”的原则，实施分类处置。39.企业应当全面推进清洁生产，优先采用能源和原材料利用效率高、污染物排放量少的清洁生产技术、工艺和设备，淘汰严重污染大气环境质量的产品、落后工艺和落后设备，减少大气污染物的产生和排放。</w:t>
                  </w:r>
                </w:p>
              </w:tc>
              <w:tc>
                <w:tcPr>
                  <w:tcW w:w="362" w:type="dxa"/>
                  <w:tcBorders>
                    <w:tl2br w:val="nil"/>
                    <w:tr2bl w:val="nil"/>
                  </w:tcBorders>
                  <w:noWrap w:val="0"/>
                  <w:vAlign w:val="center"/>
                </w:tcPr>
                <w:p>
                  <w:pPr>
                    <w:pStyle w:val="41"/>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符合</w:t>
                  </w:r>
                </w:p>
              </w:tc>
            </w:tr>
          </w:tbl>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rPr>
            </w:pPr>
            <w:r>
              <w:rPr>
                <w:rFonts w:hint="default"/>
              </w:rPr>
              <w:t>（</w:t>
            </w:r>
            <w:r>
              <w:rPr>
                <w:rFonts w:hint="eastAsia"/>
                <w:lang w:val="en-US" w:eastAsia="zh-CN"/>
              </w:rPr>
              <w:t>2</w:t>
            </w:r>
            <w:r>
              <w:rPr>
                <w:rFonts w:hint="default"/>
              </w:rPr>
              <w:t>）生态保护红线</w:t>
            </w:r>
          </w:p>
          <w:p>
            <w:pPr>
              <w:pStyle w:val="23"/>
              <w:keepNext w:val="0"/>
              <w:keepLines w:val="0"/>
              <w:suppressLineNumbers w:val="0"/>
              <w:bidi w:val="0"/>
              <w:spacing w:before="0" w:beforeAutospacing="0" w:after="0" w:afterAutospacing="0"/>
              <w:ind w:left="0" w:right="0"/>
              <w:rPr>
                <w:rFonts w:hint="default"/>
                <w:szCs w:val="24"/>
              </w:rPr>
            </w:pPr>
            <w:r>
              <w:rPr>
                <w:rFonts w:hint="default"/>
              </w:rPr>
              <w:t>安徽省人民政府2018年6月27日发布了《安徽省生态保护红线》（皖政秘[2018]120号），安徽省内的国家级和省级禁止开发区域包括国家公园、自然保护区、森林公园的生态保育区和核心景观区、风景名胜区的核心景区、地质公园的地质遗迹保护区、世界自然遗产的核心区和缓冲区、湿地公园的湿地保育区和恢复重建区、饮用水水源地的一级保护区、水产种质资源保护区的核心区、其他类型禁止开发区的核心保护区域。淮南市涉及的生态红线保护目标详见表1-</w:t>
            </w:r>
            <w:r>
              <w:rPr>
                <w:rFonts w:hint="eastAsia"/>
                <w:lang w:val="en-US" w:eastAsia="zh-CN"/>
              </w:rPr>
              <w:t>5</w:t>
            </w:r>
            <w:r>
              <w:rPr>
                <w:rFonts w:hint="default"/>
              </w:rPr>
              <w:t>。</w:t>
            </w:r>
          </w:p>
          <w:p>
            <w:pPr>
              <w:pStyle w:val="11"/>
              <w:keepNext w:val="0"/>
              <w:keepLines w:val="0"/>
              <w:suppressLineNumbers w:val="0"/>
              <w:bidi w:val="0"/>
              <w:spacing w:before="0" w:after="0" w:afterAutospacing="0"/>
              <w:ind w:right="0"/>
              <w:rPr>
                <w:rFonts w:hint="default"/>
              </w:rPr>
            </w:pPr>
            <w:r>
              <w:rPr>
                <w:rFonts w:hint="default"/>
              </w:rPr>
              <w:t>表1-</w:t>
            </w:r>
            <w:r>
              <w:rPr>
                <w:rFonts w:hint="eastAsia"/>
                <w:lang w:val="en-US" w:eastAsia="zh-CN"/>
              </w:rPr>
              <w:t>5</w:t>
            </w:r>
            <w:r>
              <w:rPr>
                <w:rFonts w:hint="default"/>
              </w:rPr>
              <w:t xml:space="preserve"> 项目与《安徽省生态保护</w:t>
            </w:r>
            <w:r>
              <w:rPr>
                <w:rFonts w:hint="eastAsia"/>
                <w:lang w:val="en-US" w:eastAsia="zh-CN"/>
              </w:rPr>
              <w:t>红</w:t>
            </w:r>
            <w:r>
              <w:rPr>
                <w:rFonts w:hint="default"/>
              </w:rPr>
              <w:t>线》相符性</w:t>
            </w:r>
          </w:p>
          <w:tbl>
            <w:tblPr>
              <w:tblStyle w:val="19"/>
              <w:tblW w:w="853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67"/>
              <w:gridCol w:w="2075"/>
              <w:gridCol w:w="2076"/>
              <w:gridCol w:w="242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96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红线类型</w:t>
                  </w:r>
                </w:p>
              </w:tc>
              <w:tc>
                <w:tcPr>
                  <w:tcW w:w="2075"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红线片区</w:t>
                  </w:r>
                </w:p>
              </w:tc>
              <w:tc>
                <w:tcPr>
                  <w:tcW w:w="2076"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红线区域</w:t>
                  </w:r>
                </w:p>
              </w:tc>
              <w:tc>
                <w:tcPr>
                  <w:tcW w:w="2420"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是否在红线区域范围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196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生物多样性维护生态保护线</w:t>
                  </w:r>
                </w:p>
              </w:tc>
              <w:tc>
                <w:tcPr>
                  <w:tcW w:w="2075"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Ⅲ-5湖泊洼地生物多样性维护生态保护红线</w:t>
                  </w:r>
                </w:p>
              </w:tc>
              <w:tc>
                <w:tcPr>
                  <w:tcW w:w="2076"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包括淮南市辖区市中部地区</w:t>
                  </w:r>
                </w:p>
              </w:tc>
              <w:tc>
                <w:tcPr>
                  <w:tcW w:w="2420"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本项目位于淮南市高新区，不在生态红线保护范围。</w:t>
                  </w:r>
                </w:p>
              </w:tc>
            </w:tr>
          </w:tbl>
          <w:p>
            <w:pPr>
              <w:pStyle w:val="23"/>
              <w:keepNext w:val="0"/>
              <w:keepLines w:val="0"/>
              <w:suppressLineNumbers w:val="0"/>
              <w:bidi w:val="0"/>
              <w:spacing w:before="0" w:beforeAutospacing="0" w:after="0" w:afterAutospacing="0"/>
              <w:ind w:left="0" w:right="0"/>
              <w:rPr>
                <w:rFonts w:hint="default"/>
              </w:rPr>
            </w:pPr>
            <w:r>
              <w:rPr>
                <w:rFonts w:hint="default"/>
              </w:rPr>
              <w:t>本项目建设</w:t>
            </w:r>
            <w:r>
              <w:rPr>
                <w:rFonts w:hint="eastAsia"/>
                <w:lang w:eastAsia="zh-CN"/>
              </w:rPr>
              <w:t>地点</w:t>
            </w:r>
            <w:r>
              <w:rPr>
                <w:rFonts w:hint="default"/>
              </w:rPr>
              <w:t>位于淮南高新技术产业开发区新型显示产业园，对照《淮南市生态保护红线》，本项目不在生态红线范围内，满足生态红线保护要求。</w:t>
            </w:r>
          </w:p>
          <w:p>
            <w:pPr>
              <w:pStyle w:val="23"/>
              <w:keepNext w:val="0"/>
              <w:keepLines w:val="0"/>
              <w:suppressLineNumbers w:val="0"/>
              <w:bidi w:val="0"/>
              <w:spacing w:before="0" w:beforeAutospacing="0" w:after="0" w:afterAutospacing="0"/>
              <w:ind w:left="0" w:right="0"/>
              <w:rPr>
                <w:rFonts w:hint="default"/>
              </w:rPr>
            </w:pPr>
            <w:r>
              <w:rPr>
                <w:rFonts w:hint="default"/>
              </w:rPr>
              <w:t>（</w:t>
            </w:r>
            <w:r>
              <w:rPr>
                <w:rFonts w:hint="eastAsia"/>
                <w:lang w:val="en-US" w:eastAsia="zh-CN"/>
              </w:rPr>
              <w:t>3</w:t>
            </w:r>
            <w:r>
              <w:rPr>
                <w:rFonts w:hint="default"/>
              </w:rPr>
              <w:t>）环境质量底线</w:t>
            </w:r>
          </w:p>
          <w:p>
            <w:pPr>
              <w:pStyle w:val="23"/>
              <w:keepNext w:val="0"/>
              <w:keepLines w:val="0"/>
              <w:suppressLineNumbers w:val="0"/>
              <w:bidi w:val="0"/>
              <w:spacing w:before="0" w:beforeAutospacing="0" w:after="0" w:afterAutospacing="0"/>
              <w:ind w:left="0" w:right="0"/>
              <w:rPr>
                <w:rFonts w:hint="default"/>
              </w:rPr>
            </w:pPr>
            <w:r>
              <w:rPr>
                <w:rFonts w:hint="default"/>
              </w:rPr>
              <w:t>根据《淮南市2022年环境质量状况公报》可知，项目所在区域二氧化硫（SO</w:t>
            </w:r>
            <w:r>
              <w:rPr>
                <w:rFonts w:hint="default"/>
                <w:vertAlign w:val="subscript"/>
              </w:rPr>
              <w:t>2</w:t>
            </w:r>
            <w:r>
              <w:rPr>
                <w:rFonts w:hint="default"/>
              </w:rPr>
              <w:t>）、二氧化氮（NO</w:t>
            </w:r>
            <w:r>
              <w:rPr>
                <w:rFonts w:hint="default"/>
                <w:vertAlign w:val="subscript"/>
              </w:rPr>
              <w:t>2</w:t>
            </w:r>
            <w:r>
              <w:rPr>
                <w:rFonts w:hint="default"/>
              </w:rPr>
              <w:t>）、一氧化碳（CO）、可吸入颗粒物（PM</w:t>
            </w:r>
            <w:r>
              <w:rPr>
                <w:rFonts w:hint="default"/>
                <w:vertAlign w:val="subscript"/>
              </w:rPr>
              <w:t>10</w:t>
            </w:r>
            <w:r>
              <w:rPr>
                <w:rFonts w:hint="default"/>
              </w:rPr>
              <w:t>）年均浓度、臭氧（O</w:t>
            </w:r>
            <w:r>
              <w:rPr>
                <w:rFonts w:hint="default"/>
                <w:vertAlign w:val="subscript"/>
              </w:rPr>
              <w:t>3</w:t>
            </w:r>
            <w:r>
              <w:rPr>
                <w:rFonts w:hint="default"/>
              </w:rPr>
              <w:t>）均符合《环境空气质量标准》（GB3095-2012）二级标准，细颗粒物（PM2.5）年均浓度超过《环境空气质量标准》（GB3095-2012）二级标准要求，项目所在区域环境空气质量为不达标区；项目所在区域地表水高塘湖水质能满足《地表水环境质量标准》（GB3838-2002）中III类标准，表明该区域内地表水能满足相应功能区划的要求；声环境满足《声环境质量标准》（GB3096-2008）2类标准要求。</w:t>
            </w:r>
          </w:p>
          <w:p>
            <w:pPr>
              <w:pStyle w:val="23"/>
              <w:keepNext w:val="0"/>
              <w:keepLines w:val="0"/>
              <w:suppressLineNumbers w:val="0"/>
              <w:bidi w:val="0"/>
              <w:spacing w:before="0" w:beforeAutospacing="0" w:after="0" w:afterAutospacing="0"/>
              <w:ind w:left="0" w:right="0"/>
              <w:rPr>
                <w:rFonts w:hint="default"/>
              </w:rPr>
            </w:pPr>
            <w:r>
              <w:rPr>
                <w:rFonts w:hint="default"/>
              </w:rPr>
              <w:t>（</w:t>
            </w:r>
            <w:r>
              <w:rPr>
                <w:rFonts w:hint="eastAsia"/>
                <w:lang w:val="en-US" w:eastAsia="zh-CN"/>
              </w:rPr>
              <w:t>4</w:t>
            </w:r>
            <w:r>
              <w:rPr>
                <w:rFonts w:hint="default"/>
              </w:rPr>
              <w:t>）资源利用上限</w:t>
            </w:r>
          </w:p>
          <w:p>
            <w:pPr>
              <w:pStyle w:val="23"/>
              <w:keepNext w:val="0"/>
              <w:keepLines w:val="0"/>
              <w:suppressLineNumbers w:val="0"/>
              <w:bidi w:val="0"/>
              <w:spacing w:before="0" w:beforeAutospacing="0" w:after="0" w:afterAutospacing="0"/>
              <w:ind w:left="0" w:right="0"/>
              <w:rPr>
                <w:rFonts w:hint="default"/>
              </w:rPr>
            </w:pPr>
            <w:r>
              <w:rPr>
                <w:rFonts w:hint="default"/>
              </w:rPr>
              <w:t>本项目用水来自高新区市政管网供水，用电来自市政供电。本项目建成后通过内部管理、设备选择、原辅材料的选用和管理、废物回收利用、污染治理等方面采取合理可行的防治措施，以</w:t>
            </w:r>
            <w:r>
              <w:rPr>
                <w:rFonts w:hint="eastAsia"/>
                <w:lang w:eastAsia="zh-CN"/>
              </w:rPr>
              <w:t>“</w:t>
            </w:r>
            <w:r>
              <w:rPr>
                <w:rFonts w:hint="default"/>
              </w:rPr>
              <w:t>节能、降耗、减污</w:t>
            </w:r>
            <w:r>
              <w:rPr>
                <w:rFonts w:hint="eastAsia"/>
                <w:lang w:eastAsia="zh-CN"/>
              </w:rPr>
              <w:t>”</w:t>
            </w:r>
            <w:r>
              <w:rPr>
                <w:rFonts w:hint="default"/>
              </w:rPr>
              <w:t>为目标，有效的控制污染。项目的水、电等资源利用不会突破区域的资源利用上限。</w:t>
            </w:r>
          </w:p>
          <w:p>
            <w:pPr>
              <w:pStyle w:val="23"/>
              <w:keepNext w:val="0"/>
              <w:keepLines w:val="0"/>
              <w:suppressLineNumbers w:val="0"/>
              <w:bidi w:val="0"/>
              <w:spacing w:before="0" w:beforeAutospacing="0" w:after="0" w:afterAutospacing="0"/>
              <w:ind w:left="0" w:right="0"/>
              <w:rPr>
                <w:rFonts w:hint="default"/>
              </w:rPr>
            </w:pPr>
            <w:r>
              <w:rPr>
                <w:rFonts w:hint="default"/>
              </w:rPr>
              <w:t>（</w:t>
            </w:r>
            <w:r>
              <w:rPr>
                <w:rFonts w:hint="eastAsia"/>
                <w:lang w:val="en-US" w:eastAsia="zh-CN"/>
              </w:rPr>
              <w:t>5</w:t>
            </w:r>
            <w:r>
              <w:rPr>
                <w:rFonts w:hint="default"/>
              </w:rPr>
              <w:t>）生态环境准入清单</w:t>
            </w:r>
          </w:p>
          <w:p>
            <w:pPr>
              <w:pStyle w:val="23"/>
              <w:keepNext w:val="0"/>
              <w:keepLines w:val="0"/>
              <w:suppressLineNumbers w:val="0"/>
              <w:bidi w:val="0"/>
              <w:spacing w:before="0" w:beforeAutospacing="0" w:after="0" w:afterAutospacing="0"/>
              <w:ind w:left="0" w:right="0"/>
              <w:rPr>
                <w:rFonts w:hint="default"/>
              </w:rPr>
            </w:pPr>
            <w:r>
              <w:rPr>
                <w:rFonts w:hint="default"/>
              </w:rPr>
              <w:t>对照“开发区生态环境准入清单”中“开发区-淮南高新技术产业开发区”生态环境准入清单相关要求。</w:t>
            </w:r>
          </w:p>
          <w:p>
            <w:pPr>
              <w:pStyle w:val="23"/>
              <w:keepNext w:val="0"/>
              <w:keepLines w:val="0"/>
              <w:suppressLineNumbers w:val="0"/>
              <w:bidi w:val="0"/>
              <w:spacing w:before="0" w:beforeAutospacing="0" w:after="0" w:afterAutospacing="0"/>
              <w:ind w:left="0" w:right="0"/>
              <w:rPr>
                <w:rFonts w:hint="default"/>
              </w:rPr>
            </w:pPr>
          </w:p>
          <w:p>
            <w:pPr>
              <w:pStyle w:val="11"/>
              <w:keepNext w:val="0"/>
              <w:keepLines w:val="0"/>
              <w:suppressLineNumbers w:val="0"/>
              <w:bidi w:val="0"/>
              <w:spacing w:before="0" w:after="0" w:afterAutospacing="0"/>
              <w:ind w:right="0"/>
              <w:rPr>
                <w:rFonts w:hint="default" w:eastAsia="黑体"/>
                <w:lang w:val="en-US" w:eastAsia="zh-CN"/>
              </w:rPr>
            </w:pPr>
            <w:r>
              <w:rPr>
                <w:rFonts w:hint="default"/>
              </w:rPr>
              <w:t>表1-</w:t>
            </w:r>
            <w:r>
              <w:rPr>
                <w:rFonts w:hint="eastAsia"/>
                <w:lang w:val="en-US" w:eastAsia="zh-CN"/>
              </w:rPr>
              <w:t>6</w:t>
            </w:r>
            <w:r>
              <w:rPr>
                <w:rFonts w:hint="default"/>
              </w:rPr>
              <w:t xml:space="preserve"> </w:t>
            </w:r>
            <w:r>
              <w:rPr>
                <w:rFonts w:hint="eastAsia"/>
                <w:lang w:val="en-US" w:eastAsia="zh-CN"/>
              </w:rPr>
              <w:t>生态环境准入清单</w:t>
            </w:r>
          </w:p>
          <w:tbl>
            <w:tblPr>
              <w:tblStyle w:val="1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65"/>
              <w:gridCol w:w="23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行业类别</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控制建议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机械电子</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优先进入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sz w:val="21"/>
                      <w:szCs w:val="21"/>
                      <w:lang w:val="en-US" w:eastAsia="zh-CN"/>
                    </w:rPr>
                  </w:pPr>
                  <w:r>
                    <w:rPr>
                      <w:rFonts w:hint="eastAsia" w:cs="Times New Roman"/>
                      <w:b w:val="0"/>
                      <w:bCs/>
                      <w:sz w:val="21"/>
                      <w:szCs w:val="21"/>
                      <w:lang w:val="en-US" w:eastAsia="zh-CN"/>
                    </w:rPr>
                    <w:t>生物医药</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控制进入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cs="Times New Roman"/>
                      <w:b w:val="0"/>
                      <w:bCs/>
                      <w:sz w:val="21"/>
                      <w:szCs w:val="21"/>
                      <w:lang w:val="en-US" w:eastAsia="zh-CN"/>
                    </w:rPr>
                  </w:pPr>
                  <w:r>
                    <w:rPr>
                      <w:rFonts w:hint="eastAsia" w:cs="Times New Roman"/>
                      <w:b w:val="0"/>
                      <w:bCs/>
                      <w:sz w:val="21"/>
                      <w:szCs w:val="21"/>
                      <w:lang w:val="en-US" w:eastAsia="zh-CN"/>
                    </w:rPr>
                    <w:t>新材料</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优先进入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sz w:val="21"/>
                      <w:szCs w:val="21"/>
                      <w:lang w:val="en-US" w:eastAsia="zh-CN"/>
                    </w:rPr>
                  </w:pPr>
                  <w:r>
                    <w:rPr>
                      <w:rFonts w:hint="eastAsia" w:cs="Times New Roman"/>
                      <w:b w:val="0"/>
                      <w:bCs/>
                      <w:sz w:val="21"/>
                      <w:szCs w:val="21"/>
                      <w:lang w:val="en-US" w:eastAsia="zh-CN"/>
                    </w:rPr>
                    <w:t>节能环保</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优先进入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sz w:val="21"/>
                      <w:szCs w:val="21"/>
                      <w:lang w:val="en-US" w:eastAsia="zh-CN"/>
                    </w:rPr>
                  </w:pPr>
                  <w:r>
                    <w:rPr>
                      <w:rFonts w:hint="eastAsia" w:cs="Times New Roman"/>
                      <w:b w:val="0"/>
                      <w:bCs/>
                      <w:sz w:val="21"/>
                      <w:szCs w:val="21"/>
                      <w:lang w:val="en-US" w:eastAsia="zh-CN"/>
                    </w:rPr>
                    <w:t>其它高新技术产业</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优先进入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sz w:val="21"/>
                      <w:szCs w:val="21"/>
                      <w:lang w:val="en-US" w:eastAsia="zh-CN"/>
                    </w:rPr>
                  </w:pPr>
                  <w:r>
                    <w:rPr>
                      <w:rFonts w:hint="eastAsia" w:cs="Times New Roman"/>
                      <w:b w:val="0"/>
                      <w:bCs/>
                      <w:sz w:val="21"/>
                      <w:szCs w:val="21"/>
                      <w:lang w:val="en-US" w:eastAsia="zh-CN"/>
                    </w:rPr>
                    <w:t>化工及化学品原料制造</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控制进入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sz w:val="21"/>
                      <w:szCs w:val="21"/>
                      <w:lang w:val="en-US" w:eastAsia="zh-CN"/>
                    </w:rPr>
                  </w:pPr>
                  <w:r>
                    <w:rPr>
                      <w:rFonts w:hint="eastAsia" w:cs="Times New Roman"/>
                      <w:b w:val="0"/>
                      <w:bCs/>
                      <w:sz w:val="21"/>
                      <w:szCs w:val="21"/>
                      <w:lang w:val="en-US" w:eastAsia="zh-CN"/>
                    </w:rPr>
                    <w:t>造纸及纸制品业</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控制进入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sz w:val="21"/>
                      <w:szCs w:val="21"/>
                      <w:lang w:val="en-US" w:eastAsia="zh-CN"/>
                    </w:rPr>
                  </w:pPr>
                  <w:r>
                    <w:rPr>
                      <w:rFonts w:hint="eastAsia" w:cs="Times New Roman"/>
                      <w:b w:val="0"/>
                      <w:bCs/>
                      <w:sz w:val="21"/>
                      <w:szCs w:val="21"/>
                      <w:lang w:val="en-US" w:eastAsia="zh-CN"/>
                    </w:rPr>
                    <w:t>皮革、毛皮、羽绒及其制造业</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控制进入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sz w:val="21"/>
                      <w:szCs w:val="21"/>
                      <w:lang w:val="en-US" w:eastAsia="zh-CN"/>
                    </w:rPr>
                  </w:pPr>
                  <w:r>
                    <w:rPr>
                      <w:rFonts w:hint="eastAsia" w:cs="Times New Roman"/>
                      <w:b w:val="0"/>
                      <w:bCs/>
                      <w:sz w:val="21"/>
                      <w:szCs w:val="21"/>
                      <w:lang w:val="en-US" w:eastAsia="zh-CN"/>
                    </w:rPr>
                    <w:t>黑色金属冶炼及压延加工业</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控制进入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sz w:val="21"/>
                      <w:szCs w:val="21"/>
                      <w:lang w:val="en-US" w:eastAsia="zh-CN"/>
                    </w:rPr>
                  </w:pPr>
                  <w:r>
                    <w:rPr>
                      <w:rFonts w:hint="eastAsia" w:cs="Times New Roman"/>
                      <w:b w:val="0"/>
                      <w:bCs/>
                      <w:sz w:val="21"/>
                      <w:szCs w:val="21"/>
                      <w:lang w:val="en-US" w:eastAsia="zh-CN"/>
                    </w:rPr>
                    <w:t>印染类</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控制进入</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31"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cs="Times New Roman"/>
                      <w:b w:val="0"/>
                      <w:bCs/>
                      <w:sz w:val="21"/>
                      <w:szCs w:val="21"/>
                      <w:lang w:val="en-US" w:eastAsia="zh-CN"/>
                    </w:rPr>
                  </w:pPr>
                  <w:r>
                    <w:rPr>
                      <w:rFonts w:hint="eastAsia" w:cs="Times New Roman"/>
                      <w:b w:val="0"/>
                      <w:bCs/>
                      <w:sz w:val="21"/>
                      <w:szCs w:val="21"/>
                      <w:lang w:val="en-US" w:eastAsia="zh-CN"/>
                    </w:rPr>
                    <w:t>炼油、产生致癌、致畸、致突变物质的项目</w:t>
                  </w:r>
                </w:p>
              </w:tc>
              <w:tc>
                <w:tcPr>
                  <w:tcW w:w="2407"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禁止进入</w:t>
                  </w:r>
                </w:p>
              </w:tc>
            </w:tr>
          </w:tbl>
          <w:p>
            <w:pPr>
              <w:pStyle w:val="23"/>
              <w:keepNext w:val="0"/>
              <w:keepLines w:val="0"/>
              <w:suppressLineNumbers w:val="0"/>
              <w:bidi w:val="0"/>
              <w:spacing w:before="0" w:beforeAutospacing="0" w:after="0" w:afterAutospacing="0"/>
              <w:ind w:left="0" w:right="0"/>
              <w:rPr>
                <w:rFonts w:hint="eastAsia" w:eastAsia="宋体"/>
                <w:lang w:val="en-US" w:eastAsia="zh-CN"/>
              </w:rPr>
            </w:pPr>
            <w:r>
              <w:rPr>
                <w:rFonts w:hint="default"/>
              </w:rPr>
              <w:t>本项目选址位于安徽省淮南市山南新区高新产业园，本项目所属行业为</w:t>
            </w:r>
            <w:r>
              <w:rPr>
                <w:rFonts w:hint="eastAsia"/>
                <w:sz w:val="24"/>
                <w:szCs w:val="24"/>
                <w:lang w:val="en-US" w:eastAsia="zh-CN"/>
              </w:rPr>
              <w:t>电阻电容电感元件制造</w:t>
            </w:r>
            <w:r>
              <w:rPr>
                <w:rFonts w:hint="default"/>
              </w:rPr>
              <w:t>，对照《淮南市高新技术产业开发区总体规划》负面清单，本项目产业</w:t>
            </w:r>
            <w:r>
              <w:rPr>
                <w:rFonts w:hint="eastAsia"/>
                <w:lang w:val="en-US" w:eastAsia="zh-CN"/>
              </w:rPr>
              <w:t>属于优先进入</w:t>
            </w:r>
            <w:r>
              <w:rPr>
                <w:rFonts w:hint="default"/>
              </w:rPr>
              <w:t>。项目采用清洁生产工艺且不属于污染严重、有重大环境风险隐患、高能耗、高水耗的项目。本项目符合国家产业政策、环保政策及淮南高新技术产业开发区产业</w:t>
            </w:r>
            <w:r>
              <w:rPr>
                <w:rFonts w:hint="eastAsia"/>
                <w:lang w:val="en-US" w:eastAsia="zh-CN"/>
              </w:rPr>
              <w:t>准入要求。</w:t>
            </w:r>
          </w:p>
          <w:p>
            <w:pPr>
              <w:pStyle w:val="23"/>
              <w:keepNext w:val="0"/>
              <w:keepLines w:val="0"/>
              <w:suppressLineNumbers w:val="0"/>
              <w:bidi w:val="0"/>
              <w:spacing w:before="0" w:beforeAutospacing="0" w:after="0" w:afterAutospacing="0"/>
              <w:ind w:left="0" w:right="0"/>
              <w:rPr>
                <w:rFonts w:hint="default"/>
              </w:rPr>
            </w:pPr>
            <w:r>
              <w:rPr>
                <w:rFonts w:hint="default"/>
              </w:rPr>
              <w:t>综上可知，建设单位在落实</w:t>
            </w:r>
            <w:r>
              <w:rPr>
                <w:rFonts w:hint="eastAsia"/>
                <w:lang w:eastAsia="zh-CN"/>
              </w:rPr>
              <w:t>“</w:t>
            </w:r>
            <w:r>
              <w:rPr>
                <w:rFonts w:hint="default"/>
              </w:rPr>
              <w:t>报告表</w:t>
            </w:r>
            <w:r>
              <w:rPr>
                <w:rFonts w:hint="eastAsia"/>
                <w:lang w:eastAsia="zh-CN"/>
              </w:rPr>
              <w:t>”</w:t>
            </w:r>
            <w:r>
              <w:rPr>
                <w:rFonts w:hint="default"/>
              </w:rPr>
              <w:t>提出的各项污染防治措施及环境管理要求的前提下，本项目建设符合</w:t>
            </w:r>
            <w:r>
              <w:rPr>
                <w:rFonts w:hint="eastAsia"/>
                <w:lang w:eastAsia="zh-CN"/>
              </w:rPr>
              <w:t>“</w:t>
            </w:r>
            <w:r>
              <w:rPr>
                <w:rFonts w:hint="default"/>
              </w:rPr>
              <w:t>三线一单</w:t>
            </w:r>
            <w:r>
              <w:rPr>
                <w:rFonts w:hint="eastAsia"/>
                <w:lang w:eastAsia="zh-CN"/>
              </w:rPr>
              <w:t>”</w:t>
            </w:r>
            <w:r>
              <w:rPr>
                <w:rFonts w:hint="default"/>
              </w:rPr>
              <w:t>的要求。</w:t>
            </w:r>
          </w:p>
          <w:p>
            <w:pPr>
              <w:pStyle w:val="23"/>
              <w:keepNext w:val="0"/>
              <w:keepLines w:val="0"/>
              <w:suppressLineNumbers w:val="0"/>
              <w:bidi w:val="0"/>
              <w:spacing w:before="0" w:beforeAutospacing="0" w:after="0" w:afterAutospacing="0"/>
              <w:ind w:left="0" w:right="0"/>
              <w:rPr>
                <w:rFonts w:hint="default"/>
              </w:rPr>
            </w:pPr>
            <w:r>
              <w:rPr>
                <w:rFonts w:hint="default"/>
              </w:rPr>
              <w:t>2、与相关生态环境保护法律法规政策、生态环境保护规划的符合性分析</w:t>
            </w:r>
          </w:p>
          <w:p>
            <w:pPr>
              <w:pStyle w:val="23"/>
              <w:keepNext w:val="0"/>
              <w:keepLines w:val="0"/>
              <w:suppressLineNumbers w:val="0"/>
              <w:bidi w:val="0"/>
              <w:spacing w:before="0" w:beforeAutospacing="0" w:after="0" w:afterAutospacing="0"/>
              <w:ind w:left="0" w:right="0"/>
              <w:rPr>
                <w:rFonts w:hint="default"/>
              </w:rPr>
            </w:pPr>
            <w:r>
              <w:rPr>
                <w:rFonts w:hint="eastAsia"/>
                <w:lang w:eastAsia="zh-CN"/>
              </w:rPr>
              <w:t>（</w:t>
            </w:r>
            <w:r>
              <w:rPr>
                <w:rFonts w:hint="default"/>
              </w:rPr>
              <w:t>1</w:t>
            </w:r>
            <w:r>
              <w:rPr>
                <w:rFonts w:hint="eastAsia"/>
                <w:lang w:eastAsia="zh-CN"/>
              </w:rPr>
              <w:t>）</w:t>
            </w:r>
            <w:r>
              <w:rPr>
                <w:rFonts w:hint="default"/>
              </w:rPr>
              <w:t>与《中共中央、国务院关于深入打好污染防治攻坚战的意见》</w:t>
            </w:r>
            <w:r>
              <w:rPr>
                <w:rFonts w:hint="eastAsia"/>
                <w:lang w:eastAsia="zh-CN"/>
              </w:rPr>
              <w:t>（</w:t>
            </w:r>
            <w:r>
              <w:rPr>
                <w:rFonts w:hint="default"/>
              </w:rPr>
              <w:t>2021年11月2日公开发布</w:t>
            </w:r>
            <w:r>
              <w:rPr>
                <w:rFonts w:hint="eastAsia"/>
                <w:lang w:eastAsia="zh-CN"/>
              </w:rPr>
              <w:t>）</w:t>
            </w:r>
            <w:r>
              <w:rPr>
                <w:rFonts w:hint="default"/>
              </w:rPr>
              <w:t>相符性分析</w:t>
            </w:r>
          </w:p>
          <w:p>
            <w:pPr>
              <w:pStyle w:val="11"/>
              <w:keepNext w:val="0"/>
              <w:keepLines w:val="0"/>
              <w:suppressLineNumbers w:val="0"/>
              <w:bidi w:val="0"/>
              <w:spacing w:before="0" w:after="0" w:afterAutospacing="0" w:line="240" w:lineRule="auto"/>
              <w:ind w:right="0"/>
              <w:rPr>
                <w:rFonts w:hint="default"/>
              </w:rPr>
            </w:pPr>
            <w:r>
              <w:rPr>
                <w:rFonts w:hint="default"/>
              </w:rPr>
              <w:t>表1-</w:t>
            </w:r>
            <w:r>
              <w:rPr>
                <w:rFonts w:hint="eastAsia"/>
                <w:lang w:val="en-US" w:eastAsia="zh-CN"/>
              </w:rPr>
              <w:t xml:space="preserve">7 </w:t>
            </w:r>
            <w:r>
              <w:rPr>
                <w:rFonts w:hint="default"/>
              </w:rPr>
              <w:t xml:space="preserve"> 与《中共中央、国务院关于深入打好污染防治攻坚战的意见》</w:t>
            </w:r>
          </w:p>
          <w:p>
            <w:pPr>
              <w:pStyle w:val="11"/>
              <w:keepNext w:val="0"/>
              <w:keepLines w:val="0"/>
              <w:suppressLineNumbers w:val="0"/>
              <w:bidi w:val="0"/>
              <w:spacing w:before="0" w:after="0" w:afterAutospacing="0" w:line="240" w:lineRule="auto"/>
              <w:ind w:right="0"/>
              <w:rPr>
                <w:rFonts w:hint="default"/>
              </w:rPr>
            </w:pPr>
            <w:r>
              <w:rPr>
                <w:rFonts w:hint="eastAsia"/>
                <w:lang w:eastAsia="zh-CN"/>
              </w:rPr>
              <w:t>（</w:t>
            </w:r>
            <w:r>
              <w:rPr>
                <w:rFonts w:hint="default"/>
              </w:rPr>
              <w:t>2021年11月2日公开发布</w:t>
            </w:r>
            <w:r>
              <w:rPr>
                <w:rFonts w:hint="eastAsia"/>
                <w:lang w:eastAsia="zh-CN"/>
              </w:rPr>
              <w:t>）</w:t>
            </w:r>
            <w:r>
              <w:rPr>
                <w:rFonts w:hint="default"/>
              </w:rPr>
              <w:t>符合性分析</w:t>
            </w:r>
          </w:p>
          <w:tbl>
            <w:tblPr>
              <w:tblStyle w:val="1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8"/>
              <w:gridCol w:w="2705"/>
              <w:gridCol w:w="3908"/>
              <w:gridCol w:w="105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2"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序号</w:t>
                  </w:r>
                </w:p>
              </w:tc>
              <w:tc>
                <w:tcPr>
                  <w:tcW w:w="2768" w:type="dxa"/>
                  <w:vAlign w:val="center"/>
                </w:tcPr>
                <w:p>
                  <w:pPr>
                    <w:keepNext w:val="0"/>
                    <w:keepLines w:val="0"/>
                    <w:suppressLineNumbers w:val="0"/>
                    <w:spacing w:before="0" w:beforeAutospacing="0" w:after="0" w:afterAutospacing="0"/>
                    <w:ind w:left="0" w:right="0"/>
                    <w:jc w:val="center"/>
                    <w:rPr>
                      <w:rFonts w:hint="default" w:eastAsia="宋体"/>
                      <w:b w:val="0"/>
                      <w:bCs w:val="0"/>
                      <w:sz w:val="21"/>
                      <w:szCs w:val="21"/>
                      <w:lang w:val="en-US" w:eastAsia="zh-CN"/>
                    </w:rPr>
                  </w:pPr>
                  <w:r>
                    <w:rPr>
                      <w:rFonts w:hint="eastAsia"/>
                      <w:b w:val="0"/>
                      <w:bCs w:val="0"/>
                      <w:sz w:val="21"/>
                      <w:szCs w:val="21"/>
                      <w:lang w:val="en-US" w:eastAsia="zh-CN"/>
                    </w:rPr>
                    <w:t>文件要求</w:t>
                  </w:r>
                </w:p>
              </w:tc>
              <w:tc>
                <w:tcPr>
                  <w:tcW w:w="4001" w:type="dxa"/>
                  <w:vAlign w:val="center"/>
                </w:tcPr>
                <w:p>
                  <w:pPr>
                    <w:keepNext w:val="0"/>
                    <w:keepLines w:val="0"/>
                    <w:suppressLineNumbers w:val="0"/>
                    <w:spacing w:before="0" w:beforeAutospacing="0" w:after="0" w:afterAutospacing="0"/>
                    <w:ind w:left="0" w:right="0"/>
                    <w:jc w:val="center"/>
                    <w:rPr>
                      <w:rFonts w:hint="eastAsia" w:eastAsia="宋体"/>
                      <w:b w:val="0"/>
                      <w:bCs w:val="0"/>
                      <w:sz w:val="21"/>
                      <w:szCs w:val="21"/>
                      <w:lang w:eastAsia="zh-CN"/>
                    </w:rPr>
                  </w:pPr>
                  <w:r>
                    <w:rPr>
                      <w:rFonts w:hint="default"/>
                      <w:b w:val="0"/>
                      <w:bCs w:val="0"/>
                      <w:sz w:val="21"/>
                      <w:szCs w:val="21"/>
                    </w:rPr>
                    <w:t>本项目</w:t>
                  </w:r>
                  <w:r>
                    <w:rPr>
                      <w:rFonts w:hint="eastAsia"/>
                      <w:b w:val="0"/>
                      <w:bCs w:val="0"/>
                      <w:sz w:val="21"/>
                      <w:szCs w:val="21"/>
                      <w:lang w:val="en-US" w:eastAsia="zh-CN"/>
                    </w:rPr>
                    <w:t>情况</w:t>
                  </w:r>
                </w:p>
              </w:tc>
              <w:tc>
                <w:tcPr>
                  <w:tcW w:w="1077" w:type="dxa"/>
                  <w:vAlign w:val="center"/>
                </w:tcPr>
                <w:p>
                  <w:pPr>
                    <w:keepNext w:val="0"/>
                    <w:keepLines w:val="0"/>
                    <w:suppressLineNumbers w:val="0"/>
                    <w:spacing w:before="0" w:beforeAutospacing="0" w:after="0" w:afterAutospacing="0"/>
                    <w:ind w:left="0" w:right="0"/>
                    <w:jc w:val="center"/>
                    <w:rPr>
                      <w:rFonts w:hint="eastAsia" w:eastAsia="宋体"/>
                      <w:b w:val="0"/>
                      <w:bCs w:val="0"/>
                      <w:sz w:val="21"/>
                      <w:szCs w:val="21"/>
                      <w:lang w:val="en-US" w:eastAsia="zh-CN"/>
                    </w:rPr>
                  </w:pPr>
                  <w:r>
                    <w:rPr>
                      <w:rFonts w:hint="eastAsia"/>
                      <w:b w:val="0"/>
                      <w:bCs w:val="0"/>
                      <w:sz w:val="21"/>
                      <w:szCs w:val="21"/>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2"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1</w:t>
                  </w:r>
                </w:p>
              </w:tc>
              <w:tc>
                <w:tcPr>
                  <w:tcW w:w="2768"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坚决遏制高耗能高排放项目盲目发展。</w:t>
                  </w:r>
                </w:p>
              </w:tc>
              <w:tc>
                <w:tcPr>
                  <w:tcW w:w="4001" w:type="dxa"/>
                  <w:vAlign w:val="center"/>
                </w:tcPr>
                <w:p>
                  <w:pPr>
                    <w:keepNext w:val="0"/>
                    <w:keepLines w:val="0"/>
                    <w:suppressLineNumbers w:val="0"/>
                    <w:spacing w:before="0" w:beforeAutospacing="0" w:after="0" w:afterAutospacing="0"/>
                    <w:ind w:left="0" w:right="0"/>
                    <w:jc w:val="center"/>
                    <w:rPr>
                      <w:rFonts w:hint="eastAsia" w:eastAsia="宋体"/>
                      <w:b w:val="0"/>
                      <w:bCs w:val="0"/>
                      <w:sz w:val="21"/>
                      <w:szCs w:val="21"/>
                      <w:lang w:eastAsia="zh-CN"/>
                    </w:rPr>
                  </w:pPr>
                  <w:r>
                    <w:rPr>
                      <w:rFonts w:hint="default"/>
                      <w:b w:val="0"/>
                      <w:bCs w:val="0"/>
                      <w:sz w:val="21"/>
                      <w:szCs w:val="21"/>
                    </w:rPr>
                    <w:t>本项目属于</w:t>
                  </w:r>
                  <w:r>
                    <w:rPr>
                      <w:rFonts w:hint="eastAsia"/>
                      <w:sz w:val="21"/>
                      <w:szCs w:val="21"/>
                      <w:lang w:val="en-US" w:eastAsia="zh-CN"/>
                    </w:rPr>
                    <w:t>电阻电容电感元件制造</w:t>
                  </w:r>
                  <w:r>
                    <w:rPr>
                      <w:rFonts w:hint="default"/>
                      <w:b w:val="0"/>
                      <w:bCs w:val="0"/>
                      <w:sz w:val="21"/>
                      <w:szCs w:val="21"/>
                    </w:rPr>
                    <w:t>，不属于高耗能高排放项目</w:t>
                  </w:r>
                  <w:r>
                    <w:rPr>
                      <w:rFonts w:hint="eastAsia"/>
                      <w:b w:val="0"/>
                      <w:bCs w:val="0"/>
                      <w:sz w:val="21"/>
                      <w:szCs w:val="21"/>
                      <w:lang w:eastAsia="zh-CN"/>
                    </w:rPr>
                    <w:t>。</w:t>
                  </w:r>
                </w:p>
              </w:tc>
              <w:tc>
                <w:tcPr>
                  <w:tcW w:w="1077"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2"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2</w:t>
                  </w:r>
                </w:p>
              </w:tc>
              <w:tc>
                <w:tcPr>
                  <w:tcW w:w="2768"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重点区域严禁新增钢铁、焦化、水泥熟料、平板玻璃、电解铝、氧化铝、煤化工产能，合理控制煤制油气产能规模，严控新增炼油产能。</w:t>
                  </w:r>
                </w:p>
              </w:tc>
              <w:tc>
                <w:tcPr>
                  <w:tcW w:w="4001"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本项目属于</w:t>
                  </w:r>
                  <w:r>
                    <w:rPr>
                      <w:rFonts w:hint="eastAsia"/>
                      <w:sz w:val="21"/>
                      <w:szCs w:val="21"/>
                      <w:lang w:val="en-US" w:eastAsia="zh-CN"/>
                    </w:rPr>
                    <w:t>电阻电容电感元件制造</w:t>
                  </w:r>
                  <w:r>
                    <w:rPr>
                      <w:rFonts w:hint="default"/>
                      <w:b w:val="0"/>
                      <w:bCs w:val="0"/>
                      <w:sz w:val="21"/>
                      <w:szCs w:val="21"/>
                    </w:rPr>
                    <w:t>，不属于钢铁、焦化、水泥熟料平板玻璃、电解铝、氧化铝、煤化工产能；本项目属于</w:t>
                  </w:r>
                  <w:r>
                    <w:rPr>
                      <w:rFonts w:hint="eastAsia"/>
                      <w:b w:val="0"/>
                      <w:bCs w:val="0"/>
                      <w:sz w:val="21"/>
                      <w:szCs w:val="21"/>
                      <w:lang w:eastAsia="zh-CN"/>
                    </w:rPr>
                    <w:t>电阻电容电感元件制造</w:t>
                  </w:r>
                  <w:r>
                    <w:rPr>
                      <w:rFonts w:hint="default"/>
                      <w:b w:val="0"/>
                      <w:bCs w:val="0"/>
                      <w:sz w:val="21"/>
                      <w:szCs w:val="21"/>
                    </w:rPr>
                    <w:t>，不属于铁、水泥、平板玻璃等行业；本项目不涉及炼油产能。</w:t>
                  </w:r>
                </w:p>
              </w:tc>
              <w:tc>
                <w:tcPr>
                  <w:tcW w:w="1077"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符合</w:t>
                  </w:r>
                </w:p>
              </w:tc>
            </w:tr>
          </w:tbl>
          <w:p>
            <w:pPr>
              <w:pStyle w:val="23"/>
              <w:keepNext w:val="0"/>
              <w:keepLines w:val="0"/>
              <w:numPr>
                <w:ilvl w:val="0"/>
                <w:numId w:val="0"/>
              </w:numPr>
              <w:suppressLineNumbers w:val="0"/>
              <w:bidi w:val="0"/>
              <w:spacing w:before="0" w:beforeAutospacing="0" w:after="0" w:afterAutospacing="0"/>
              <w:ind w:left="0" w:leftChars="0" w:right="0" w:rightChars="0" w:firstLine="480" w:firstLineChars="200"/>
              <w:rPr>
                <w:rFonts w:hint="eastAsia"/>
                <w:lang w:val="en-US" w:eastAsia="zh-CN"/>
              </w:rPr>
            </w:pPr>
            <w:r>
              <w:rPr>
                <w:rFonts w:hint="eastAsia" w:ascii="Times New Roman" w:hAnsi="Times New Roman" w:eastAsia="宋体" w:cs="Times New Roman"/>
                <w:kern w:val="2"/>
                <w:sz w:val="24"/>
                <w:szCs w:val="21"/>
                <w:lang w:val="en-US" w:eastAsia="zh-CN" w:bidi="ar-SA"/>
              </w:rPr>
              <w:t>（2）</w:t>
            </w:r>
            <w:r>
              <w:rPr>
                <w:rFonts w:hint="eastAsia"/>
                <w:lang w:val="en-US" w:eastAsia="zh-CN"/>
              </w:rPr>
              <w:t>与《安徽省2022年大气污染防治工作要点》（安环委办[2022]37号）符合性分析</w:t>
            </w:r>
          </w:p>
          <w:p>
            <w:pPr>
              <w:pStyle w:val="11"/>
              <w:keepNext w:val="0"/>
              <w:keepLines w:val="0"/>
              <w:suppressLineNumbers w:val="0"/>
              <w:bidi w:val="0"/>
              <w:spacing w:before="0" w:after="0" w:afterAutospacing="0" w:line="240" w:lineRule="auto"/>
              <w:ind w:right="0"/>
              <w:rPr>
                <w:rFonts w:hint="default"/>
              </w:rPr>
            </w:pPr>
            <w:r>
              <w:rPr>
                <w:rFonts w:hint="default"/>
              </w:rPr>
              <w:t>表1-</w:t>
            </w:r>
            <w:r>
              <w:rPr>
                <w:rFonts w:hint="eastAsia"/>
                <w:lang w:val="en-US" w:eastAsia="zh-CN"/>
              </w:rPr>
              <w:t xml:space="preserve">8 </w:t>
            </w:r>
            <w:r>
              <w:rPr>
                <w:rFonts w:hint="default"/>
              </w:rPr>
              <w:t xml:space="preserve"> 与《</w:t>
            </w:r>
            <w:r>
              <w:rPr>
                <w:rFonts w:hint="eastAsia"/>
                <w:lang w:val="en-US" w:eastAsia="zh-CN"/>
              </w:rPr>
              <w:t>安徽省2022年大气污染防治工作要点》</w:t>
            </w:r>
            <w:r>
              <w:rPr>
                <w:rFonts w:hint="default"/>
              </w:rPr>
              <w:t>符合性分析</w:t>
            </w:r>
          </w:p>
          <w:tbl>
            <w:tblPr>
              <w:tblStyle w:val="1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8"/>
              <w:gridCol w:w="4813"/>
              <w:gridCol w:w="1800"/>
              <w:gridCol w:w="105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778"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序号</w:t>
                  </w:r>
                </w:p>
              </w:tc>
              <w:tc>
                <w:tcPr>
                  <w:tcW w:w="4813" w:type="dxa"/>
                  <w:vAlign w:val="center"/>
                </w:tcPr>
                <w:p>
                  <w:pPr>
                    <w:keepNext w:val="0"/>
                    <w:keepLines w:val="0"/>
                    <w:suppressLineNumbers w:val="0"/>
                    <w:spacing w:before="0" w:beforeAutospacing="0" w:after="0" w:afterAutospacing="0"/>
                    <w:ind w:left="0" w:right="0"/>
                    <w:jc w:val="center"/>
                    <w:rPr>
                      <w:rFonts w:hint="default" w:eastAsia="宋体"/>
                      <w:b w:val="0"/>
                      <w:bCs w:val="0"/>
                      <w:sz w:val="21"/>
                      <w:szCs w:val="21"/>
                      <w:lang w:val="en-US" w:eastAsia="zh-CN"/>
                    </w:rPr>
                  </w:pPr>
                  <w:r>
                    <w:rPr>
                      <w:rFonts w:hint="eastAsia"/>
                      <w:b w:val="0"/>
                      <w:bCs w:val="0"/>
                      <w:sz w:val="21"/>
                      <w:szCs w:val="21"/>
                      <w:lang w:val="en-US" w:eastAsia="zh-CN"/>
                    </w:rPr>
                    <w:t>文件要求</w:t>
                  </w:r>
                </w:p>
              </w:tc>
              <w:tc>
                <w:tcPr>
                  <w:tcW w:w="1800" w:type="dxa"/>
                  <w:vAlign w:val="center"/>
                </w:tcPr>
                <w:p>
                  <w:pPr>
                    <w:keepNext w:val="0"/>
                    <w:keepLines w:val="0"/>
                    <w:suppressLineNumbers w:val="0"/>
                    <w:spacing w:before="0" w:beforeAutospacing="0" w:after="0" w:afterAutospacing="0"/>
                    <w:ind w:left="0" w:right="0"/>
                    <w:jc w:val="center"/>
                    <w:rPr>
                      <w:rFonts w:hint="eastAsia" w:eastAsia="宋体"/>
                      <w:b w:val="0"/>
                      <w:bCs w:val="0"/>
                      <w:sz w:val="21"/>
                      <w:szCs w:val="21"/>
                      <w:lang w:eastAsia="zh-CN"/>
                    </w:rPr>
                  </w:pPr>
                  <w:r>
                    <w:rPr>
                      <w:rFonts w:hint="default"/>
                      <w:b w:val="0"/>
                      <w:bCs w:val="0"/>
                      <w:sz w:val="21"/>
                      <w:szCs w:val="21"/>
                    </w:rPr>
                    <w:t>本项目</w:t>
                  </w:r>
                  <w:r>
                    <w:rPr>
                      <w:rFonts w:hint="eastAsia"/>
                      <w:b w:val="0"/>
                      <w:bCs w:val="0"/>
                      <w:sz w:val="21"/>
                      <w:szCs w:val="21"/>
                      <w:lang w:val="en-US" w:eastAsia="zh-CN"/>
                    </w:rPr>
                    <w:t>情况</w:t>
                  </w:r>
                </w:p>
              </w:tc>
              <w:tc>
                <w:tcPr>
                  <w:tcW w:w="1056" w:type="dxa"/>
                  <w:vAlign w:val="center"/>
                </w:tcPr>
                <w:p>
                  <w:pPr>
                    <w:keepNext w:val="0"/>
                    <w:keepLines w:val="0"/>
                    <w:suppressLineNumbers w:val="0"/>
                    <w:spacing w:before="0" w:beforeAutospacing="0" w:after="0" w:afterAutospacing="0"/>
                    <w:ind w:left="0" w:right="0"/>
                    <w:jc w:val="center"/>
                    <w:rPr>
                      <w:rFonts w:hint="eastAsia" w:eastAsia="宋体"/>
                      <w:b w:val="0"/>
                      <w:bCs w:val="0"/>
                      <w:sz w:val="21"/>
                      <w:szCs w:val="21"/>
                      <w:lang w:val="en-US" w:eastAsia="zh-CN"/>
                    </w:rPr>
                  </w:pPr>
                  <w:r>
                    <w:rPr>
                      <w:rFonts w:hint="eastAsia"/>
                      <w:b w:val="0"/>
                      <w:bCs w:val="0"/>
                      <w:sz w:val="21"/>
                      <w:szCs w:val="21"/>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8"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1</w:t>
                  </w:r>
                </w:p>
              </w:tc>
              <w:tc>
                <w:tcPr>
                  <w:tcW w:w="4813" w:type="dxa"/>
                  <w:vAlign w:val="center"/>
                </w:tcPr>
                <w:p>
                  <w:pPr>
                    <w:keepNext w:val="0"/>
                    <w:keepLines w:val="0"/>
                    <w:suppressLineNumbers w:val="0"/>
                    <w:spacing w:before="0" w:beforeAutospacing="0" w:after="0" w:afterAutospacing="0"/>
                    <w:ind w:left="0" w:right="0"/>
                    <w:jc w:val="center"/>
                    <w:rPr>
                      <w:rFonts w:hint="default" w:ascii="宋体" w:hAnsi="宋体" w:eastAsia="宋体" w:cs="宋体"/>
                      <w:sz w:val="21"/>
                      <w:szCs w:val="21"/>
                    </w:rPr>
                  </w:pPr>
                  <w:r>
                    <w:rPr>
                      <w:rFonts w:hint="default" w:ascii="宋体" w:hAnsi="宋体" w:eastAsia="宋体" w:cs="宋体"/>
                      <w:sz w:val="21"/>
                      <w:szCs w:val="21"/>
                    </w:rPr>
                    <w:t>严控新增耗煤项目，大气污染防治重点区域内新建、改建、扩建用煤项目的严格实施煤炭减量替代。 加强商品煤质量监督和管理，确保符合国家和地方标准要求。推 进煤炭清洁高效利用，鼓励和支持洁净煤技术的开发和推广。禁止新建企业自备燃煤设施，加快供热管网建设，充分释放燃煤电厂、工业余热等供热能力。</w:t>
                  </w:r>
                </w:p>
              </w:tc>
              <w:tc>
                <w:tcPr>
                  <w:tcW w:w="1800" w:type="dxa"/>
                  <w:vAlign w:val="center"/>
                </w:tcPr>
                <w:p>
                  <w:pPr>
                    <w:keepNext w:val="0"/>
                    <w:keepLines w:val="0"/>
                    <w:suppressLineNumbers w:val="0"/>
                    <w:spacing w:before="0" w:beforeAutospacing="0" w:after="0" w:afterAutospacing="0"/>
                    <w:ind w:left="0" w:right="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本项目使用电作为能源</w:t>
                  </w:r>
                </w:p>
              </w:tc>
              <w:tc>
                <w:tcPr>
                  <w:tcW w:w="1056" w:type="dxa"/>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481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严格执行《产业结构调整指导目录》《产业发展与转移指导目录》，落实国家产业结构调整指导目录中碳排放控制要求。有序开展产业承接和重点行业省内调整优化，高水平打造皖北承接产业转移集聚区。全面排查“两高”项目，实施清单管理、分类处置、动态监控，对不符合规定的坚决停批停建，科学稳妥推进符合要求的拟建项目。依法依规淘汰落后产能和化解过剩产能，严禁新增钢铁、焦化、水泥熟料、平板玻璃、电解铝等产能。</w:t>
                  </w:r>
                </w:p>
              </w:tc>
              <w:tc>
                <w:tcPr>
                  <w:tcW w:w="18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本项目属于园区优先进入类项目，不属于钢铁、焦化、水泥熟料、平板玻璃、电解铝等产能。</w:t>
                  </w:r>
                </w:p>
              </w:tc>
              <w:tc>
                <w:tcPr>
                  <w:tcW w:w="1056" w:type="dxa"/>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符合</w:t>
                  </w:r>
                </w:p>
              </w:tc>
            </w:tr>
          </w:tbl>
          <w:p>
            <w:pPr>
              <w:pStyle w:val="23"/>
              <w:keepNext w:val="0"/>
              <w:keepLines w:val="0"/>
              <w:numPr>
                <w:ilvl w:val="0"/>
                <w:numId w:val="0"/>
              </w:numPr>
              <w:suppressLineNumbers w:val="0"/>
              <w:bidi w:val="0"/>
              <w:spacing w:before="0" w:beforeAutospacing="0" w:after="0" w:afterAutospacing="0"/>
              <w:ind w:left="0" w:leftChars="0" w:right="0" w:rightChars="0" w:firstLine="480" w:firstLineChars="200"/>
              <w:rPr>
                <w:rFonts w:hint="default"/>
                <w:lang w:val="en-US" w:eastAsia="zh-CN"/>
              </w:rPr>
            </w:pPr>
            <w:r>
              <w:rPr>
                <w:rFonts w:hint="eastAsia"/>
                <w:lang w:val="en-US" w:eastAsia="zh-CN"/>
              </w:rPr>
              <w:t>（3）与《安徽省大气办关于深入开展挥发性有机物污染治理工作的通知》(皖大气办〔2021〕4 号)符合性分析</w:t>
            </w:r>
          </w:p>
          <w:p>
            <w:pPr>
              <w:pStyle w:val="11"/>
              <w:keepNext w:val="0"/>
              <w:keepLines w:val="0"/>
              <w:suppressLineNumbers w:val="0"/>
              <w:bidi w:val="0"/>
              <w:spacing w:before="0" w:after="0" w:afterAutospacing="0" w:line="240" w:lineRule="auto"/>
              <w:ind w:right="0"/>
              <w:rPr>
                <w:rFonts w:hint="default"/>
              </w:rPr>
            </w:pPr>
            <w:r>
              <w:rPr>
                <w:rFonts w:hint="default"/>
              </w:rPr>
              <w:t>表1-</w:t>
            </w:r>
            <w:r>
              <w:rPr>
                <w:rFonts w:hint="eastAsia"/>
                <w:lang w:val="en-US" w:eastAsia="zh-CN"/>
              </w:rPr>
              <w:t xml:space="preserve">9 </w:t>
            </w:r>
            <w:r>
              <w:rPr>
                <w:rFonts w:hint="default"/>
              </w:rPr>
              <w:t>与《</w:t>
            </w:r>
            <w:r>
              <w:rPr>
                <w:rFonts w:hint="eastAsia"/>
                <w:lang w:val="en-US" w:eastAsia="zh-CN"/>
              </w:rPr>
              <w:t>安徽省大气办关于深入开展挥发性有机物污染治理工作的通知》</w:t>
            </w:r>
            <w:r>
              <w:rPr>
                <w:rFonts w:hint="default"/>
              </w:rPr>
              <w:t>符合性分析</w:t>
            </w:r>
          </w:p>
          <w:tbl>
            <w:tblPr>
              <w:tblStyle w:val="1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8"/>
              <w:gridCol w:w="4813"/>
              <w:gridCol w:w="1800"/>
              <w:gridCol w:w="105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8"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序号</w:t>
                  </w:r>
                </w:p>
              </w:tc>
              <w:tc>
                <w:tcPr>
                  <w:tcW w:w="4813" w:type="dxa"/>
                  <w:vAlign w:val="center"/>
                </w:tcPr>
                <w:p>
                  <w:pPr>
                    <w:keepNext w:val="0"/>
                    <w:keepLines w:val="0"/>
                    <w:suppressLineNumbers w:val="0"/>
                    <w:spacing w:before="0" w:beforeAutospacing="0" w:after="0" w:afterAutospacing="0"/>
                    <w:ind w:left="0" w:right="0"/>
                    <w:jc w:val="center"/>
                    <w:rPr>
                      <w:rFonts w:hint="default" w:eastAsia="宋体"/>
                      <w:b w:val="0"/>
                      <w:bCs w:val="0"/>
                      <w:sz w:val="21"/>
                      <w:szCs w:val="21"/>
                      <w:lang w:val="en-US" w:eastAsia="zh-CN"/>
                    </w:rPr>
                  </w:pPr>
                  <w:r>
                    <w:rPr>
                      <w:rFonts w:hint="eastAsia"/>
                      <w:b w:val="0"/>
                      <w:bCs w:val="0"/>
                      <w:sz w:val="21"/>
                      <w:szCs w:val="21"/>
                      <w:lang w:val="en-US" w:eastAsia="zh-CN"/>
                    </w:rPr>
                    <w:t>文件要求</w:t>
                  </w:r>
                </w:p>
              </w:tc>
              <w:tc>
                <w:tcPr>
                  <w:tcW w:w="1800" w:type="dxa"/>
                  <w:vAlign w:val="center"/>
                </w:tcPr>
                <w:p>
                  <w:pPr>
                    <w:keepNext w:val="0"/>
                    <w:keepLines w:val="0"/>
                    <w:suppressLineNumbers w:val="0"/>
                    <w:spacing w:before="0" w:beforeAutospacing="0" w:after="0" w:afterAutospacing="0"/>
                    <w:ind w:left="0" w:right="0"/>
                    <w:jc w:val="center"/>
                    <w:rPr>
                      <w:rFonts w:hint="eastAsia" w:eastAsia="宋体"/>
                      <w:b w:val="0"/>
                      <w:bCs w:val="0"/>
                      <w:sz w:val="21"/>
                      <w:szCs w:val="21"/>
                      <w:lang w:eastAsia="zh-CN"/>
                    </w:rPr>
                  </w:pPr>
                  <w:r>
                    <w:rPr>
                      <w:rFonts w:hint="default"/>
                      <w:b w:val="0"/>
                      <w:bCs w:val="0"/>
                      <w:sz w:val="21"/>
                      <w:szCs w:val="21"/>
                    </w:rPr>
                    <w:t>本项目</w:t>
                  </w:r>
                  <w:r>
                    <w:rPr>
                      <w:rFonts w:hint="eastAsia"/>
                      <w:b w:val="0"/>
                      <w:bCs w:val="0"/>
                      <w:sz w:val="21"/>
                      <w:szCs w:val="21"/>
                      <w:lang w:val="en-US" w:eastAsia="zh-CN"/>
                    </w:rPr>
                    <w:t>情况</w:t>
                  </w:r>
                </w:p>
              </w:tc>
              <w:tc>
                <w:tcPr>
                  <w:tcW w:w="1056" w:type="dxa"/>
                  <w:vAlign w:val="center"/>
                </w:tcPr>
                <w:p>
                  <w:pPr>
                    <w:keepNext w:val="0"/>
                    <w:keepLines w:val="0"/>
                    <w:suppressLineNumbers w:val="0"/>
                    <w:spacing w:before="0" w:beforeAutospacing="0" w:after="0" w:afterAutospacing="0"/>
                    <w:ind w:left="0" w:right="0"/>
                    <w:jc w:val="center"/>
                    <w:rPr>
                      <w:rFonts w:hint="eastAsia" w:eastAsia="宋体"/>
                      <w:b w:val="0"/>
                      <w:bCs w:val="0"/>
                      <w:sz w:val="21"/>
                      <w:szCs w:val="21"/>
                      <w:lang w:val="en-US" w:eastAsia="zh-CN"/>
                    </w:rPr>
                  </w:pPr>
                  <w:r>
                    <w:rPr>
                      <w:rFonts w:hint="eastAsia"/>
                      <w:b w:val="0"/>
                      <w:bCs w:val="0"/>
                      <w:sz w:val="21"/>
                      <w:szCs w:val="21"/>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8"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1</w:t>
                  </w:r>
                </w:p>
              </w:tc>
              <w:tc>
                <w:tcPr>
                  <w:tcW w:w="4813" w:type="dxa"/>
                  <w:vAlign w:val="center"/>
                </w:tcPr>
                <w:p>
                  <w:pPr>
                    <w:keepNext w:val="0"/>
                    <w:keepLines w:val="0"/>
                    <w:suppressLineNumbers w:val="0"/>
                    <w:spacing w:before="0" w:beforeAutospacing="0" w:after="0" w:afterAutospacing="0"/>
                    <w:ind w:left="0" w:right="0"/>
                    <w:jc w:val="center"/>
                    <w:rPr>
                      <w:rFonts w:hint="default" w:ascii="宋体" w:hAnsi="宋体" w:eastAsia="宋体" w:cs="宋体"/>
                      <w:sz w:val="21"/>
                      <w:szCs w:val="21"/>
                    </w:rPr>
                  </w:pPr>
                  <w:r>
                    <w:rPr>
                      <w:rFonts w:hint="eastAsia" w:ascii="宋体" w:hAnsi="宋体" w:eastAsia="宋体" w:cs="宋体"/>
                      <w:sz w:val="21"/>
                      <w:szCs w:val="21"/>
                    </w:rPr>
                    <w:t>鼓</w:t>
                  </w:r>
                  <w:r>
                    <w:rPr>
                      <w:rFonts w:hint="default" w:ascii="Times New Roman" w:hAnsi="Times New Roman" w:eastAsia="宋体" w:cs="Times New Roman"/>
                      <w:sz w:val="21"/>
                      <w:szCs w:val="21"/>
                      <w:lang w:val="en-US" w:eastAsia="zh-CN"/>
                    </w:rPr>
                    <w:t>励支持使用涂料、油墨、胶粘剂、涂层剂（树脂）、清洗剂等原辅材料的企业，进行低 VOCs含量原辅材料的源头替代，7 月 1 日前各地指导企业建立管理台账，记录 VOCs 原辅材料的产品名称、VOCs 含量和使用量等。各地应结合本地产业特点和源头替代参考目录，重点在工业涂装、包装印刷、鞋革箱包制造、竹木制品胶合、电子等重点领域，推广VOCs含量低于10%原辅材料的源头替代，并纳入年度源头削减项目管理，实现“可替尽替、应代尽代”，源头削减年度完成项目占30%以上</w:t>
                  </w:r>
                </w:p>
              </w:tc>
              <w:tc>
                <w:tcPr>
                  <w:tcW w:w="1800" w:type="dxa"/>
                  <w:vAlign w:val="center"/>
                </w:tcPr>
                <w:p>
                  <w:pPr>
                    <w:keepNext w:val="0"/>
                    <w:keepLines w:val="0"/>
                    <w:suppressLineNumbers w:val="0"/>
                    <w:spacing w:before="0" w:beforeAutospacing="0" w:after="0" w:afterAutospacing="0"/>
                    <w:ind w:left="0" w:right="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本项目</w:t>
                  </w:r>
                  <w:r>
                    <w:rPr>
                      <w:rFonts w:hint="eastAsia" w:ascii="宋体" w:hAnsi="宋体" w:cs="宋体"/>
                      <w:sz w:val="21"/>
                      <w:szCs w:val="21"/>
                      <w:lang w:val="en-US" w:eastAsia="zh-CN"/>
                    </w:rPr>
                    <w:t>不使用</w:t>
                  </w:r>
                  <w:r>
                    <w:rPr>
                      <w:rFonts w:hint="default" w:ascii="Times New Roman" w:hAnsi="Times New Roman" w:eastAsia="宋体" w:cs="Times New Roman"/>
                      <w:sz w:val="21"/>
                      <w:szCs w:val="21"/>
                      <w:lang w:val="en-US" w:eastAsia="zh-CN"/>
                    </w:rPr>
                    <w:t>涂料、油墨、胶粘剂、涂层剂（树脂）、清洗剂等原辅材料</w:t>
                  </w:r>
                </w:p>
              </w:tc>
              <w:tc>
                <w:tcPr>
                  <w:tcW w:w="1056" w:type="dxa"/>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481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面向年内完成 VOCs 治理项目的实施单位和项目治理第三方服务单位，开展示范项目推选，以先进促后进，引导推动低 VOCs 替代、无组织排放管控、末端治理升级改造、运维能力提升等技术创新。</w:t>
                  </w:r>
                </w:p>
              </w:tc>
              <w:tc>
                <w:tcPr>
                  <w:tcW w:w="18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w:t>
                  </w:r>
                  <w:r>
                    <w:rPr>
                      <w:rFonts w:hint="eastAsia" w:cs="Times New Roman"/>
                      <w:sz w:val="21"/>
                      <w:szCs w:val="21"/>
                      <w:lang w:val="en-US" w:eastAsia="zh-CN"/>
                    </w:rPr>
                    <w:t>项目有机废气采用二级活性炭吸附设备进行处理</w:t>
                  </w:r>
                </w:p>
              </w:tc>
              <w:tc>
                <w:tcPr>
                  <w:tcW w:w="1056" w:type="dxa"/>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481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制定“一企一案”。借鉴上海市等先发地区重点行业VOCs 综合治理企业“一厂一方案”编制经验，各地分行业分级指导企业编制优化“一企一案”，明确企业 VOCs 综合治理任务时间节点和工作目标。重点梳理石化、化工、工业涂装、包装印刷、油品储运销等重点领域重点行业，VOCs 年排放量超过 1吨的企业，督促 9 月 30 日前完成方案编制完善工作。</w:t>
                  </w:r>
                </w:p>
              </w:tc>
              <w:tc>
                <w:tcPr>
                  <w:tcW w:w="18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建设单位拟制定VOCs处理装置的管理，拟建立VOCs 使用档案，确保企业 VOCs 处理装置运行效果。VOCs 年排放量未超过1 吨。</w:t>
                  </w:r>
                </w:p>
              </w:tc>
              <w:tc>
                <w:tcPr>
                  <w:tcW w:w="1056" w:type="dxa"/>
                  <w:vAlign w:val="center"/>
                </w:tcPr>
                <w:p>
                  <w:pPr>
                    <w:keepNext w:val="0"/>
                    <w:keepLines w:val="0"/>
                    <w:suppressLineNumbers w:val="0"/>
                    <w:spacing w:before="0" w:beforeAutospacing="0" w:after="0" w:afterAutospacing="0"/>
                    <w:ind w:left="0" w:right="0"/>
                    <w:jc w:val="center"/>
                    <w:rPr>
                      <w:rFonts w:hint="default" w:ascii="宋体" w:hAnsi="宋体" w:eastAsia="宋体" w:cs="宋体"/>
                      <w:sz w:val="21"/>
                      <w:szCs w:val="21"/>
                      <w:lang w:val="en-US" w:eastAsia="zh-CN"/>
                    </w:rPr>
                  </w:pPr>
                  <w:r>
                    <w:rPr>
                      <w:rFonts w:hint="eastAsia" w:ascii="宋体" w:hAnsi="宋体" w:cs="宋体"/>
                      <w:sz w:val="21"/>
                      <w:szCs w:val="21"/>
                      <w:lang w:val="en-US" w:eastAsia="zh-CN"/>
                    </w:rPr>
                    <w:t>符合</w:t>
                  </w:r>
                </w:p>
              </w:tc>
            </w:tr>
          </w:tbl>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（4）与《安徽省挥发性有机物污染整治工作方案》的相符性分析</w:t>
            </w:r>
          </w:p>
          <w:p>
            <w:pPr>
              <w:pStyle w:val="11"/>
              <w:keepNext w:val="0"/>
              <w:keepLines w:val="0"/>
              <w:suppressLineNumbers w:val="0"/>
              <w:bidi w:val="0"/>
              <w:spacing w:before="0" w:after="0" w:afterAutospacing="0"/>
              <w:ind w:right="0"/>
              <w:rPr>
                <w:rFonts w:hint="default"/>
                <w:lang w:val="en-US" w:eastAsia="zh-CN"/>
              </w:rPr>
            </w:pPr>
            <w:r>
              <w:rPr>
                <w:rFonts w:hint="eastAsia"/>
                <w:lang w:val="en-US" w:eastAsia="zh-CN"/>
              </w:rPr>
              <w:t>表1-10  与《安徽省挥发性有机物污染整治工作方案》相符性分析</w:t>
            </w:r>
          </w:p>
          <w:tbl>
            <w:tblPr>
              <w:tblStyle w:val="19"/>
              <w:tblW w:w="851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4405"/>
              <w:gridCol w:w="2318"/>
              <w:gridCol w:w="106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tcPr>
                <w:p>
                  <w:pPr>
                    <w:keepNext w:val="0"/>
                    <w:keepLines w:val="0"/>
                    <w:suppressLineNumbers w:val="0"/>
                    <w:spacing w:before="0" w:beforeAutospacing="0" w:after="0" w:afterAutospacing="0" w:line="360" w:lineRule="auto"/>
                    <w:ind w:left="0" w:right="0"/>
                    <w:jc w:val="center"/>
                    <w:rPr>
                      <w:rFonts w:hint="eastAsia" w:eastAsia="宋体"/>
                      <w:b w:val="0"/>
                      <w:bCs w:val="0"/>
                      <w:sz w:val="21"/>
                      <w:szCs w:val="21"/>
                      <w:vertAlign w:val="baseline"/>
                      <w:lang w:val="en-US" w:eastAsia="zh-CN"/>
                    </w:rPr>
                  </w:pPr>
                  <w:r>
                    <w:rPr>
                      <w:rFonts w:hint="eastAsia"/>
                      <w:b w:val="0"/>
                      <w:bCs w:val="0"/>
                      <w:sz w:val="21"/>
                      <w:szCs w:val="21"/>
                      <w:vertAlign w:val="baseline"/>
                      <w:lang w:val="en-US" w:eastAsia="zh-CN"/>
                    </w:rPr>
                    <w:t>序号</w:t>
                  </w:r>
                </w:p>
              </w:tc>
              <w:tc>
                <w:tcPr>
                  <w:tcW w:w="4405" w:type="dxa"/>
                  <w:vAlign w:val="center"/>
                </w:tcPr>
                <w:p>
                  <w:pPr>
                    <w:keepNext w:val="0"/>
                    <w:keepLines w:val="0"/>
                    <w:suppressLineNumbers w:val="0"/>
                    <w:spacing w:before="0" w:beforeAutospacing="0" w:after="0" w:afterAutospacing="0" w:line="360" w:lineRule="auto"/>
                    <w:ind w:left="0" w:right="0"/>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相关要求</w:t>
                  </w:r>
                </w:p>
              </w:tc>
              <w:tc>
                <w:tcPr>
                  <w:tcW w:w="2318" w:type="dxa"/>
                  <w:vAlign w:val="center"/>
                </w:tcPr>
                <w:p>
                  <w:pPr>
                    <w:keepNext w:val="0"/>
                    <w:keepLines w:val="0"/>
                    <w:suppressLineNumbers w:val="0"/>
                    <w:spacing w:before="0" w:beforeAutospacing="0" w:after="0" w:afterAutospacing="0" w:line="360" w:lineRule="auto"/>
                    <w:ind w:left="0" w:right="0"/>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项目建设情况</w:t>
                  </w:r>
                </w:p>
              </w:tc>
              <w:tc>
                <w:tcPr>
                  <w:tcW w:w="1065" w:type="dxa"/>
                  <w:vAlign w:val="center"/>
                </w:tcPr>
                <w:p>
                  <w:pPr>
                    <w:keepNext w:val="0"/>
                    <w:keepLines w:val="0"/>
                    <w:suppressLineNumbers w:val="0"/>
                    <w:spacing w:before="0" w:beforeAutospacing="0" w:after="0" w:afterAutospacing="0" w:line="360" w:lineRule="auto"/>
                    <w:ind w:left="0" w:right="0"/>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keepNext w:val="0"/>
                    <w:keepLines w:val="0"/>
                    <w:suppressLineNumbers w:val="0"/>
                    <w:spacing w:before="0" w:beforeAutospacing="0" w:after="0" w:afterAutospacing="0" w:line="360" w:lineRule="auto"/>
                    <w:ind w:left="0" w:right="0"/>
                    <w:jc w:val="center"/>
                    <w:rPr>
                      <w:rFonts w:hint="eastAsia" w:eastAsia="宋体"/>
                      <w:b w:val="0"/>
                      <w:bCs w:val="0"/>
                      <w:sz w:val="21"/>
                      <w:szCs w:val="21"/>
                      <w:vertAlign w:val="baseline"/>
                      <w:lang w:val="en-US" w:eastAsia="zh-CN"/>
                    </w:rPr>
                  </w:pPr>
                  <w:r>
                    <w:rPr>
                      <w:rFonts w:hint="eastAsia"/>
                      <w:b w:val="0"/>
                      <w:bCs w:val="0"/>
                      <w:sz w:val="21"/>
                      <w:szCs w:val="21"/>
                      <w:vertAlign w:val="baseline"/>
                      <w:lang w:val="en-US" w:eastAsia="zh-CN"/>
                    </w:rPr>
                    <w:t>1</w:t>
                  </w:r>
                </w:p>
              </w:tc>
              <w:tc>
                <w:tcPr>
                  <w:tcW w:w="4405" w:type="dxa"/>
                  <w:vAlign w:val="center"/>
                </w:tcPr>
                <w:p>
                  <w:pPr>
                    <w:keepNext w:val="0"/>
                    <w:keepLines w:val="0"/>
                    <w:suppressLineNumbers w:val="0"/>
                    <w:spacing w:before="0" w:beforeAutospacing="0" w:after="0" w:afterAutospacing="0" w:line="240" w:lineRule="auto"/>
                    <w:ind w:left="0" w:right="0"/>
                    <w:jc w:val="both"/>
                    <w:rPr>
                      <w:rFonts w:hint="default"/>
                      <w:b w:val="0"/>
                      <w:bCs w:val="0"/>
                      <w:sz w:val="21"/>
                      <w:szCs w:val="21"/>
                      <w:vertAlign w:val="baseline"/>
                    </w:rPr>
                  </w:pPr>
                  <w:r>
                    <w:rPr>
                      <w:rFonts w:hint="default"/>
                      <w:b w:val="0"/>
                      <w:bCs w:val="0"/>
                      <w:sz w:val="21"/>
                      <w:szCs w:val="21"/>
                      <w:vertAlign w:val="baseline"/>
                    </w:rPr>
                    <w:t>将控制挥发性有机物排放列入建设项目环境影响评价重要内容，严格环境准入，严控</w:t>
                  </w:r>
                  <w:r>
                    <w:rPr>
                      <w:rFonts w:hint="eastAsia"/>
                      <w:b w:val="0"/>
                      <w:bCs w:val="0"/>
                      <w:sz w:val="21"/>
                      <w:szCs w:val="21"/>
                      <w:vertAlign w:val="baseline"/>
                      <w:lang w:eastAsia="zh-CN"/>
                    </w:rPr>
                    <w:t>“</w:t>
                  </w:r>
                  <w:r>
                    <w:rPr>
                      <w:rFonts w:hint="default"/>
                      <w:b w:val="0"/>
                      <w:bCs w:val="0"/>
                      <w:sz w:val="21"/>
                      <w:szCs w:val="21"/>
                      <w:vertAlign w:val="baseline"/>
                    </w:rPr>
                    <w:t>两高</w:t>
                  </w:r>
                  <w:r>
                    <w:rPr>
                      <w:rFonts w:hint="eastAsia"/>
                      <w:b w:val="0"/>
                      <w:bCs w:val="0"/>
                      <w:sz w:val="21"/>
                      <w:szCs w:val="21"/>
                      <w:vertAlign w:val="baseline"/>
                      <w:lang w:eastAsia="zh-CN"/>
                    </w:rPr>
                    <w:t>”</w:t>
                  </w:r>
                  <w:r>
                    <w:rPr>
                      <w:rFonts w:hint="default"/>
                      <w:b w:val="0"/>
                      <w:bCs w:val="0"/>
                      <w:sz w:val="21"/>
                      <w:szCs w:val="21"/>
                      <w:vertAlign w:val="baseline"/>
                    </w:rPr>
                    <w:t>行业新增产能。新建、迁建VOCs排放量大的企业应入工业园区并符合规划要求，必须建设挥发性有机物污染治理设施，安装废气收集、回收或净化装置，原则上总净化效率不得低于90%。建立VOCs排放总量控制制度。</w:t>
                  </w:r>
                </w:p>
              </w:tc>
              <w:tc>
                <w:tcPr>
                  <w:tcW w:w="2318" w:type="dxa"/>
                  <w:vAlign w:val="center"/>
                </w:tcPr>
                <w:p>
                  <w:pPr>
                    <w:keepNext w:val="0"/>
                    <w:keepLines w:val="0"/>
                    <w:widowControl/>
                    <w:suppressLineNumbers w:val="0"/>
                    <w:spacing w:before="0" w:beforeAutospacing="0" w:after="0" w:afterAutospacing="0"/>
                    <w:ind w:left="0" w:right="0"/>
                    <w:jc w:val="both"/>
                    <w:rPr>
                      <w:rFonts w:hint="default"/>
                      <w:b w:val="0"/>
                      <w:bCs w:val="0"/>
                      <w:sz w:val="21"/>
                      <w:szCs w:val="21"/>
                      <w:vertAlign w:val="baseline"/>
                    </w:rPr>
                  </w:pPr>
                  <w:r>
                    <w:rPr>
                      <w:rFonts w:hint="eastAsia" w:ascii="宋体" w:hAnsi="宋体" w:eastAsia="宋体" w:cs="宋体"/>
                      <w:b w:val="0"/>
                      <w:bCs w:val="0"/>
                      <w:color w:val="000000"/>
                      <w:kern w:val="0"/>
                      <w:sz w:val="21"/>
                      <w:szCs w:val="21"/>
                      <w:lang w:val="en-US" w:eastAsia="zh-CN" w:bidi="ar"/>
                    </w:rPr>
                    <w:t>项目</w:t>
                  </w:r>
                  <w:r>
                    <w:rPr>
                      <w:rFonts w:hint="eastAsia" w:ascii="宋体" w:hAnsi="宋体" w:cs="宋体"/>
                      <w:b w:val="0"/>
                      <w:bCs w:val="0"/>
                      <w:color w:val="000000"/>
                      <w:kern w:val="0"/>
                      <w:sz w:val="21"/>
                      <w:szCs w:val="21"/>
                      <w:lang w:val="en-US" w:eastAsia="zh-CN" w:bidi="ar"/>
                    </w:rPr>
                    <w:t>位于</w:t>
                  </w:r>
                  <w:r>
                    <w:rPr>
                      <w:rFonts w:hint="eastAsia" w:ascii="宋体" w:hAnsi="宋体" w:eastAsia="宋体" w:cs="宋体"/>
                      <w:b w:val="0"/>
                      <w:bCs w:val="0"/>
                      <w:color w:val="000000"/>
                      <w:kern w:val="0"/>
                      <w:sz w:val="21"/>
                      <w:szCs w:val="21"/>
                      <w:lang w:val="en-US" w:eastAsia="zh-CN" w:bidi="ar"/>
                    </w:rPr>
                    <w:t>淮南经济技术开发区，项目类别属于</w:t>
                  </w:r>
                  <w:r>
                    <w:rPr>
                      <w:rFonts w:hint="eastAsia"/>
                      <w:sz w:val="21"/>
                      <w:szCs w:val="21"/>
                      <w:lang w:val="en-US" w:eastAsia="zh-CN"/>
                    </w:rPr>
                    <w:t>电阻电容电感元件制造</w:t>
                  </w:r>
                  <w:r>
                    <w:rPr>
                      <w:rFonts w:hint="eastAsia" w:ascii="宋体" w:hAnsi="宋体" w:eastAsia="宋体" w:cs="宋体"/>
                      <w:b w:val="0"/>
                      <w:bCs w:val="0"/>
                      <w:color w:val="000000"/>
                      <w:kern w:val="0"/>
                      <w:sz w:val="21"/>
                      <w:szCs w:val="21"/>
                      <w:lang w:val="en-US" w:eastAsia="zh-CN" w:bidi="ar"/>
                    </w:rPr>
                    <w:t>，项目有机废气采用二级活性炭进行处理。</w:t>
                  </w:r>
                </w:p>
              </w:tc>
              <w:tc>
                <w:tcPr>
                  <w:tcW w:w="1065" w:type="dxa"/>
                  <w:vAlign w:val="center"/>
                </w:tcPr>
                <w:p>
                  <w:pPr>
                    <w:keepNext w:val="0"/>
                    <w:keepLines w:val="0"/>
                    <w:suppressLineNumbers w:val="0"/>
                    <w:spacing w:before="0" w:beforeAutospacing="0" w:after="0" w:afterAutospacing="0" w:line="360" w:lineRule="auto"/>
                    <w:ind w:left="0" w:right="0"/>
                    <w:jc w:val="center"/>
                    <w:rPr>
                      <w:rFonts w:hint="eastAsia" w:eastAsia="宋体"/>
                      <w:b w:val="0"/>
                      <w:bCs w:val="0"/>
                      <w:sz w:val="21"/>
                      <w:szCs w:val="21"/>
                      <w:vertAlign w:val="baseline"/>
                      <w:lang w:val="en-US" w:eastAsia="zh-CN"/>
                    </w:rPr>
                  </w:pPr>
                  <w:r>
                    <w:rPr>
                      <w:rFonts w:hint="eastAsia"/>
                      <w:b w:val="0"/>
                      <w:bCs w:val="0"/>
                      <w:sz w:val="21"/>
                      <w:szCs w:val="21"/>
                      <w:vertAlign w:val="baseline"/>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keepNext w:val="0"/>
                    <w:keepLines w:val="0"/>
                    <w:suppressLineNumbers w:val="0"/>
                    <w:spacing w:before="0" w:beforeAutospacing="0" w:after="0" w:afterAutospacing="0" w:line="360" w:lineRule="auto"/>
                    <w:ind w:left="0" w:right="0"/>
                    <w:jc w:val="center"/>
                    <w:rPr>
                      <w:rFonts w:hint="eastAsia" w:eastAsia="宋体"/>
                      <w:b w:val="0"/>
                      <w:bCs w:val="0"/>
                      <w:sz w:val="21"/>
                      <w:szCs w:val="21"/>
                      <w:vertAlign w:val="baseline"/>
                      <w:lang w:val="en-US" w:eastAsia="zh-CN"/>
                    </w:rPr>
                  </w:pPr>
                  <w:r>
                    <w:rPr>
                      <w:rFonts w:hint="eastAsia"/>
                      <w:b w:val="0"/>
                      <w:bCs w:val="0"/>
                      <w:sz w:val="21"/>
                      <w:szCs w:val="21"/>
                      <w:vertAlign w:val="baseline"/>
                      <w:lang w:val="en-US" w:eastAsia="zh-CN"/>
                    </w:rPr>
                    <w:t>2</w:t>
                  </w:r>
                </w:p>
              </w:tc>
              <w:tc>
                <w:tcPr>
                  <w:tcW w:w="4405" w:type="dxa"/>
                  <w:vAlign w:val="center"/>
                </w:tcPr>
                <w:p>
                  <w:pPr>
                    <w:keepNext w:val="0"/>
                    <w:keepLines w:val="0"/>
                    <w:widowControl/>
                    <w:suppressLineNumbers w:val="0"/>
                    <w:spacing w:before="0" w:beforeAutospacing="0" w:after="0" w:afterAutospacing="0"/>
                    <w:ind w:left="0" w:right="0"/>
                    <w:jc w:val="both"/>
                    <w:rPr>
                      <w:rFonts w:hint="default"/>
                      <w:b w:val="0"/>
                      <w:bCs w:val="0"/>
                      <w:sz w:val="21"/>
                      <w:szCs w:val="21"/>
                    </w:rPr>
                  </w:pPr>
                  <w:r>
                    <w:rPr>
                      <w:rFonts w:hint="eastAsia" w:ascii="宋体" w:hAnsi="宋体" w:eastAsia="宋体" w:cs="宋体"/>
                      <w:b w:val="0"/>
                      <w:bCs w:val="0"/>
                      <w:color w:val="000000"/>
                      <w:kern w:val="0"/>
                      <w:sz w:val="21"/>
                      <w:szCs w:val="21"/>
                      <w:lang w:val="en-US" w:eastAsia="zh-CN" w:bidi="ar"/>
                    </w:rPr>
                    <w:t>严格按照《挥发性有机物（</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w:t>
                  </w:r>
                </w:p>
                <w:p>
                  <w:pPr>
                    <w:keepNext w:val="0"/>
                    <w:keepLines w:val="0"/>
                    <w:widowControl/>
                    <w:suppressLineNumbers w:val="0"/>
                    <w:spacing w:before="0" w:beforeAutospacing="0" w:after="0" w:afterAutospacing="0"/>
                    <w:ind w:left="0" w:right="0"/>
                    <w:jc w:val="both"/>
                    <w:rPr>
                      <w:rFonts w:hint="default"/>
                      <w:b w:val="0"/>
                      <w:bCs w:val="0"/>
                      <w:sz w:val="21"/>
                      <w:szCs w:val="21"/>
                      <w:vertAlign w:val="baseline"/>
                    </w:rPr>
                  </w:pPr>
                  <w:r>
                    <w:rPr>
                      <w:rFonts w:hint="eastAsia" w:ascii="宋体" w:hAnsi="宋体" w:eastAsia="宋体" w:cs="宋体"/>
                      <w:b w:val="0"/>
                      <w:bCs w:val="0"/>
                      <w:color w:val="000000"/>
                      <w:kern w:val="0"/>
                      <w:sz w:val="21"/>
                      <w:szCs w:val="21"/>
                      <w:lang w:val="en-US" w:eastAsia="zh-CN" w:bidi="ar"/>
                    </w:rPr>
                    <w:t>污染防治技术政策》要求，科学制定重点行业、重点企业污染防治技术方案。采用密闭式生产和环保型原辅材料、生产工艺和装备，着力从源头控制</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废气的产生和无组织排放。加大</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废气的回收利用，优先在生产系统内回用。对浓度和性状差异大的废气应根据废气的产生量、污染物的组分和性质、浓度、温度、压力等因素进行综合分析，合理选择废气回收或末端治理工艺路线，科学治理，达标排放。要妥善处置次生污染物，防范二次污染。</w:t>
                  </w:r>
                </w:p>
              </w:tc>
              <w:tc>
                <w:tcPr>
                  <w:tcW w:w="2318" w:type="dxa"/>
                  <w:vAlign w:val="center"/>
                </w:tcPr>
                <w:p>
                  <w:pPr>
                    <w:keepNext w:val="0"/>
                    <w:keepLines w:val="0"/>
                    <w:widowControl/>
                    <w:suppressLineNumbers w:val="0"/>
                    <w:spacing w:before="0" w:beforeAutospacing="0" w:after="0" w:afterAutospacing="0"/>
                    <w:ind w:left="0" w:right="0"/>
                    <w:jc w:val="both"/>
                    <w:rPr>
                      <w:rFonts w:hint="default"/>
                      <w:b w:val="0"/>
                      <w:bCs w:val="0"/>
                      <w:sz w:val="21"/>
                      <w:szCs w:val="21"/>
                    </w:rPr>
                  </w:pPr>
                  <w:r>
                    <w:rPr>
                      <w:rFonts w:hint="eastAsia" w:ascii="宋体" w:hAnsi="宋体" w:eastAsia="宋体" w:cs="宋体"/>
                      <w:b w:val="0"/>
                      <w:bCs w:val="0"/>
                      <w:color w:val="000000"/>
                      <w:kern w:val="0"/>
                      <w:sz w:val="21"/>
                      <w:szCs w:val="21"/>
                      <w:lang w:val="en-US" w:eastAsia="zh-CN" w:bidi="ar"/>
                    </w:rPr>
                    <w:t>项目有机废气采用二级活性炭进行处理。</w:t>
                  </w:r>
                </w:p>
                <w:p>
                  <w:pPr>
                    <w:keepNext w:val="0"/>
                    <w:keepLines w:val="0"/>
                    <w:suppressLineNumbers w:val="0"/>
                    <w:spacing w:before="0" w:beforeAutospacing="0" w:after="0" w:afterAutospacing="0" w:line="360" w:lineRule="auto"/>
                    <w:ind w:left="0" w:right="0"/>
                    <w:jc w:val="both"/>
                    <w:rPr>
                      <w:rFonts w:hint="default"/>
                      <w:b w:val="0"/>
                      <w:bCs w:val="0"/>
                      <w:sz w:val="21"/>
                      <w:szCs w:val="21"/>
                      <w:vertAlign w:val="baseline"/>
                    </w:rPr>
                  </w:pPr>
                </w:p>
              </w:tc>
              <w:tc>
                <w:tcPr>
                  <w:tcW w:w="1065" w:type="dxa"/>
                  <w:vAlign w:val="center"/>
                </w:tcPr>
                <w:p>
                  <w:pPr>
                    <w:keepNext w:val="0"/>
                    <w:keepLines w:val="0"/>
                    <w:suppressLineNumbers w:val="0"/>
                    <w:spacing w:before="0" w:beforeAutospacing="0" w:after="0" w:afterAutospacing="0" w:line="360" w:lineRule="auto"/>
                    <w:ind w:left="0" w:right="0"/>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vAlign w:val="center"/>
                </w:tcPr>
                <w:p>
                  <w:pPr>
                    <w:keepNext w:val="0"/>
                    <w:keepLines w:val="0"/>
                    <w:suppressLineNumbers w:val="0"/>
                    <w:spacing w:before="0" w:beforeAutospacing="0" w:after="0" w:afterAutospacing="0" w:line="360" w:lineRule="auto"/>
                    <w:ind w:left="0" w:right="0"/>
                    <w:jc w:val="center"/>
                    <w:rPr>
                      <w:rFonts w:hint="eastAsia" w:eastAsia="宋体"/>
                      <w:b w:val="0"/>
                      <w:bCs w:val="0"/>
                      <w:sz w:val="21"/>
                      <w:szCs w:val="21"/>
                      <w:vertAlign w:val="baseline"/>
                      <w:lang w:val="en-US" w:eastAsia="zh-CN"/>
                    </w:rPr>
                  </w:pPr>
                  <w:r>
                    <w:rPr>
                      <w:rFonts w:hint="eastAsia"/>
                      <w:b w:val="0"/>
                      <w:bCs w:val="0"/>
                      <w:sz w:val="21"/>
                      <w:szCs w:val="21"/>
                      <w:vertAlign w:val="baseline"/>
                      <w:lang w:val="en-US" w:eastAsia="zh-CN"/>
                    </w:rPr>
                    <w:t>3</w:t>
                  </w:r>
                </w:p>
              </w:tc>
              <w:tc>
                <w:tcPr>
                  <w:tcW w:w="4405" w:type="dxa"/>
                  <w:vAlign w:val="center"/>
                </w:tcPr>
                <w:p>
                  <w:pPr>
                    <w:keepNext w:val="0"/>
                    <w:keepLines w:val="0"/>
                    <w:widowControl/>
                    <w:suppressLineNumbers w:val="0"/>
                    <w:spacing w:before="0" w:beforeAutospacing="0" w:after="0" w:afterAutospacing="0"/>
                    <w:ind w:left="0" w:right="0"/>
                    <w:jc w:val="both"/>
                    <w:rPr>
                      <w:rFonts w:hint="default"/>
                      <w:b w:val="0"/>
                      <w:bCs w:val="0"/>
                      <w:sz w:val="21"/>
                      <w:szCs w:val="21"/>
                      <w:vertAlign w:val="baseline"/>
                    </w:rPr>
                  </w:pPr>
                  <w:r>
                    <w:rPr>
                      <w:rFonts w:hint="eastAsia" w:ascii="宋体" w:hAnsi="宋体" w:eastAsia="宋体" w:cs="宋体"/>
                      <w:b w:val="0"/>
                      <w:bCs w:val="0"/>
                      <w:color w:val="000000"/>
                      <w:kern w:val="0"/>
                      <w:sz w:val="21"/>
                      <w:szCs w:val="21"/>
                      <w:lang w:val="en-US" w:eastAsia="zh-CN" w:bidi="ar"/>
                    </w:rPr>
                    <w:t>加强企业内部管理，明确</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处理装置的管理和监控方案，提升现场管理水平，确保</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处理装置长期有效运行。要加强基础工作，建立完善的</w:t>
                  </w:r>
                  <w:r>
                    <w:rPr>
                      <w:rFonts w:hint="eastAsia" w:ascii="宋体" w:hAnsi="宋体" w:cs="宋体"/>
                      <w:b w:val="0"/>
                      <w:bCs w:val="0"/>
                      <w:color w:val="000000"/>
                      <w:kern w:val="0"/>
                      <w:sz w:val="21"/>
                      <w:szCs w:val="21"/>
                      <w:lang w:val="en-US" w:eastAsia="zh-CN" w:bidi="ar"/>
                    </w:rPr>
                    <w:t>“</w:t>
                  </w:r>
                  <w:r>
                    <w:rPr>
                      <w:rFonts w:hint="eastAsia" w:ascii="宋体" w:hAnsi="宋体" w:eastAsia="宋体" w:cs="宋体"/>
                      <w:b w:val="0"/>
                      <w:bCs w:val="0"/>
                      <w:color w:val="000000"/>
                      <w:kern w:val="0"/>
                      <w:sz w:val="21"/>
                      <w:szCs w:val="21"/>
                      <w:lang w:val="en-US" w:eastAsia="zh-CN" w:bidi="ar"/>
                    </w:rPr>
                    <w:t>一厂一档</w:t>
                  </w:r>
                  <w:r>
                    <w:rPr>
                      <w:rFonts w:hint="eastAsia" w:ascii="宋体" w:hAnsi="宋体" w:cs="宋体"/>
                      <w:b w:val="0"/>
                      <w:bCs w:val="0"/>
                      <w:color w:val="000000"/>
                      <w:kern w:val="0"/>
                      <w:sz w:val="21"/>
                      <w:szCs w:val="21"/>
                      <w:lang w:val="en-US" w:eastAsia="zh-CN" w:bidi="ar"/>
                    </w:rPr>
                    <w:t>”</w:t>
                  </w:r>
                  <w:r>
                    <w:rPr>
                      <w:rFonts w:hint="eastAsia" w:ascii="宋体" w:hAnsi="宋体" w:eastAsia="宋体" w:cs="宋体"/>
                      <w:b w:val="0"/>
                      <w:bCs w:val="0"/>
                      <w:color w:val="000000"/>
                      <w:kern w:val="0"/>
                      <w:sz w:val="21"/>
                      <w:szCs w:val="21"/>
                      <w:lang w:val="en-US" w:eastAsia="zh-CN" w:bidi="ar"/>
                    </w:rPr>
                    <w:t>，与</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排放相关的原辅料、溶剂的使用、产品生产及输出、废气处理、污染物排放、在线监控等信息应进行跟踪记录，以满足企业</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实际以及潜在的排放量查证需要，确保企业</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处理装置运行效果</w:t>
                  </w:r>
                  <w:r>
                    <w:rPr>
                      <w:rFonts w:hint="eastAsia" w:ascii="宋体" w:hAnsi="宋体" w:cs="宋体"/>
                      <w:b w:val="0"/>
                      <w:bCs w:val="0"/>
                      <w:color w:val="000000"/>
                      <w:kern w:val="0"/>
                      <w:sz w:val="21"/>
                      <w:szCs w:val="21"/>
                      <w:lang w:val="en-US" w:eastAsia="zh-CN" w:bidi="ar"/>
                    </w:rPr>
                    <w:t>。</w:t>
                  </w:r>
                </w:p>
              </w:tc>
              <w:tc>
                <w:tcPr>
                  <w:tcW w:w="2318" w:type="dxa"/>
                  <w:vAlign w:val="center"/>
                </w:tcPr>
                <w:p>
                  <w:pPr>
                    <w:keepNext w:val="0"/>
                    <w:keepLines w:val="0"/>
                    <w:widowControl/>
                    <w:suppressLineNumbers w:val="0"/>
                    <w:spacing w:before="0" w:beforeAutospacing="0" w:after="0" w:afterAutospacing="0"/>
                    <w:ind w:left="0" w:right="0"/>
                    <w:jc w:val="both"/>
                    <w:rPr>
                      <w:rFonts w:hint="default"/>
                      <w:b w:val="0"/>
                      <w:bCs w:val="0"/>
                      <w:sz w:val="21"/>
                      <w:szCs w:val="21"/>
                    </w:rPr>
                  </w:pPr>
                  <w:r>
                    <w:rPr>
                      <w:rFonts w:hint="eastAsia" w:ascii="宋体" w:hAnsi="宋体" w:eastAsia="宋体" w:cs="宋体"/>
                      <w:b w:val="0"/>
                      <w:bCs w:val="0"/>
                      <w:color w:val="000000"/>
                      <w:kern w:val="0"/>
                      <w:sz w:val="21"/>
                      <w:szCs w:val="21"/>
                      <w:lang w:val="en-US" w:eastAsia="zh-CN" w:bidi="ar"/>
                    </w:rPr>
                    <w:t>建设单位拟制</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处理装置的管理和监控方案，拟建立</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使用档案，确保企业</w:t>
                  </w:r>
                  <w:r>
                    <w:rPr>
                      <w:rFonts w:hint="default" w:ascii="Times New Roman" w:hAnsi="Times New Roman" w:eastAsia="宋体" w:cs="Times New Roman"/>
                      <w:b w:val="0"/>
                      <w:bCs w:val="0"/>
                      <w:color w:val="000000"/>
                      <w:kern w:val="0"/>
                      <w:sz w:val="21"/>
                      <w:szCs w:val="21"/>
                      <w:lang w:val="en-US" w:eastAsia="zh-CN" w:bidi="ar"/>
                    </w:rPr>
                    <w:t>VOCs</w:t>
                  </w:r>
                  <w:r>
                    <w:rPr>
                      <w:rFonts w:hint="eastAsia" w:ascii="宋体" w:hAnsi="宋体" w:eastAsia="宋体" w:cs="宋体"/>
                      <w:b w:val="0"/>
                      <w:bCs w:val="0"/>
                      <w:color w:val="000000"/>
                      <w:kern w:val="0"/>
                      <w:sz w:val="21"/>
                      <w:szCs w:val="21"/>
                      <w:lang w:val="en-US" w:eastAsia="zh-CN" w:bidi="ar"/>
                    </w:rPr>
                    <w:t>处理装置运行效果。</w:t>
                  </w:r>
                </w:p>
                <w:p>
                  <w:pPr>
                    <w:keepNext w:val="0"/>
                    <w:keepLines w:val="0"/>
                    <w:suppressLineNumbers w:val="0"/>
                    <w:spacing w:before="0" w:beforeAutospacing="0" w:after="0" w:afterAutospacing="0" w:line="360" w:lineRule="auto"/>
                    <w:ind w:left="0" w:right="0"/>
                    <w:jc w:val="both"/>
                    <w:rPr>
                      <w:rFonts w:hint="default"/>
                      <w:b w:val="0"/>
                      <w:bCs w:val="0"/>
                      <w:sz w:val="21"/>
                      <w:szCs w:val="21"/>
                      <w:vertAlign w:val="baseline"/>
                    </w:rPr>
                  </w:pPr>
                </w:p>
              </w:tc>
              <w:tc>
                <w:tcPr>
                  <w:tcW w:w="1065" w:type="dxa"/>
                  <w:vAlign w:val="center"/>
                </w:tcPr>
                <w:p>
                  <w:pPr>
                    <w:keepNext w:val="0"/>
                    <w:keepLines w:val="0"/>
                    <w:suppressLineNumbers w:val="0"/>
                    <w:spacing w:before="0" w:beforeAutospacing="0" w:after="0" w:afterAutospacing="0" w:line="360" w:lineRule="auto"/>
                    <w:ind w:left="0" w:right="0"/>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符合</w:t>
                  </w:r>
                </w:p>
              </w:tc>
            </w:tr>
          </w:tbl>
          <w:p>
            <w:pPr>
              <w:pStyle w:val="23"/>
              <w:keepNext w:val="0"/>
              <w:keepLines w:val="0"/>
              <w:suppressLineNumbers w:val="0"/>
              <w:bidi w:val="0"/>
              <w:spacing w:before="0" w:beforeAutospacing="0" w:after="0" w:afterAutospacing="0"/>
              <w:ind w:left="0" w:right="0"/>
              <w:rPr>
                <w:rFonts w:hint="default"/>
              </w:rPr>
            </w:pPr>
            <w:r>
              <w:rPr>
                <w:rFonts w:hint="eastAsia"/>
                <w:lang w:eastAsia="zh-CN"/>
              </w:rPr>
              <w:t>（</w:t>
            </w:r>
            <w:r>
              <w:rPr>
                <w:rFonts w:hint="eastAsia"/>
                <w:lang w:val="en-US" w:eastAsia="zh-CN"/>
              </w:rPr>
              <w:t>5</w:t>
            </w:r>
            <w:r>
              <w:rPr>
                <w:rFonts w:hint="eastAsia"/>
                <w:lang w:eastAsia="zh-CN"/>
              </w:rPr>
              <w:t>）</w:t>
            </w:r>
            <w:r>
              <w:rPr>
                <w:rFonts w:hint="default"/>
              </w:rPr>
              <w:t>淮南市大气办关于《淮南市2021年应对气候变化和大气污染防治重点工作任务》的通知（淮大气办〔2021〕3号）相符性分析</w:t>
            </w:r>
          </w:p>
          <w:p>
            <w:pPr>
              <w:pStyle w:val="11"/>
              <w:keepNext w:val="0"/>
              <w:keepLines w:val="0"/>
              <w:suppressLineNumbers w:val="0"/>
              <w:bidi w:val="0"/>
              <w:spacing w:before="0" w:after="0" w:afterAutospacing="0" w:line="240" w:lineRule="auto"/>
              <w:ind w:right="0"/>
              <w:rPr>
                <w:rFonts w:hint="default"/>
              </w:rPr>
            </w:pPr>
            <w:r>
              <w:rPr>
                <w:rFonts w:hint="default"/>
              </w:rPr>
              <w:t>表 1-</w:t>
            </w:r>
            <w:r>
              <w:rPr>
                <w:rFonts w:hint="eastAsia"/>
                <w:lang w:val="en-US" w:eastAsia="zh-CN"/>
              </w:rPr>
              <w:t>11</w:t>
            </w:r>
            <w:r>
              <w:rPr>
                <w:rFonts w:hint="default"/>
              </w:rPr>
              <w:t>《淮南市 2021 年应对气候变化和大气污染防治重点工作任务》</w:t>
            </w:r>
          </w:p>
          <w:p>
            <w:pPr>
              <w:pStyle w:val="11"/>
              <w:keepNext w:val="0"/>
              <w:keepLines w:val="0"/>
              <w:suppressLineNumbers w:val="0"/>
              <w:bidi w:val="0"/>
              <w:spacing w:before="0" w:after="0" w:afterAutospacing="0" w:line="240" w:lineRule="auto"/>
              <w:ind w:right="0"/>
              <w:rPr>
                <w:rFonts w:hint="default"/>
              </w:rPr>
            </w:pPr>
            <w:r>
              <w:rPr>
                <w:rFonts w:hint="default"/>
              </w:rPr>
              <w:t>符合性分析</w:t>
            </w:r>
          </w:p>
          <w:tbl>
            <w:tblPr>
              <w:tblStyle w:val="19"/>
              <w:tblW w:w="849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24"/>
              <w:gridCol w:w="3921"/>
              <w:gridCol w:w="2700"/>
              <w:gridCol w:w="10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824"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序号</w:t>
                  </w:r>
                </w:p>
              </w:tc>
              <w:tc>
                <w:tcPr>
                  <w:tcW w:w="3921"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具体内容</w:t>
                  </w:r>
                </w:p>
              </w:tc>
              <w:tc>
                <w:tcPr>
                  <w:tcW w:w="2700"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本项目情况</w:t>
                  </w:r>
                </w:p>
              </w:tc>
              <w:tc>
                <w:tcPr>
                  <w:tcW w:w="1054"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824"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b w:val="0"/>
                      <w:bCs/>
                      <w:sz w:val="21"/>
                      <w:szCs w:val="21"/>
                    </w:rPr>
                  </w:pPr>
                  <w:r>
                    <w:rPr>
                      <w:rFonts w:hint="default"/>
                      <w:b w:val="0"/>
                      <w:bCs/>
                      <w:sz w:val="21"/>
                      <w:szCs w:val="21"/>
                    </w:rPr>
                    <w:t>1</w:t>
                  </w:r>
                </w:p>
              </w:tc>
              <w:tc>
                <w:tcPr>
                  <w:tcW w:w="3921" w:type="dxa"/>
                  <w:vAlign w:val="center"/>
                </w:tcPr>
                <w:p>
                  <w:pPr>
                    <w:keepNext w:val="0"/>
                    <w:keepLines w:val="0"/>
                    <w:suppressLineNumbers w:val="0"/>
                    <w:spacing w:before="0" w:beforeAutospacing="0" w:after="0" w:afterAutospacing="0"/>
                    <w:ind w:left="0" w:right="0"/>
                    <w:rPr>
                      <w:rFonts w:hint="default"/>
                      <w:b w:val="0"/>
                      <w:bCs/>
                      <w:sz w:val="21"/>
                      <w:szCs w:val="21"/>
                    </w:rPr>
                  </w:pPr>
                  <w:r>
                    <w:rPr>
                      <w:rFonts w:hint="default"/>
                      <w:b w:val="0"/>
                      <w:bCs/>
                      <w:sz w:val="21"/>
                      <w:szCs w:val="21"/>
                    </w:rPr>
                    <w:t>加快推动VOCs精细化治理。实施VOCs产品源头替代工程，严格落实《油墨中可挥发性有机化合物含量的限值》等国家产品VOCs含量限值标准，推进家具制造、汽车制造、印刷和记录媒介、橡胶和塑料制品等行业低VOCs含量原辅材料替代。</w:t>
                  </w:r>
                </w:p>
              </w:tc>
              <w:tc>
                <w:tcPr>
                  <w:tcW w:w="2700" w:type="dxa"/>
                  <w:vAlign w:val="center"/>
                </w:tcPr>
                <w:p>
                  <w:pPr>
                    <w:keepNext w:val="0"/>
                    <w:keepLines w:val="0"/>
                    <w:suppressLineNumbers w:val="0"/>
                    <w:autoSpaceDE w:val="0"/>
                    <w:autoSpaceDN w:val="0"/>
                    <w:adjustRightInd w:val="0"/>
                    <w:snapToGrid w:val="0"/>
                    <w:spacing w:before="0" w:beforeAutospacing="0" w:after="0" w:afterAutospacing="0"/>
                    <w:ind w:left="0" w:right="0"/>
                    <w:rPr>
                      <w:rFonts w:hint="default"/>
                      <w:b w:val="0"/>
                      <w:bCs/>
                      <w:sz w:val="21"/>
                      <w:szCs w:val="21"/>
                    </w:rPr>
                  </w:pPr>
                  <w:r>
                    <w:rPr>
                      <w:rFonts w:hint="default"/>
                      <w:b w:val="0"/>
                      <w:bCs/>
                      <w:spacing w:val="-1"/>
                      <w:sz w:val="21"/>
                      <w:szCs w:val="21"/>
                    </w:rPr>
                    <w:t>本项目为</w:t>
                  </w:r>
                  <w:r>
                    <w:rPr>
                      <w:rFonts w:hint="eastAsia"/>
                      <w:sz w:val="21"/>
                      <w:szCs w:val="21"/>
                      <w:lang w:val="en-US" w:eastAsia="zh-CN"/>
                    </w:rPr>
                    <w:t>电阻电容电感元件制造</w:t>
                  </w:r>
                  <w:r>
                    <w:rPr>
                      <w:rFonts w:hint="default"/>
                      <w:b w:val="0"/>
                      <w:bCs/>
                      <w:sz w:val="21"/>
                      <w:szCs w:val="21"/>
                    </w:rPr>
                    <w:t>；不属</w:t>
                  </w:r>
                  <w:r>
                    <w:rPr>
                      <w:rFonts w:hint="default"/>
                      <w:b w:val="0"/>
                      <w:bCs/>
                      <w:spacing w:val="1"/>
                      <w:sz w:val="21"/>
                      <w:szCs w:val="21"/>
                    </w:rPr>
                    <w:t>于家具制造、汽车制造</w:t>
                  </w:r>
                  <w:r>
                    <w:rPr>
                      <w:rFonts w:hint="default"/>
                      <w:b w:val="0"/>
                      <w:bCs/>
                      <w:sz w:val="21"/>
                      <w:szCs w:val="21"/>
                    </w:rPr>
                    <w:t>、印刷</w:t>
                  </w:r>
                  <w:r>
                    <w:rPr>
                      <w:rFonts w:hint="default"/>
                      <w:b w:val="0"/>
                      <w:bCs/>
                      <w:spacing w:val="1"/>
                      <w:sz w:val="21"/>
                      <w:szCs w:val="21"/>
                    </w:rPr>
                    <w:t>和记录媒介、橡胶和塑</w:t>
                  </w:r>
                  <w:r>
                    <w:rPr>
                      <w:rFonts w:hint="default"/>
                      <w:b w:val="0"/>
                      <w:bCs/>
                      <w:sz w:val="21"/>
                      <w:szCs w:val="21"/>
                    </w:rPr>
                    <w:t>料等重</w:t>
                  </w:r>
                  <w:r>
                    <w:rPr>
                      <w:rFonts w:hint="default"/>
                      <w:b w:val="0"/>
                      <w:bCs/>
                      <w:spacing w:val="1"/>
                      <w:sz w:val="21"/>
                      <w:szCs w:val="21"/>
                    </w:rPr>
                    <w:t>点行业。项目使用的胶</w:t>
                  </w:r>
                  <w:r>
                    <w:rPr>
                      <w:rFonts w:hint="default"/>
                      <w:b w:val="0"/>
                      <w:bCs/>
                      <w:sz w:val="21"/>
                      <w:szCs w:val="21"/>
                    </w:rPr>
                    <w:t>黏剂均</w:t>
                  </w:r>
                  <w:r>
                    <w:rPr>
                      <w:rFonts w:hint="default"/>
                      <w:b w:val="0"/>
                      <w:bCs/>
                      <w:spacing w:val="1"/>
                      <w:sz w:val="21"/>
                      <w:szCs w:val="21"/>
                    </w:rPr>
                    <w:t>满足《胶黏剂挥发性有</w:t>
                  </w:r>
                  <w:r>
                    <w:rPr>
                      <w:rFonts w:hint="default"/>
                      <w:b w:val="0"/>
                      <w:bCs/>
                      <w:sz w:val="21"/>
                      <w:szCs w:val="21"/>
                    </w:rPr>
                    <w:t>机</w:t>
                  </w:r>
                  <w:r>
                    <w:rPr>
                      <w:rFonts w:hint="eastAsia"/>
                      <w:b w:val="0"/>
                      <w:bCs/>
                      <w:sz w:val="21"/>
                      <w:szCs w:val="21"/>
                      <w:lang w:val="en-US" w:eastAsia="zh-CN"/>
                    </w:rPr>
                    <w:t>化合</w:t>
                  </w:r>
                  <w:r>
                    <w:rPr>
                      <w:rFonts w:hint="default"/>
                      <w:b w:val="0"/>
                      <w:bCs/>
                      <w:sz w:val="21"/>
                      <w:szCs w:val="21"/>
                    </w:rPr>
                    <w:t>物限</w:t>
                  </w:r>
                  <w:r>
                    <w:rPr>
                      <w:rFonts w:hint="default"/>
                      <w:b w:val="0"/>
                      <w:bCs/>
                      <w:spacing w:val="11"/>
                      <w:sz w:val="21"/>
                      <w:szCs w:val="21"/>
                    </w:rPr>
                    <w:t>量</w:t>
                  </w:r>
                  <w:r>
                    <w:rPr>
                      <w:rFonts w:hint="default"/>
                      <w:b w:val="0"/>
                      <w:bCs/>
                      <w:spacing w:val="10"/>
                      <w:sz w:val="21"/>
                      <w:szCs w:val="21"/>
                    </w:rPr>
                    <w:t>》</w:t>
                  </w:r>
                  <w:r>
                    <w:rPr>
                      <w:rFonts w:hint="eastAsia"/>
                      <w:b w:val="0"/>
                      <w:bCs/>
                      <w:spacing w:val="10"/>
                      <w:sz w:val="21"/>
                      <w:szCs w:val="21"/>
                      <w:lang w:eastAsia="zh-CN"/>
                    </w:rPr>
                    <w:t>（</w:t>
                  </w:r>
                  <w:r>
                    <w:rPr>
                      <w:rFonts w:hint="default" w:eastAsia="Times New Roman"/>
                      <w:b w:val="0"/>
                      <w:bCs/>
                      <w:sz w:val="21"/>
                      <w:szCs w:val="21"/>
                    </w:rPr>
                    <w:t>GB</w:t>
                  </w:r>
                  <w:r>
                    <w:rPr>
                      <w:rFonts w:hint="default" w:eastAsia="Times New Roman"/>
                      <w:b w:val="0"/>
                      <w:bCs/>
                      <w:spacing w:val="10"/>
                      <w:sz w:val="21"/>
                      <w:szCs w:val="21"/>
                    </w:rPr>
                    <w:t>33372-2020</w:t>
                  </w:r>
                  <w:r>
                    <w:rPr>
                      <w:rFonts w:hint="eastAsia" w:eastAsia="宋体"/>
                      <w:b w:val="0"/>
                      <w:bCs/>
                      <w:spacing w:val="10"/>
                      <w:sz w:val="21"/>
                      <w:szCs w:val="21"/>
                      <w:lang w:eastAsia="zh-CN"/>
                    </w:rPr>
                    <w:t>）</w:t>
                  </w:r>
                  <w:r>
                    <w:rPr>
                      <w:rFonts w:hint="default"/>
                      <w:b w:val="0"/>
                      <w:bCs/>
                      <w:spacing w:val="10"/>
                      <w:sz w:val="21"/>
                      <w:szCs w:val="21"/>
                    </w:rPr>
                    <w:t>要求。</w:t>
                  </w:r>
                </w:p>
              </w:tc>
              <w:tc>
                <w:tcPr>
                  <w:tcW w:w="1054"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b w:val="0"/>
                      <w:bCs/>
                      <w:sz w:val="21"/>
                      <w:szCs w:val="21"/>
                    </w:rPr>
                  </w:pPr>
                  <w:r>
                    <w:rPr>
                      <w:rFonts w:hint="default"/>
                      <w:b w:val="0"/>
                      <w:bCs/>
                      <w:sz w:val="21"/>
                      <w:szCs w:val="21"/>
                    </w:rPr>
                    <w:t>符合</w:t>
                  </w:r>
                </w:p>
              </w:tc>
            </w:tr>
          </w:tbl>
          <w:p>
            <w:pPr>
              <w:pStyle w:val="23"/>
              <w:keepNext w:val="0"/>
              <w:keepLines w:val="0"/>
              <w:suppressLineNumbers w:val="0"/>
              <w:bidi w:val="0"/>
              <w:spacing w:before="0" w:beforeAutospacing="0" w:after="0" w:afterAutospacing="0"/>
              <w:ind w:left="0" w:right="0"/>
              <w:rPr>
                <w:rFonts w:hint="default"/>
              </w:rPr>
            </w:pPr>
            <w:r>
              <w:rPr>
                <w:rFonts w:hint="eastAsia"/>
                <w:lang w:eastAsia="zh-CN"/>
              </w:rPr>
              <w:t>（</w:t>
            </w:r>
            <w:r>
              <w:rPr>
                <w:rFonts w:hint="eastAsia"/>
                <w:lang w:val="en-US" w:eastAsia="zh-CN"/>
              </w:rPr>
              <w:t>6</w:t>
            </w:r>
            <w:r>
              <w:rPr>
                <w:rFonts w:hint="eastAsia"/>
                <w:lang w:eastAsia="zh-CN"/>
              </w:rPr>
              <w:t>）</w:t>
            </w:r>
            <w:r>
              <w:rPr>
                <w:rFonts w:hint="default"/>
              </w:rPr>
              <w:t>与关于印发</w:t>
            </w:r>
            <w:r>
              <w:rPr>
                <w:rFonts w:hint="eastAsia"/>
                <w:lang w:eastAsia="zh-CN"/>
              </w:rPr>
              <w:t>“</w:t>
            </w:r>
            <w:r>
              <w:rPr>
                <w:rFonts w:hint="default"/>
              </w:rPr>
              <w:t>《淮南市</w:t>
            </w:r>
            <w:r>
              <w:rPr>
                <w:rFonts w:hint="eastAsia"/>
                <w:lang w:eastAsia="zh-CN"/>
              </w:rPr>
              <w:t>“</w:t>
            </w:r>
            <w:r>
              <w:rPr>
                <w:rFonts w:hint="default"/>
              </w:rPr>
              <w:t>十四五</w:t>
            </w:r>
            <w:r>
              <w:rPr>
                <w:rFonts w:hint="eastAsia"/>
                <w:lang w:eastAsia="zh-CN"/>
              </w:rPr>
              <w:t>”</w:t>
            </w:r>
            <w:r>
              <w:rPr>
                <w:rFonts w:hint="default"/>
              </w:rPr>
              <w:t>生态环境保护规划》的通知（淮环通〔2022〕 46号）</w:t>
            </w:r>
            <w:r>
              <w:rPr>
                <w:rFonts w:hint="eastAsia"/>
                <w:lang w:eastAsia="zh-CN"/>
              </w:rPr>
              <w:t>”</w:t>
            </w:r>
            <w:r>
              <w:rPr>
                <w:rFonts w:hint="default"/>
              </w:rPr>
              <w:t>符合性分析。</w:t>
            </w:r>
          </w:p>
          <w:p>
            <w:pPr>
              <w:pStyle w:val="11"/>
              <w:keepNext w:val="0"/>
              <w:keepLines w:val="0"/>
              <w:pageBreakBefore w:val="0"/>
              <w:widowControl w:val="0"/>
              <w:suppressLineNumbers w:val="0"/>
              <w:kinsoku/>
              <w:wordWrap/>
              <w:overflowPunct/>
              <w:topLinePunct w:val="0"/>
              <w:autoSpaceDE/>
              <w:autoSpaceDN/>
              <w:bidi w:val="0"/>
              <w:adjustRightInd/>
              <w:snapToGrid w:val="0"/>
              <w:spacing w:before="60" w:after="0" w:afterAutospacing="0" w:line="240" w:lineRule="auto"/>
              <w:ind w:right="0"/>
              <w:textAlignment w:val="auto"/>
              <w:rPr>
                <w:rFonts w:hint="default"/>
              </w:rPr>
            </w:pPr>
            <w:r>
              <w:rPr>
                <w:rFonts w:hint="default"/>
              </w:rPr>
              <w:t>表1-</w:t>
            </w:r>
            <w:r>
              <w:rPr>
                <w:rFonts w:hint="eastAsia"/>
                <w:lang w:val="en-US" w:eastAsia="zh-CN"/>
              </w:rPr>
              <w:t>12</w:t>
            </w:r>
            <w:r>
              <w:rPr>
                <w:rFonts w:hint="default"/>
              </w:rPr>
              <w:t xml:space="preserve"> 项目与《淮南市</w:t>
            </w:r>
            <w:r>
              <w:rPr>
                <w:rFonts w:hint="eastAsia"/>
                <w:lang w:eastAsia="zh-CN"/>
              </w:rPr>
              <w:t>“</w:t>
            </w:r>
            <w:r>
              <w:rPr>
                <w:rFonts w:hint="default"/>
              </w:rPr>
              <w:t>十四五</w:t>
            </w:r>
            <w:r>
              <w:rPr>
                <w:rFonts w:hint="eastAsia"/>
                <w:lang w:eastAsia="zh-CN"/>
              </w:rPr>
              <w:t>”</w:t>
            </w:r>
            <w:r>
              <w:rPr>
                <w:rFonts w:hint="default"/>
              </w:rPr>
              <w:t>生态环境保护规划》符合性分析</w:t>
            </w:r>
          </w:p>
          <w:tbl>
            <w:tblPr>
              <w:tblStyle w:val="19"/>
              <w:tblpPr w:leftFromText="180" w:rightFromText="180" w:vertAnchor="text" w:horzAnchor="page" w:tblpXSpec="center" w:tblpY="84"/>
              <w:tblOverlap w:val="never"/>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97"/>
              <w:gridCol w:w="2693"/>
              <w:gridCol w:w="10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2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淮环通〔2022〕46号</w:t>
                  </w:r>
                </w:p>
              </w:tc>
              <w:tc>
                <w:tcPr>
                  <w:tcW w:w="2710"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本项目</w:t>
                  </w:r>
                </w:p>
              </w:tc>
              <w:tc>
                <w:tcPr>
                  <w:tcW w:w="1062"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27" w:type="dxa"/>
                  <w:vAlign w:val="center"/>
                </w:tcPr>
                <w:p>
                  <w:pPr>
                    <w:keepNext w:val="0"/>
                    <w:keepLines w:val="0"/>
                    <w:suppressLineNumbers w:val="0"/>
                    <w:bidi w:val="0"/>
                    <w:spacing w:before="0" w:beforeAutospacing="0" w:after="0" w:afterAutospacing="0"/>
                    <w:ind w:left="0" w:right="0"/>
                    <w:jc w:val="center"/>
                    <w:rPr>
                      <w:rFonts w:hint="eastAsia" w:eastAsia="宋体"/>
                      <w:lang w:eastAsia="zh-CN"/>
                    </w:rPr>
                  </w:pPr>
                  <w:r>
                    <w:rPr>
                      <w:rFonts w:hint="default"/>
                    </w:rPr>
                    <w:t>控制煤炭消费总量，加快实施重点用能单位节能低碳行动和重点产业能效提升计划，严格执行高耗能行业产品能耗限额标准体系</w:t>
                  </w:r>
                  <w:r>
                    <w:rPr>
                      <w:rFonts w:hint="eastAsia"/>
                      <w:lang w:eastAsia="zh-CN"/>
                    </w:rPr>
                    <w:t>。</w:t>
                  </w:r>
                </w:p>
              </w:tc>
              <w:tc>
                <w:tcPr>
                  <w:tcW w:w="2710" w:type="dxa"/>
                  <w:vAlign w:val="center"/>
                </w:tcPr>
                <w:p>
                  <w:pPr>
                    <w:keepNext w:val="0"/>
                    <w:keepLines w:val="0"/>
                    <w:suppressLineNumbers w:val="0"/>
                    <w:bidi w:val="0"/>
                    <w:spacing w:before="0" w:beforeAutospacing="0" w:after="0" w:afterAutospacing="0"/>
                    <w:ind w:left="0" w:right="0"/>
                    <w:jc w:val="center"/>
                    <w:rPr>
                      <w:rFonts w:hint="eastAsia" w:eastAsia="宋体"/>
                      <w:lang w:eastAsia="zh-CN"/>
                    </w:rPr>
                  </w:pPr>
                  <w:r>
                    <w:rPr>
                      <w:rFonts w:hint="default"/>
                    </w:rPr>
                    <w:t>本项目不使用煤炭燃料</w:t>
                  </w:r>
                  <w:r>
                    <w:rPr>
                      <w:rFonts w:hint="eastAsia"/>
                      <w:lang w:eastAsia="zh-CN"/>
                    </w:rPr>
                    <w:t>。</w:t>
                  </w:r>
                </w:p>
              </w:tc>
              <w:tc>
                <w:tcPr>
                  <w:tcW w:w="1062"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27" w:type="dxa"/>
                  <w:vAlign w:val="center"/>
                </w:tcPr>
                <w:p>
                  <w:pPr>
                    <w:keepNext w:val="0"/>
                    <w:keepLines w:val="0"/>
                    <w:suppressLineNumbers w:val="0"/>
                    <w:bidi w:val="0"/>
                    <w:spacing w:before="0" w:beforeAutospacing="0" w:after="0" w:afterAutospacing="0"/>
                    <w:ind w:left="0" w:right="0"/>
                    <w:jc w:val="center"/>
                    <w:rPr>
                      <w:rFonts w:hint="eastAsia" w:eastAsia="宋体"/>
                      <w:lang w:eastAsia="zh-CN"/>
                    </w:rPr>
                  </w:pPr>
                  <w:r>
                    <w:rPr>
                      <w:rFonts w:hint="default"/>
                    </w:rPr>
                    <w:t>严格落实城市规划及园区规划，优化工业企业布局，推进工业用地园区化集中安排，推进工业企业搬迁入园区</w:t>
                  </w:r>
                  <w:r>
                    <w:rPr>
                      <w:rFonts w:hint="eastAsia"/>
                      <w:lang w:eastAsia="zh-CN"/>
                    </w:rPr>
                    <w:t>。</w:t>
                  </w:r>
                </w:p>
              </w:tc>
              <w:tc>
                <w:tcPr>
                  <w:tcW w:w="2710" w:type="dxa"/>
                  <w:vAlign w:val="center"/>
                </w:tcPr>
                <w:p>
                  <w:pPr>
                    <w:keepNext w:val="0"/>
                    <w:keepLines w:val="0"/>
                    <w:suppressLineNumbers w:val="0"/>
                    <w:bidi w:val="0"/>
                    <w:spacing w:before="0" w:beforeAutospacing="0" w:after="0" w:afterAutospacing="0"/>
                    <w:ind w:left="0" w:right="0"/>
                    <w:jc w:val="center"/>
                    <w:rPr>
                      <w:rFonts w:hint="eastAsia" w:eastAsia="宋体"/>
                      <w:lang w:eastAsia="zh-CN"/>
                    </w:rPr>
                  </w:pPr>
                  <w:r>
                    <w:rPr>
                      <w:rFonts w:hint="default"/>
                    </w:rPr>
                    <w:t>本项目位于淮南市高新区新型显示产业园内</w:t>
                  </w:r>
                  <w:r>
                    <w:rPr>
                      <w:rFonts w:hint="eastAsia"/>
                      <w:lang w:eastAsia="zh-CN"/>
                    </w:rPr>
                    <w:t>。</w:t>
                  </w:r>
                </w:p>
              </w:tc>
              <w:tc>
                <w:tcPr>
                  <w:tcW w:w="1062"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符合</w:t>
                  </w:r>
                </w:p>
              </w:tc>
            </w:tr>
          </w:tbl>
          <w:p>
            <w:pPr>
              <w:pStyle w:val="23"/>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rPr>
            </w:pPr>
            <w:r>
              <w:rPr>
                <w:rFonts w:hint="default"/>
              </w:rPr>
              <w:t>根据上表可知，本项目与</w:t>
            </w:r>
            <w:r>
              <w:rPr>
                <w:rFonts w:hint="eastAsia"/>
                <w:lang w:eastAsia="zh-CN"/>
              </w:rPr>
              <w:t>“</w:t>
            </w:r>
            <w:r>
              <w:rPr>
                <w:rFonts w:hint="default"/>
              </w:rPr>
              <w:t>关于印发《淮南市</w:t>
            </w:r>
            <w:r>
              <w:rPr>
                <w:rFonts w:hint="eastAsia"/>
                <w:lang w:eastAsia="zh-CN"/>
              </w:rPr>
              <w:t>“</w:t>
            </w:r>
            <w:r>
              <w:rPr>
                <w:rFonts w:hint="default"/>
              </w:rPr>
              <w:t>十四五</w:t>
            </w:r>
            <w:r>
              <w:rPr>
                <w:rFonts w:hint="eastAsia"/>
                <w:lang w:eastAsia="zh-CN"/>
              </w:rPr>
              <w:t>”</w:t>
            </w:r>
            <w:r>
              <w:rPr>
                <w:rFonts w:hint="default"/>
              </w:rPr>
              <w:t xml:space="preserve">生态环境保护规划》的通知 </w:t>
            </w:r>
            <w:r>
              <w:rPr>
                <w:rFonts w:hint="eastAsia"/>
                <w:lang w:eastAsia="zh-CN"/>
              </w:rPr>
              <w:t>（</w:t>
            </w:r>
            <w:r>
              <w:rPr>
                <w:rFonts w:hint="default"/>
              </w:rPr>
              <w:t>淮环通〔2022〕46号</w:t>
            </w:r>
            <w:r>
              <w:rPr>
                <w:rFonts w:hint="eastAsia"/>
                <w:lang w:eastAsia="zh-CN"/>
              </w:rPr>
              <w:t>）</w:t>
            </w:r>
            <w:r>
              <w:rPr>
                <w:rFonts w:hint="default"/>
              </w:rPr>
              <w:t xml:space="preserve"> </w:t>
            </w:r>
            <w:r>
              <w:rPr>
                <w:rFonts w:hint="eastAsia"/>
                <w:lang w:eastAsia="zh-CN"/>
              </w:rPr>
              <w:t>”</w:t>
            </w:r>
            <w:r>
              <w:rPr>
                <w:rFonts w:hint="default"/>
              </w:rPr>
              <w:t>提出的意见相符。</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eastAsia"/>
                <w:lang w:val="en-US" w:eastAsia="zh-CN"/>
              </w:rPr>
            </w:pPr>
            <w:r>
              <w:rPr>
                <w:rFonts w:hint="eastAsia" w:ascii="Times New Roman" w:hAnsi="Times New Roman" w:eastAsia="宋体" w:cs="Times New Roman"/>
                <w:kern w:val="2"/>
                <w:sz w:val="24"/>
                <w:szCs w:val="21"/>
                <w:lang w:val="en-US" w:eastAsia="zh-CN" w:bidi="ar-SA"/>
              </w:rPr>
              <w:t>（7）与《安徽省“十四五”大气污染防治规划》符合性分析</w:t>
            </w:r>
          </w:p>
          <w:p>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ascii="Times New Roman" w:hAnsi="Times New Roman" w:eastAsia="黑体" w:cs="Times New Roman"/>
                <w:kern w:val="0"/>
                <w:sz w:val="24"/>
                <w:szCs w:val="24"/>
                <w:lang w:val="en-US" w:eastAsia="zh-CN" w:bidi="ar-SA"/>
              </w:rPr>
            </w:pPr>
            <w:r>
              <w:rPr>
                <w:rFonts w:hint="eastAsia" w:ascii="Times New Roman" w:hAnsi="Times New Roman" w:eastAsia="黑体" w:cs="Times New Roman"/>
                <w:kern w:val="0"/>
                <w:sz w:val="24"/>
                <w:szCs w:val="24"/>
                <w:lang w:val="en-US" w:eastAsia="zh-CN" w:bidi="ar-SA"/>
              </w:rPr>
              <w:t>表1-13</w:t>
            </w:r>
            <w:r>
              <w:rPr>
                <w:rFonts w:hint="default" w:ascii="Times New Roman" w:hAnsi="Times New Roman" w:eastAsia="黑体" w:cs="Times New Roman"/>
                <w:kern w:val="0"/>
                <w:sz w:val="24"/>
                <w:szCs w:val="24"/>
                <w:lang w:val="en-US" w:eastAsia="zh-CN" w:bidi="ar-SA"/>
              </w:rPr>
              <w:t xml:space="preserve"> </w:t>
            </w:r>
            <w:r>
              <w:rPr>
                <w:rFonts w:hint="eastAsia" w:ascii="Times New Roman" w:hAnsi="Times New Roman" w:eastAsia="黑体" w:cs="Times New Roman"/>
                <w:kern w:val="0"/>
                <w:sz w:val="24"/>
                <w:szCs w:val="24"/>
                <w:lang w:val="en-US" w:eastAsia="zh-CN" w:bidi="ar-SA"/>
              </w:rPr>
              <w:t xml:space="preserve"> 与《安徽省“十四五”大气污染防治规划》符合性分析</w:t>
            </w:r>
          </w:p>
          <w:tbl>
            <w:tblPr>
              <w:tblStyle w:val="1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64"/>
              <w:gridCol w:w="3017"/>
              <w:gridCol w:w="8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lang w:val="en-US" w:eastAsia="zh-CN"/>
                    </w:rPr>
                    <w:t>《安徽省“十四五”》相关</w:t>
                  </w:r>
                  <w:r>
                    <w:rPr>
                      <w:rFonts w:hint="default"/>
                      <w:color w:val="auto"/>
                      <w:sz w:val="21"/>
                      <w:szCs w:val="21"/>
                    </w:rPr>
                    <w:t>要求</w:t>
                  </w:r>
                </w:p>
              </w:tc>
              <w:tc>
                <w:tcPr>
                  <w:tcW w:w="285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lang w:eastAsia="zh-CN"/>
                    </w:rPr>
                    <w:t>项目</w:t>
                  </w:r>
                  <w:r>
                    <w:rPr>
                      <w:rFonts w:hint="default"/>
                      <w:color w:val="auto"/>
                      <w:sz w:val="21"/>
                      <w:szCs w:val="21"/>
                    </w:rPr>
                    <w:t>情况</w:t>
                  </w:r>
                </w:p>
              </w:tc>
              <w:tc>
                <w:tcPr>
                  <w:tcW w:w="8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lang w:val="en-US" w:eastAsia="zh-CN"/>
                    </w:rPr>
                  </w:pPr>
                  <w:r>
                    <w:rPr>
                      <w:rFonts w:hint="default"/>
                      <w:color w:val="auto"/>
                      <w:sz w:val="21"/>
                      <w:szCs w:val="21"/>
                      <w:lang w:val="en-US" w:eastAsia="zh-CN"/>
                    </w:rPr>
                    <w:t>结论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）严控“两高”行业盲目发展。严格环境准入，坚决遏制高耗能、高排放即“两高”行业盲目发展。</w:t>
                  </w:r>
                </w:p>
              </w:tc>
              <w:tc>
                <w:tcPr>
                  <w:tcW w:w="285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依据《安徽省“两高”项目管理目录》，本项目不属于</w:t>
                  </w:r>
                  <w:r>
                    <w:rPr>
                      <w:rFonts w:hint="eastAsia" w:ascii="宋体" w:hAnsi="宋体" w:eastAsia="宋体" w:cs="宋体"/>
                      <w:color w:val="auto"/>
                      <w:sz w:val="21"/>
                      <w:szCs w:val="21"/>
                      <w:highlight w:val="none"/>
                      <w:lang w:val="en-US" w:eastAsia="zh-CN"/>
                    </w:rPr>
                    <w:t>“两高”</w:t>
                  </w:r>
                  <w:r>
                    <w:rPr>
                      <w:rFonts w:hint="eastAsia" w:ascii="Times New Roman" w:hAnsi="Times New Roman" w:eastAsia="宋体" w:cs="Times New Roman"/>
                      <w:color w:val="auto"/>
                      <w:sz w:val="21"/>
                      <w:szCs w:val="21"/>
                      <w:highlight w:val="none"/>
                      <w:lang w:val="en-US" w:eastAsia="zh-CN"/>
                    </w:rPr>
                    <w:t>行业</w:t>
                  </w:r>
                </w:p>
              </w:tc>
              <w:tc>
                <w:tcPr>
                  <w:tcW w:w="8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snapToGrid w:val="0"/>
                      <w:color w:val="auto"/>
                      <w:sz w:val="21"/>
                      <w:szCs w:val="21"/>
                      <w:lang w:val="en-US" w:eastAsia="zh-CN"/>
                    </w:rPr>
                  </w:pPr>
                  <w:r>
                    <w:rPr>
                      <w:rFonts w:hint="default"/>
                      <w:snapToGrid w:val="0"/>
                      <w:color w:val="auto"/>
                      <w:sz w:val="21"/>
                      <w:szCs w:val="21"/>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）强化末端处理。</w:t>
                  </w:r>
                  <w:r>
                    <w:rPr>
                      <w:rFonts w:hint="default" w:ascii="Times New Roman" w:hAnsi="Times New Roman" w:eastAsia="宋体" w:cs="Times New Roman"/>
                      <w:color w:val="auto"/>
                      <w:sz w:val="21"/>
                      <w:szCs w:val="21"/>
                      <w:highlight w:val="none"/>
                      <w:lang w:val="en-US" w:eastAsia="zh-CN"/>
                    </w:rPr>
                    <w:t>VOCs</w:t>
                  </w:r>
                  <w:r>
                    <w:rPr>
                      <w:rFonts w:hint="eastAsia" w:ascii="Times New Roman" w:hAnsi="Times New Roman" w:eastAsia="宋体" w:cs="Times New Roman"/>
                      <w:color w:val="auto"/>
                      <w:sz w:val="21"/>
                      <w:szCs w:val="21"/>
                      <w:highlight w:val="none"/>
                      <w:lang w:val="en-US" w:eastAsia="zh-CN"/>
                    </w:rPr>
                    <w:t>治理措施升级。</w:t>
                  </w:r>
                  <w:r>
                    <w:rPr>
                      <w:rFonts w:hint="default" w:ascii="Times New Roman" w:hAnsi="Times New Roman" w:eastAsia="宋体" w:cs="Times New Roman"/>
                      <w:color w:val="auto"/>
                      <w:sz w:val="21"/>
                      <w:szCs w:val="21"/>
                      <w:highlight w:val="none"/>
                      <w:lang w:val="en-US" w:eastAsia="zh-CN"/>
                    </w:rPr>
                    <w:t>VOCs</w:t>
                  </w:r>
                  <w:r>
                    <w:rPr>
                      <w:rFonts w:hint="eastAsia" w:ascii="Times New Roman" w:hAnsi="Times New Roman" w:eastAsia="宋体" w:cs="Times New Roman"/>
                      <w:color w:val="auto"/>
                      <w:sz w:val="21"/>
                      <w:szCs w:val="21"/>
                      <w:highlight w:val="none"/>
                      <w:lang w:val="en-US" w:eastAsia="zh-CN"/>
                    </w:rPr>
                    <w:t>排放末端治理升级。排污企业含</w:t>
                  </w:r>
                  <w:r>
                    <w:rPr>
                      <w:rFonts w:hint="default" w:ascii="Times New Roman" w:hAnsi="Times New Roman" w:eastAsia="宋体" w:cs="Times New Roman"/>
                      <w:color w:val="auto"/>
                      <w:sz w:val="21"/>
                      <w:szCs w:val="21"/>
                      <w:highlight w:val="none"/>
                      <w:lang w:val="en-US" w:eastAsia="zh-CN"/>
                    </w:rPr>
                    <w:t>VOCs</w:t>
                  </w:r>
                  <w:r>
                    <w:rPr>
                      <w:rFonts w:hint="eastAsia" w:ascii="Times New Roman" w:hAnsi="Times New Roman" w:eastAsia="宋体" w:cs="Times New Roman"/>
                      <w:color w:val="auto"/>
                      <w:sz w:val="21"/>
                      <w:szCs w:val="21"/>
                      <w:highlight w:val="none"/>
                      <w:lang w:val="en-US" w:eastAsia="zh-CN"/>
                    </w:rPr>
                    <w:t xml:space="preserve">废气鼓励采用“除尘、活性炭、燃烧或除尘、沸石转轮浓缩、燃烧”等技术或组合技术，提高 </w:t>
                  </w:r>
                  <w:r>
                    <w:rPr>
                      <w:rFonts w:hint="default" w:ascii="Times New Roman" w:hAnsi="Times New Roman" w:eastAsia="宋体" w:cs="Times New Roman"/>
                      <w:color w:val="auto"/>
                      <w:sz w:val="21"/>
                      <w:szCs w:val="21"/>
                      <w:highlight w:val="none"/>
                      <w:lang w:val="en-US" w:eastAsia="zh-CN"/>
                    </w:rPr>
                    <w:t xml:space="preserve">VOCs </w:t>
                  </w:r>
                  <w:r>
                    <w:rPr>
                      <w:rFonts w:hint="eastAsia" w:ascii="Times New Roman" w:hAnsi="Times New Roman" w:eastAsia="宋体" w:cs="Times New Roman"/>
                      <w:color w:val="auto"/>
                      <w:sz w:val="21"/>
                      <w:szCs w:val="21"/>
                      <w:highlight w:val="none"/>
                      <w:lang w:val="en-US" w:eastAsia="zh-CN"/>
                    </w:rPr>
                    <w:t>污染物去除效率。</w:t>
                  </w:r>
                </w:p>
              </w:tc>
              <w:tc>
                <w:tcPr>
                  <w:tcW w:w="285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项目产生的非甲烷总烃</w:t>
                  </w:r>
                  <w:r>
                    <w:rPr>
                      <w:rFonts w:hint="eastAsia" w:ascii="Times New Roman" w:hAnsi="Times New Roman" w:cs="Times New Roman"/>
                      <w:color w:val="auto"/>
                      <w:sz w:val="21"/>
                      <w:szCs w:val="21"/>
                      <w:lang w:val="en-US" w:eastAsia="zh-CN"/>
                    </w:rPr>
                    <w:t>经</w:t>
                  </w:r>
                  <w:r>
                    <w:rPr>
                      <w:rFonts w:hint="default" w:ascii="Times New Roman" w:hAnsi="Times New Roman" w:cs="Times New Roman"/>
                      <w:color w:val="auto"/>
                      <w:sz w:val="21"/>
                      <w:szCs w:val="21"/>
                      <w:lang w:val="en-US" w:eastAsia="zh-CN"/>
                    </w:rPr>
                    <w:t>收集</w:t>
                  </w:r>
                  <w:r>
                    <w:rPr>
                      <w:rFonts w:hint="eastAsia" w:ascii="Times New Roman" w:hAnsi="Times New Roman" w:cs="Times New Roman"/>
                      <w:color w:val="auto"/>
                      <w:sz w:val="21"/>
                      <w:szCs w:val="21"/>
                      <w:lang w:val="en-US" w:eastAsia="zh-CN"/>
                    </w:rPr>
                    <w:t>后进入</w:t>
                  </w:r>
                  <w:r>
                    <w:rPr>
                      <w:rFonts w:hint="eastAsia"/>
                      <w:color w:val="auto"/>
                      <w:sz w:val="21"/>
                      <w:szCs w:val="21"/>
                      <w:lang w:val="en-US" w:eastAsia="zh-CN"/>
                    </w:rPr>
                    <w:t>二级</w:t>
                  </w:r>
                  <w:r>
                    <w:rPr>
                      <w:rFonts w:hint="default"/>
                      <w:color w:val="auto"/>
                      <w:sz w:val="21"/>
                      <w:szCs w:val="21"/>
                      <w:lang w:val="en-US" w:eastAsia="zh-CN"/>
                    </w:rPr>
                    <w:t>活性炭吸附</w:t>
                  </w:r>
                  <w:r>
                    <w:rPr>
                      <w:rFonts w:hint="eastAsia" w:ascii="Times New Roman" w:hAnsi="Times New Roman" w:eastAsia="宋体" w:cs="Times New Roman"/>
                      <w:color w:val="auto"/>
                      <w:sz w:val="21"/>
                      <w:szCs w:val="21"/>
                      <w:highlight w:val="none"/>
                      <w:lang w:val="en-US" w:eastAsia="zh-CN"/>
                    </w:rPr>
                    <w:t>处理达标后经排气筒排放。</w:t>
                  </w:r>
                </w:p>
              </w:tc>
              <w:tc>
                <w:tcPr>
                  <w:tcW w:w="8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snapToGrid w:val="0"/>
                      <w:color w:val="auto"/>
                      <w:sz w:val="21"/>
                      <w:szCs w:val="21"/>
                      <w:lang w:val="en-US" w:eastAsia="zh-CN"/>
                    </w:rPr>
                  </w:pPr>
                  <w:r>
                    <w:rPr>
                      <w:rFonts w:hint="default"/>
                      <w:snapToGrid w:val="0"/>
                      <w:color w:val="auto"/>
                      <w:sz w:val="21"/>
                      <w:szCs w:val="21"/>
                      <w:lang w:val="en-US" w:eastAsia="zh-CN"/>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）推进清洁能源替代。提升供应侧非化石能源比重、提高消费侧电力比重、增加天然气供应量、优化天然气使用，实现“增气减煤”</w:t>
                  </w:r>
                </w:p>
              </w:tc>
              <w:tc>
                <w:tcPr>
                  <w:tcW w:w="2850"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项目使用能源为电。</w:t>
                  </w:r>
                </w:p>
              </w:tc>
              <w:tc>
                <w:tcPr>
                  <w:tcW w:w="8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snapToGrid w:val="0"/>
                      <w:color w:val="auto"/>
                      <w:sz w:val="21"/>
                      <w:szCs w:val="21"/>
                      <w:lang w:val="en-US" w:eastAsia="zh-CN"/>
                    </w:rPr>
                    <w:t>符合</w:t>
                  </w:r>
                </w:p>
              </w:tc>
            </w:tr>
          </w:tbl>
          <w:p>
            <w:pPr>
              <w:pStyle w:val="23"/>
              <w:keepNext w:val="0"/>
              <w:keepLines w:val="0"/>
              <w:suppressLineNumbers w:val="0"/>
              <w:bidi w:val="0"/>
              <w:spacing w:before="0" w:beforeAutospacing="0" w:after="0" w:afterAutospacing="0"/>
              <w:ind w:left="0" w:leftChars="0" w:right="0" w:firstLine="480" w:firstLineChars="200"/>
              <w:rPr>
                <w:rFonts w:hint="default"/>
              </w:rPr>
            </w:pPr>
            <w:r>
              <w:rPr>
                <w:rFonts w:hint="default"/>
              </w:rPr>
              <w:t>（</w:t>
            </w:r>
            <w:r>
              <w:rPr>
                <w:rFonts w:hint="eastAsia"/>
                <w:lang w:val="en-US" w:eastAsia="zh-CN"/>
              </w:rPr>
              <w:t>8</w:t>
            </w:r>
            <w:r>
              <w:rPr>
                <w:rFonts w:hint="default"/>
              </w:rPr>
              <w:t>）与《安徽省淮河流域水污染防治条例》符合性</w:t>
            </w:r>
          </w:p>
          <w:p>
            <w:pPr>
              <w:pStyle w:val="23"/>
              <w:keepNext w:val="0"/>
              <w:keepLines w:val="0"/>
              <w:suppressLineNumbers w:val="0"/>
              <w:bidi w:val="0"/>
              <w:spacing w:before="0" w:beforeAutospacing="0" w:after="0" w:afterAutospacing="0"/>
              <w:ind w:left="0" w:right="0"/>
              <w:rPr>
                <w:rFonts w:hint="default"/>
              </w:rPr>
            </w:pPr>
            <w:r>
              <w:rPr>
                <w:rFonts w:hint="default"/>
              </w:rPr>
              <w:t>安徽省第十三届人民代表大会常务委员会第六次会议通过了《安徽省淮河流域水污染防治条例》，2019年1月1日实施。本项目与《安徽省淮河流域水污染防治条例》符合性分析见下表：</w:t>
            </w:r>
          </w:p>
          <w:p>
            <w:pPr>
              <w:pStyle w:val="11"/>
              <w:keepNext w:val="0"/>
              <w:keepLines w:val="0"/>
              <w:suppressLineNumbers w:val="0"/>
              <w:bidi w:val="0"/>
              <w:spacing w:before="0" w:after="0" w:afterAutospacing="0"/>
              <w:ind w:right="0"/>
              <w:rPr>
                <w:rFonts w:hint="default"/>
              </w:rPr>
            </w:pPr>
            <w:r>
              <w:rPr>
                <w:rFonts w:hint="default"/>
              </w:rPr>
              <w:t>表1-</w:t>
            </w:r>
            <w:r>
              <w:rPr>
                <w:rFonts w:hint="eastAsia"/>
                <w:lang w:val="en-US" w:eastAsia="zh-CN"/>
              </w:rPr>
              <w:t>14</w:t>
            </w:r>
            <w:r>
              <w:rPr>
                <w:rFonts w:hint="default"/>
              </w:rPr>
              <w:t xml:space="preserve"> 项目建设与《安徽省淮河流域水污染防治条例》符合性分析</w:t>
            </w:r>
          </w:p>
          <w:tbl>
            <w:tblPr>
              <w:tblStyle w:val="19"/>
              <w:tblW w:w="853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28"/>
              <w:gridCol w:w="3592"/>
              <w:gridCol w:w="3060"/>
              <w:gridCol w:w="105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82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序号</w:t>
                  </w:r>
                </w:p>
              </w:tc>
              <w:tc>
                <w:tcPr>
                  <w:tcW w:w="3592"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相关要求</w:t>
                  </w:r>
                </w:p>
              </w:tc>
              <w:tc>
                <w:tcPr>
                  <w:tcW w:w="306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本项目情况</w:t>
                  </w:r>
                </w:p>
              </w:tc>
              <w:tc>
                <w:tcPr>
                  <w:tcW w:w="105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82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3592" w:type="dxa"/>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b w:val="0"/>
                      <w:bCs/>
                      <w:sz w:val="21"/>
                      <w:szCs w:val="21"/>
                      <w:lang w:eastAsia="zh-CN"/>
                    </w:rPr>
                  </w:pPr>
                  <w:r>
                    <w:rPr>
                      <w:rFonts w:hint="default" w:ascii="Times New Roman" w:hAnsi="Times New Roman" w:cs="Times New Roman"/>
                      <w:b w:val="0"/>
                      <w:bCs/>
                      <w:sz w:val="21"/>
                      <w:szCs w:val="21"/>
                    </w:rPr>
                    <w:t>禁止在淮河流域新建化学制浆造纸企业和印染、制革、化工、电镀、酿造等污染严重的小型企业。严格限制在淮河流域新建印染、制革、化工、电镀、酿造等大中型项目或者其他污染严重的项目；建设该类项目的，应当事前征得省人民政府生态环境行政主管部门的同意，并按照规定办理有关手续</w:t>
                  </w:r>
                  <w:r>
                    <w:rPr>
                      <w:rFonts w:hint="eastAsia" w:cs="Times New Roman"/>
                      <w:b w:val="0"/>
                      <w:bCs/>
                      <w:sz w:val="21"/>
                      <w:szCs w:val="21"/>
                      <w:lang w:eastAsia="zh-CN"/>
                    </w:rPr>
                    <w:t>。</w:t>
                  </w:r>
                </w:p>
              </w:tc>
              <w:tc>
                <w:tcPr>
                  <w:tcW w:w="3060" w:type="dxa"/>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b w:val="0"/>
                      <w:bCs/>
                      <w:sz w:val="21"/>
                      <w:szCs w:val="21"/>
                      <w:lang w:eastAsia="zh-CN"/>
                    </w:rPr>
                  </w:pPr>
                  <w:r>
                    <w:rPr>
                      <w:rFonts w:hint="default" w:ascii="Times New Roman" w:hAnsi="Times New Roman" w:cs="Times New Roman"/>
                      <w:b w:val="0"/>
                      <w:bCs/>
                      <w:sz w:val="21"/>
                      <w:szCs w:val="21"/>
                    </w:rPr>
                    <w:t>本项目为</w:t>
                  </w:r>
                  <w:r>
                    <w:rPr>
                      <w:rFonts w:hint="eastAsia" w:cs="Times New Roman"/>
                      <w:b w:val="0"/>
                      <w:bCs/>
                      <w:sz w:val="21"/>
                      <w:szCs w:val="21"/>
                      <w:lang w:eastAsia="zh-CN"/>
                    </w:rPr>
                    <w:t>电阻电容电感元件制造</w:t>
                  </w:r>
                  <w:r>
                    <w:rPr>
                      <w:rFonts w:hint="default" w:ascii="Times New Roman" w:hAnsi="Times New Roman" w:cs="Times New Roman"/>
                      <w:b w:val="0"/>
                      <w:bCs/>
                      <w:sz w:val="21"/>
                      <w:szCs w:val="21"/>
                    </w:rPr>
                    <w:t>；不属于印染、制革、化工、电镀、酿造等类型项目</w:t>
                  </w:r>
                  <w:r>
                    <w:rPr>
                      <w:rFonts w:hint="eastAsia" w:cs="Times New Roman"/>
                      <w:b w:val="0"/>
                      <w:bCs/>
                      <w:sz w:val="21"/>
                      <w:szCs w:val="21"/>
                      <w:lang w:eastAsia="zh-CN"/>
                    </w:rPr>
                    <w:t>。</w:t>
                  </w:r>
                </w:p>
              </w:tc>
              <w:tc>
                <w:tcPr>
                  <w:tcW w:w="105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 w:hRule="atLeast"/>
                <w:jc w:val="center"/>
              </w:trPr>
              <w:tc>
                <w:tcPr>
                  <w:tcW w:w="82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3592" w:type="dxa"/>
                  <w:vAlign w:val="center"/>
                </w:tcPr>
                <w:p>
                  <w:pPr>
                    <w:keepNext w:val="0"/>
                    <w:keepLines w:val="0"/>
                    <w:suppressLineNumbers w:val="0"/>
                    <w:spacing w:before="0" w:beforeAutospacing="0" w:after="0" w:afterAutospacing="0"/>
                    <w:ind w:left="0" w:right="0"/>
                    <w:rPr>
                      <w:rFonts w:hint="default" w:ascii="Times New Roman" w:hAnsi="Times New Roman" w:cs="Times New Roman"/>
                      <w:b w:val="0"/>
                      <w:bCs/>
                      <w:sz w:val="21"/>
                      <w:szCs w:val="21"/>
                    </w:rPr>
                  </w:pPr>
                  <w:r>
                    <w:rPr>
                      <w:rFonts w:hint="default" w:ascii="Times New Roman" w:hAnsi="Times New Roman" w:cs="Times New Roman"/>
                      <w:b w:val="0"/>
                      <w:bCs/>
                      <w:sz w:val="21"/>
                      <w:szCs w:val="21"/>
                    </w:rPr>
                    <w:t>在淮河流域城市公共排水设施覆盖区域内，应当实行雨水、污水分流；排水户应当将雨水、污水分别排入公共雨水、污水管网及其附属设施。</w:t>
                  </w:r>
                </w:p>
              </w:tc>
              <w:tc>
                <w:tcPr>
                  <w:tcW w:w="3060" w:type="dxa"/>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b w:val="0"/>
                      <w:bCs/>
                      <w:sz w:val="21"/>
                      <w:szCs w:val="21"/>
                      <w:lang w:eastAsia="zh-CN"/>
                    </w:rPr>
                  </w:pPr>
                  <w:r>
                    <w:rPr>
                      <w:rFonts w:hint="default" w:ascii="Times New Roman" w:hAnsi="Times New Roman" w:cs="Times New Roman"/>
                      <w:b w:val="0"/>
                      <w:bCs/>
                      <w:sz w:val="21"/>
                      <w:szCs w:val="21"/>
                    </w:rPr>
                    <w:t>项目实行雨污分流，雨水进入周边市政雨水管网，产生的废水主要为生活污水、纯水制备废水和清洗废水，生活污水经过化粪池处理后经厂区废水总排口排入</w:t>
                  </w:r>
                  <w:r>
                    <w:rPr>
                      <w:rFonts w:hint="eastAsia" w:cs="Times New Roman"/>
                      <w:b w:val="0"/>
                      <w:bCs/>
                      <w:sz w:val="21"/>
                      <w:szCs w:val="21"/>
                      <w:lang w:val="en-US" w:eastAsia="zh-CN"/>
                    </w:rPr>
                    <w:t>园区</w:t>
                  </w:r>
                  <w:r>
                    <w:rPr>
                      <w:rFonts w:hint="default" w:ascii="Times New Roman" w:hAnsi="Times New Roman" w:cs="Times New Roman"/>
                      <w:b w:val="0"/>
                      <w:bCs/>
                      <w:sz w:val="21"/>
                      <w:szCs w:val="21"/>
                    </w:rPr>
                    <w:t>污水管网；</w:t>
                  </w:r>
                  <w:r>
                    <w:rPr>
                      <w:rFonts w:hint="eastAsia" w:cs="Times New Roman"/>
                      <w:b w:val="0"/>
                      <w:bCs/>
                      <w:sz w:val="21"/>
                      <w:szCs w:val="21"/>
                      <w:lang w:val="en-US" w:eastAsia="zh-CN"/>
                    </w:rPr>
                    <w:t>清洗废水经沉淀后与</w:t>
                  </w:r>
                  <w:r>
                    <w:rPr>
                      <w:rFonts w:hint="default" w:ascii="Times New Roman" w:hAnsi="Times New Roman" w:cs="Times New Roman"/>
                      <w:b w:val="0"/>
                      <w:bCs/>
                      <w:sz w:val="21"/>
                      <w:szCs w:val="21"/>
                    </w:rPr>
                    <w:t>纯水制备</w:t>
                  </w:r>
                  <w:r>
                    <w:rPr>
                      <w:rFonts w:hint="eastAsia" w:cs="Times New Roman"/>
                      <w:b w:val="0"/>
                      <w:bCs/>
                      <w:sz w:val="21"/>
                      <w:szCs w:val="21"/>
                      <w:lang w:val="en-US" w:eastAsia="zh-CN"/>
                    </w:rPr>
                    <w:t>产生的浓水一并</w:t>
                  </w:r>
                  <w:r>
                    <w:rPr>
                      <w:rFonts w:hint="default" w:ascii="Times New Roman" w:hAnsi="Times New Roman" w:cs="Times New Roman"/>
                      <w:b w:val="0"/>
                      <w:bCs/>
                      <w:sz w:val="21"/>
                      <w:szCs w:val="21"/>
                    </w:rPr>
                    <w:t>排入</w:t>
                  </w:r>
                  <w:r>
                    <w:rPr>
                      <w:rFonts w:hint="eastAsia" w:cs="Times New Roman"/>
                      <w:b w:val="0"/>
                      <w:bCs/>
                      <w:sz w:val="21"/>
                      <w:szCs w:val="21"/>
                      <w:lang w:val="en-US" w:eastAsia="zh-CN"/>
                    </w:rPr>
                    <w:t>园区</w:t>
                  </w:r>
                  <w:r>
                    <w:rPr>
                      <w:rFonts w:hint="default" w:ascii="Times New Roman" w:hAnsi="Times New Roman" w:cs="Times New Roman"/>
                      <w:b w:val="0"/>
                      <w:bCs/>
                      <w:sz w:val="21"/>
                      <w:szCs w:val="21"/>
                    </w:rPr>
                    <w:t>污水管网；达</w:t>
                  </w:r>
                  <w:r>
                    <w:rPr>
                      <w:rFonts w:hint="eastAsia" w:cs="Times New Roman"/>
                      <w:b w:val="0"/>
                      <w:bCs/>
                      <w:sz w:val="21"/>
                      <w:szCs w:val="21"/>
                      <w:lang w:val="en-US" w:eastAsia="zh-CN"/>
                    </w:rPr>
                    <w:t>到</w:t>
                  </w:r>
                  <w:r>
                    <w:rPr>
                      <w:rFonts w:hint="default" w:ascii="Times New Roman" w:hAnsi="Times New Roman" w:cs="Times New Roman"/>
                      <w:b w:val="0"/>
                      <w:bCs/>
                      <w:sz w:val="21"/>
                      <w:szCs w:val="21"/>
                    </w:rPr>
                    <w:t>《电子工业水污染物排放标准》</w:t>
                  </w:r>
                  <w:r>
                    <w:rPr>
                      <w:rFonts w:hint="eastAsia" w:cs="Times New Roman"/>
                      <w:b w:val="0"/>
                      <w:bCs/>
                      <w:sz w:val="21"/>
                      <w:szCs w:val="21"/>
                      <w:lang w:eastAsia="zh-CN"/>
                    </w:rPr>
                    <w:t>（</w:t>
                  </w:r>
                  <w:r>
                    <w:rPr>
                      <w:rFonts w:hint="default" w:ascii="Times New Roman" w:hAnsi="Times New Roman" w:cs="Times New Roman"/>
                      <w:b w:val="0"/>
                      <w:bCs/>
                      <w:sz w:val="21"/>
                      <w:szCs w:val="21"/>
                    </w:rPr>
                    <w:t>GB39731-2020</w:t>
                  </w:r>
                  <w:r>
                    <w:rPr>
                      <w:rFonts w:hint="eastAsia" w:cs="Times New Roman"/>
                      <w:b w:val="0"/>
                      <w:bCs/>
                      <w:sz w:val="21"/>
                      <w:szCs w:val="21"/>
                      <w:lang w:eastAsia="zh-CN"/>
                    </w:rPr>
                    <w:t>）</w:t>
                  </w:r>
                  <w:r>
                    <w:rPr>
                      <w:rFonts w:hint="default" w:ascii="Times New Roman" w:hAnsi="Times New Roman" w:cs="Times New Roman"/>
                      <w:b w:val="0"/>
                      <w:bCs/>
                      <w:sz w:val="21"/>
                      <w:szCs w:val="21"/>
                    </w:rPr>
                    <w:t>和污水处理厂接管限值后接</w:t>
                  </w:r>
                  <w:r>
                    <w:rPr>
                      <w:rFonts w:hint="eastAsia" w:cs="Times New Roman"/>
                      <w:b w:val="0"/>
                      <w:bCs/>
                      <w:sz w:val="21"/>
                      <w:szCs w:val="21"/>
                      <w:lang w:val="en-US" w:eastAsia="zh-CN"/>
                    </w:rPr>
                    <w:t>入</w:t>
                  </w:r>
                  <w:r>
                    <w:rPr>
                      <w:rFonts w:hint="default" w:ascii="Times New Roman" w:hAnsi="Times New Roman" w:cs="Times New Roman"/>
                      <w:b w:val="0"/>
                      <w:bCs/>
                      <w:sz w:val="21"/>
                      <w:szCs w:val="21"/>
                    </w:rPr>
                    <w:t>市政污水管网，排入山南新区污水处理厂处理</w:t>
                  </w:r>
                  <w:r>
                    <w:rPr>
                      <w:rFonts w:hint="eastAsia" w:cs="Times New Roman"/>
                      <w:b w:val="0"/>
                      <w:bCs/>
                      <w:sz w:val="21"/>
                      <w:szCs w:val="21"/>
                      <w:lang w:eastAsia="zh-CN"/>
                    </w:rPr>
                    <w:t>。</w:t>
                  </w:r>
                </w:p>
              </w:tc>
              <w:tc>
                <w:tcPr>
                  <w:tcW w:w="105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符合</w:t>
                  </w:r>
                </w:p>
              </w:tc>
            </w:tr>
          </w:tbl>
          <w:p>
            <w:pPr>
              <w:pStyle w:val="23"/>
              <w:keepNext w:val="0"/>
              <w:keepLines w:val="0"/>
              <w:suppressLineNumbers w:val="0"/>
              <w:bidi w:val="0"/>
              <w:spacing w:before="0" w:beforeAutospacing="0" w:after="0" w:afterAutospacing="0"/>
              <w:ind w:left="0" w:right="0"/>
              <w:rPr>
                <w:rFonts w:hint="default"/>
              </w:rPr>
            </w:pPr>
            <w:r>
              <w:rPr>
                <w:rFonts w:hint="default"/>
              </w:rPr>
              <w:t>4、环境相容性分析</w:t>
            </w:r>
          </w:p>
          <w:p>
            <w:pPr>
              <w:pStyle w:val="23"/>
              <w:keepNext w:val="0"/>
              <w:keepLines w:val="0"/>
              <w:suppressLineNumbers w:val="0"/>
              <w:bidi w:val="0"/>
              <w:spacing w:before="0" w:beforeAutospacing="0" w:after="0" w:afterAutospacing="0"/>
              <w:ind w:left="0" w:right="0"/>
              <w:rPr>
                <w:rFonts w:hint="default"/>
              </w:rPr>
            </w:pPr>
            <w:r>
              <w:rPr>
                <w:rFonts w:hint="default"/>
              </w:rPr>
              <w:t>本项目租赁淮南市高新区新型显示产业园7号楼3、4、5层，淮南市高新区新型显示产业园标准化厂房</w:t>
            </w:r>
            <w:r>
              <w:rPr>
                <w:rFonts w:hint="eastAsia"/>
                <w:lang w:val="en-US" w:eastAsia="zh-CN"/>
              </w:rPr>
              <w:t>无需</w:t>
            </w:r>
            <w:r>
              <w:rPr>
                <w:rFonts w:hint="default"/>
              </w:rPr>
              <w:t>履行环评手续，根据现场勘查，本项目现状为空置厂房，项目评价范围内无生态保护区、自然保护区、</w:t>
            </w:r>
            <w:r>
              <w:rPr>
                <w:rFonts w:hint="eastAsia"/>
                <w:lang w:val="en-US" w:eastAsia="zh-CN"/>
              </w:rPr>
              <w:t>风景</w:t>
            </w:r>
            <w:r>
              <w:rPr>
                <w:rFonts w:hint="default"/>
              </w:rPr>
              <w:t>旅游区及文化遗产保护区等环境敏感目标。项目所在楼栋为7号楼，项目周边不存在与本项目相冲突的企业、无对本项目敏感的企业存在。本项目产生的污染物主要为废气、废水、生产噪声、固体废物，在采取相应的治理措施后，对区域环境影响较小。因此，本项目选址合理，与外环境相容。</w:t>
            </w:r>
          </w:p>
          <w:p>
            <w:pPr>
              <w:pStyle w:val="11"/>
              <w:keepNext w:val="0"/>
              <w:keepLines w:val="0"/>
              <w:suppressLineNumbers w:val="0"/>
              <w:bidi w:val="0"/>
              <w:spacing w:before="0" w:after="0" w:afterAutospacing="0"/>
              <w:ind w:right="0"/>
              <w:rPr>
                <w:rFonts w:hint="default"/>
                <w:b/>
                <w:szCs w:val="24"/>
              </w:rPr>
            </w:pPr>
            <w:r>
              <w:rPr>
                <w:rFonts w:hint="default"/>
              </w:rPr>
              <w:t>表1</w:t>
            </w:r>
            <w:r>
              <w:rPr>
                <w:rFonts w:hint="eastAsia"/>
                <w:lang w:val="en-US" w:eastAsia="zh-CN"/>
              </w:rPr>
              <w:t>-15</w:t>
            </w:r>
            <w:r>
              <w:rPr>
                <w:rFonts w:hint="default"/>
              </w:rPr>
              <w:t xml:space="preserve"> 项目与淮南高新区标准化厂房工程项目符合性分析表</w:t>
            </w:r>
          </w:p>
          <w:tbl>
            <w:tblPr>
              <w:tblStyle w:val="1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54"/>
              <w:gridCol w:w="3475"/>
              <w:gridCol w:w="3158"/>
              <w:gridCol w:w="96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3" w:hRule="atLeast"/>
                <w:jc w:val="center"/>
              </w:trPr>
              <w:tc>
                <w:tcPr>
                  <w:tcW w:w="870"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序号</w:t>
                  </w:r>
                </w:p>
              </w:tc>
              <w:tc>
                <w:tcPr>
                  <w:tcW w:w="3547"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规划环评及审查意见内容</w:t>
                  </w:r>
                </w:p>
              </w:tc>
              <w:tc>
                <w:tcPr>
                  <w:tcW w:w="3224"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本项目情况</w:t>
                  </w:r>
                </w:p>
              </w:tc>
              <w:tc>
                <w:tcPr>
                  <w:tcW w:w="978"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符合性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263" w:hRule="atLeast"/>
                <w:jc w:val="center"/>
              </w:trPr>
              <w:tc>
                <w:tcPr>
                  <w:tcW w:w="870"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1</w:t>
                  </w:r>
                </w:p>
              </w:tc>
              <w:tc>
                <w:tcPr>
                  <w:tcW w:w="3547" w:type="dxa"/>
                  <w:vAlign w:val="center"/>
                </w:tcPr>
                <w:p>
                  <w:pPr>
                    <w:keepNext w:val="0"/>
                    <w:keepLines w:val="0"/>
                    <w:suppressLineNumbers w:val="0"/>
                    <w:spacing w:before="0" w:beforeAutospacing="0" w:after="0" w:afterAutospacing="0"/>
                    <w:ind w:left="0" w:right="0"/>
                    <w:jc w:val="center"/>
                    <w:rPr>
                      <w:rFonts w:hint="eastAsia" w:eastAsia="宋体"/>
                      <w:b w:val="0"/>
                      <w:bCs/>
                      <w:sz w:val="21"/>
                      <w:szCs w:val="21"/>
                      <w:lang w:eastAsia="zh-CN"/>
                    </w:rPr>
                  </w:pPr>
                  <w:r>
                    <w:rPr>
                      <w:rFonts w:hint="default"/>
                      <w:b w:val="0"/>
                      <w:bCs/>
                      <w:sz w:val="21"/>
                      <w:szCs w:val="21"/>
                    </w:rPr>
                    <w:t>标准化厂房不得入驻不符合国家产业政策、不符合园区主导产业导向、高能耗、高污染的项目</w:t>
                  </w:r>
                  <w:r>
                    <w:rPr>
                      <w:rFonts w:hint="eastAsia"/>
                      <w:b w:val="0"/>
                      <w:bCs/>
                      <w:sz w:val="21"/>
                      <w:szCs w:val="21"/>
                      <w:lang w:eastAsia="zh-CN"/>
                    </w:rPr>
                    <w:t>。</w:t>
                  </w:r>
                </w:p>
              </w:tc>
              <w:tc>
                <w:tcPr>
                  <w:tcW w:w="3224" w:type="dxa"/>
                  <w:vAlign w:val="center"/>
                </w:tcPr>
                <w:p>
                  <w:pPr>
                    <w:keepNext w:val="0"/>
                    <w:keepLines w:val="0"/>
                    <w:suppressLineNumbers w:val="0"/>
                    <w:spacing w:before="0" w:beforeAutospacing="0" w:after="0" w:afterAutospacing="0"/>
                    <w:ind w:left="0" w:right="0"/>
                    <w:jc w:val="center"/>
                    <w:rPr>
                      <w:rFonts w:hint="eastAsia" w:eastAsia="宋体"/>
                      <w:b w:val="0"/>
                      <w:bCs/>
                      <w:sz w:val="21"/>
                      <w:szCs w:val="21"/>
                      <w:lang w:eastAsia="zh-CN"/>
                    </w:rPr>
                  </w:pPr>
                  <w:r>
                    <w:rPr>
                      <w:rFonts w:hint="default"/>
                      <w:b w:val="0"/>
                      <w:bCs/>
                      <w:sz w:val="21"/>
                      <w:szCs w:val="21"/>
                    </w:rPr>
                    <w:t>本项目属于</w:t>
                  </w:r>
                  <w:r>
                    <w:rPr>
                      <w:rFonts w:hint="eastAsia"/>
                      <w:b w:val="0"/>
                      <w:bCs/>
                      <w:sz w:val="21"/>
                      <w:szCs w:val="21"/>
                      <w:lang w:eastAsia="zh-CN"/>
                    </w:rPr>
                    <w:t>电阻电容电感元件制造</w:t>
                  </w:r>
                  <w:r>
                    <w:rPr>
                      <w:rFonts w:hint="default"/>
                      <w:b w:val="0"/>
                      <w:bCs/>
                      <w:sz w:val="21"/>
                      <w:szCs w:val="21"/>
                    </w:rPr>
                    <w:t>项目，属于园区主导产业导向，不属于高污染、高能耗项目</w:t>
                  </w:r>
                  <w:r>
                    <w:rPr>
                      <w:rFonts w:hint="eastAsia"/>
                      <w:b w:val="0"/>
                      <w:bCs/>
                      <w:sz w:val="21"/>
                      <w:szCs w:val="21"/>
                      <w:lang w:eastAsia="zh-CN"/>
                    </w:rPr>
                    <w:t>。</w:t>
                  </w:r>
                </w:p>
              </w:tc>
              <w:tc>
                <w:tcPr>
                  <w:tcW w:w="978"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9" w:hRule="atLeast"/>
                <w:jc w:val="center"/>
              </w:trPr>
              <w:tc>
                <w:tcPr>
                  <w:tcW w:w="870"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2</w:t>
                  </w:r>
                </w:p>
              </w:tc>
              <w:tc>
                <w:tcPr>
                  <w:tcW w:w="3547" w:type="dxa"/>
                  <w:vAlign w:val="center"/>
                </w:tcPr>
                <w:p>
                  <w:pPr>
                    <w:keepNext w:val="0"/>
                    <w:keepLines w:val="0"/>
                    <w:suppressLineNumbers w:val="0"/>
                    <w:spacing w:before="0" w:beforeAutospacing="0" w:after="0" w:afterAutospacing="0"/>
                    <w:ind w:left="0" w:right="0"/>
                    <w:jc w:val="center"/>
                    <w:rPr>
                      <w:rFonts w:hint="eastAsia" w:eastAsia="宋体"/>
                      <w:b w:val="0"/>
                      <w:bCs/>
                      <w:sz w:val="21"/>
                      <w:szCs w:val="21"/>
                      <w:lang w:eastAsia="zh-CN"/>
                    </w:rPr>
                  </w:pPr>
                  <w:r>
                    <w:rPr>
                      <w:rFonts w:hint="default"/>
                      <w:b w:val="0"/>
                      <w:bCs/>
                      <w:sz w:val="21"/>
                      <w:szCs w:val="21"/>
                    </w:rPr>
                    <w:t>加快项目的基础设施建设，确保入驻项目污染物达标排放</w:t>
                  </w:r>
                  <w:r>
                    <w:rPr>
                      <w:rFonts w:hint="eastAsia"/>
                      <w:b w:val="0"/>
                      <w:bCs/>
                      <w:sz w:val="21"/>
                      <w:szCs w:val="21"/>
                      <w:lang w:eastAsia="zh-CN"/>
                    </w:rPr>
                    <w:t>。</w:t>
                  </w:r>
                </w:p>
              </w:tc>
              <w:tc>
                <w:tcPr>
                  <w:tcW w:w="3224" w:type="dxa"/>
                  <w:vAlign w:val="center"/>
                </w:tcPr>
                <w:p>
                  <w:pPr>
                    <w:keepNext w:val="0"/>
                    <w:keepLines w:val="0"/>
                    <w:suppressLineNumbers w:val="0"/>
                    <w:spacing w:before="0" w:beforeAutospacing="0" w:after="0" w:afterAutospacing="0"/>
                    <w:ind w:left="0" w:right="0"/>
                    <w:jc w:val="center"/>
                    <w:rPr>
                      <w:rFonts w:hint="eastAsia" w:eastAsia="宋体"/>
                      <w:b w:val="0"/>
                      <w:bCs/>
                      <w:sz w:val="21"/>
                      <w:szCs w:val="21"/>
                      <w:lang w:eastAsia="zh-CN"/>
                    </w:rPr>
                  </w:pPr>
                  <w:r>
                    <w:rPr>
                      <w:rFonts w:hint="default"/>
                      <w:b w:val="0"/>
                      <w:bCs/>
                      <w:sz w:val="21"/>
                      <w:szCs w:val="21"/>
                    </w:rPr>
                    <w:t>本评价要求企业投产后根据相关规范定期开展自行监测，确保各类污染物达标排放</w:t>
                  </w:r>
                  <w:r>
                    <w:rPr>
                      <w:rFonts w:hint="eastAsia"/>
                      <w:b w:val="0"/>
                      <w:bCs/>
                      <w:sz w:val="21"/>
                      <w:szCs w:val="21"/>
                      <w:lang w:eastAsia="zh-CN"/>
                    </w:rPr>
                    <w:t>。</w:t>
                  </w:r>
                </w:p>
              </w:tc>
              <w:tc>
                <w:tcPr>
                  <w:tcW w:w="978"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263" w:hRule="atLeast"/>
                <w:jc w:val="center"/>
              </w:trPr>
              <w:tc>
                <w:tcPr>
                  <w:tcW w:w="870"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3</w:t>
                  </w:r>
                </w:p>
              </w:tc>
              <w:tc>
                <w:tcPr>
                  <w:tcW w:w="3547" w:type="dxa"/>
                  <w:vAlign w:val="center"/>
                </w:tcPr>
                <w:p>
                  <w:pPr>
                    <w:keepNext w:val="0"/>
                    <w:keepLines w:val="0"/>
                    <w:suppressLineNumbers w:val="0"/>
                    <w:spacing w:before="0" w:beforeAutospacing="0" w:after="0" w:afterAutospacing="0"/>
                    <w:ind w:left="0" w:right="0"/>
                    <w:jc w:val="center"/>
                    <w:rPr>
                      <w:rFonts w:hint="eastAsia" w:eastAsia="宋体"/>
                      <w:b w:val="0"/>
                      <w:bCs/>
                      <w:sz w:val="21"/>
                      <w:szCs w:val="21"/>
                      <w:lang w:eastAsia="zh-CN"/>
                    </w:rPr>
                  </w:pPr>
                  <w:r>
                    <w:rPr>
                      <w:rFonts w:hint="default"/>
                      <w:b w:val="0"/>
                      <w:bCs/>
                      <w:sz w:val="21"/>
                      <w:szCs w:val="21"/>
                    </w:rPr>
                    <w:t>加强环境监理工作，所有入驻项目必须严格执行建设项目环境影响评价和</w:t>
                  </w:r>
                  <w:r>
                    <w:rPr>
                      <w:rFonts w:hint="eastAsia"/>
                      <w:b w:val="0"/>
                      <w:bCs/>
                      <w:sz w:val="21"/>
                      <w:szCs w:val="21"/>
                      <w:lang w:eastAsia="zh-CN"/>
                    </w:rPr>
                    <w:t>“</w:t>
                  </w:r>
                  <w:r>
                    <w:rPr>
                      <w:rFonts w:hint="default"/>
                      <w:b w:val="0"/>
                      <w:bCs/>
                      <w:sz w:val="21"/>
                      <w:szCs w:val="21"/>
                    </w:rPr>
                    <w:t>三同时</w:t>
                  </w:r>
                  <w:r>
                    <w:rPr>
                      <w:rFonts w:hint="eastAsia"/>
                      <w:b w:val="0"/>
                      <w:bCs/>
                      <w:sz w:val="21"/>
                      <w:szCs w:val="21"/>
                      <w:lang w:eastAsia="zh-CN"/>
                    </w:rPr>
                    <w:t>”</w:t>
                  </w:r>
                  <w:r>
                    <w:rPr>
                      <w:rFonts w:hint="default"/>
                      <w:b w:val="0"/>
                      <w:bCs/>
                      <w:sz w:val="21"/>
                      <w:szCs w:val="21"/>
                    </w:rPr>
                    <w:t>制度</w:t>
                  </w:r>
                  <w:r>
                    <w:rPr>
                      <w:rFonts w:hint="eastAsia"/>
                      <w:b w:val="0"/>
                      <w:bCs/>
                      <w:sz w:val="21"/>
                      <w:szCs w:val="21"/>
                      <w:lang w:eastAsia="zh-CN"/>
                    </w:rPr>
                    <w:t>。</w:t>
                  </w:r>
                </w:p>
              </w:tc>
              <w:tc>
                <w:tcPr>
                  <w:tcW w:w="3224" w:type="dxa"/>
                  <w:vAlign w:val="center"/>
                </w:tcPr>
                <w:p>
                  <w:pPr>
                    <w:keepNext w:val="0"/>
                    <w:keepLines w:val="0"/>
                    <w:suppressLineNumbers w:val="0"/>
                    <w:spacing w:before="0" w:beforeAutospacing="0" w:after="0" w:afterAutospacing="0"/>
                    <w:ind w:left="0" w:right="0"/>
                    <w:jc w:val="center"/>
                    <w:rPr>
                      <w:rFonts w:hint="eastAsia" w:eastAsia="宋体"/>
                      <w:b w:val="0"/>
                      <w:bCs/>
                      <w:sz w:val="21"/>
                      <w:szCs w:val="21"/>
                      <w:lang w:eastAsia="zh-CN"/>
                    </w:rPr>
                  </w:pPr>
                  <w:r>
                    <w:rPr>
                      <w:rFonts w:hint="default"/>
                      <w:b w:val="0"/>
                      <w:bCs/>
                      <w:sz w:val="21"/>
                      <w:szCs w:val="21"/>
                    </w:rPr>
                    <w:t>本项目正在开展环境影响评价，本评价要求企业实际建设生产过程中严格执行</w:t>
                  </w:r>
                  <w:r>
                    <w:rPr>
                      <w:rFonts w:hint="eastAsia"/>
                      <w:b w:val="0"/>
                      <w:bCs/>
                      <w:sz w:val="21"/>
                      <w:szCs w:val="21"/>
                      <w:lang w:eastAsia="zh-CN"/>
                    </w:rPr>
                    <w:t>“</w:t>
                  </w:r>
                  <w:r>
                    <w:rPr>
                      <w:rFonts w:hint="default"/>
                      <w:b w:val="0"/>
                      <w:bCs/>
                      <w:sz w:val="21"/>
                      <w:szCs w:val="21"/>
                    </w:rPr>
                    <w:t>三同时</w:t>
                  </w:r>
                  <w:r>
                    <w:rPr>
                      <w:rFonts w:hint="eastAsia"/>
                      <w:b w:val="0"/>
                      <w:bCs/>
                      <w:sz w:val="21"/>
                      <w:szCs w:val="21"/>
                      <w:lang w:eastAsia="zh-CN"/>
                    </w:rPr>
                    <w:t>”</w:t>
                  </w:r>
                  <w:r>
                    <w:rPr>
                      <w:rFonts w:hint="default"/>
                      <w:b w:val="0"/>
                      <w:bCs/>
                      <w:sz w:val="21"/>
                      <w:szCs w:val="21"/>
                    </w:rPr>
                    <w:t>制度</w:t>
                  </w:r>
                  <w:r>
                    <w:rPr>
                      <w:rFonts w:hint="eastAsia"/>
                      <w:b w:val="0"/>
                      <w:bCs/>
                      <w:sz w:val="21"/>
                      <w:szCs w:val="21"/>
                      <w:lang w:eastAsia="zh-CN"/>
                    </w:rPr>
                    <w:t>。</w:t>
                  </w:r>
                </w:p>
              </w:tc>
              <w:tc>
                <w:tcPr>
                  <w:tcW w:w="978"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符合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46" w:hRule="atLeast"/>
                <w:jc w:val="center"/>
              </w:trPr>
              <w:tc>
                <w:tcPr>
                  <w:tcW w:w="870"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4</w:t>
                  </w:r>
                </w:p>
              </w:tc>
              <w:tc>
                <w:tcPr>
                  <w:tcW w:w="3547" w:type="dxa"/>
                  <w:vAlign w:val="center"/>
                </w:tcPr>
                <w:p>
                  <w:pPr>
                    <w:keepNext w:val="0"/>
                    <w:keepLines w:val="0"/>
                    <w:suppressLineNumbers w:val="0"/>
                    <w:spacing w:before="0" w:beforeAutospacing="0" w:after="0" w:afterAutospacing="0"/>
                    <w:ind w:left="0" w:right="0"/>
                    <w:jc w:val="center"/>
                    <w:rPr>
                      <w:rFonts w:hint="eastAsia" w:eastAsia="宋体"/>
                      <w:b w:val="0"/>
                      <w:bCs/>
                      <w:sz w:val="21"/>
                      <w:szCs w:val="21"/>
                      <w:lang w:eastAsia="zh-CN"/>
                    </w:rPr>
                  </w:pPr>
                  <w:r>
                    <w:rPr>
                      <w:rFonts w:hint="default"/>
                      <w:b w:val="0"/>
                      <w:bCs/>
                      <w:sz w:val="21"/>
                      <w:szCs w:val="21"/>
                    </w:rPr>
                    <w:t>标准化厂房内所有项目的排污总量及其来源必须经我局认可批准</w:t>
                  </w:r>
                  <w:r>
                    <w:rPr>
                      <w:rFonts w:hint="eastAsia"/>
                      <w:b w:val="0"/>
                      <w:bCs/>
                      <w:sz w:val="21"/>
                      <w:szCs w:val="21"/>
                      <w:lang w:eastAsia="zh-CN"/>
                    </w:rPr>
                    <w:t>。</w:t>
                  </w:r>
                </w:p>
              </w:tc>
              <w:tc>
                <w:tcPr>
                  <w:tcW w:w="3224" w:type="dxa"/>
                  <w:vAlign w:val="center"/>
                </w:tcPr>
                <w:p>
                  <w:pPr>
                    <w:keepNext w:val="0"/>
                    <w:keepLines w:val="0"/>
                    <w:suppressLineNumbers w:val="0"/>
                    <w:spacing w:before="0" w:beforeAutospacing="0" w:after="0" w:afterAutospacing="0"/>
                    <w:ind w:left="0" w:right="0"/>
                    <w:jc w:val="center"/>
                    <w:rPr>
                      <w:rFonts w:hint="eastAsia" w:eastAsia="宋体"/>
                      <w:b w:val="0"/>
                      <w:bCs/>
                      <w:sz w:val="21"/>
                      <w:szCs w:val="21"/>
                      <w:lang w:eastAsia="zh-CN"/>
                    </w:rPr>
                  </w:pPr>
                  <w:r>
                    <w:rPr>
                      <w:rFonts w:hint="default"/>
                      <w:b w:val="0"/>
                      <w:bCs/>
                      <w:sz w:val="21"/>
                      <w:szCs w:val="21"/>
                    </w:rPr>
                    <w:t>本项目排污总量已经淮南高新区生态环境局认可批准</w:t>
                  </w:r>
                  <w:r>
                    <w:rPr>
                      <w:rFonts w:hint="eastAsia"/>
                      <w:b w:val="0"/>
                      <w:bCs/>
                      <w:sz w:val="21"/>
                      <w:szCs w:val="21"/>
                      <w:lang w:eastAsia="zh-CN"/>
                    </w:rPr>
                    <w:t>。</w:t>
                  </w:r>
                </w:p>
              </w:tc>
              <w:tc>
                <w:tcPr>
                  <w:tcW w:w="978" w:type="dxa"/>
                  <w:vAlign w:val="center"/>
                </w:tcPr>
                <w:p>
                  <w:pPr>
                    <w:keepNext w:val="0"/>
                    <w:keepLines w:val="0"/>
                    <w:suppressLineNumbers w:val="0"/>
                    <w:spacing w:before="0" w:beforeAutospacing="0" w:after="0" w:afterAutospacing="0"/>
                    <w:ind w:left="0" w:right="0"/>
                    <w:jc w:val="center"/>
                    <w:rPr>
                      <w:rFonts w:hint="default"/>
                      <w:b w:val="0"/>
                      <w:bCs/>
                      <w:sz w:val="21"/>
                      <w:szCs w:val="21"/>
                    </w:rPr>
                  </w:pPr>
                  <w:r>
                    <w:rPr>
                      <w:rFonts w:hint="default"/>
                      <w:b w:val="0"/>
                      <w:bCs/>
                      <w:sz w:val="21"/>
                      <w:szCs w:val="21"/>
                    </w:rPr>
                    <w:t>符合</w:t>
                  </w:r>
                </w:p>
              </w:tc>
            </w:tr>
          </w:tbl>
          <w:p>
            <w:pPr>
              <w:pStyle w:val="23"/>
              <w:keepNext w:val="0"/>
              <w:keepLines w:val="0"/>
              <w:suppressLineNumbers w:val="0"/>
              <w:bidi w:val="0"/>
              <w:spacing w:before="0" w:beforeAutospacing="0" w:after="0" w:afterAutospacing="0"/>
              <w:ind w:left="0" w:right="0"/>
              <w:rPr>
                <w:rFonts w:hint="default"/>
              </w:rPr>
            </w:pPr>
            <w:r>
              <w:rPr>
                <w:rFonts w:hint="default"/>
              </w:rPr>
              <w:t>5、项目与排污许可联动内容分析</w:t>
            </w:r>
          </w:p>
          <w:p>
            <w:pPr>
              <w:pStyle w:val="23"/>
              <w:keepNext w:val="0"/>
              <w:keepLines w:val="0"/>
              <w:suppressLineNumbers w:val="0"/>
              <w:bidi w:val="0"/>
              <w:spacing w:before="0" w:beforeAutospacing="0" w:after="0" w:afterAutospacing="0"/>
              <w:ind w:left="0" w:right="0"/>
              <w:rPr>
                <w:rFonts w:hint="default"/>
              </w:rPr>
            </w:pPr>
            <w:r>
              <w:rPr>
                <w:rFonts w:hint="default"/>
              </w:rPr>
              <w:t>根据安徽省生态环境厅于2021年1月30日发布的《安徽省生态环境厅关于统筹做好固定污染源排污许可日常监管工作的通知》（皖环发〔2021〕7号），属于现行《固定污染源排污许可分类管理名录》内重点管理和简化管理的行业，在环评文件中应明确</w:t>
            </w:r>
            <w:r>
              <w:rPr>
                <w:rFonts w:hint="eastAsia"/>
                <w:lang w:eastAsia="zh-CN"/>
              </w:rPr>
              <w:t>“</w:t>
            </w:r>
            <w:r>
              <w:rPr>
                <w:rFonts w:hint="default"/>
              </w:rPr>
              <w:t>建设项目环境影响评价与排污许可联动内容</w:t>
            </w:r>
            <w:r>
              <w:rPr>
                <w:rFonts w:hint="eastAsia"/>
                <w:lang w:eastAsia="zh-CN"/>
              </w:rPr>
              <w:t>”</w:t>
            </w:r>
            <w:r>
              <w:rPr>
                <w:rFonts w:hint="default"/>
              </w:rPr>
              <w:t>。</w:t>
            </w:r>
          </w:p>
          <w:p>
            <w:pPr>
              <w:pStyle w:val="23"/>
              <w:keepNext w:val="0"/>
              <w:keepLines w:val="0"/>
              <w:suppressLineNumbers w:val="0"/>
              <w:bidi w:val="0"/>
              <w:spacing w:before="0" w:beforeAutospacing="0" w:after="0" w:afterAutospacing="0"/>
              <w:ind w:left="0" w:right="0"/>
              <w:rPr>
                <w:rFonts w:hint="default"/>
              </w:rPr>
            </w:pPr>
            <w:r>
              <w:rPr>
                <w:rFonts w:hint="default"/>
              </w:rPr>
              <w:t>（1）排污许可管理类别判定</w:t>
            </w:r>
          </w:p>
          <w:p>
            <w:pPr>
              <w:pStyle w:val="23"/>
              <w:keepNext w:val="0"/>
              <w:keepLines w:val="0"/>
              <w:suppressLineNumbers w:val="0"/>
              <w:bidi w:val="0"/>
              <w:spacing w:before="0" w:beforeAutospacing="0" w:after="0" w:afterAutospacing="0"/>
              <w:ind w:left="0" w:right="0"/>
              <w:rPr>
                <w:rFonts w:hint="default"/>
              </w:rPr>
            </w:pPr>
            <w:r>
              <w:rPr>
                <w:rFonts w:hint="default"/>
              </w:rPr>
              <w:t>本项目国民经济行业类别为</w:t>
            </w:r>
            <w:r>
              <w:rPr>
                <w:rFonts w:hint="eastAsia"/>
                <w:lang w:eastAsia="zh-CN"/>
              </w:rPr>
              <w:t>电阻电容电感元件制造</w:t>
            </w:r>
            <w:r>
              <w:rPr>
                <w:rFonts w:hint="default"/>
              </w:rPr>
              <w:t>C3</w:t>
            </w:r>
            <w:r>
              <w:rPr>
                <w:rFonts w:hint="eastAsia"/>
                <w:lang w:val="en-US" w:eastAsia="zh-CN"/>
              </w:rPr>
              <w:t>981</w:t>
            </w:r>
            <w:r>
              <w:rPr>
                <w:rFonts w:hint="default"/>
              </w:rPr>
              <w:t>，根据《固定污染源排污许可分类管理名录（2019年版）》，本项目属于固定污染源排污许可分类管理名录表中的</w:t>
            </w:r>
            <w:r>
              <w:rPr>
                <w:rFonts w:hint="eastAsia"/>
                <w:lang w:eastAsia="zh-CN"/>
              </w:rPr>
              <w:t>“</w:t>
            </w:r>
            <w:r>
              <w:rPr>
                <w:rFonts w:hint="eastAsia"/>
                <w:lang w:val="en-US" w:eastAsia="zh-CN"/>
              </w:rPr>
              <w:t>三十四</w:t>
            </w:r>
            <w:r>
              <w:rPr>
                <w:rFonts w:hint="default"/>
              </w:rPr>
              <w:t>、</w:t>
            </w:r>
            <w:r>
              <w:rPr>
                <w:rFonts w:hint="eastAsia"/>
                <w:lang w:val="en-US" w:eastAsia="zh-CN"/>
              </w:rPr>
              <w:t>计算机、通信和其他电子设备制造业</w:t>
            </w:r>
            <w:r>
              <w:rPr>
                <w:rFonts w:hint="default"/>
              </w:rPr>
              <w:t xml:space="preserve"> 3</w:t>
            </w:r>
            <w:r>
              <w:rPr>
                <w:rFonts w:hint="eastAsia"/>
                <w:lang w:val="en-US" w:eastAsia="zh-CN"/>
              </w:rPr>
              <w:t>9</w:t>
            </w:r>
            <w:r>
              <w:rPr>
                <w:rFonts w:hint="eastAsia"/>
                <w:lang w:eastAsia="zh-CN"/>
              </w:rPr>
              <w:t>”“</w:t>
            </w:r>
            <w:r>
              <w:rPr>
                <w:rFonts w:hint="eastAsia"/>
                <w:lang w:val="en-US" w:eastAsia="zh-CN"/>
              </w:rPr>
              <w:t>89电子元件及电子专用材料制造398</w:t>
            </w:r>
            <w:r>
              <w:rPr>
                <w:rFonts w:hint="eastAsia"/>
                <w:lang w:eastAsia="zh-CN"/>
              </w:rPr>
              <w:t>”</w:t>
            </w:r>
            <w:r>
              <w:rPr>
                <w:rFonts w:hint="default"/>
              </w:rPr>
              <w:t>中的其他，属于登记管理。因此，项目的排污许可填报管理类别应为</w:t>
            </w:r>
            <w:r>
              <w:rPr>
                <w:rFonts w:hint="eastAsia"/>
                <w:lang w:eastAsia="zh-CN"/>
              </w:rPr>
              <w:t>“</w:t>
            </w:r>
            <w:r>
              <w:rPr>
                <w:rFonts w:hint="default"/>
              </w:rPr>
              <w:t>登记管理</w:t>
            </w:r>
            <w:r>
              <w:rPr>
                <w:rFonts w:hint="eastAsia"/>
                <w:lang w:eastAsia="zh-CN"/>
              </w:rPr>
              <w:t>”</w:t>
            </w:r>
            <w:r>
              <w:rPr>
                <w:rFonts w:hint="default"/>
              </w:rPr>
              <w:t>。</w:t>
            </w:r>
          </w:p>
          <w:p>
            <w:pPr>
              <w:pStyle w:val="23"/>
              <w:keepNext w:val="0"/>
              <w:keepLines w:val="0"/>
              <w:suppressLineNumbers w:val="0"/>
              <w:bidi w:val="0"/>
              <w:spacing w:before="0" w:beforeAutospacing="0" w:after="0" w:afterAutospacing="0"/>
              <w:ind w:left="0" w:right="0"/>
              <w:rPr>
                <w:rFonts w:hint="default"/>
              </w:rPr>
            </w:pPr>
            <w:r>
              <w:rPr>
                <w:rFonts w:hint="default"/>
              </w:rPr>
              <w:t>（2）适用技术规范确定</w:t>
            </w:r>
          </w:p>
          <w:p>
            <w:pPr>
              <w:pStyle w:val="23"/>
              <w:keepNext w:val="0"/>
              <w:keepLines w:val="0"/>
              <w:suppressLineNumbers w:val="0"/>
              <w:bidi w:val="0"/>
              <w:spacing w:before="0" w:beforeAutospacing="0" w:after="0" w:afterAutospacing="0"/>
              <w:ind w:left="0" w:right="0"/>
              <w:rPr>
                <w:rFonts w:hint="default"/>
                <w:szCs w:val="24"/>
              </w:rPr>
            </w:pPr>
            <w:r>
              <w:rPr>
                <w:rFonts w:hint="default"/>
              </w:rPr>
              <w:t>根据项目国民经济行业类别和排污许可管理类别，项目排污许可填报时可适用的技术规范应为《排污许可证申请与核发技术规范</w:t>
            </w:r>
            <w:r>
              <w:rPr>
                <w:rFonts w:hint="eastAsia"/>
                <w:lang w:val="en-US" w:eastAsia="zh-CN"/>
              </w:rPr>
              <w:t xml:space="preserve">  </w:t>
            </w:r>
            <w:r>
              <w:rPr>
                <w:rFonts w:hint="default"/>
              </w:rPr>
              <w:t>电子工业》（HJ1031-2019）。</w:t>
            </w:r>
          </w:p>
        </w:tc>
      </w:tr>
    </w:tbl>
    <w:p>
      <w:pPr>
        <w:pStyle w:val="4"/>
        <w:bidi w:val="0"/>
      </w:pPr>
      <w:r>
        <w:t>二、建设项目工程分析</w:t>
      </w:r>
    </w:p>
    <w:tbl>
      <w:tblPr>
        <w:tblStyle w:val="26"/>
        <w:tblpPr w:leftFromText="181" w:rightFromText="181" w:vertAnchor="text" w:horzAnchor="page" w:tblpX="1396" w:tblpY="1"/>
        <w:tblOverlap w:val="never"/>
        <w:tblW w:w="9128"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5"/>
        <w:gridCol w:w="866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916" w:hRule="atLeast"/>
        </w:trPr>
        <w:tc>
          <w:tcPr>
            <w:tcW w:w="465" w:type="dxa"/>
            <w:tcBorders>
              <w:left w:val="single" w:color="000000" w:sz="6" w:space="0"/>
            </w:tcBorders>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4"/>
                <w:szCs w:val="24"/>
              </w:rPr>
            </w:pPr>
            <w:r>
              <w:rPr>
                <w:rFonts w:hint="default"/>
                <w:sz w:val="24"/>
                <w:szCs w:val="24"/>
              </w:rPr>
              <w:t>建</w:t>
            </w:r>
          </w:p>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4"/>
                <w:szCs w:val="24"/>
              </w:rPr>
            </w:pPr>
            <w:r>
              <w:rPr>
                <w:rFonts w:hint="default"/>
                <w:sz w:val="24"/>
                <w:szCs w:val="24"/>
              </w:rPr>
              <w:t>设</w:t>
            </w:r>
          </w:p>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4"/>
                <w:szCs w:val="24"/>
              </w:rPr>
            </w:pPr>
            <w:r>
              <w:rPr>
                <w:rFonts w:hint="default"/>
                <w:sz w:val="24"/>
                <w:szCs w:val="24"/>
              </w:rPr>
              <w:t>内</w:t>
            </w:r>
          </w:p>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4"/>
                <w:szCs w:val="24"/>
              </w:rPr>
            </w:pPr>
            <w:r>
              <w:rPr>
                <w:rFonts w:hint="default"/>
                <w:sz w:val="24"/>
                <w:szCs w:val="24"/>
              </w:rPr>
              <w:t>容</w:t>
            </w:r>
          </w:p>
        </w:tc>
        <w:tc>
          <w:tcPr>
            <w:tcW w:w="8663" w:type="dxa"/>
            <w:tcBorders>
              <w:bottom w:val="single" w:color="auto" w:sz="4" w:space="0"/>
              <w:right w:val="single" w:color="000000" w:sz="6" w:space="0"/>
            </w:tcBorders>
            <w:vAlign w:val="center"/>
          </w:tcPr>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480" w:firstLineChars="200"/>
              <w:textAlignment w:val="auto"/>
              <w:rPr>
                <w:rFonts w:hint="default"/>
                <w:b w:val="0"/>
                <w:bCs w:val="0"/>
                <w:sz w:val="24"/>
                <w:szCs w:val="24"/>
              </w:rPr>
            </w:pPr>
            <w:r>
              <w:rPr>
                <w:rFonts w:hint="default"/>
                <w:b w:val="0"/>
                <w:bCs w:val="0"/>
                <w:sz w:val="24"/>
                <w:szCs w:val="24"/>
              </w:rPr>
              <w:t>1、项目背景</w:t>
            </w:r>
          </w:p>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480" w:firstLineChars="200"/>
              <w:textAlignment w:val="auto"/>
              <w:rPr>
                <w:rFonts w:hint="default"/>
                <w:sz w:val="24"/>
                <w:szCs w:val="24"/>
              </w:rPr>
            </w:pPr>
            <w:r>
              <w:rPr>
                <w:rFonts w:hint="eastAsia"/>
                <w:sz w:val="24"/>
                <w:szCs w:val="24"/>
              </w:rPr>
              <w:t>蓝标科技（安徽）有限公司成立于2</w:t>
            </w:r>
            <w:r>
              <w:rPr>
                <w:rFonts w:hint="default"/>
                <w:sz w:val="24"/>
                <w:szCs w:val="24"/>
              </w:rPr>
              <w:t>022</w:t>
            </w:r>
            <w:r>
              <w:rPr>
                <w:rFonts w:hint="eastAsia"/>
                <w:sz w:val="24"/>
                <w:szCs w:val="24"/>
              </w:rPr>
              <w:t>年1</w:t>
            </w:r>
            <w:r>
              <w:rPr>
                <w:rFonts w:hint="default"/>
                <w:sz w:val="24"/>
                <w:szCs w:val="24"/>
              </w:rPr>
              <w:t>0</w:t>
            </w:r>
            <w:r>
              <w:rPr>
                <w:rFonts w:hint="eastAsia"/>
                <w:sz w:val="24"/>
                <w:szCs w:val="24"/>
              </w:rPr>
              <w:t>月1</w:t>
            </w:r>
            <w:r>
              <w:rPr>
                <w:rFonts w:hint="default"/>
                <w:sz w:val="24"/>
                <w:szCs w:val="24"/>
              </w:rPr>
              <w:t>0</w:t>
            </w:r>
            <w:r>
              <w:rPr>
                <w:rFonts w:hint="eastAsia"/>
                <w:sz w:val="24"/>
                <w:szCs w:val="24"/>
              </w:rPr>
              <w:t>日，位于</w:t>
            </w:r>
            <w:r>
              <w:rPr>
                <w:rFonts w:hint="default"/>
                <w:sz w:val="24"/>
                <w:szCs w:val="24"/>
              </w:rPr>
              <w:t>淮南市高新区新型显示产业园7号楼3、4、5层</w:t>
            </w:r>
            <w:r>
              <w:rPr>
                <w:rFonts w:hint="eastAsia"/>
                <w:sz w:val="24"/>
                <w:szCs w:val="24"/>
              </w:rPr>
              <w:t>，面积</w:t>
            </w:r>
            <w:r>
              <w:rPr>
                <w:rFonts w:hint="eastAsia"/>
                <w:sz w:val="24"/>
                <w:szCs w:val="24"/>
                <w:lang w:val="en-US" w:eastAsia="zh-CN"/>
              </w:rPr>
              <w:t>14852</w:t>
            </w:r>
            <w:r>
              <w:rPr>
                <w:rFonts w:hint="eastAsia"/>
                <w:sz w:val="24"/>
                <w:szCs w:val="24"/>
              </w:rPr>
              <w:t>平方米，企业拟投资</w:t>
            </w:r>
            <w:r>
              <w:rPr>
                <w:rFonts w:hint="default"/>
                <w:sz w:val="24"/>
                <w:szCs w:val="24"/>
              </w:rPr>
              <w:t>20000</w:t>
            </w:r>
            <w:r>
              <w:rPr>
                <w:rFonts w:hint="eastAsia"/>
                <w:sz w:val="24"/>
                <w:szCs w:val="24"/>
              </w:rPr>
              <w:t>万元，建设半导体元器件与SMT数码智能制造项目，本项目属于新建项目。</w:t>
            </w:r>
          </w:p>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480" w:firstLineChars="200"/>
              <w:textAlignment w:val="auto"/>
              <w:rPr>
                <w:rFonts w:hint="default"/>
                <w:sz w:val="24"/>
                <w:szCs w:val="24"/>
              </w:rPr>
            </w:pPr>
            <w:r>
              <w:rPr>
                <w:rFonts w:hint="default"/>
                <w:sz w:val="24"/>
                <w:szCs w:val="24"/>
              </w:rPr>
              <w:t>根据《中华人民共和国环境保护法》（主席令2014年第9号）、《中华人民共和国环境影响评价法》（2018年12月29日修订）中有关规定，同时根据《建设项目环境影响评价分类管理名录》（2021年版），本项目属于</w:t>
            </w:r>
            <w:r>
              <w:rPr>
                <w:rFonts w:hint="eastAsia"/>
                <w:sz w:val="24"/>
                <w:szCs w:val="24"/>
                <w:lang w:eastAsia="zh-CN"/>
              </w:rPr>
              <w:t>“</w:t>
            </w:r>
            <w:r>
              <w:rPr>
                <w:rFonts w:hint="eastAsia"/>
                <w:sz w:val="24"/>
                <w:szCs w:val="24"/>
                <w:lang w:val="en-US" w:eastAsia="zh-CN"/>
              </w:rPr>
              <w:t>三十六</w:t>
            </w:r>
            <w:r>
              <w:rPr>
                <w:rFonts w:hint="default"/>
                <w:sz w:val="24"/>
                <w:szCs w:val="24"/>
              </w:rPr>
              <w:t>、</w:t>
            </w:r>
            <w:r>
              <w:rPr>
                <w:rFonts w:hint="eastAsia"/>
                <w:sz w:val="24"/>
                <w:szCs w:val="24"/>
                <w:lang w:val="en-US" w:eastAsia="zh-CN"/>
              </w:rPr>
              <w:t>专业计算机、通信和其他电子设备制造业</w:t>
            </w:r>
            <w:r>
              <w:rPr>
                <w:rFonts w:hint="eastAsia"/>
                <w:sz w:val="24"/>
                <w:szCs w:val="24"/>
                <w:lang w:eastAsia="zh-CN"/>
              </w:rPr>
              <w:t>”</w:t>
            </w:r>
            <w:r>
              <w:rPr>
                <w:rFonts w:hint="default"/>
                <w:sz w:val="24"/>
                <w:szCs w:val="24"/>
              </w:rPr>
              <w:t>类第</w:t>
            </w:r>
            <w:r>
              <w:rPr>
                <w:rFonts w:hint="eastAsia"/>
                <w:sz w:val="24"/>
                <w:szCs w:val="24"/>
                <w:lang w:val="en-US" w:eastAsia="zh-CN"/>
              </w:rPr>
              <w:t>81</w:t>
            </w:r>
            <w:r>
              <w:rPr>
                <w:rFonts w:hint="default"/>
                <w:sz w:val="24"/>
                <w:szCs w:val="24"/>
              </w:rPr>
              <w:t>条</w:t>
            </w:r>
            <w:r>
              <w:rPr>
                <w:rFonts w:hint="eastAsia"/>
                <w:sz w:val="24"/>
                <w:szCs w:val="24"/>
                <w:lang w:eastAsia="zh-CN"/>
              </w:rPr>
              <w:t>“</w:t>
            </w:r>
            <w:r>
              <w:rPr>
                <w:rFonts w:hint="eastAsia"/>
                <w:sz w:val="24"/>
                <w:szCs w:val="24"/>
                <w:lang w:val="en-US" w:eastAsia="zh-CN"/>
              </w:rPr>
              <w:t>电子元件及电子专用材料制造398</w:t>
            </w:r>
            <w:r>
              <w:rPr>
                <w:rFonts w:hint="default"/>
                <w:sz w:val="24"/>
                <w:szCs w:val="24"/>
              </w:rPr>
              <w:t>；</w:t>
            </w:r>
            <w:r>
              <w:rPr>
                <w:rFonts w:hint="eastAsia"/>
                <w:sz w:val="24"/>
                <w:szCs w:val="24"/>
                <w:lang w:val="en-US" w:eastAsia="zh-CN"/>
              </w:rPr>
              <w:t>有酸洗的</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为报告表。本</w:t>
            </w:r>
            <w:r>
              <w:rPr>
                <w:rFonts w:hint="default"/>
                <w:sz w:val="24"/>
                <w:szCs w:val="24"/>
              </w:rPr>
              <w:t>建设项目应编制环境影响报告表。</w:t>
            </w:r>
          </w:p>
          <w:p>
            <w:pPr>
              <w:pStyle w:val="11"/>
              <w:keepNext w:val="0"/>
              <w:keepLines w:val="0"/>
              <w:pageBreakBefore w:val="0"/>
              <w:suppressLineNumbers w:val="0"/>
              <w:kinsoku/>
              <w:wordWrap/>
              <w:overflowPunct/>
              <w:topLinePunct w:val="0"/>
              <w:autoSpaceDE/>
              <w:autoSpaceDN/>
              <w:bidi w:val="0"/>
              <w:adjustRightInd/>
              <w:spacing w:before="0" w:after="0" w:afterAutospacing="0"/>
              <w:ind w:left="0" w:leftChars="0" w:right="0" w:firstLine="0" w:firstLineChars="0"/>
              <w:textAlignment w:val="auto"/>
              <w:rPr>
                <w:rFonts w:hint="default"/>
                <w:sz w:val="24"/>
                <w:szCs w:val="24"/>
              </w:rPr>
            </w:pPr>
            <w:r>
              <w:rPr>
                <w:rFonts w:hint="default"/>
                <w:sz w:val="24"/>
                <w:szCs w:val="24"/>
              </w:rPr>
              <w:t>表2-1建设项目环境影响评价分类管理名录</w:t>
            </w:r>
          </w:p>
          <w:tbl>
            <w:tblPr>
              <w:tblStyle w:val="19"/>
              <w:tblW w:w="48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1618"/>
              <w:gridCol w:w="2100"/>
              <w:gridCol w:w="3110"/>
              <w:gridCol w:w="8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51" w:type="dxa"/>
                  <w:gridSpan w:val="2"/>
                  <w:tcBorders>
                    <w:left w:val="nil"/>
                    <w:tl2br w:val="single" w:color="auto" w:sz="4" w:space="0"/>
                  </w:tcBorders>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right"/>
                    <w:textAlignment w:val="auto"/>
                    <w:rPr>
                      <w:rFonts w:hint="default"/>
                      <w:b w:val="0"/>
                      <w:bCs/>
                      <w:sz w:val="21"/>
                      <w:szCs w:val="21"/>
                    </w:rPr>
                  </w:pPr>
                  <w:r>
                    <w:rPr>
                      <w:rFonts w:hint="default"/>
                      <w:b w:val="0"/>
                      <w:bCs/>
                      <w:sz w:val="21"/>
                      <w:szCs w:val="21"/>
                    </w:rPr>
                    <w:t>环评类型</w:t>
                  </w:r>
                </w:p>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textAlignment w:val="auto"/>
                    <w:rPr>
                      <w:rFonts w:hint="default"/>
                      <w:b w:val="0"/>
                      <w:bCs/>
                      <w:sz w:val="21"/>
                      <w:szCs w:val="21"/>
                    </w:rPr>
                  </w:pPr>
                  <w:r>
                    <w:rPr>
                      <w:rFonts w:hint="default"/>
                      <w:b w:val="0"/>
                      <w:bCs/>
                      <w:sz w:val="21"/>
                      <w:szCs w:val="21"/>
                    </w:rPr>
                    <w:t>项目类别</w:t>
                  </w:r>
                </w:p>
              </w:tc>
              <w:tc>
                <w:tcPr>
                  <w:tcW w:w="210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sz w:val="21"/>
                      <w:szCs w:val="21"/>
                    </w:rPr>
                  </w:pPr>
                  <w:r>
                    <w:rPr>
                      <w:rFonts w:hint="default"/>
                      <w:b w:val="0"/>
                      <w:bCs/>
                      <w:sz w:val="21"/>
                      <w:szCs w:val="21"/>
                    </w:rPr>
                    <w:t>报告书</w:t>
                  </w:r>
                </w:p>
              </w:tc>
              <w:tc>
                <w:tcPr>
                  <w:tcW w:w="311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sz w:val="21"/>
                      <w:szCs w:val="21"/>
                    </w:rPr>
                  </w:pPr>
                  <w:r>
                    <w:rPr>
                      <w:rFonts w:hint="default"/>
                      <w:b w:val="0"/>
                      <w:bCs/>
                      <w:sz w:val="21"/>
                      <w:szCs w:val="21"/>
                    </w:rPr>
                    <w:t>报告表</w:t>
                  </w:r>
                </w:p>
              </w:tc>
              <w:tc>
                <w:tcPr>
                  <w:tcW w:w="881" w:type="dxa"/>
                  <w:tcBorders>
                    <w:right w:val="nil"/>
                  </w:tcBorders>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sz w:val="21"/>
                      <w:szCs w:val="21"/>
                    </w:rPr>
                  </w:pPr>
                  <w:r>
                    <w:rPr>
                      <w:rFonts w:hint="default"/>
                      <w:b w:val="0"/>
                      <w:bCs/>
                      <w:sz w:val="21"/>
                      <w:szCs w:val="21"/>
                    </w:rPr>
                    <w:t>登记表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48" w:type="dxa"/>
                  <w:gridSpan w:val="5"/>
                  <w:tcBorders>
                    <w:left w:val="nil"/>
                    <w:right w:val="nil"/>
                  </w:tcBorders>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textAlignment w:val="auto"/>
                    <w:rPr>
                      <w:rFonts w:hint="default" w:eastAsia="宋体"/>
                      <w:b w:val="0"/>
                      <w:bCs/>
                      <w:sz w:val="21"/>
                      <w:szCs w:val="21"/>
                      <w:lang w:val="en-US" w:eastAsia="zh-CN"/>
                    </w:rPr>
                  </w:pPr>
                  <w:r>
                    <w:rPr>
                      <w:rFonts w:hint="default"/>
                      <w:b w:val="0"/>
                      <w:bCs/>
                      <w:sz w:val="21"/>
                      <w:szCs w:val="21"/>
                    </w:rPr>
                    <w:t>三十</w:t>
                  </w:r>
                  <w:r>
                    <w:rPr>
                      <w:rFonts w:hint="eastAsia"/>
                      <w:b w:val="0"/>
                      <w:bCs/>
                      <w:sz w:val="21"/>
                      <w:szCs w:val="21"/>
                      <w:lang w:val="en-US" w:eastAsia="zh-CN"/>
                    </w:rPr>
                    <w:t>六</w:t>
                  </w:r>
                  <w:r>
                    <w:rPr>
                      <w:rFonts w:hint="default"/>
                      <w:b w:val="0"/>
                      <w:bCs/>
                      <w:sz w:val="21"/>
                      <w:szCs w:val="21"/>
                    </w:rPr>
                    <w:t>、</w:t>
                  </w:r>
                  <w:r>
                    <w:rPr>
                      <w:rFonts w:hint="eastAsia"/>
                      <w:b w:val="0"/>
                      <w:bCs/>
                      <w:sz w:val="21"/>
                      <w:szCs w:val="21"/>
                      <w:lang w:val="en-US" w:eastAsia="zh-CN"/>
                    </w:rPr>
                    <w:t>计算机、通信和其他电子设备制造业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31" w:type="dxa"/>
                  <w:tcBorders>
                    <w:left w:val="nil"/>
                  </w:tcBorders>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sz w:val="21"/>
                      <w:szCs w:val="21"/>
                      <w:lang w:val="en-US" w:eastAsia="zh-CN"/>
                    </w:rPr>
                  </w:pPr>
                  <w:r>
                    <w:rPr>
                      <w:rFonts w:hint="eastAsia"/>
                      <w:b w:val="0"/>
                      <w:bCs/>
                      <w:sz w:val="21"/>
                      <w:szCs w:val="21"/>
                      <w:lang w:val="en-US" w:eastAsia="zh-CN"/>
                    </w:rPr>
                    <w:t>81</w:t>
                  </w:r>
                </w:p>
              </w:tc>
              <w:tc>
                <w:tcPr>
                  <w:tcW w:w="162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sz w:val="21"/>
                      <w:szCs w:val="21"/>
                      <w:lang w:val="en-US" w:eastAsia="zh-CN"/>
                    </w:rPr>
                  </w:pPr>
                  <w:r>
                    <w:rPr>
                      <w:rFonts w:hint="eastAsia"/>
                      <w:b w:val="0"/>
                      <w:bCs/>
                      <w:sz w:val="21"/>
                      <w:szCs w:val="21"/>
                      <w:lang w:val="en-US" w:eastAsia="zh-CN"/>
                    </w:rPr>
                    <w:t>电子元件及电子专用材料制造</w:t>
                  </w:r>
                </w:p>
              </w:tc>
              <w:tc>
                <w:tcPr>
                  <w:tcW w:w="2102" w:type="dxa"/>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kern w:val="0"/>
                      <w:sz w:val="21"/>
                      <w:szCs w:val="21"/>
                      <w:lang w:val="en-US" w:eastAsia="zh-CN"/>
                    </w:rPr>
                  </w:pPr>
                  <w:r>
                    <w:rPr>
                      <w:rFonts w:hint="eastAsia"/>
                      <w:b w:val="0"/>
                      <w:bCs/>
                      <w:kern w:val="0"/>
                      <w:sz w:val="21"/>
                      <w:szCs w:val="21"/>
                      <w:lang w:val="en-US" w:eastAsia="zh-CN"/>
                    </w:rPr>
                    <w:t>半导体材料制造；电子化工材料制造</w:t>
                  </w:r>
                </w:p>
              </w:tc>
              <w:tc>
                <w:tcPr>
                  <w:tcW w:w="3114" w:type="dxa"/>
                  <w:vAlign w:val="center"/>
                </w:tcPr>
                <w:p>
                  <w:pPr>
                    <w:keepNext w:val="0"/>
                    <w:keepLines w:val="0"/>
                    <w:suppressLineNumbers w:val="0"/>
                    <w:spacing w:before="0" w:beforeLines="0" w:beforeAutospacing="0" w:after="0" w:afterLines="0" w:afterAutospacing="0"/>
                    <w:ind w:left="0" w:right="0"/>
                    <w:jc w:val="center"/>
                    <w:rPr>
                      <w:rFonts w:hint="eastAsia" w:ascii="宋体" w:hAnsi="宋体" w:eastAsia="宋体"/>
                      <w:sz w:val="21"/>
                      <w:szCs w:val="24"/>
                    </w:rPr>
                  </w:pPr>
                  <w:r>
                    <w:rPr>
                      <w:rFonts w:hint="eastAsia" w:ascii="宋体" w:hAnsi="宋体" w:eastAsia="宋体"/>
                      <w:sz w:val="21"/>
                      <w:szCs w:val="24"/>
                    </w:rPr>
                    <w:t>印刷电路板制造；电子专用材</w:t>
                  </w:r>
                </w:p>
                <w:p>
                  <w:pPr>
                    <w:keepNext w:val="0"/>
                    <w:keepLines w:val="0"/>
                    <w:suppressLineNumbers w:val="0"/>
                    <w:spacing w:before="0" w:beforeLines="0" w:beforeAutospacing="0" w:after="0" w:afterLines="0" w:afterAutospacing="0"/>
                    <w:ind w:left="0" w:right="0"/>
                    <w:jc w:val="center"/>
                    <w:rPr>
                      <w:rFonts w:hint="eastAsia" w:ascii="宋体" w:hAnsi="宋体" w:eastAsia="宋体"/>
                      <w:sz w:val="21"/>
                      <w:szCs w:val="24"/>
                    </w:rPr>
                  </w:pPr>
                  <w:r>
                    <w:rPr>
                      <w:rFonts w:hint="eastAsia" w:ascii="宋体" w:hAnsi="宋体" w:eastAsia="宋体"/>
                      <w:sz w:val="21"/>
                      <w:szCs w:val="24"/>
                    </w:rPr>
                    <w:t>料制造（电子化工材料制造除</w:t>
                  </w:r>
                </w:p>
                <w:p>
                  <w:pPr>
                    <w:keepNext w:val="0"/>
                    <w:keepLines w:val="0"/>
                    <w:suppressLineNumbers w:val="0"/>
                    <w:spacing w:before="0" w:beforeLines="0" w:beforeAutospacing="0" w:after="0" w:afterLines="0" w:afterAutospacing="0"/>
                    <w:ind w:left="0" w:right="0"/>
                    <w:jc w:val="center"/>
                    <w:rPr>
                      <w:rFonts w:hint="default"/>
                      <w:b w:val="0"/>
                      <w:bCs/>
                      <w:kern w:val="0"/>
                      <w:sz w:val="21"/>
                      <w:szCs w:val="21"/>
                    </w:rPr>
                  </w:pPr>
                  <w:r>
                    <w:rPr>
                      <w:rFonts w:hint="eastAsia" w:ascii="宋体" w:hAnsi="宋体" w:eastAsia="宋体"/>
                      <w:sz w:val="21"/>
                      <w:szCs w:val="24"/>
                    </w:rPr>
                    <w:t>外）；使用有机溶剂的；有酸洗的以上均不含仅分割、焊接、组装的</w:t>
                  </w:r>
                </w:p>
              </w:tc>
              <w:tc>
                <w:tcPr>
                  <w:tcW w:w="881" w:type="dxa"/>
                  <w:tcBorders>
                    <w:right w:val="nil"/>
                  </w:tcBorders>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sz w:val="21"/>
                      <w:szCs w:val="21"/>
                    </w:rPr>
                  </w:pPr>
                  <w:r>
                    <w:rPr>
                      <w:rFonts w:hint="default"/>
                      <w:b w:val="0"/>
                      <w:bCs/>
                      <w:sz w:val="21"/>
                      <w:szCs w:val="21"/>
                    </w:rPr>
                    <w:t>/</w:t>
                  </w:r>
                </w:p>
              </w:tc>
            </w:tr>
          </w:tbl>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480" w:firstLineChars="200"/>
              <w:textAlignment w:val="auto"/>
              <w:rPr>
                <w:rFonts w:hint="default"/>
              </w:rPr>
            </w:pPr>
            <w:r>
              <w:rPr>
                <w:rFonts w:hint="default"/>
              </w:rPr>
              <w:t>蓝标科技（安徽）有限公司于2023年</w:t>
            </w:r>
            <w:r>
              <w:rPr>
                <w:rFonts w:hint="eastAsia"/>
                <w:lang w:val="en-US" w:eastAsia="zh-CN"/>
              </w:rPr>
              <w:t>2</w:t>
            </w:r>
            <w:r>
              <w:rPr>
                <w:rFonts w:hint="default"/>
              </w:rPr>
              <w:t>月委托我公司为该项目进行环境影响评价。我公司在接受委托后，立即到现场踏勘，认真了解项目所在区域的周边环境情况，收集有关资料，编写完成本项目的环境影响报告表，现呈报生态环境主管部门审批。</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b w:val="0"/>
                <w:bCs w:val="0"/>
                <w:sz w:val="24"/>
                <w:szCs w:val="24"/>
              </w:rPr>
            </w:pPr>
            <w:r>
              <w:rPr>
                <w:rFonts w:hint="default"/>
                <w:b w:val="0"/>
                <w:bCs w:val="0"/>
                <w:sz w:val="24"/>
                <w:szCs w:val="24"/>
              </w:rPr>
              <w:t>2、项目基本情况</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sz w:val="24"/>
                <w:szCs w:val="24"/>
              </w:rPr>
            </w:pPr>
            <w:r>
              <w:rPr>
                <w:rFonts w:hint="default"/>
                <w:sz w:val="24"/>
                <w:szCs w:val="24"/>
              </w:rPr>
              <w:t>（1）项目名称：</w:t>
            </w:r>
            <w:r>
              <w:rPr>
                <w:rFonts w:hint="eastAsia"/>
                <w:sz w:val="24"/>
                <w:szCs w:val="24"/>
                <w:lang w:eastAsia="zh-CN"/>
              </w:rPr>
              <w:t>半导体元器件</w:t>
            </w:r>
            <w:r>
              <w:rPr>
                <w:rFonts w:hint="default"/>
                <w:sz w:val="24"/>
                <w:szCs w:val="24"/>
              </w:rPr>
              <w:t>与SMT数码智能制造项目</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sz w:val="24"/>
                <w:szCs w:val="24"/>
              </w:rPr>
            </w:pPr>
            <w:r>
              <w:rPr>
                <w:rFonts w:hint="default"/>
                <w:sz w:val="24"/>
                <w:szCs w:val="24"/>
              </w:rPr>
              <w:t>（2）建设单位：蓝标科技（安徽）有限公司</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sz w:val="24"/>
                <w:szCs w:val="24"/>
              </w:rPr>
            </w:pPr>
            <w:r>
              <w:rPr>
                <w:rFonts w:hint="default"/>
                <w:sz w:val="24"/>
                <w:szCs w:val="24"/>
              </w:rPr>
              <w:t>（3）项目性质：新建</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sz w:val="24"/>
                <w:szCs w:val="24"/>
              </w:rPr>
            </w:pPr>
            <w:r>
              <w:rPr>
                <w:rFonts w:hint="default"/>
                <w:sz w:val="24"/>
                <w:szCs w:val="24"/>
              </w:rPr>
              <w:t>（4）项目建设地点：淮南市高新区新型显示产业园7号楼</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sz w:val="24"/>
                <w:szCs w:val="24"/>
              </w:rPr>
            </w:pPr>
            <w:r>
              <w:rPr>
                <w:rFonts w:hint="default"/>
                <w:sz w:val="24"/>
                <w:szCs w:val="24"/>
              </w:rPr>
              <w:t>（5）项目总投资：20000万元</w:t>
            </w:r>
          </w:p>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480" w:firstLineChars="200"/>
              <w:textAlignment w:val="auto"/>
              <w:rPr>
                <w:rFonts w:hint="default"/>
                <w:b w:val="0"/>
                <w:bCs w:val="0"/>
                <w:sz w:val="24"/>
                <w:szCs w:val="24"/>
              </w:rPr>
            </w:pPr>
            <w:r>
              <w:rPr>
                <w:rFonts w:hint="default"/>
                <w:b w:val="0"/>
                <w:bCs w:val="0"/>
                <w:sz w:val="24"/>
                <w:szCs w:val="24"/>
              </w:rPr>
              <w:t>3</w:t>
            </w:r>
            <w:r>
              <w:rPr>
                <w:rStyle w:val="24"/>
                <w:rFonts w:hint="default"/>
                <w:b w:val="0"/>
                <w:bCs w:val="0"/>
                <w:sz w:val="24"/>
                <w:szCs w:val="24"/>
              </w:rPr>
              <w:t>、项目组成</w:t>
            </w:r>
          </w:p>
          <w:p>
            <w:pPr>
              <w:pStyle w:val="23"/>
              <w:keepNext w:val="0"/>
              <w:keepLines w:val="0"/>
              <w:suppressLineNumbers w:val="0"/>
              <w:bidi w:val="0"/>
              <w:spacing w:before="0" w:beforeAutospacing="0" w:after="0" w:afterAutospacing="0"/>
              <w:ind w:left="0" w:right="0"/>
              <w:rPr>
                <w:rFonts w:hint="default"/>
              </w:rPr>
            </w:pPr>
            <w:r>
              <w:rPr>
                <w:rFonts w:hint="default"/>
              </w:rPr>
              <w:t>本项目位于淮南高新技术产业开发区，项目总建设面积为</w:t>
            </w:r>
            <w:r>
              <w:rPr>
                <w:rFonts w:hint="eastAsia"/>
                <w:sz w:val="24"/>
                <w:szCs w:val="24"/>
                <w:lang w:val="en-US" w:eastAsia="zh-CN"/>
              </w:rPr>
              <w:t>14852</w:t>
            </w:r>
            <w:r>
              <w:rPr>
                <w:rFonts w:hint="default"/>
              </w:rPr>
              <w:t>平方米，购置半导体电阻器、电容器全自动封装设备，全自动检测设备，研发实验设备，主要生产各种半导体电子元器件，形成年产1亿个以上成品的生产能力。</w:t>
            </w:r>
          </w:p>
          <w:p>
            <w:pPr>
              <w:pStyle w:val="11"/>
              <w:keepNext w:val="0"/>
              <w:keepLines w:val="0"/>
              <w:suppressLineNumbers w:val="0"/>
              <w:bidi w:val="0"/>
              <w:spacing w:before="0" w:after="0" w:afterAutospacing="0"/>
              <w:ind w:right="0"/>
              <w:rPr>
                <w:rFonts w:hint="default"/>
              </w:rPr>
            </w:pPr>
            <w:r>
              <w:rPr>
                <w:rFonts w:hint="default"/>
              </w:rPr>
              <w:t>表2-2</w:t>
            </w:r>
            <w:r>
              <w:rPr>
                <w:rFonts w:hint="eastAsia"/>
                <w:lang w:val="en-US" w:eastAsia="zh-CN"/>
              </w:rPr>
              <w:t xml:space="preserve">  </w:t>
            </w:r>
            <w:r>
              <w:rPr>
                <w:rFonts w:hint="default"/>
              </w:rPr>
              <w:t>项目建设组成一览表</w:t>
            </w:r>
          </w:p>
          <w:tbl>
            <w:tblPr>
              <w:tblStyle w:val="19"/>
              <w:tblW w:w="82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927"/>
              <w:gridCol w:w="793"/>
              <w:gridCol w:w="1558"/>
              <w:gridCol w:w="389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b w:val="0"/>
                      <w:bCs/>
                      <w:sz w:val="21"/>
                      <w:szCs w:val="21"/>
                    </w:rPr>
                  </w:pPr>
                  <w:r>
                    <w:rPr>
                      <w:rFonts w:hint="default"/>
                      <w:b w:val="0"/>
                      <w:bCs/>
                      <w:sz w:val="21"/>
                      <w:szCs w:val="21"/>
                    </w:rPr>
                    <w:t>工程类别</w:t>
                  </w:r>
                </w:p>
              </w:tc>
              <w:tc>
                <w:tcPr>
                  <w:tcW w:w="1782"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b w:val="0"/>
                      <w:bCs/>
                      <w:sz w:val="21"/>
                      <w:szCs w:val="21"/>
                    </w:rPr>
                  </w:pPr>
                  <w:r>
                    <w:rPr>
                      <w:rFonts w:hint="default"/>
                      <w:b w:val="0"/>
                      <w:bCs/>
                      <w:sz w:val="21"/>
                      <w:szCs w:val="21"/>
                    </w:rPr>
                    <w:t>单项工程名称</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b w:val="0"/>
                      <w:bCs/>
                      <w:sz w:val="21"/>
                      <w:szCs w:val="21"/>
                    </w:rPr>
                  </w:pPr>
                  <w:r>
                    <w:rPr>
                      <w:rFonts w:hint="default"/>
                      <w:b w:val="0"/>
                      <w:bCs/>
                      <w:sz w:val="21"/>
                      <w:szCs w:val="21"/>
                    </w:rPr>
                    <w:t>工程建设内容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140"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主体工程</w:t>
                  </w:r>
                </w:p>
              </w:tc>
              <w:tc>
                <w:tcPr>
                  <w:tcW w:w="961"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生产厂房</w:t>
                  </w:r>
                </w:p>
              </w:tc>
              <w:tc>
                <w:tcPr>
                  <w:tcW w:w="82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lang w:val="en-US" w:eastAsia="zh-CN"/>
                    </w:rPr>
                  </w:pPr>
                  <w:r>
                    <w:rPr>
                      <w:rFonts w:hint="eastAsia"/>
                      <w:lang w:val="en-US" w:eastAsia="zh-CN"/>
                    </w:rPr>
                    <w:t>三楼</w:t>
                  </w:r>
                </w:p>
              </w:tc>
              <w:tc>
                <w:tcPr>
                  <w:tcW w:w="162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left"/>
                    <w:textAlignment w:val="auto"/>
                    <w:rPr>
                      <w:rFonts w:hint="default" w:eastAsia="宋体"/>
                      <w:sz w:val="21"/>
                      <w:szCs w:val="21"/>
                      <w:lang w:val="en-US" w:eastAsia="zh-CN"/>
                    </w:rPr>
                  </w:pPr>
                  <w:r>
                    <w:rPr>
                      <w:rFonts w:hint="eastAsia"/>
                      <w:sz w:val="21"/>
                      <w:szCs w:val="21"/>
                      <w:lang w:val="en-US" w:eastAsia="zh-CN"/>
                    </w:rPr>
                    <w:t>面积为1760m</w:t>
                  </w:r>
                  <w:r>
                    <w:rPr>
                      <w:rFonts w:hint="eastAsia"/>
                      <w:sz w:val="21"/>
                      <w:szCs w:val="21"/>
                      <w:vertAlign w:val="superscript"/>
                      <w:lang w:val="en-US" w:eastAsia="zh-CN"/>
                    </w:rPr>
                    <w:t>2</w:t>
                  </w:r>
                </w:p>
              </w:tc>
              <w:tc>
                <w:tcPr>
                  <w:tcW w:w="4074"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left"/>
                    <w:textAlignment w:val="auto"/>
                    <w:rPr>
                      <w:rFonts w:hint="eastAsia"/>
                      <w:sz w:val="21"/>
                      <w:szCs w:val="21"/>
                    </w:rPr>
                  </w:pPr>
                  <w:r>
                    <w:rPr>
                      <w:rFonts w:hint="eastAsia"/>
                      <w:sz w:val="21"/>
                      <w:szCs w:val="21"/>
                    </w:rPr>
                    <w:t>微调电阻器生产线2</w:t>
                  </w:r>
                  <w:r>
                    <w:rPr>
                      <w:rFonts w:hint="default"/>
                      <w:sz w:val="21"/>
                      <w:szCs w:val="21"/>
                    </w:rPr>
                    <w:t>0</w:t>
                  </w:r>
                  <w:r>
                    <w:rPr>
                      <w:rFonts w:hint="eastAsia"/>
                      <w:sz w:val="21"/>
                      <w:szCs w:val="21"/>
                    </w:rPr>
                    <w:t>条，微调电容器生产线1</w:t>
                  </w:r>
                  <w:r>
                    <w:rPr>
                      <w:rFonts w:hint="default"/>
                      <w:sz w:val="21"/>
                      <w:szCs w:val="21"/>
                    </w:rPr>
                    <w:t>0</w:t>
                  </w:r>
                  <w:r>
                    <w:rPr>
                      <w:rFonts w:hint="eastAsia"/>
                      <w:sz w:val="21"/>
                      <w:szCs w:val="21"/>
                    </w:rPr>
                    <w:t>条，</w:t>
                  </w:r>
                  <w:r>
                    <w:rPr>
                      <w:rFonts w:hint="default"/>
                      <w:sz w:val="21"/>
                      <w:szCs w:val="21"/>
                    </w:rPr>
                    <w:t>SMD</w:t>
                  </w:r>
                  <w:r>
                    <w:rPr>
                      <w:rFonts w:hint="eastAsia"/>
                      <w:sz w:val="21"/>
                      <w:szCs w:val="21"/>
                    </w:rPr>
                    <w:t>电阻生产线1</w:t>
                  </w:r>
                  <w:r>
                    <w:rPr>
                      <w:rFonts w:hint="default"/>
                      <w:sz w:val="21"/>
                      <w:szCs w:val="21"/>
                    </w:rPr>
                    <w:t>0</w:t>
                  </w:r>
                  <w:r>
                    <w:rPr>
                      <w:rFonts w:hint="eastAsia"/>
                      <w:sz w:val="21"/>
                      <w:szCs w:val="21"/>
                    </w:rPr>
                    <w:t>条，电阻芯片测试生产线1</w:t>
                  </w:r>
                  <w:r>
                    <w:rPr>
                      <w:rFonts w:hint="default"/>
                      <w:sz w:val="21"/>
                      <w:szCs w:val="21"/>
                    </w:rPr>
                    <w:t>0</w:t>
                  </w:r>
                  <w:r>
                    <w:rPr>
                      <w:rFonts w:hint="eastAsia"/>
                      <w:sz w:val="21"/>
                      <w:szCs w:val="21"/>
                    </w:rPr>
                    <w:t>条，发射接收管生产线5条、S</w:t>
                  </w:r>
                  <w:r>
                    <w:rPr>
                      <w:rFonts w:hint="default"/>
                      <w:sz w:val="21"/>
                      <w:szCs w:val="21"/>
                    </w:rPr>
                    <w:t>MT</w:t>
                  </w:r>
                  <w:r>
                    <w:rPr>
                      <w:rFonts w:hint="eastAsia"/>
                      <w:sz w:val="21"/>
                      <w:szCs w:val="21"/>
                    </w:rPr>
                    <w:t>贴片</w:t>
                  </w:r>
                  <w:r>
                    <w:rPr>
                      <w:rFonts w:hint="eastAsia"/>
                      <w:sz w:val="21"/>
                      <w:szCs w:val="21"/>
                      <w:lang w:val="en-US" w:eastAsia="zh-CN"/>
                    </w:rPr>
                    <w:t>生</w:t>
                  </w:r>
                  <w:r>
                    <w:rPr>
                      <w:rFonts w:hint="eastAsia"/>
                      <w:sz w:val="21"/>
                      <w:szCs w:val="21"/>
                    </w:rPr>
                    <w:t>产线5条</w:t>
                  </w:r>
                  <w:r>
                    <w:rPr>
                      <w:rFonts w:hint="eastAsia"/>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rPr>
                  </w:pPr>
                </w:p>
              </w:tc>
              <w:tc>
                <w:tcPr>
                  <w:tcW w:w="961"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rPr>
                  </w:pPr>
                </w:p>
              </w:tc>
              <w:tc>
                <w:tcPr>
                  <w:tcW w:w="82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eastAsia="宋体"/>
                      <w:sz w:val="21"/>
                      <w:szCs w:val="21"/>
                      <w:lang w:val="en-US" w:eastAsia="zh-CN"/>
                    </w:rPr>
                  </w:pPr>
                  <w:r>
                    <w:rPr>
                      <w:rFonts w:hint="eastAsia"/>
                      <w:sz w:val="21"/>
                      <w:szCs w:val="21"/>
                      <w:lang w:val="en-US" w:eastAsia="zh-CN"/>
                    </w:rPr>
                    <w:t>四楼</w:t>
                  </w:r>
                </w:p>
              </w:tc>
              <w:tc>
                <w:tcPr>
                  <w:tcW w:w="162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both"/>
                    <w:textAlignment w:val="auto"/>
                    <w:rPr>
                      <w:rFonts w:hint="default" w:eastAsia="宋体"/>
                      <w:sz w:val="21"/>
                      <w:szCs w:val="21"/>
                      <w:lang w:val="en-US" w:eastAsia="zh-CN"/>
                    </w:rPr>
                  </w:pPr>
                  <w:r>
                    <w:rPr>
                      <w:rFonts w:hint="eastAsia"/>
                      <w:sz w:val="21"/>
                      <w:szCs w:val="21"/>
                      <w:lang w:val="en-US" w:eastAsia="zh-CN"/>
                    </w:rPr>
                    <w:t>面积为2400m</w:t>
                  </w:r>
                  <w:r>
                    <w:rPr>
                      <w:rFonts w:hint="eastAsia"/>
                      <w:sz w:val="21"/>
                      <w:szCs w:val="21"/>
                      <w:vertAlign w:val="superscript"/>
                      <w:lang w:val="en-US" w:eastAsia="zh-CN"/>
                    </w:rPr>
                    <w:t>2</w:t>
                  </w:r>
                </w:p>
              </w:tc>
              <w:tc>
                <w:tcPr>
                  <w:tcW w:w="4074"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p>
              </w:tc>
              <w:tc>
                <w:tcPr>
                  <w:tcW w:w="961"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p>
              </w:tc>
              <w:tc>
                <w:tcPr>
                  <w:tcW w:w="82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eastAsia="宋体"/>
                      <w:sz w:val="21"/>
                      <w:szCs w:val="21"/>
                      <w:lang w:val="en-US" w:eastAsia="zh-CN"/>
                    </w:rPr>
                  </w:pPr>
                  <w:r>
                    <w:rPr>
                      <w:rFonts w:hint="eastAsia"/>
                      <w:sz w:val="21"/>
                      <w:szCs w:val="21"/>
                      <w:lang w:val="en-US" w:eastAsia="zh-CN"/>
                    </w:rPr>
                    <w:t>五楼</w:t>
                  </w:r>
                </w:p>
              </w:tc>
              <w:tc>
                <w:tcPr>
                  <w:tcW w:w="162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r>
                    <w:rPr>
                      <w:rFonts w:hint="eastAsia"/>
                      <w:sz w:val="21"/>
                      <w:szCs w:val="21"/>
                      <w:lang w:val="en-US" w:eastAsia="zh-CN"/>
                    </w:rPr>
                    <w:t>面积为2400m</w:t>
                  </w:r>
                  <w:r>
                    <w:rPr>
                      <w:rFonts w:hint="eastAsia"/>
                      <w:sz w:val="21"/>
                      <w:szCs w:val="21"/>
                      <w:vertAlign w:val="superscript"/>
                      <w:lang w:val="en-US" w:eastAsia="zh-CN"/>
                    </w:rPr>
                    <w:t>2</w:t>
                  </w:r>
                </w:p>
              </w:tc>
              <w:tc>
                <w:tcPr>
                  <w:tcW w:w="4074"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140"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辅助工程</w:t>
                  </w:r>
                </w:p>
              </w:tc>
              <w:tc>
                <w:tcPr>
                  <w:tcW w:w="961"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研发、质控及办公室</w:t>
                  </w:r>
                </w:p>
              </w:tc>
              <w:tc>
                <w:tcPr>
                  <w:tcW w:w="82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sz w:val="21"/>
                      <w:szCs w:val="21"/>
                    </w:rPr>
                  </w:pPr>
                  <w:r>
                    <w:rPr>
                      <w:rFonts w:hint="eastAsia"/>
                      <w:sz w:val="21"/>
                      <w:szCs w:val="21"/>
                      <w:lang w:val="en-US" w:eastAsia="zh-CN"/>
                    </w:rPr>
                    <w:t>三楼</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eastAsia="宋体"/>
                      <w:sz w:val="21"/>
                      <w:szCs w:val="21"/>
                      <w:lang w:eastAsia="zh-CN"/>
                    </w:rPr>
                  </w:pPr>
                  <w:r>
                    <w:rPr>
                      <w:rFonts w:hint="eastAsia"/>
                      <w:sz w:val="21"/>
                      <w:szCs w:val="21"/>
                      <w:lang w:val="en-US" w:eastAsia="zh-CN"/>
                    </w:rPr>
                    <w:t>面积为832m</w:t>
                  </w:r>
                  <w:r>
                    <w:rPr>
                      <w:rFonts w:hint="eastAsia"/>
                      <w:sz w:val="21"/>
                      <w:szCs w:val="21"/>
                      <w:vertAlign w:val="superscript"/>
                      <w:lang w:val="en-US" w:eastAsia="zh-CN"/>
                    </w:rPr>
                    <w:t>2</w:t>
                  </w:r>
                  <w:r>
                    <w:rPr>
                      <w:rFonts w:hint="eastAsia"/>
                      <w:sz w:val="21"/>
                      <w:szCs w:val="21"/>
                      <w:lang w:val="en-US" w:eastAsia="zh-CN"/>
                    </w:rPr>
                    <w:t>，</w:t>
                  </w:r>
                  <w:r>
                    <w:rPr>
                      <w:rFonts w:hint="eastAsia"/>
                      <w:sz w:val="21"/>
                      <w:szCs w:val="21"/>
                    </w:rPr>
                    <w:t>主要用于研发、质控及办公</w:t>
                  </w:r>
                  <w:r>
                    <w:rPr>
                      <w:rFonts w:hint="eastAsia"/>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rPr>
                  </w:pPr>
                </w:p>
              </w:tc>
              <w:tc>
                <w:tcPr>
                  <w:tcW w:w="961"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rPr>
                  </w:pPr>
                </w:p>
              </w:tc>
              <w:tc>
                <w:tcPr>
                  <w:tcW w:w="82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sz w:val="21"/>
                      <w:szCs w:val="21"/>
                    </w:rPr>
                  </w:pPr>
                  <w:r>
                    <w:rPr>
                      <w:rFonts w:hint="eastAsia"/>
                      <w:sz w:val="21"/>
                      <w:szCs w:val="21"/>
                      <w:lang w:val="en-US" w:eastAsia="zh-CN"/>
                    </w:rPr>
                    <w:t>四楼</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r>
                    <w:rPr>
                      <w:rFonts w:hint="eastAsia"/>
                      <w:sz w:val="21"/>
                      <w:szCs w:val="21"/>
                      <w:lang w:val="en-US" w:eastAsia="zh-CN"/>
                    </w:rPr>
                    <w:t>面积为40m</w:t>
                  </w:r>
                  <w:r>
                    <w:rPr>
                      <w:rFonts w:hint="eastAsia"/>
                      <w:sz w:val="21"/>
                      <w:szCs w:val="21"/>
                      <w:vertAlign w:val="superscript"/>
                      <w:lang w:val="en-US" w:eastAsia="zh-CN"/>
                    </w:rPr>
                    <w:t>2</w:t>
                  </w:r>
                  <w:r>
                    <w:rPr>
                      <w:rFonts w:hint="eastAsia"/>
                      <w:sz w:val="21"/>
                      <w:szCs w:val="21"/>
                      <w:lang w:val="en-US" w:eastAsia="zh-CN"/>
                    </w:rPr>
                    <w:t>，</w:t>
                  </w:r>
                  <w:r>
                    <w:rPr>
                      <w:rFonts w:hint="eastAsia"/>
                      <w:sz w:val="21"/>
                      <w:szCs w:val="21"/>
                    </w:rPr>
                    <w:t>主要用于办公</w:t>
                  </w:r>
                  <w:r>
                    <w:rPr>
                      <w:rFonts w:hint="eastAsia"/>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p>
              </w:tc>
              <w:tc>
                <w:tcPr>
                  <w:tcW w:w="961"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p>
              </w:tc>
              <w:tc>
                <w:tcPr>
                  <w:tcW w:w="82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sz w:val="21"/>
                      <w:szCs w:val="21"/>
                    </w:rPr>
                  </w:pPr>
                  <w:r>
                    <w:rPr>
                      <w:rFonts w:hint="eastAsia"/>
                      <w:sz w:val="21"/>
                      <w:szCs w:val="21"/>
                      <w:lang w:val="en-US" w:eastAsia="zh-CN"/>
                    </w:rPr>
                    <w:t>五楼</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r>
                    <w:rPr>
                      <w:rFonts w:hint="eastAsia"/>
                      <w:sz w:val="21"/>
                      <w:szCs w:val="21"/>
                      <w:lang w:val="en-US" w:eastAsia="zh-CN"/>
                    </w:rPr>
                    <w:t>面积为40m</w:t>
                  </w:r>
                  <w:r>
                    <w:rPr>
                      <w:rFonts w:hint="eastAsia"/>
                      <w:sz w:val="21"/>
                      <w:szCs w:val="21"/>
                      <w:vertAlign w:val="superscript"/>
                      <w:lang w:val="en-US" w:eastAsia="zh-CN"/>
                    </w:rPr>
                    <w:t>2</w:t>
                  </w:r>
                  <w:r>
                    <w:rPr>
                      <w:rFonts w:hint="eastAsia"/>
                      <w:sz w:val="21"/>
                      <w:szCs w:val="21"/>
                      <w:lang w:val="en-US" w:eastAsia="zh-CN"/>
                    </w:rPr>
                    <w:t>，</w:t>
                  </w:r>
                  <w:r>
                    <w:rPr>
                      <w:rFonts w:hint="eastAsia"/>
                      <w:sz w:val="21"/>
                      <w:szCs w:val="21"/>
                    </w:rPr>
                    <w:t>主要用于办公</w:t>
                  </w:r>
                  <w:r>
                    <w:rPr>
                      <w:rFonts w:hint="eastAsia"/>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140"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储运工程</w:t>
                  </w:r>
                </w:p>
              </w:tc>
              <w:tc>
                <w:tcPr>
                  <w:tcW w:w="961"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仓库</w:t>
                  </w:r>
                </w:p>
              </w:tc>
              <w:tc>
                <w:tcPr>
                  <w:tcW w:w="82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sz w:val="21"/>
                      <w:szCs w:val="21"/>
                    </w:rPr>
                  </w:pPr>
                  <w:r>
                    <w:rPr>
                      <w:rFonts w:hint="eastAsia"/>
                      <w:sz w:val="21"/>
                      <w:szCs w:val="21"/>
                      <w:lang w:val="en-US" w:eastAsia="zh-CN"/>
                    </w:rPr>
                    <w:t>三楼</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lang w:val="en-US" w:eastAsia="zh-CN"/>
                    </w:rPr>
                    <w:t>面积为392m</w:t>
                  </w:r>
                  <w:r>
                    <w:rPr>
                      <w:rFonts w:hint="eastAsia"/>
                      <w:sz w:val="21"/>
                      <w:szCs w:val="21"/>
                      <w:vertAlign w:val="superscript"/>
                      <w:lang w:val="en-US" w:eastAsia="zh-CN"/>
                    </w:rPr>
                    <w:t>2</w:t>
                  </w:r>
                  <w:r>
                    <w:rPr>
                      <w:rFonts w:hint="eastAsia"/>
                      <w:sz w:val="21"/>
                      <w:szCs w:val="21"/>
                      <w:vertAlign w:val="baseline"/>
                      <w:lang w:val="en-US" w:eastAsia="zh-CN"/>
                    </w:rPr>
                    <w:t>，</w:t>
                  </w:r>
                  <w:r>
                    <w:rPr>
                      <w:rFonts w:hint="eastAsia"/>
                      <w:sz w:val="21"/>
                      <w:szCs w:val="21"/>
                    </w:rPr>
                    <w:t>主要用于储存原辅材料及成品。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rPr>
                  </w:pPr>
                </w:p>
              </w:tc>
              <w:tc>
                <w:tcPr>
                  <w:tcW w:w="961"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p>
              </w:tc>
              <w:tc>
                <w:tcPr>
                  <w:tcW w:w="82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sz w:val="21"/>
                      <w:szCs w:val="21"/>
                    </w:rPr>
                  </w:pPr>
                  <w:r>
                    <w:rPr>
                      <w:rFonts w:hint="eastAsia"/>
                      <w:sz w:val="21"/>
                      <w:szCs w:val="21"/>
                      <w:lang w:val="en-US" w:eastAsia="zh-CN"/>
                    </w:rPr>
                    <w:t>四楼</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r>
                    <w:rPr>
                      <w:rFonts w:hint="eastAsia"/>
                      <w:sz w:val="21"/>
                      <w:szCs w:val="21"/>
                      <w:lang w:val="en-US" w:eastAsia="zh-CN"/>
                    </w:rPr>
                    <w:t>面积为525m</w:t>
                  </w:r>
                  <w:r>
                    <w:rPr>
                      <w:rFonts w:hint="eastAsia"/>
                      <w:sz w:val="21"/>
                      <w:szCs w:val="21"/>
                      <w:vertAlign w:val="superscript"/>
                      <w:lang w:val="en-US" w:eastAsia="zh-CN"/>
                    </w:rPr>
                    <w:t>2</w:t>
                  </w:r>
                  <w:r>
                    <w:rPr>
                      <w:rFonts w:hint="eastAsia"/>
                      <w:sz w:val="21"/>
                      <w:szCs w:val="21"/>
                      <w:vertAlign w:val="baseline"/>
                      <w:lang w:val="en-US" w:eastAsia="zh-CN"/>
                    </w:rPr>
                    <w:t>，</w:t>
                  </w:r>
                  <w:r>
                    <w:rPr>
                      <w:rFonts w:hint="eastAsia"/>
                      <w:sz w:val="21"/>
                      <w:szCs w:val="21"/>
                    </w:rPr>
                    <w:t>主要用于储存原辅材料及成品。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p>
              </w:tc>
              <w:tc>
                <w:tcPr>
                  <w:tcW w:w="961"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p>
              </w:tc>
              <w:tc>
                <w:tcPr>
                  <w:tcW w:w="82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sz w:val="21"/>
                      <w:szCs w:val="21"/>
                    </w:rPr>
                  </w:pPr>
                  <w:r>
                    <w:rPr>
                      <w:rFonts w:hint="eastAsia"/>
                      <w:sz w:val="21"/>
                      <w:szCs w:val="21"/>
                      <w:lang w:val="en-US" w:eastAsia="zh-CN"/>
                    </w:rPr>
                    <w:t>五楼</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rPr>
                  </w:pPr>
                  <w:r>
                    <w:rPr>
                      <w:rFonts w:hint="eastAsia"/>
                      <w:sz w:val="21"/>
                      <w:szCs w:val="21"/>
                      <w:lang w:val="en-US" w:eastAsia="zh-CN"/>
                    </w:rPr>
                    <w:t>面积为525m</w:t>
                  </w:r>
                  <w:r>
                    <w:rPr>
                      <w:rFonts w:hint="eastAsia"/>
                      <w:sz w:val="21"/>
                      <w:szCs w:val="21"/>
                      <w:vertAlign w:val="superscript"/>
                      <w:lang w:val="en-US" w:eastAsia="zh-CN"/>
                    </w:rPr>
                    <w:t>2</w:t>
                  </w:r>
                  <w:r>
                    <w:rPr>
                      <w:rFonts w:hint="eastAsia"/>
                      <w:sz w:val="21"/>
                      <w:szCs w:val="21"/>
                      <w:vertAlign w:val="baseline"/>
                      <w:lang w:val="en-US" w:eastAsia="zh-CN"/>
                    </w:rPr>
                    <w:t>，</w:t>
                  </w:r>
                  <w:r>
                    <w:rPr>
                      <w:rFonts w:hint="eastAsia"/>
                      <w:sz w:val="21"/>
                      <w:szCs w:val="21"/>
                    </w:rPr>
                    <w:t>主要用于储存原辅材料及成品。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Merge w:val="restart"/>
                  <w:vAlign w:val="center"/>
                </w:tcPr>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公用工程</w:t>
                  </w:r>
                </w:p>
              </w:tc>
              <w:tc>
                <w:tcPr>
                  <w:tcW w:w="1782"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供电</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color w:val="000000"/>
                      <w:sz w:val="21"/>
                      <w:szCs w:val="21"/>
                    </w:rPr>
                    <w:t>依托市政供电管网，年用电量约</w:t>
                  </w:r>
                  <w:r>
                    <w:rPr>
                      <w:rFonts w:hint="default"/>
                      <w:color w:val="000000"/>
                      <w:sz w:val="21"/>
                      <w:szCs w:val="21"/>
                    </w:rPr>
                    <w:t>120</w:t>
                  </w:r>
                  <w:r>
                    <w:rPr>
                      <w:rFonts w:hint="eastAsia"/>
                      <w:color w:val="000000"/>
                      <w:sz w:val="21"/>
                      <w:szCs w:val="21"/>
                    </w:rPr>
                    <w:t>万</w:t>
                  </w:r>
                  <w:r>
                    <w:rPr>
                      <w:rFonts w:hint="default"/>
                      <w:color w:val="000000"/>
                      <w:sz w:val="21"/>
                      <w:szCs w:val="21"/>
                    </w:rPr>
                    <w:t>k</w:t>
                  </w:r>
                  <w:r>
                    <w:rPr>
                      <w:rFonts w:hint="eastAsia"/>
                      <w:color w:val="000000"/>
                      <w:sz w:val="21"/>
                      <w:szCs w:val="21"/>
                      <w:lang w:val="en-US" w:eastAsia="zh-CN"/>
                    </w:rPr>
                    <w:t>W</w:t>
                  </w:r>
                  <w:r>
                    <w:rPr>
                      <w:rFonts w:hint="eastAsia" w:ascii="微软雅黑" w:hAnsi="微软雅黑" w:eastAsia="微软雅黑" w:cs="微软雅黑"/>
                      <w:color w:val="000000"/>
                      <w:sz w:val="21"/>
                      <w:szCs w:val="21"/>
                    </w:rPr>
                    <w:t>∙</w:t>
                  </w:r>
                  <w:r>
                    <w:rPr>
                      <w:rFonts w:hint="default"/>
                      <w:color w:val="000000"/>
                      <w:sz w:val="21"/>
                      <w:szCs w:val="21"/>
                    </w:rPr>
                    <w:t>h</w:t>
                  </w:r>
                  <w:r>
                    <w:rPr>
                      <w:rFonts w:hint="eastAsia"/>
                      <w:color w:val="00000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Merge w:val="continue"/>
                  <w:vAlign w:val="center"/>
                </w:tcPr>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p>
              </w:tc>
              <w:tc>
                <w:tcPr>
                  <w:tcW w:w="1782"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供水</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color w:val="000000"/>
                      <w:sz w:val="21"/>
                      <w:szCs w:val="21"/>
                    </w:rPr>
                    <w:t>本项目用水依托市政自来水管网</w:t>
                  </w:r>
                  <w:r>
                    <w:rPr>
                      <w:rFonts w:hint="eastAsia"/>
                      <w:color w:val="000000"/>
                      <w:sz w:val="21"/>
                      <w:szCs w:val="21"/>
                      <w:lang w:eastAsia="zh-CN"/>
                    </w:rPr>
                    <w:t>，</w:t>
                  </w:r>
                  <w:r>
                    <w:rPr>
                      <w:rFonts w:hint="eastAsia"/>
                      <w:color w:val="000000"/>
                      <w:sz w:val="21"/>
                      <w:szCs w:val="21"/>
                      <w:lang w:val="en-US" w:eastAsia="zh-CN"/>
                    </w:rPr>
                    <w:t>年用水量约1.1万吨</w:t>
                  </w:r>
                  <w:r>
                    <w:rPr>
                      <w:rFonts w:hint="eastAsia"/>
                      <w:color w:val="00000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Merge w:val="continue"/>
                  <w:vAlign w:val="center"/>
                </w:tcPr>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p>
              </w:tc>
              <w:tc>
                <w:tcPr>
                  <w:tcW w:w="1782"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排水</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厂区实行雨污</w:t>
                  </w:r>
                  <w:r>
                    <w:rPr>
                      <w:rFonts w:hint="eastAsia" w:ascii="Times New Roman" w:hAnsi="Times New Roman" w:eastAsia="宋体" w:cs="Times New Roman"/>
                      <w:sz w:val="21"/>
                      <w:szCs w:val="21"/>
                    </w:rPr>
                    <w:t>分流，雨水</w:t>
                  </w:r>
                  <w:r>
                    <w:rPr>
                      <w:rFonts w:hint="eastAsia" w:ascii="Times New Roman" w:hAnsi="Times New Roman" w:eastAsia="宋体" w:cs="Times New Roman"/>
                      <w:sz w:val="21"/>
                      <w:szCs w:val="21"/>
                      <w:lang w:val="en-US" w:eastAsia="zh-CN"/>
                    </w:rPr>
                    <w:t>依托现有雨水管网</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rPr>
                    <w:t>废水主要为生活污水</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生产废水</w:t>
                  </w:r>
                  <w:r>
                    <w:rPr>
                      <w:rFonts w:hint="eastAsia" w:ascii="Times New Roman" w:hAnsi="Times New Roman" w:eastAsia="宋体" w:cs="Times New Roman"/>
                      <w:sz w:val="21"/>
                      <w:szCs w:val="21"/>
                      <w:lang w:eastAsia="zh-CN"/>
                    </w:rPr>
                    <w:t>。</w:t>
                  </w:r>
                  <w:r>
                    <w:rPr>
                      <w:rFonts w:hint="eastAsia"/>
                      <w:sz w:val="21"/>
                      <w:szCs w:val="21"/>
                      <w:lang w:val="en-US" w:eastAsia="zh-CN"/>
                    </w:rPr>
                    <w:t>清洗废水经沉淀处理后与纯水制备产生的浓水一并排入园区</w:t>
                  </w:r>
                  <w:r>
                    <w:rPr>
                      <w:rFonts w:hint="default"/>
                      <w:sz w:val="21"/>
                      <w:szCs w:val="21"/>
                    </w:rPr>
                    <w:t>污水管网</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rPr>
                    <w:t>生活污水经化粪池处理后达山南污水处理厂接管限值后由公司污水排口排入市政</w:t>
                  </w:r>
                  <w:r>
                    <w:rPr>
                      <w:rFonts w:hint="eastAsia" w:ascii="Times New Roman" w:hAnsi="Times New Roman" w:eastAsia="宋体" w:cs="Times New Roman"/>
                      <w:sz w:val="21"/>
                      <w:szCs w:val="21"/>
                      <w:lang w:val="en-US" w:eastAsia="zh-CN"/>
                    </w:rPr>
                    <w:t>污水</w:t>
                  </w:r>
                  <w:r>
                    <w:rPr>
                      <w:rFonts w:hint="eastAsia" w:ascii="Times New Roman" w:hAnsi="Times New Roman" w:eastAsia="宋体" w:cs="Times New Roman"/>
                      <w:sz w:val="21"/>
                      <w:szCs w:val="21"/>
                    </w:rPr>
                    <w:t>管网</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rPr>
                    <w:t>进入山南新区污水处理厂处理。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环保工程</w:t>
                  </w:r>
                </w:p>
              </w:tc>
              <w:tc>
                <w:tcPr>
                  <w:tcW w:w="1782"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废气治理</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eastAsia="宋体"/>
                      <w:sz w:val="21"/>
                      <w:szCs w:val="21"/>
                      <w:lang w:val="en-US" w:eastAsia="zh-CN"/>
                    </w:rPr>
                  </w:pPr>
                  <w:r>
                    <w:rPr>
                      <w:rFonts w:hint="eastAsia"/>
                      <w:sz w:val="21"/>
                      <w:szCs w:val="21"/>
                      <w:lang w:val="en-US" w:eastAsia="zh-CN"/>
                    </w:rPr>
                    <w:t>清洗和去胶工序产生的酸雾，负压收集经2套碱液喷淋塔分别处理后，由2根25m高排气筒DA001、DA002排放。</w:t>
                  </w:r>
                  <w:r>
                    <w:rPr>
                      <w:rFonts w:hint="eastAsia"/>
                      <w:sz w:val="21"/>
                      <w:szCs w:val="21"/>
                    </w:rPr>
                    <w:t>塑料封装生产过程中会产生一定量的塑料废气</w:t>
                  </w:r>
                  <w:r>
                    <w:rPr>
                      <w:rFonts w:hint="eastAsia"/>
                      <w:sz w:val="21"/>
                      <w:szCs w:val="21"/>
                      <w:lang w:eastAsia="zh-CN"/>
                    </w:rPr>
                    <w:t>，</w:t>
                  </w:r>
                  <w:r>
                    <w:rPr>
                      <w:rFonts w:hint="eastAsia"/>
                      <w:sz w:val="21"/>
                      <w:szCs w:val="21"/>
                    </w:rPr>
                    <w:t>采用集气罩+</w:t>
                  </w:r>
                  <w:r>
                    <w:rPr>
                      <w:rFonts w:hint="eastAsia"/>
                      <w:sz w:val="21"/>
                      <w:szCs w:val="21"/>
                      <w:lang w:val="en-US" w:eastAsia="zh-CN"/>
                    </w:rPr>
                    <w:t>二级</w:t>
                  </w:r>
                  <w:r>
                    <w:rPr>
                      <w:rFonts w:hint="eastAsia"/>
                      <w:sz w:val="21"/>
                      <w:szCs w:val="21"/>
                    </w:rPr>
                    <w:t>活性炭吸附</w:t>
                  </w:r>
                  <w:r>
                    <w:rPr>
                      <w:rFonts w:hint="eastAsia"/>
                      <w:sz w:val="21"/>
                      <w:szCs w:val="21"/>
                      <w:lang w:val="en-US" w:eastAsia="zh-CN"/>
                    </w:rPr>
                    <w:t>装置处理后</w:t>
                  </w:r>
                  <w:r>
                    <w:rPr>
                      <w:rFonts w:hint="eastAsia"/>
                      <w:sz w:val="21"/>
                      <w:szCs w:val="21"/>
                    </w:rPr>
                    <w:t>，</w:t>
                  </w:r>
                  <w:r>
                    <w:rPr>
                      <w:rFonts w:hint="eastAsia"/>
                      <w:sz w:val="21"/>
                      <w:szCs w:val="21"/>
                      <w:lang w:val="en-US" w:eastAsia="zh-CN"/>
                    </w:rPr>
                    <w:t>经25m排气筒DA003排放。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p>
              </w:tc>
              <w:tc>
                <w:tcPr>
                  <w:tcW w:w="1782"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废水治理</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eastAsia="宋体"/>
                      <w:sz w:val="21"/>
                      <w:szCs w:val="21"/>
                      <w:lang w:val="en-US" w:eastAsia="zh-CN"/>
                    </w:rPr>
                  </w:pPr>
                  <w:r>
                    <w:rPr>
                      <w:rFonts w:hint="eastAsia"/>
                      <w:sz w:val="21"/>
                      <w:szCs w:val="21"/>
                    </w:rPr>
                    <w:t>废水主要为生活污水</w:t>
                  </w:r>
                  <w:r>
                    <w:rPr>
                      <w:rFonts w:hint="eastAsia"/>
                      <w:sz w:val="21"/>
                      <w:szCs w:val="21"/>
                      <w:lang w:eastAsia="zh-CN"/>
                    </w:rPr>
                    <w:t>、</w:t>
                  </w:r>
                  <w:r>
                    <w:rPr>
                      <w:rFonts w:hint="eastAsia"/>
                      <w:sz w:val="21"/>
                      <w:szCs w:val="21"/>
                      <w:lang w:val="en-US" w:eastAsia="zh-CN"/>
                    </w:rPr>
                    <w:t>生产废水</w:t>
                  </w:r>
                  <w:r>
                    <w:rPr>
                      <w:rFonts w:hint="eastAsia"/>
                      <w:sz w:val="21"/>
                      <w:szCs w:val="21"/>
                    </w:rPr>
                    <w:t>，</w:t>
                  </w:r>
                  <w:r>
                    <w:rPr>
                      <w:rFonts w:hint="eastAsia"/>
                      <w:sz w:val="21"/>
                      <w:szCs w:val="21"/>
                      <w:lang w:val="en-US" w:eastAsia="zh-CN"/>
                    </w:rPr>
                    <w:t>清洗废水经沉淀处理后与纯水制备产生的浓水一并排入园区</w:t>
                  </w:r>
                  <w:r>
                    <w:rPr>
                      <w:rFonts w:hint="default"/>
                      <w:sz w:val="21"/>
                      <w:szCs w:val="21"/>
                    </w:rPr>
                    <w:t>污水管网</w:t>
                  </w:r>
                  <w:r>
                    <w:rPr>
                      <w:rFonts w:hint="eastAsia"/>
                      <w:sz w:val="21"/>
                      <w:szCs w:val="21"/>
                      <w:lang w:eastAsia="zh-CN"/>
                    </w:rPr>
                    <w:t>。</w:t>
                  </w:r>
                  <w:r>
                    <w:rPr>
                      <w:rFonts w:hint="eastAsia"/>
                      <w:sz w:val="21"/>
                      <w:szCs w:val="21"/>
                    </w:rPr>
                    <w:t>生活污水经化粪池处理后达山南污水处理厂接管限值后由公司污水排口</w:t>
                  </w:r>
                  <w:r>
                    <w:rPr>
                      <w:rFonts w:hint="eastAsia" w:ascii="Times New Roman" w:hAnsi="Times New Roman" w:eastAsia="宋体" w:cs="Times New Roman"/>
                      <w:sz w:val="21"/>
                      <w:szCs w:val="21"/>
                    </w:rPr>
                    <w:t>排入</w:t>
                  </w:r>
                  <w:r>
                    <w:rPr>
                      <w:rFonts w:hint="eastAsia" w:ascii="Times New Roman" w:hAnsi="Times New Roman" w:eastAsia="宋体" w:cs="Times New Roman"/>
                      <w:sz w:val="21"/>
                      <w:szCs w:val="21"/>
                      <w:lang w:val="en-US" w:eastAsia="zh-CN"/>
                    </w:rPr>
                    <w:t>园区污水</w:t>
                  </w:r>
                  <w:r>
                    <w:rPr>
                      <w:rFonts w:hint="eastAsia" w:ascii="Times New Roman" w:hAnsi="Times New Roman" w:eastAsia="宋体" w:cs="Times New Roman"/>
                      <w:sz w:val="21"/>
                      <w:szCs w:val="21"/>
                    </w:rPr>
                    <w:t>管网</w:t>
                  </w:r>
                  <w:r>
                    <w:rPr>
                      <w:rFonts w:hint="eastAsia" w:cs="Times New Roman"/>
                      <w:sz w:val="21"/>
                      <w:szCs w:val="21"/>
                      <w:lang w:eastAsia="zh-CN"/>
                    </w:rPr>
                    <w:t>。</w:t>
                  </w:r>
                  <w:r>
                    <w:rPr>
                      <w:rFonts w:hint="eastAsia" w:ascii="Times New Roman" w:hAnsi="Times New Roman" w:eastAsia="宋体" w:cs="Times New Roman"/>
                      <w:sz w:val="21"/>
                      <w:szCs w:val="21"/>
                    </w:rPr>
                    <w:t>进入</w:t>
                  </w:r>
                  <w:r>
                    <w:rPr>
                      <w:rFonts w:hint="eastAsia"/>
                      <w:sz w:val="21"/>
                      <w:szCs w:val="21"/>
                    </w:rPr>
                    <w:t>山南新区污水处理厂处理。</w:t>
                  </w:r>
                  <w:r>
                    <w:rPr>
                      <w:rFonts w:hint="eastAsia"/>
                      <w:sz w:val="21"/>
                      <w:szCs w:val="21"/>
                      <w:lang w:val="en-US" w:eastAsia="zh-CN"/>
                    </w:rPr>
                    <w:t>本项目需安装在线监测装置。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p>
              </w:tc>
              <w:tc>
                <w:tcPr>
                  <w:tcW w:w="1782"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噪声治理</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left"/>
                    <w:textAlignment w:val="auto"/>
                    <w:rPr>
                      <w:rFonts w:hint="default"/>
                      <w:sz w:val="21"/>
                      <w:szCs w:val="21"/>
                    </w:rPr>
                  </w:pPr>
                  <w:r>
                    <w:rPr>
                      <w:rFonts w:hint="eastAsia"/>
                      <w:color w:val="000000"/>
                      <w:sz w:val="21"/>
                      <w:szCs w:val="21"/>
                    </w:rPr>
                    <w:t>设施减震基础，采取厂房隔声、消声等措施。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p>
              </w:tc>
              <w:tc>
                <w:tcPr>
                  <w:tcW w:w="1782"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r>
                    <w:rPr>
                      <w:rFonts w:hint="eastAsia"/>
                      <w:sz w:val="21"/>
                      <w:szCs w:val="21"/>
                    </w:rPr>
                    <w:t>固废治理</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left"/>
                    <w:textAlignment w:val="auto"/>
                    <w:rPr>
                      <w:rFonts w:hint="eastAsia" w:eastAsia="宋体"/>
                      <w:sz w:val="21"/>
                      <w:szCs w:val="21"/>
                      <w:lang w:eastAsia="zh-CN"/>
                    </w:rPr>
                  </w:pPr>
                  <w:r>
                    <w:rPr>
                      <w:rFonts w:hint="eastAsia"/>
                      <w:sz w:val="21"/>
                      <w:szCs w:val="21"/>
                    </w:rPr>
                    <w:t>本项目固体废物主要为分切下来的边角料及设备擦布</w:t>
                  </w:r>
                  <w:r>
                    <w:rPr>
                      <w:rFonts w:hint="eastAsia"/>
                      <w:sz w:val="21"/>
                      <w:szCs w:val="21"/>
                      <w:lang w:eastAsia="zh-CN"/>
                    </w:rPr>
                    <w:t>、</w:t>
                  </w:r>
                  <w:r>
                    <w:rPr>
                      <w:rFonts w:hint="eastAsia"/>
                      <w:sz w:val="21"/>
                      <w:szCs w:val="21"/>
                    </w:rPr>
                    <w:t>边角料外卖或回收利用；生活垃圾由市政运走处理。废活性炭、废过滤介质、废试剂瓶</w:t>
                  </w:r>
                  <w:r>
                    <w:rPr>
                      <w:rFonts w:hint="eastAsia"/>
                      <w:sz w:val="21"/>
                      <w:szCs w:val="21"/>
                      <w:lang w:eastAsia="zh-CN"/>
                    </w:rPr>
                    <w:t>、</w:t>
                  </w:r>
                  <w:r>
                    <w:rPr>
                      <w:rFonts w:hint="eastAsia"/>
                      <w:sz w:val="21"/>
                      <w:szCs w:val="21"/>
                      <w:lang w:val="en-US" w:eastAsia="zh-CN"/>
                    </w:rPr>
                    <w:t>废环氧树脂</w:t>
                  </w:r>
                  <w:r>
                    <w:rPr>
                      <w:rFonts w:hint="eastAsia"/>
                      <w:sz w:val="21"/>
                      <w:szCs w:val="21"/>
                    </w:rPr>
                    <w:t>等危废暂存于</w:t>
                  </w:r>
                  <w:r>
                    <w:rPr>
                      <w:rFonts w:hint="eastAsia"/>
                      <w:sz w:val="21"/>
                      <w:szCs w:val="21"/>
                      <w:lang w:val="en-US" w:eastAsia="zh-CN"/>
                    </w:rPr>
                    <w:t>30</w:t>
                  </w:r>
                  <w:r>
                    <w:rPr>
                      <w:rFonts w:hint="eastAsia"/>
                      <w:sz w:val="21"/>
                      <w:szCs w:val="21"/>
                    </w:rPr>
                    <w:t>m</w:t>
                  </w:r>
                  <w:r>
                    <w:rPr>
                      <w:rFonts w:hint="eastAsia"/>
                      <w:sz w:val="21"/>
                      <w:szCs w:val="21"/>
                      <w:vertAlign w:val="superscript"/>
                    </w:rPr>
                    <w:t>2</w:t>
                  </w:r>
                  <w:r>
                    <w:rPr>
                      <w:rFonts w:hint="eastAsia"/>
                      <w:sz w:val="21"/>
                      <w:szCs w:val="21"/>
                    </w:rPr>
                    <w:t>危废间内，定期由资质单位处置</w:t>
                  </w:r>
                  <w:r>
                    <w:rPr>
                      <w:rFonts w:hint="eastAsia"/>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p>
              </w:tc>
              <w:tc>
                <w:tcPr>
                  <w:tcW w:w="1782" w:type="dxa"/>
                  <w:gridSpan w:val="2"/>
                  <w:vAlign w:val="center"/>
                </w:tcPr>
                <w:p>
                  <w:pPr>
                    <w:keepNext w:val="0"/>
                    <w:keepLines w:val="0"/>
                    <w:pageBreakBefore w:val="0"/>
                    <w:suppressLineNumbers w:val="0"/>
                    <w:tabs>
                      <w:tab w:val="left" w:pos="453"/>
                    </w:tabs>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lang w:eastAsia="zh-CN"/>
                    </w:rPr>
                  </w:pPr>
                  <w:r>
                    <w:rPr>
                      <w:rFonts w:hint="eastAsia"/>
                      <w:sz w:val="21"/>
                      <w:szCs w:val="21"/>
                      <w:lang w:eastAsia="zh-CN"/>
                    </w:rPr>
                    <w:t>土壤地下水</w:t>
                  </w:r>
                </w:p>
                <w:p>
                  <w:pPr>
                    <w:keepNext w:val="0"/>
                    <w:keepLines w:val="0"/>
                    <w:pageBreakBefore w:val="0"/>
                    <w:suppressLineNumbers w:val="0"/>
                    <w:tabs>
                      <w:tab w:val="left" w:pos="453"/>
                    </w:tabs>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eastAsia="宋体"/>
                      <w:sz w:val="21"/>
                      <w:szCs w:val="21"/>
                      <w:lang w:eastAsia="zh-CN"/>
                    </w:rPr>
                  </w:pPr>
                  <w:r>
                    <w:rPr>
                      <w:rFonts w:hint="eastAsia"/>
                      <w:sz w:val="21"/>
                      <w:szCs w:val="21"/>
                      <w:lang w:eastAsia="zh-CN"/>
                    </w:rPr>
                    <w:t>污染防治措施</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left"/>
                    <w:textAlignment w:val="auto"/>
                    <w:rPr>
                      <w:rFonts w:hint="eastAsia"/>
                      <w:sz w:val="21"/>
                      <w:szCs w:val="21"/>
                    </w:rPr>
                  </w:pPr>
                  <w:r>
                    <w:rPr>
                      <w:rFonts w:hint="eastAsia"/>
                      <w:sz w:val="21"/>
                      <w:szCs w:val="21"/>
                    </w:rPr>
                    <w:t>本项目危险废物暂存间、化学品仓库为重点防渗区、一般工业固体废物暂存库、生产车间为一般防渗区、其他区域（办公生活区）为简单防渗区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40"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rPr>
                  </w:pPr>
                </w:p>
              </w:tc>
              <w:tc>
                <w:tcPr>
                  <w:tcW w:w="1782" w:type="dxa"/>
                  <w:gridSpan w:val="2"/>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center"/>
                    <w:textAlignment w:val="auto"/>
                    <w:rPr>
                      <w:rFonts w:hint="eastAsia"/>
                      <w:sz w:val="21"/>
                      <w:szCs w:val="21"/>
                      <w:lang w:eastAsia="zh-CN"/>
                    </w:rPr>
                  </w:pPr>
                  <w:r>
                    <w:rPr>
                      <w:rFonts w:hint="eastAsia"/>
                      <w:sz w:val="21"/>
                      <w:szCs w:val="21"/>
                    </w:rPr>
                    <w:t>风险防范措施</w:t>
                  </w:r>
                </w:p>
              </w:tc>
              <w:tc>
                <w:tcPr>
                  <w:tcW w:w="5697" w:type="dxa"/>
                  <w:gridSpan w:val="2"/>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left"/>
                    <w:textAlignment w:val="auto"/>
                    <w:rPr>
                      <w:rFonts w:hint="eastAsia" w:eastAsia="宋体"/>
                      <w:sz w:val="21"/>
                      <w:szCs w:val="21"/>
                      <w:lang w:eastAsia="zh-CN"/>
                    </w:rPr>
                  </w:pPr>
                  <w:r>
                    <w:rPr>
                      <w:rFonts w:hint="eastAsia"/>
                      <w:sz w:val="21"/>
                      <w:szCs w:val="21"/>
                    </w:rPr>
                    <w:t>化学品仓库作为重点防渗区进行防渗处理，并在化学品仓库外设置围堰，防止化学品外泄造成的环境污染，危废库按照《危险废物贮存污染控制标准》（</w:t>
                  </w:r>
                  <w:r>
                    <w:rPr>
                      <w:rFonts w:hint="eastAsia"/>
                      <w:sz w:val="21"/>
                      <w:szCs w:val="21"/>
                      <w:lang w:eastAsia="zh-CN"/>
                    </w:rPr>
                    <w:t>GB18597-2023</w:t>
                  </w:r>
                  <w:r>
                    <w:rPr>
                      <w:rFonts w:hint="eastAsia"/>
                      <w:sz w:val="21"/>
                      <w:szCs w:val="21"/>
                    </w:rPr>
                    <w:t>）的相关要求进行建设</w:t>
                  </w:r>
                </w:p>
              </w:tc>
            </w:tr>
          </w:tbl>
          <w:p>
            <w:pPr>
              <w:pStyle w:val="23"/>
              <w:keepNext w:val="0"/>
              <w:keepLines w:val="0"/>
              <w:suppressLineNumbers w:val="0"/>
              <w:bidi w:val="0"/>
              <w:spacing w:before="0" w:beforeAutospacing="0" w:after="0" w:afterAutospacing="0"/>
              <w:ind w:left="0" w:leftChars="0" w:right="0" w:firstLine="0" w:firstLineChars="0"/>
              <w:rPr>
                <w:rFonts w:hint="eastAsia"/>
                <w:lang w:val="en-US" w:eastAsia="zh-CN"/>
              </w:rPr>
            </w:pPr>
          </w:p>
          <w:p>
            <w:pPr>
              <w:pStyle w:val="23"/>
              <w:keepNext w:val="0"/>
              <w:keepLines w:val="0"/>
              <w:suppressLineNumbers w:val="0"/>
              <w:bidi w:val="0"/>
              <w:spacing w:before="0" w:beforeAutospacing="0" w:after="0" w:afterAutospacing="0"/>
              <w:ind w:left="0" w:right="0"/>
              <w:rPr>
                <w:rFonts w:hint="default"/>
              </w:rPr>
            </w:pPr>
            <w:r>
              <w:rPr>
                <w:rFonts w:hint="eastAsia"/>
                <w:lang w:val="en-US" w:eastAsia="zh-CN"/>
              </w:rPr>
              <w:t>4、</w:t>
            </w:r>
            <w:r>
              <w:rPr>
                <w:rFonts w:hint="default"/>
              </w:rPr>
              <w:t>产品方案</w:t>
            </w:r>
          </w:p>
          <w:p>
            <w:pPr>
              <w:pStyle w:val="11"/>
              <w:keepNext w:val="0"/>
              <w:keepLines w:val="0"/>
              <w:pageBreakBefore w:val="0"/>
              <w:suppressLineNumbers w:val="0"/>
              <w:kinsoku/>
              <w:wordWrap/>
              <w:overflowPunct/>
              <w:topLinePunct w:val="0"/>
              <w:autoSpaceDE/>
              <w:autoSpaceDN/>
              <w:bidi w:val="0"/>
              <w:adjustRightInd/>
              <w:spacing w:before="0" w:after="0" w:afterAutospacing="0"/>
              <w:ind w:left="0" w:leftChars="0" w:right="0" w:firstLine="0" w:firstLineChars="0"/>
              <w:textAlignment w:val="auto"/>
              <w:rPr>
                <w:rFonts w:hint="default"/>
              </w:rPr>
            </w:pPr>
            <w:r>
              <w:rPr>
                <w:rFonts w:hint="default"/>
              </w:rPr>
              <w:t>表2-3</w:t>
            </w:r>
            <w:r>
              <w:rPr>
                <w:rFonts w:hint="eastAsia"/>
                <w:lang w:val="en-US" w:eastAsia="zh-CN"/>
              </w:rPr>
              <w:t xml:space="preserve">  </w:t>
            </w:r>
            <w:r>
              <w:rPr>
                <w:rFonts w:hint="default"/>
              </w:rPr>
              <w:t>项目产品方案一览表</w:t>
            </w:r>
          </w:p>
          <w:tbl>
            <w:tblPr>
              <w:tblStyle w:val="19"/>
              <w:tblW w:w="861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0"/>
              <w:gridCol w:w="3029"/>
              <w:gridCol w:w="2155"/>
              <w:gridCol w:w="215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28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vertAlign w:val="baseline"/>
                    </w:rPr>
                  </w:pPr>
                  <w:r>
                    <w:rPr>
                      <w:rFonts w:hint="default"/>
                      <w:b w:val="0"/>
                      <w:bCs w:val="0"/>
                      <w:sz w:val="21"/>
                      <w:szCs w:val="21"/>
                    </w:rPr>
                    <w:t>序号</w:t>
                  </w:r>
                </w:p>
              </w:tc>
              <w:tc>
                <w:tcPr>
                  <w:tcW w:w="302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vertAlign w:val="baseline"/>
                    </w:rPr>
                  </w:pPr>
                  <w:r>
                    <w:rPr>
                      <w:rFonts w:hint="default"/>
                      <w:b w:val="0"/>
                      <w:bCs w:val="0"/>
                      <w:sz w:val="21"/>
                      <w:szCs w:val="21"/>
                    </w:rPr>
                    <w:t>产品名称</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vertAlign w:val="baseline"/>
                    </w:rPr>
                  </w:pPr>
                  <w:r>
                    <w:rPr>
                      <w:rFonts w:hint="default"/>
                      <w:b w:val="0"/>
                      <w:bCs w:val="0"/>
                      <w:sz w:val="21"/>
                      <w:szCs w:val="21"/>
                    </w:rPr>
                    <w:t>年产量</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vertAlign w:val="baseline"/>
                    </w:rPr>
                  </w:pPr>
                  <w:r>
                    <w:rPr>
                      <w:rFonts w:hint="eastAsia"/>
                      <w:b w:val="0"/>
                      <w:bCs w:val="0"/>
                      <w:sz w:val="21"/>
                      <w:szCs w:val="21"/>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28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vertAlign w:val="baseline"/>
                    </w:rPr>
                  </w:pPr>
                  <w:r>
                    <w:rPr>
                      <w:rFonts w:hint="eastAsia"/>
                      <w:b w:val="0"/>
                      <w:bCs w:val="0"/>
                      <w:sz w:val="21"/>
                      <w:szCs w:val="21"/>
                    </w:rPr>
                    <w:t>1</w:t>
                  </w:r>
                </w:p>
              </w:tc>
              <w:tc>
                <w:tcPr>
                  <w:tcW w:w="302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vertAlign w:val="baseline"/>
                    </w:rPr>
                  </w:pPr>
                  <w:r>
                    <w:rPr>
                      <w:rFonts w:hint="eastAsia"/>
                      <w:sz w:val="21"/>
                      <w:szCs w:val="21"/>
                    </w:rPr>
                    <w:t>微调电阻器</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val="0"/>
                      <w:sz w:val="21"/>
                      <w:szCs w:val="21"/>
                      <w:vertAlign w:val="baseline"/>
                      <w:lang w:val="en-US" w:eastAsia="zh-CN"/>
                    </w:rPr>
                  </w:pPr>
                  <w:r>
                    <w:rPr>
                      <w:rFonts w:hint="eastAsia"/>
                      <w:b w:val="0"/>
                      <w:bCs w:val="0"/>
                      <w:sz w:val="21"/>
                      <w:szCs w:val="21"/>
                      <w:lang w:val="en-US" w:eastAsia="zh-CN"/>
                    </w:rPr>
                    <w:t>2000万</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vertAlign w:val="baseline"/>
                    </w:rPr>
                  </w:pPr>
                  <w:r>
                    <w:rPr>
                      <w:rFonts w:hint="eastAsia"/>
                      <w:b w:val="0"/>
                      <w:bCs w:val="0"/>
                      <w:sz w:val="21"/>
                      <w:szCs w:val="21"/>
                    </w:rPr>
                    <w:t>只/a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28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eastAsia="宋体"/>
                      <w:b w:val="0"/>
                      <w:bCs w:val="0"/>
                      <w:sz w:val="21"/>
                      <w:szCs w:val="21"/>
                      <w:lang w:val="en-US" w:eastAsia="zh-CN"/>
                    </w:rPr>
                  </w:pPr>
                  <w:r>
                    <w:rPr>
                      <w:rFonts w:hint="eastAsia"/>
                      <w:b w:val="0"/>
                      <w:bCs w:val="0"/>
                      <w:sz w:val="21"/>
                      <w:szCs w:val="21"/>
                      <w:lang w:val="en-US" w:eastAsia="zh-CN"/>
                    </w:rPr>
                    <w:t>2</w:t>
                  </w:r>
                </w:p>
              </w:tc>
              <w:tc>
                <w:tcPr>
                  <w:tcW w:w="302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sz w:val="21"/>
                      <w:szCs w:val="21"/>
                    </w:rPr>
                    <w:t>微调电容器</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2000万</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rPr>
                    <w:t>只/a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28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eastAsia="宋体"/>
                      <w:b w:val="0"/>
                      <w:bCs w:val="0"/>
                      <w:sz w:val="21"/>
                      <w:szCs w:val="21"/>
                      <w:lang w:val="en-US" w:eastAsia="zh-CN"/>
                    </w:rPr>
                  </w:pPr>
                  <w:r>
                    <w:rPr>
                      <w:rFonts w:hint="eastAsia"/>
                      <w:b w:val="0"/>
                      <w:bCs w:val="0"/>
                      <w:sz w:val="21"/>
                      <w:szCs w:val="21"/>
                      <w:lang w:val="en-US" w:eastAsia="zh-CN"/>
                    </w:rPr>
                    <w:t>3</w:t>
                  </w:r>
                </w:p>
              </w:tc>
              <w:tc>
                <w:tcPr>
                  <w:tcW w:w="302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default"/>
                      <w:sz w:val="21"/>
                      <w:szCs w:val="21"/>
                    </w:rPr>
                    <w:t>SMD</w:t>
                  </w:r>
                  <w:r>
                    <w:rPr>
                      <w:rFonts w:hint="eastAsia"/>
                      <w:sz w:val="21"/>
                      <w:szCs w:val="21"/>
                    </w:rPr>
                    <w:t>电阻</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2000万</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rPr>
                    <w:t>只/a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28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eastAsia="宋体"/>
                      <w:b w:val="0"/>
                      <w:bCs w:val="0"/>
                      <w:sz w:val="21"/>
                      <w:szCs w:val="21"/>
                      <w:lang w:val="en-US" w:eastAsia="zh-CN"/>
                    </w:rPr>
                  </w:pPr>
                  <w:r>
                    <w:rPr>
                      <w:rFonts w:hint="eastAsia"/>
                      <w:b w:val="0"/>
                      <w:bCs w:val="0"/>
                      <w:sz w:val="21"/>
                      <w:szCs w:val="21"/>
                      <w:lang w:val="en-US" w:eastAsia="zh-CN"/>
                    </w:rPr>
                    <w:t>4</w:t>
                  </w:r>
                </w:p>
              </w:tc>
              <w:tc>
                <w:tcPr>
                  <w:tcW w:w="302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eastAsia"/>
                      <w:sz w:val="21"/>
                      <w:szCs w:val="21"/>
                    </w:rPr>
                    <w:t>发射接收管</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2000万</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rPr>
                    <w:t>只/a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28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eastAsia="宋体"/>
                      <w:b w:val="0"/>
                      <w:bCs w:val="0"/>
                      <w:sz w:val="21"/>
                      <w:szCs w:val="21"/>
                      <w:lang w:val="en-US" w:eastAsia="zh-CN"/>
                    </w:rPr>
                  </w:pPr>
                  <w:r>
                    <w:rPr>
                      <w:rFonts w:hint="eastAsia"/>
                      <w:b w:val="0"/>
                      <w:bCs w:val="0"/>
                      <w:sz w:val="21"/>
                      <w:szCs w:val="21"/>
                      <w:lang w:val="en-US" w:eastAsia="zh-CN"/>
                    </w:rPr>
                    <w:t>5</w:t>
                  </w:r>
                </w:p>
              </w:tc>
              <w:tc>
                <w:tcPr>
                  <w:tcW w:w="302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sz w:val="21"/>
                      <w:szCs w:val="21"/>
                    </w:rPr>
                  </w:pPr>
                  <w:r>
                    <w:rPr>
                      <w:rFonts w:hint="eastAsia"/>
                      <w:sz w:val="21"/>
                      <w:szCs w:val="21"/>
                    </w:rPr>
                    <w:t>S</w:t>
                  </w:r>
                  <w:r>
                    <w:rPr>
                      <w:rFonts w:hint="default"/>
                      <w:sz w:val="21"/>
                      <w:szCs w:val="21"/>
                    </w:rPr>
                    <w:t>MT</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2000万</w:t>
                  </w:r>
                </w:p>
              </w:tc>
              <w:tc>
                <w:tcPr>
                  <w:tcW w:w="215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rPr>
                    <w:t>只/a</w:t>
                  </w:r>
                </w:p>
              </w:tc>
            </w:tr>
          </w:tbl>
          <w:p>
            <w:pPr>
              <w:pStyle w:val="23"/>
              <w:keepNext w:val="0"/>
              <w:keepLines w:val="0"/>
              <w:suppressLineNumbers w:val="0"/>
              <w:bidi w:val="0"/>
              <w:spacing w:before="0" w:beforeAutospacing="0" w:after="0" w:afterAutospacing="0"/>
              <w:ind w:left="0" w:leftChars="0" w:right="0" w:firstLine="480" w:firstLineChars="200"/>
              <w:rPr>
                <w:rFonts w:hint="default"/>
              </w:rPr>
            </w:pPr>
            <w:r>
              <w:rPr>
                <w:rFonts w:hint="default"/>
              </w:rPr>
              <w:t>5、项目主要原辅料及能源消耗</w:t>
            </w:r>
          </w:p>
          <w:p>
            <w:pPr>
              <w:pStyle w:val="11"/>
              <w:keepNext w:val="0"/>
              <w:keepLines w:val="0"/>
              <w:suppressLineNumbers w:val="0"/>
              <w:bidi w:val="0"/>
              <w:spacing w:before="0" w:after="0" w:afterAutospacing="0"/>
              <w:ind w:right="0"/>
              <w:rPr>
                <w:rFonts w:hint="default"/>
              </w:rPr>
            </w:pPr>
            <w:r>
              <w:rPr>
                <w:rFonts w:hint="default"/>
              </w:rPr>
              <w:t>表2-4</w:t>
            </w:r>
            <w:r>
              <w:rPr>
                <w:rFonts w:hint="eastAsia"/>
                <w:lang w:val="en-US" w:eastAsia="zh-CN"/>
              </w:rPr>
              <w:t xml:space="preserve"> </w:t>
            </w:r>
            <w:r>
              <w:rPr>
                <w:rFonts w:hint="default"/>
              </w:rPr>
              <w:t>主要原辅材料一览表</w:t>
            </w:r>
          </w:p>
          <w:tbl>
            <w:tblPr>
              <w:tblStyle w:val="19"/>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517"/>
              <w:gridCol w:w="1517"/>
              <w:gridCol w:w="2161"/>
              <w:gridCol w:w="21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default"/>
                      <w:b w:val="0"/>
                      <w:bCs w:val="0"/>
                      <w:sz w:val="21"/>
                      <w:szCs w:val="21"/>
                    </w:rPr>
                    <w:t>序号</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lang w:val="en-US" w:eastAsia="zh-CN"/>
                    </w:rPr>
                    <w:t>使用工序</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eastAsia="宋体"/>
                      <w:b w:val="0"/>
                      <w:bCs w:val="0"/>
                      <w:sz w:val="21"/>
                      <w:szCs w:val="21"/>
                      <w:lang w:val="en-US" w:eastAsia="zh-CN"/>
                    </w:rPr>
                  </w:pPr>
                  <w:r>
                    <w:rPr>
                      <w:rFonts w:hint="eastAsia"/>
                      <w:b w:val="0"/>
                      <w:bCs w:val="0"/>
                      <w:sz w:val="21"/>
                      <w:szCs w:val="21"/>
                      <w:lang w:val="en-US" w:eastAsia="zh-CN"/>
                    </w:rPr>
                    <w:t>名称</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年</w:t>
                  </w:r>
                  <w:r>
                    <w:rPr>
                      <w:rFonts w:hint="default"/>
                      <w:b w:val="0"/>
                      <w:bCs w:val="0"/>
                      <w:sz w:val="21"/>
                      <w:szCs w:val="21"/>
                    </w:rPr>
                    <w:t>消耗量</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1</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default"/>
                      <w:b w:val="0"/>
                      <w:bCs w:val="0"/>
                      <w:sz w:val="21"/>
                      <w:szCs w:val="21"/>
                    </w:rPr>
                    <w:t>LED支架</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lang w:val="en-US" w:eastAsia="zh-CN"/>
                    </w:rPr>
                    <w:t>PT板材</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val="0"/>
                      <w:sz w:val="21"/>
                      <w:szCs w:val="21"/>
                      <w:lang w:val="en-US" w:eastAsia="zh-CN"/>
                    </w:rPr>
                  </w:pPr>
                  <w:r>
                    <w:rPr>
                      <w:rFonts w:hint="eastAsia"/>
                      <w:b w:val="0"/>
                      <w:bCs w:val="0"/>
                      <w:sz w:val="21"/>
                      <w:szCs w:val="21"/>
                      <w:lang w:val="en-US" w:eastAsia="zh-CN"/>
                    </w:rPr>
                    <w:t>3.56</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lang w:val="en-US" w:eastAsia="zh-CN"/>
                    </w:rPr>
                    <w:t>吨</w:t>
                  </w:r>
                  <w:r>
                    <w:rPr>
                      <w:rFonts w:hint="eastAsia"/>
                      <w:b w:val="0"/>
                      <w:bCs w:val="0"/>
                      <w:sz w:val="21"/>
                      <w:szCs w:val="21"/>
                    </w:rPr>
                    <w: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2</w:t>
                  </w:r>
                </w:p>
              </w:tc>
              <w:tc>
                <w:tcPr>
                  <w:tcW w:w="1517"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lang w:eastAsia="zh-CN"/>
                    </w:rPr>
                    <w:t>芯</w:t>
                  </w:r>
                  <w:r>
                    <w:rPr>
                      <w:rFonts w:hint="default"/>
                      <w:b w:val="0"/>
                      <w:bCs w:val="0"/>
                      <w:sz w:val="21"/>
                      <w:szCs w:val="21"/>
                    </w:rPr>
                    <w:t>片</w:t>
                  </w:r>
                  <w:r>
                    <w:rPr>
                      <w:rFonts w:hint="eastAsia"/>
                      <w:b w:val="0"/>
                      <w:bCs w:val="0"/>
                      <w:sz w:val="21"/>
                      <w:szCs w:val="21"/>
                      <w:lang w:eastAsia="zh-CN"/>
                    </w:rPr>
                    <w:t>固定</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lang w:val="en-US" w:eastAsia="zh-CN"/>
                    </w:rPr>
                    <w:t>晶圆</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lang w:val="en-US" w:eastAsia="zh-CN"/>
                    </w:rPr>
                    <w:t>6</w:t>
                  </w:r>
                  <w:r>
                    <w:rPr>
                      <w:rFonts w:hint="default"/>
                      <w:b w:val="0"/>
                      <w:bCs w:val="0"/>
                      <w:sz w:val="21"/>
                      <w:szCs w:val="21"/>
                    </w:rPr>
                    <w:t xml:space="preserve"> </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lang w:val="en-US" w:eastAsia="zh-CN"/>
                    </w:rPr>
                    <w:t>亿片</w:t>
                  </w:r>
                  <w:r>
                    <w:rPr>
                      <w:rFonts w:hint="eastAsia"/>
                      <w:b w:val="0"/>
                      <w:bCs w:val="0"/>
                      <w:sz w:val="21"/>
                      <w:szCs w:val="21"/>
                    </w:rPr>
                    <w: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 w:val="21"/>
                      <w:szCs w:val="21"/>
                      <w:lang w:val="en-US" w:eastAsia="zh-CN"/>
                    </w:rPr>
                    <w:t>3</w:t>
                  </w:r>
                </w:p>
              </w:tc>
              <w:tc>
                <w:tcPr>
                  <w:tcW w:w="1517"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eastAsia="zh-CN"/>
                    </w:rPr>
                  </w:pP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切割膜</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2</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vertAlign w:val="baseline"/>
                      <w:lang w:val="en-US" w:eastAsia="zh-CN"/>
                    </w:rPr>
                  </w:pPr>
                  <w:r>
                    <w:rPr>
                      <w:rFonts w:hint="eastAsia"/>
                      <w:b w:val="0"/>
                      <w:bCs w:val="0"/>
                      <w:sz w:val="21"/>
                      <w:szCs w:val="21"/>
                      <w:lang w:val="en-US" w:eastAsia="zh-CN"/>
                    </w:rPr>
                    <w:t>万m</w:t>
                  </w:r>
                  <w:r>
                    <w:rPr>
                      <w:rFonts w:hint="eastAsia"/>
                      <w:b w:val="0"/>
                      <w:bCs w:val="0"/>
                      <w:sz w:val="21"/>
                      <w:szCs w:val="21"/>
                      <w:vertAlign w:val="superscript"/>
                      <w:lang w:val="en-US" w:eastAsia="zh-CN"/>
                    </w:rPr>
                    <w:t>2</w:t>
                  </w:r>
                  <w:r>
                    <w:rPr>
                      <w:rFonts w:hint="eastAsia"/>
                      <w:b w:val="0"/>
                      <w:bCs w:val="0"/>
                      <w:sz w:val="21"/>
                      <w:szCs w:val="21"/>
                      <w:vertAlign w:val="baseline"/>
                      <w:lang w:val="en-US" w:eastAsia="zh-CN"/>
                    </w:rPr>
                    <w: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 w:val="21"/>
                      <w:szCs w:val="21"/>
                      <w:lang w:val="en-US" w:eastAsia="zh-CN"/>
                    </w:rPr>
                    <w:t>4</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lang w:eastAsia="zh-CN"/>
                    </w:rPr>
                    <w:t>金线焊接</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lang w:val="en-US" w:eastAsia="zh-CN"/>
                    </w:rPr>
                    <w:t>金线</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val="0"/>
                      <w:sz w:val="21"/>
                      <w:szCs w:val="21"/>
                      <w:lang w:val="en-US" w:eastAsia="zh-CN"/>
                    </w:rPr>
                  </w:pPr>
                  <w:r>
                    <w:rPr>
                      <w:rFonts w:hint="eastAsia"/>
                      <w:b w:val="0"/>
                      <w:bCs w:val="0"/>
                      <w:sz w:val="21"/>
                      <w:szCs w:val="21"/>
                      <w:lang w:val="en-US" w:eastAsia="zh-CN"/>
                    </w:rPr>
                    <w:t>3.89</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val="0"/>
                      <w:sz w:val="21"/>
                      <w:szCs w:val="21"/>
                      <w:lang w:val="en-US" w:eastAsia="zh-CN"/>
                    </w:rPr>
                  </w:pPr>
                  <w:r>
                    <w:rPr>
                      <w:rFonts w:hint="eastAsia"/>
                      <w:b w:val="0"/>
                      <w:bCs w:val="0"/>
                      <w:sz w:val="21"/>
                      <w:szCs w:val="21"/>
                      <w:lang w:val="en-US" w:eastAsia="zh-CN"/>
                    </w:rPr>
                    <w:t>公斤/a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eastAsia"/>
                      <w:b w:val="0"/>
                      <w:bCs w:val="0"/>
                      <w:sz w:val="21"/>
                      <w:szCs w:val="21"/>
                      <w:lang w:val="en-US" w:eastAsia="zh-CN"/>
                    </w:rPr>
                    <w:t>5</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lang w:eastAsia="zh-CN"/>
                    </w:rPr>
                    <w:t>封装</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rPr>
                  </w:pPr>
                  <w:r>
                    <w:rPr>
                      <w:rFonts w:hint="eastAsia"/>
                      <w:b w:val="0"/>
                      <w:bCs w:val="0"/>
                      <w:sz w:val="21"/>
                      <w:szCs w:val="21"/>
                      <w:lang w:val="en-US" w:eastAsia="zh-CN"/>
                    </w:rPr>
                    <w:t>环氧树脂</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val="0"/>
                      <w:sz w:val="21"/>
                      <w:szCs w:val="21"/>
                      <w:lang w:val="en-US" w:eastAsia="zh-CN"/>
                    </w:rPr>
                  </w:pPr>
                  <w:r>
                    <w:rPr>
                      <w:rFonts w:hint="eastAsia"/>
                      <w:b w:val="0"/>
                      <w:bCs w:val="0"/>
                      <w:sz w:val="21"/>
                      <w:szCs w:val="21"/>
                      <w:lang w:val="en-US" w:eastAsia="zh-CN"/>
                    </w:rPr>
                    <w:t>1.58</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val="0"/>
                      <w:sz w:val="21"/>
                      <w:szCs w:val="21"/>
                      <w:lang w:val="en-US" w:eastAsia="zh-CN"/>
                    </w:rPr>
                  </w:pPr>
                  <w:r>
                    <w:rPr>
                      <w:rFonts w:hint="eastAsia"/>
                      <w:b w:val="0"/>
                      <w:bCs w:val="0"/>
                      <w:sz w:val="21"/>
                      <w:szCs w:val="21"/>
                      <w:lang w:val="en-US" w:eastAsia="zh-CN"/>
                    </w:rPr>
                    <w:t>吨/a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 w:val="21"/>
                      <w:szCs w:val="21"/>
                      <w:lang w:val="en-US" w:eastAsia="zh-CN"/>
                    </w:rPr>
                    <w:t>6</w:t>
                  </w:r>
                </w:p>
              </w:tc>
              <w:tc>
                <w:tcPr>
                  <w:tcW w:w="1517"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eastAsia="zh-CN"/>
                    </w:rPr>
                  </w:pPr>
                  <w:r>
                    <w:rPr>
                      <w:rFonts w:hint="eastAsia"/>
                      <w:b w:val="0"/>
                      <w:bCs w:val="0"/>
                      <w:sz w:val="21"/>
                      <w:szCs w:val="21"/>
                      <w:lang w:val="en-US" w:eastAsia="zh-CN"/>
                    </w:rPr>
                    <w:t>清洗和去胶</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盐酸</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0.02</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吨/a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 w:val="21"/>
                      <w:szCs w:val="21"/>
                      <w:lang w:val="en-US" w:eastAsia="zh-CN"/>
                    </w:rPr>
                    <w:t>7</w:t>
                  </w:r>
                </w:p>
              </w:tc>
              <w:tc>
                <w:tcPr>
                  <w:tcW w:w="1517"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eastAsia="zh-CN"/>
                    </w:rPr>
                  </w:pP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硫酸</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0.02</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吨/a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b w:val="0"/>
                      <w:bCs w:val="0"/>
                      <w:sz w:val="21"/>
                      <w:szCs w:val="21"/>
                      <w:lang w:val="en-US" w:eastAsia="zh-CN"/>
                    </w:rPr>
                    <w:t>8</w:t>
                  </w:r>
                </w:p>
              </w:tc>
              <w:tc>
                <w:tcPr>
                  <w:tcW w:w="1517"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过氧化氢</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0.02</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吨/a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25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9</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酸雾处理</w:t>
                  </w:r>
                </w:p>
              </w:tc>
              <w:tc>
                <w:tcPr>
                  <w:tcW w:w="151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氢氧化钠</w:t>
                  </w:r>
                </w:p>
              </w:tc>
              <w:tc>
                <w:tcPr>
                  <w:tcW w:w="2161"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lang w:val="en-US" w:eastAsia="zh-CN"/>
                    </w:rPr>
                  </w:pPr>
                  <w:r>
                    <w:rPr>
                      <w:rFonts w:hint="eastAsia"/>
                      <w:b w:val="0"/>
                      <w:bCs w:val="0"/>
                      <w:sz w:val="21"/>
                      <w:szCs w:val="21"/>
                      <w:lang w:val="en-US" w:eastAsia="zh-CN"/>
                    </w:rPr>
                    <w:t>0.02</w:t>
                  </w:r>
                </w:p>
              </w:tc>
              <w:tc>
                <w:tcPr>
                  <w:tcW w:w="215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吨/a</w:t>
                  </w:r>
                </w:p>
              </w:tc>
            </w:tr>
          </w:tbl>
          <w:p>
            <w:pPr>
              <w:pStyle w:val="11"/>
              <w:keepNext w:val="0"/>
              <w:keepLines w:val="0"/>
              <w:pageBreakBefore w:val="0"/>
              <w:widowControl w:val="0"/>
              <w:suppressLineNumbers w:val="0"/>
              <w:kinsoku/>
              <w:wordWrap/>
              <w:overflowPunct/>
              <w:topLinePunct w:val="0"/>
              <w:autoSpaceDE/>
              <w:autoSpaceDN/>
              <w:bidi w:val="0"/>
              <w:adjustRightInd/>
              <w:snapToGrid w:val="0"/>
              <w:spacing w:before="0" w:after="0" w:afterAutospacing="0" w:line="360" w:lineRule="auto"/>
              <w:ind w:left="0" w:leftChars="0" w:right="0" w:firstLine="480" w:firstLineChars="200"/>
              <w:jc w:val="both"/>
              <w:textAlignment w:val="auto"/>
              <w:rPr>
                <w:rFonts w:hint="eastAsia" w:ascii="Times New Roman" w:hAnsi="Times New Roman" w:eastAsia="宋体" w:cs="Times New Roman"/>
                <w:kern w:val="2"/>
                <w:sz w:val="24"/>
                <w:szCs w:val="21"/>
                <w:lang w:val="en-US" w:eastAsia="zh-CN" w:bidi="ar-SA"/>
              </w:rPr>
            </w:pPr>
            <w:r>
              <w:rPr>
                <w:rFonts w:hint="eastAsia" w:ascii="Times New Roman" w:hAnsi="Times New Roman" w:eastAsia="宋体" w:cs="Times New Roman"/>
                <w:kern w:val="2"/>
                <w:sz w:val="24"/>
                <w:szCs w:val="21"/>
                <w:lang w:val="en-US" w:eastAsia="zh-CN" w:bidi="ar-SA"/>
              </w:rPr>
              <w:t>原辅材料理化性质：</w:t>
            </w:r>
          </w:p>
          <w:p>
            <w:pPr>
              <w:pStyle w:val="12"/>
              <w:keepNext w:val="0"/>
              <w:keepLines w:val="0"/>
              <w:pageBreakBefore w:val="0"/>
              <w:widowControl w:val="0"/>
              <w:suppressLineNumbers w:val="0"/>
              <w:kinsoku/>
              <w:wordWrap/>
              <w:overflowPunct/>
              <w:topLinePunct w:val="0"/>
              <w:autoSpaceDE/>
              <w:autoSpaceDN/>
              <w:bidi w:val="0"/>
              <w:adjustRightInd/>
              <w:spacing w:before="0" w:beforeAutospacing="0" w:afterAutospacing="0" w:line="360" w:lineRule="auto"/>
              <w:ind w:left="0" w:leftChars="0" w:right="0" w:firstLine="480" w:firstLineChars="200"/>
              <w:textAlignment w:val="auto"/>
              <w:rPr>
                <w:rFonts w:hint="eastAsia" w:ascii="Times New Roman" w:hAnsi="Times New Roman" w:eastAsia="宋体" w:cs="Times New Roman"/>
                <w:kern w:val="2"/>
                <w:sz w:val="24"/>
                <w:szCs w:val="21"/>
                <w:lang w:val="en-US" w:eastAsia="zh-CN" w:bidi="ar-SA"/>
              </w:rPr>
            </w:pPr>
            <w:r>
              <w:rPr>
                <w:rFonts w:hint="eastAsia" w:ascii="Times New Roman" w:hAnsi="Times New Roman" w:eastAsia="宋体" w:cs="Times New Roman"/>
                <w:kern w:val="2"/>
                <w:sz w:val="24"/>
                <w:szCs w:val="21"/>
                <w:lang w:val="en-US" w:eastAsia="zh-CN" w:bidi="ar-SA"/>
              </w:rPr>
              <w:t>硫酸：硫的最重要的含氧酸。无水硫酸为无色油状液体，10.36℃时结晶，通常使用的是它的各种不同浓度的水溶液，用塔式法和接触法制取。前者所得为粗制稀硫酸，质量分数一般在75%左右;后者可得质量分数98.3%的纯浓硫酸，沸点338℃，相对密度1.84。硫酸是一种最活泼的二元无机强酸，能和许多金属发生反应。高浓度的硫酸有强烈吸水性，可用作脱水剂，碳化木材、纸张、棉麻织物及生物皮肉等含碳水化合物的物质。与水混合时，亦会放出大量热能。其具有强烈的腐蚀性和氧化性，故需谨慎使用。是一种重要的工业原料，可用于制造肥料、药物、炸药、颜料、洗涤剂、蓄电池等，也广泛应用于净化石油、金属冶炼以及染料等工业中。常用作化学试剂，在有机合成中可用作脱水剂和磺化剂。无色粘稠状液体,有强腐蚀性,有刺激性气味,易溶于水,生成稀硫酸。</w:t>
            </w:r>
          </w:p>
          <w:p>
            <w:pPr>
              <w:pStyle w:val="12"/>
              <w:keepNext w:val="0"/>
              <w:keepLines w:val="0"/>
              <w:pageBreakBefore w:val="0"/>
              <w:widowControl w:val="0"/>
              <w:suppressLineNumbers w:val="0"/>
              <w:kinsoku/>
              <w:wordWrap/>
              <w:overflowPunct/>
              <w:topLinePunct w:val="0"/>
              <w:autoSpaceDE/>
              <w:autoSpaceDN/>
              <w:bidi w:val="0"/>
              <w:adjustRightInd/>
              <w:spacing w:before="0" w:beforeAutospacing="0" w:afterAutospacing="0" w:line="360" w:lineRule="auto"/>
              <w:ind w:left="0" w:leftChars="0" w:right="0" w:firstLine="480" w:firstLineChars="200"/>
              <w:textAlignment w:val="auto"/>
              <w:rPr>
                <w:rFonts w:hint="eastAsia" w:ascii="Times New Roman" w:hAnsi="Times New Roman" w:eastAsia="宋体" w:cs="Times New Roman"/>
                <w:kern w:val="2"/>
                <w:sz w:val="24"/>
                <w:szCs w:val="21"/>
                <w:lang w:val="en-US" w:eastAsia="zh-CN" w:bidi="ar-SA"/>
              </w:rPr>
            </w:pPr>
            <w:r>
              <w:rPr>
                <w:rFonts w:hint="eastAsia" w:ascii="Times New Roman" w:hAnsi="Times New Roman" w:eastAsia="宋体" w:cs="Times New Roman"/>
                <w:kern w:val="2"/>
                <w:sz w:val="24"/>
                <w:szCs w:val="21"/>
                <w:lang w:val="en-US" w:eastAsia="zh-CN" w:bidi="ar-SA"/>
              </w:rPr>
              <w:t>盐酸：盐酸的性状为无色透明的液体，工业用盐酸会因有杂质三价铁盐而略显黄色，盐酸的气味是有强烈的刺鼻气味，具有较高的腐蚀性。浓盐酸具有极强的挥发性，由于浓盐酸具有挥发性，挥发出的氯化氢气体与空气中的水蒸气作用形成盐酸小液滴，所以会看到白雾。盐酸溶解性：盐酸与水、乙醇任意混溶，氯化氢能溶于许多有机溶剂，浓盐酸稀释有热量放出。</w:t>
            </w:r>
          </w:p>
          <w:p>
            <w:pPr>
              <w:pStyle w:val="12"/>
              <w:keepNext w:val="0"/>
              <w:keepLines w:val="0"/>
              <w:pageBreakBefore w:val="0"/>
              <w:widowControl w:val="0"/>
              <w:suppressLineNumbers w:val="0"/>
              <w:kinsoku/>
              <w:wordWrap/>
              <w:overflowPunct/>
              <w:topLinePunct w:val="0"/>
              <w:autoSpaceDE/>
              <w:autoSpaceDN/>
              <w:bidi w:val="0"/>
              <w:adjustRightInd/>
              <w:spacing w:before="0" w:beforeAutospacing="0" w:afterAutospacing="0" w:line="360" w:lineRule="auto"/>
              <w:ind w:left="0" w:leftChars="0" w:right="0" w:firstLine="480" w:firstLineChars="200"/>
              <w:textAlignment w:val="auto"/>
              <w:rPr>
                <w:rFonts w:hint="eastAsia" w:ascii="Times New Roman" w:hAnsi="Times New Roman" w:eastAsia="宋体" w:cs="Times New Roman"/>
                <w:kern w:val="2"/>
                <w:sz w:val="24"/>
                <w:szCs w:val="21"/>
                <w:lang w:val="en-US" w:eastAsia="zh-CN" w:bidi="ar-SA"/>
              </w:rPr>
            </w:pPr>
            <w:r>
              <w:rPr>
                <w:rFonts w:hint="eastAsia" w:ascii="Times New Roman" w:hAnsi="Times New Roman" w:eastAsia="宋体" w:cs="Times New Roman"/>
                <w:kern w:val="2"/>
                <w:sz w:val="24"/>
                <w:szCs w:val="21"/>
                <w:lang w:val="en-US" w:eastAsia="zh-CN" w:bidi="ar-SA"/>
              </w:rPr>
              <w:t>氢氧化钠：氢氧化钠，化学式为NaOH，俗称烧碱、火碱、苛性钠，为一种具有强腐蚀性的强碱，一般为片状或颗粒形态，易溶于水(溶于水时放热)并形成碱性溶液，另有潮解性，易吸取空气中的水蒸气(潮解)和二氧化碳(变质)。</w:t>
            </w:r>
          </w:p>
          <w:p>
            <w:pPr>
              <w:pStyle w:val="12"/>
              <w:keepNext w:val="0"/>
              <w:keepLines w:val="0"/>
              <w:pageBreakBefore w:val="0"/>
              <w:widowControl w:val="0"/>
              <w:suppressLineNumbers w:val="0"/>
              <w:kinsoku/>
              <w:wordWrap/>
              <w:overflowPunct/>
              <w:topLinePunct w:val="0"/>
              <w:autoSpaceDE/>
              <w:autoSpaceDN/>
              <w:bidi w:val="0"/>
              <w:adjustRightInd/>
              <w:spacing w:before="0" w:beforeAutospacing="0" w:afterAutospacing="0" w:line="360" w:lineRule="auto"/>
              <w:ind w:left="0" w:leftChars="0" w:right="0" w:firstLine="480" w:firstLineChars="200"/>
              <w:textAlignment w:val="auto"/>
              <w:rPr>
                <w:rFonts w:hint="eastAsia"/>
              </w:rPr>
            </w:pPr>
            <w:r>
              <w:rPr>
                <w:rFonts w:hint="eastAsia" w:ascii="Times New Roman" w:hAnsi="Times New Roman" w:eastAsia="宋体" w:cs="Times New Roman"/>
                <w:kern w:val="2"/>
                <w:sz w:val="24"/>
                <w:szCs w:val="21"/>
                <w:lang w:val="en-US" w:eastAsia="zh-CN" w:bidi="ar-SA"/>
              </w:rPr>
              <w:t>NaOH是化学实验室其中一种必备的化学品，亦为常见的化工品之一。纯品是无色透明的晶体。密度2.130g/cm³。熔点318.4℃。沸点1390℃。工业品含有少量的氯化钠和碳酸钠，是白色不透明的晶体。有块状，片状，粒状和棒状等。式量40.01氢氧化钠在水处理中可作为碱性清洗剂，溶于乙醇和甘油，不溶于丙醇、乙醚。在高温下对碳钠也有腐蚀作用。与氯、溴、碘等卤素发生歧化反应，与酸类起中和作用而生成盐和水。</w:t>
            </w:r>
          </w:p>
          <w:p>
            <w:pPr>
              <w:pStyle w:val="11"/>
              <w:keepNext w:val="0"/>
              <w:keepLines w:val="0"/>
              <w:suppressLineNumbers w:val="0"/>
              <w:bidi w:val="0"/>
              <w:spacing w:before="0" w:after="0" w:afterAutospacing="0"/>
              <w:ind w:right="0"/>
              <w:rPr>
                <w:rFonts w:hint="default"/>
              </w:rPr>
            </w:pPr>
            <w:r>
              <w:rPr>
                <w:rFonts w:hint="eastAsia"/>
              </w:rPr>
              <w:t>表2-</w:t>
            </w:r>
            <w:r>
              <w:rPr>
                <w:rFonts w:hint="default"/>
              </w:rPr>
              <w:t xml:space="preserve">5 </w:t>
            </w:r>
            <w:r>
              <w:rPr>
                <w:rFonts w:hint="eastAsia"/>
              </w:rPr>
              <w:t>能源消耗一览表</w:t>
            </w:r>
          </w:p>
          <w:tbl>
            <w:tblPr>
              <w:tblStyle w:val="19"/>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8"/>
              <w:gridCol w:w="2492"/>
              <w:gridCol w:w="2423"/>
              <w:gridCol w:w="242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258"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default"/>
                      <w:b w:val="0"/>
                      <w:bCs w:val="0"/>
                      <w:sz w:val="21"/>
                      <w:szCs w:val="21"/>
                    </w:rPr>
                    <w:t>序号</w:t>
                  </w:r>
                </w:p>
              </w:tc>
              <w:tc>
                <w:tcPr>
                  <w:tcW w:w="249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default"/>
                      <w:b w:val="0"/>
                      <w:bCs w:val="0"/>
                      <w:sz w:val="21"/>
                      <w:szCs w:val="21"/>
                    </w:rPr>
                    <w:t>名称</w:t>
                  </w:r>
                </w:p>
              </w:tc>
              <w:tc>
                <w:tcPr>
                  <w:tcW w:w="242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default"/>
                      <w:b w:val="0"/>
                      <w:bCs w:val="0"/>
                      <w:sz w:val="21"/>
                      <w:szCs w:val="21"/>
                    </w:rPr>
                    <w:t>年消耗量</w:t>
                  </w:r>
                </w:p>
              </w:tc>
              <w:tc>
                <w:tcPr>
                  <w:tcW w:w="242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258"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1</w:t>
                  </w:r>
                </w:p>
              </w:tc>
              <w:tc>
                <w:tcPr>
                  <w:tcW w:w="249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电</w:t>
                  </w:r>
                </w:p>
              </w:tc>
              <w:tc>
                <w:tcPr>
                  <w:tcW w:w="242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default"/>
                      <w:b w:val="0"/>
                      <w:bCs w:val="0"/>
                      <w:sz w:val="21"/>
                      <w:szCs w:val="21"/>
                    </w:rPr>
                    <w:t>120</w:t>
                  </w:r>
                </w:p>
              </w:tc>
              <w:tc>
                <w:tcPr>
                  <w:tcW w:w="242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b w:val="0"/>
                      <w:bCs w:val="0"/>
                      <w:sz w:val="21"/>
                      <w:szCs w:val="21"/>
                    </w:rPr>
                  </w:pPr>
                  <w:r>
                    <w:rPr>
                      <w:rFonts w:hint="eastAsia"/>
                      <w:b w:val="0"/>
                      <w:bCs w:val="0"/>
                      <w:sz w:val="21"/>
                      <w:szCs w:val="21"/>
                    </w:rPr>
                    <w:t>万</w:t>
                  </w:r>
                  <w:r>
                    <w:rPr>
                      <w:rFonts w:hint="eastAsia"/>
                      <w:b w:val="0"/>
                      <w:bCs w:val="0"/>
                      <w:sz w:val="21"/>
                      <w:szCs w:val="21"/>
                      <w:lang w:val="en-US" w:eastAsia="zh-CN"/>
                    </w:rPr>
                    <w:t>kW</w:t>
                  </w:r>
                  <w:r>
                    <w:rPr>
                      <w:rFonts w:hint="eastAsia"/>
                      <w:b w:val="0"/>
                      <w:bCs w:val="0"/>
                      <w:sz w:val="21"/>
                      <w:szCs w:val="21"/>
                    </w:rPr>
                    <w:t>∙h/a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258"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2</w:t>
                  </w:r>
                </w:p>
              </w:tc>
              <w:tc>
                <w:tcPr>
                  <w:tcW w:w="2492"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水</w:t>
                  </w:r>
                </w:p>
              </w:tc>
              <w:tc>
                <w:tcPr>
                  <w:tcW w:w="242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b w:val="0"/>
                      <w:bCs w:val="0"/>
                      <w:sz w:val="21"/>
                      <w:szCs w:val="21"/>
                      <w:lang w:val="en-US" w:eastAsia="zh-CN"/>
                    </w:rPr>
                  </w:pPr>
                  <w:r>
                    <w:rPr>
                      <w:rFonts w:hint="eastAsia"/>
                      <w:b w:val="0"/>
                      <w:bCs w:val="0"/>
                      <w:sz w:val="21"/>
                      <w:szCs w:val="21"/>
                      <w:lang w:val="en-US" w:eastAsia="zh-CN"/>
                    </w:rPr>
                    <w:t>1.1</w:t>
                  </w:r>
                </w:p>
              </w:tc>
              <w:tc>
                <w:tcPr>
                  <w:tcW w:w="242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b w:val="0"/>
                      <w:bCs w:val="0"/>
                      <w:sz w:val="21"/>
                      <w:szCs w:val="21"/>
                    </w:rPr>
                  </w:pPr>
                  <w:r>
                    <w:rPr>
                      <w:rFonts w:hint="eastAsia"/>
                      <w:b w:val="0"/>
                      <w:bCs w:val="0"/>
                      <w:sz w:val="21"/>
                      <w:szCs w:val="21"/>
                    </w:rPr>
                    <w:t>万t/a</w:t>
                  </w:r>
                </w:p>
              </w:tc>
            </w:tr>
          </w:tbl>
          <w:p>
            <w:pPr>
              <w:pStyle w:val="23"/>
              <w:keepNext w:val="0"/>
              <w:keepLines w:val="0"/>
              <w:suppressLineNumbers w:val="0"/>
              <w:bidi w:val="0"/>
              <w:spacing w:before="0" w:beforeAutospacing="0" w:after="0" w:afterAutospacing="0"/>
              <w:ind w:left="0" w:right="0"/>
              <w:rPr>
                <w:rFonts w:hint="default"/>
              </w:rPr>
            </w:pPr>
            <w:r>
              <w:rPr>
                <w:rFonts w:hint="default"/>
              </w:rPr>
              <w:t>6、项目主要生产设备</w:t>
            </w:r>
          </w:p>
          <w:p>
            <w:pPr>
              <w:pStyle w:val="11"/>
              <w:keepNext w:val="0"/>
              <w:keepLines w:val="0"/>
              <w:suppressLineNumbers w:val="0"/>
              <w:bidi w:val="0"/>
              <w:spacing w:before="0" w:after="0" w:afterAutospacing="0"/>
              <w:ind w:right="0"/>
              <w:rPr>
                <w:rFonts w:hint="default"/>
              </w:rPr>
            </w:pPr>
            <w:r>
              <w:rPr>
                <w:rFonts w:hint="default"/>
              </w:rPr>
              <w:t>表2-6</w:t>
            </w:r>
            <w:r>
              <w:rPr>
                <w:rFonts w:hint="eastAsia"/>
                <w:lang w:val="en-US" w:eastAsia="zh-CN"/>
              </w:rPr>
              <w:t xml:space="preserve"> </w:t>
            </w:r>
            <w:r>
              <w:rPr>
                <w:rFonts w:hint="default"/>
              </w:rPr>
              <w:t>主要生产设备一览表</w:t>
            </w:r>
          </w:p>
          <w:tbl>
            <w:tblPr>
              <w:tblStyle w:val="19"/>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9"/>
              <w:gridCol w:w="3305"/>
              <w:gridCol w:w="289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序号</w:t>
                  </w:r>
                </w:p>
              </w:tc>
              <w:tc>
                <w:tcPr>
                  <w:tcW w:w="3305" w:type="dxa"/>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设备名称</w:t>
                  </w:r>
                </w:p>
              </w:tc>
              <w:tc>
                <w:tcPr>
                  <w:tcW w:w="2894" w:type="dxa"/>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数量（台/套）</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智能激光标志机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2</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智能自动封装机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3</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智能自动测试机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4</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电脑工控智能干燥隧道炉</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5</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智能CDD测试高速编带机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6</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分光编带测试机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7</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智能CDD对位点胶机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8</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智能CDD对位穿孔机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9</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智能CDD印刷锡膏机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10</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智能引线切断成型机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11</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智能CDD</w:t>
                  </w:r>
                  <w:r>
                    <w:rPr>
                      <w:rFonts w:hint="default" w:ascii="Times New Roman" w:hAnsi="Times New Roman" w:eastAsia="宋体" w:cs="Times New Roman"/>
                      <w:sz w:val="21"/>
                      <w:szCs w:val="21"/>
                    </w:rPr>
                    <w:t>对位双头印刷机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12</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智能数控隧道高温烧结炉</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13</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智能数控回流焊机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14</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AS双臂M固晶机</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15</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SMT生产线</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1"/>
                      <w:szCs w:val="21"/>
                    </w:rPr>
                  </w:pPr>
                  <w:r>
                    <w:rPr>
                      <w:rFonts w:hint="default"/>
                      <w:sz w:val="21"/>
                      <w:szCs w:val="21"/>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9"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sz w:val="21"/>
                      <w:szCs w:val="21"/>
                      <w:lang w:val="en-US" w:eastAsia="zh-CN"/>
                    </w:rPr>
                  </w:pPr>
                  <w:r>
                    <w:rPr>
                      <w:rFonts w:hint="eastAsia"/>
                      <w:sz w:val="21"/>
                      <w:szCs w:val="21"/>
                      <w:lang w:val="en-US" w:eastAsia="zh-CN"/>
                    </w:rPr>
                    <w:t>16</w:t>
                  </w:r>
                </w:p>
              </w:tc>
              <w:tc>
                <w:tcPr>
                  <w:tcW w:w="3305"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eastAsia="宋体"/>
                      <w:sz w:val="21"/>
                      <w:szCs w:val="21"/>
                      <w:lang w:val="en-US" w:eastAsia="zh-CN"/>
                    </w:rPr>
                  </w:pPr>
                  <w:r>
                    <w:rPr>
                      <w:rFonts w:hint="eastAsia"/>
                      <w:sz w:val="21"/>
                      <w:szCs w:val="21"/>
                      <w:lang w:val="en-US" w:eastAsia="zh-CN"/>
                    </w:rPr>
                    <w:t>纯水制备生产线</w:t>
                  </w:r>
                </w:p>
              </w:tc>
              <w:tc>
                <w:tcPr>
                  <w:tcW w:w="2894"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eastAsia" w:eastAsia="宋体"/>
                      <w:sz w:val="21"/>
                      <w:szCs w:val="21"/>
                      <w:lang w:val="en-US" w:eastAsia="zh-CN"/>
                    </w:rPr>
                  </w:pPr>
                  <w:r>
                    <w:rPr>
                      <w:rFonts w:hint="eastAsia"/>
                      <w:sz w:val="21"/>
                      <w:szCs w:val="21"/>
                      <w:lang w:val="en-US" w:eastAsia="zh-CN"/>
                    </w:rPr>
                    <w:t>1</w:t>
                  </w:r>
                </w:p>
              </w:tc>
            </w:tr>
          </w:tbl>
          <w:p>
            <w:pPr>
              <w:pStyle w:val="23"/>
              <w:keepNext w:val="0"/>
              <w:keepLines w:val="0"/>
              <w:suppressLineNumbers w:val="0"/>
              <w:bidi w:val="0"/>
              <w:spacing w:before="0" w:beforeAutospacing="0" w:after="0" w:afterAutospacing="0"/>
              <w:ind w:left="0" w:leftChars="0" w:right="0" w:firstLine="480" w:firstLineChars="200"/>
              <w:rPr>
                <w:rFonts w:hint="eastAsia"/>
                <w:lang w:val="en-US" w:eastAsia="zh-CN"/>
              </w:rPr>
            </w:pPr>
            <w:r>
              <w:rPr>
                <w:rFonts w:hint="eastAsia"/>
                <w:b w:val="0"/>
                <w:bCs w:val="0"/>
                <w:szCs w:val="24"/>
                <w:lang w:val="en-US" w:eastAsia="zh-CN"/>
              </w:rPr>
              <w:t>7</w:t>
            </w:r>
            <w:r>
              <w:rPr>
                <w:rFonts w:hint="eastAsia"/>
                <w:lang w:val="en-US" w:eastAsia="zh-CN"/>
              </w:rPr>
              <w:t>、水平衡</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项目主要用水有纯水制备用水</w:t>
            </w:r>
            <w:r>
              <w:rPr>
                <w:rFonts w:hint="eastAsia"/>
                <w:lang w:val="en-US" w:eastAsia="zh-CN"/>
              </w:rPr>
              <w:t>及</w:t>
            </w:r>
            <w:r>
              <w:rPr>
                <w:rFonts w:hint="default"/>
                <w:lang w:val="en-US" w:eastAsia="zh-CN"/>
              </w:rPr>
              <w:t>生活用水。产生的废水主要为纯水制备浓水以及员工日常生活污水。</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（1）</w:t>
            </w:r>
            <w:r>
              <w:rPr>
                <w:rFonts w:hint="eastAsia"/>
                <w:lang w:val="en-US" w:eastAsia="zh-CN"/>
              </w:rPr>
              <w:t>清洗用水</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清洗均需采用纯水</w:t>
            </w:r>
            <w:r>
              <w:rPr>
                <w:rFonts w:hint="eastAsia"/>
                <w:lang w:val="en-US" w:eastAsia="zh-CN"/>
              </w:rPr>
              <w:t>，</w:t>
            </w:r>
            <w:r>
              <w:rPr>
                <w:rFonts w:hint="default"/>
                <w:lang w:val="en-US" w:eastAsia="zh-CN"/>
              </w:rPr>
              <w:t>清洗需用纯水量</w:t>
            </w:r>
            <w:r>
              <w:rPr>
                <w:rFonts w:hint="eastAsia"/>
                <w:lang w:val="en-US" w:eastAsia="zh-CN"/>
              </w:rPr>
              <w:t>19.416t</w:t>
            </w:r>
            <w:r>
              <w:rPr>
                <w:rFonts w:hint="default"/>
                <w:lang w:val="en-US" w:eastAsia="zh-CN"/>
              </w:rPr>
              <w:t>/d（</w:t>
            </w:r>
            <w:r>
              <w:rPr>
                <w:rFonts w:hint="eastAsia"/>
                <w:lang w:val="en-US" w:eastAsia="zh-CN"/>
              </w:rPr>
              <w:t>6234t</w:t>
            </w:r>
            <w:r>
              <w:rPr>
                <w:rFonts w:hint="default"/>
                <w:lang w:val="en-US" w:eastAsia="zh-CN"/>
              </w:rPr>
              <w:t>/a），排水系数按照0.9计算，则外排污水量为</w:t>
            </w:r>
            <w:r>
              <w:rPr>
                <w:rFonts w:hint="eastAsia"/>
                <w:lang w:val="en-US" w:eastAsia="zh-CN"/>
              </w:rPr>
              <w:t>17.478t</w:t>
            </w:r>
            <w:r>
              <w:rPr>
                <w:rFonts w:hint="default"/>
                <w:lang w:val="en-US" w:eastAsia="zh-CN"/>
              </w:rPr>
              <w:t>/d（</w:t>
            </w:r>
            <w:r>
              <w:rPr>
                <w:rFonts w:hint="eastAsia"/>
                <w:lang w:val="en-US" w:eastAsia="zh-CN"/>
              </w:rPr>
              <w:t>5618t</w:t>
            </w:r>
            <w:r>
              <w:rPr>
                <w:rFonts w:hint="default"/>
                <w:lang w:val="en-US" w:eastAsia="zh-CN"/>
              </w:rPr>
              <w:t>/a）</w:t>
            </w:r>
            <w:r>
              <w:rPr>
                <w:rFonts w:hint="eastAsia"/>
                <w:lang w:val="en-US" w:eastAsia="zh-CN"/>
              </w:rPr>
              <w:t>，</w:t>
            </w:r>
            <w:r>
              <w:rPr>
                <w:rFonts w:hint="default"/>
                <w:lang w:val="en-US" w:eastAsia="zh-CN"/>
              </w:rPr>
              <w:t>排入市政污水管网。</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（2）纯水制备浓水</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纯水制备浓水产生量为4.854t/d（1558.134t/a），直接排入市政污水管网。</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（3）碱液喷淋塔用水</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碱液喷淋塔用水为0.031t/d（10t/a），碱液喷淋塔废水排放量为0.015t/d（5t/a），作危废处理。</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（4）生活用水</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color w:val="000000"/>
              </w:rPr>
              <w:pict>
                <v:shape id="对象 4262" o:spid="_x0000_s1026" o:spt="75" type="#_x0000_t75" style="position:absolute;left:0pt;margin-left:-10.75pt;margin-top:60.3pt;height:214.45pt;width:445.05pt;z-index:-251655168;mso-width-relative:page;mso-height-relative:page;" o:ole="t" filled="f" o:preferrelative="t" stroked="f" coordsize="21600,21600">
                  <v:path/>
                  <v:fill on="f" focussize="0,0"/>
                  <v:stroke on="f"/>
                  <v:imagedata r:id="rId7" croptop="1421f" cropbottom="-142f" o:title=""/>
                  <o:lock v:ext="edit" aspectratio="f"/>
                </v:shape>
                <o:OLEObject Type="Embed" ProgID="Visio.Drawing.11" ShapeID="对象 4262" DrawAspect="Content" ObjectID="_1468075725" r:id="rId6">
                  <o:LockedField>false</o:LockedField>
                </o:OLEObject>
              </w:pict>
            </w:r>
            <w:r>
              <w:rPr>
                <w:rFonts w:hint="default"/>
                <w:lang w:val="en-US" w:eastAsia="zh-CN"/>
              </w:rPr>
              <w:t>项目劳动定员</w:t>
            </w:r>
            <w:r>
              <w:rPr>
                <w:rFonts w:hint="eastAsia"/>
                <w:lang w:val="en-US" w:eastAsia="zh-CN"/>
              </w:rPr>
              <w:t>200</w:t>
            </w:r>
            <w:r>
              <w:rPr>
                <w:rFonts w:hint="default"/>
                <w:lang w:val="en-US" w:eastAsia="zh-CN"/>
              </w:rPr>
              <w:t>人，项目不设置食堂和宿舍，根据《建筑给水排水设计规范》（GB50015-2019），用水量按 50L/d·人计，则生活用水量为</w:t>
            </w:r>
            <w:r>
              <w:rPr>
                <w:rFonts w:hint="eastAsia"/>
                <w:lang w:val="en-US" w:eastAsia="zh-CN"/>
              </w:rPr>
              <w:t>10</w:t>
            </w:r>
            <w:r>
              <w:rPr>
                <w:rFonts w:hint="default"/>
                <w:lang w:val="en-US" w:eastAsia="zh-CN"/>
              </w:rPr>
              <w:t xml:space="preserve"> t/d（</w:t>
            </w:r>
            <w:r>
              <w:rPr>
                <w:rFonts w:hint="eastAsia"/>
                <w:lang w:val="en-US" w:eastAsia="zh-CN"/>
              </w:rPr>
              <w:t>3210</w:t>
            </w:r>
            <w:r>
              <w:rPr>
                <w:rFonts w:hint="default"/>
                <w:lang w:val="en-US" w:eastAsia="zh-CN"/>
              </w:rPr>
              <w:t xml:space="preserve"> t/a），按照废水排放量0.8计算，则生活污水产生量为</w:t>
            </w:r>
            <w:r>
              <w:rPr>
                <w:rFonts w:hint="eastAsia"/>
                <w:lang w:val="en-US" w:eastAsia="zh-CN"/>
              </w:rPr>
              <w:t>8</w:t>
            </w:r>
            <w:r>
              <w:rPr>
                <w:rFonts w:hint="default"/>
                <w:lang w:val="en-US" w:eastAsia="zh-CN"/>
              </w:rPr>
              <w:t>t/d（</w:t>
            </w:r>
            <w:r>
              <w:rPr>
                <w:rFonts w:hint="eastAsia"/>
                <w:lang w:val="en-US" w:eastAsia="zh-CN"/>
              </w:rPr>
              <w:t>2568</w:t>
            </w:r>
            <w:r>
              <w:rPr>
                <w:rFonts w:hint="default"/>
                <w:lang w:val="en-US" w:eastAsia="zh-CN"/>
              </w:rPr>
              <w:t>t/a）。</w:t>
            </w:r>
          </w:p>
          <w:p>
            <w:pPr>
              <w:pStyle w:val="23"/>
              <w:keepNext w:val="0"/>
              <w:keepLines w:val="0"/>
              <w:suppressLineNumbers w:val="0"/>
              <w:bidi w:val="0"/>
              <w:spacing w:before="0" w:beforeAutospacing="0" w:after="0" w:afterAutospacing="0"/>
              <w:ind w:left="0" w:right="0"/>
              <w:rPr>
                <w:rFonts w:hint="default"/>
                <w:lang w:val="en-US" w:eastAsia="zh-CN"/>
              </w:rPr>
            </w:pPr>
          </w:p>
          <w:p>
            <w:pPr>
              <w:pStyle w:val="23"/>
              <w:keepNext w:val="0"/>
              <w:keepLines w:val="0"/>
              <w:suppressLineNumbers w:val="0"/>
              <w:bidi w:val="0"/>
              <w:spacing w:before="0" w:beforeAutospacing="0" w:after="0" w:afterAutospacing="0"/>
              <w:ind w:left="0" w:right="0"/>
              <w:rPr>
                <w:rFonts w:hint="default"/>
                <w:lang w:val="en-US" w:eastAsia="zh-CN"/>
              </w:rPr>
            </w:pPr>
          </w:p>
          <w:p>
            <w:pPr>
              <w:pStyle w:val="23"/>
              <w:keepNext w:val="0"/>
              <w:keepLines w:val="0"/>
              <w:suppressLineNumbers w:val="0"/>
              <w:bidi w:val="0"/>
              <w:spacing w:before="0" w:beforeAutospacing="0" w:after="0" w:afterAutospacing="0"/>
              <w:ind w:left="0" w:leftChars="0" w:right="0" w:firstLine="0" w:firstLineChars="0"/>
              <w:rPr>
                <w:rFonts w:hint="default"/>
                <w:lang w:val="en-US" w:eastAsia="zh-CN"/>
              </w:rPr>
            </w:pPr>
          </w:p>
          <w:p>
            <w:pPr>
              <w:pStyle w:val="23"/>
              <w:keepNext w:val="0"/>
              <w:keepLines w:val="0"/>
              <w:suppressLineNumbers w:val="0"/>
              <w:bidi w:val="0"/>
              <w:spacing w:before="0" w:beforeAutospacing="0" w:after="0" w:afterAutospacing="0"/>
              <w:ind w:left="0" w:leftChars="0" w:right="0" w:firstLine="0" w:firstLineChars="0"/>
              <w:rPr>
                <w:rFonts w:hint="default"/>
                <w:lang w:val="en-US" w:eastAsia="zh-CN"/>
              </w:rPr>
            </w:pPr>
          </w:p>
          <w:p>
            <w:pPr>
              <w:pStyle w:val="23"/>
              <w:keepNext w:val="0"/>
              <w:keepLines w:val="0"/>
              <w:suppressLineNumbers w:val="0"/>
              <w:bidi w:val="0"/>
              <w:spacing w:before="0" w:beforeAutospacing="0" w:after="0" w:afterAutospacing="0"/>
              <w:ind w:left="0" w:leftChars="0" w:right="0" w:firstLine="0" w:firstLineChars="0"/>
              <w:rPr>
                <w:rFonts w:hint="default"/>
                <w:lang w:val="en-US" w:eastAsia="zh-CN"/>
              </w:rPr>
            </w:pPr>
          </w:p>
          <w:p>
            <w:pPr>
              <w:pStyle w:val="23"/>
              <w:keepNext w:val="0"/>
              <w:keepLines w:val="0"/>
              <w:suppressLineNumbers w:val="0"/>
              <w:bidi w:val="0"/>
              <w:spacing w:before="0" w:beforeAutospacing="0" w:after="0" w:afterAutospacing="0"/>
              <w:ind w:left="0" w:leftChars="0" w:right="0" w:firstLine="0" w:firstLineChars="0"/>
              <w:rPr>
                <w:rFonts w:hint="default"/>
                <w:lang w:val="en-US" w:eastAsia="zh-CN"/>
              </w:rPr>
            </w:pPr>
          </w:p>
          <w:p>
            <w:pPr>
              <w:pStyle w:val="23"/>
              <w:keepNext w:val="0"/>
              <w:keepLines w:val="0"/>
              <w:suppressLineNumbers w:val="0"/>
              <w:bidi w:val="0"/>
              <w:spacing w:before="0" w:beforeAutospacing="0" w:after="0" w:afterAutospacing="0"/>
              <w:ind w:left="0" w:leftChars="0" w:right="0" w:firstLine="0" w:firstLineChars="0"/>
              <w:rPr>
                <w:rFonts w:hint="default"/>
                <w:lang w:val="en-US" w:eastAsia="zh-CN"/>
              </w:rPr>
            </w:pPr>
          </w:p>
          <w:p>
            <w:pPr>
              <w:pStyle w:val="23"/>
              <w:keepNext w:val="0"/>
              <w:keepLines w:val="0"/>
              <w:suppressLineNumbers w:val="0"/>
              <w:bidi w:val="0"/>
              <w:spacing w:before="0" w:beforeAutospacing="0" w:after="0" w:afterAutospacing="0"/>
              <w:ind w:left="0" w:leftChars="0" w:right="0" w:firstLine="0" w:firstLineChars="0"/>
              <w:rPr>
                <w:rFonts w:hint="default"/>
                <w:lang w:val="en-US" w:eastAsia="zh-CN"/>
              </w:rPr>
            </w:pPr>
          </w:p>
          <w:p>
            <w:pPr>
              <w:pStyle w:val="11"/>
              <w:keepNext w:val="0"/>
              <w:keepLines w:val="0"/>
              <w:suppressLineNumbers w:val="0"/>
              <w:bidi w:val="0"/>
              <w:spacing w:before="0" w:after="0" w:afterAutospacing="0"/>
              <w:ind w:right="0"/>
              <w:rPr>
                <w:rFonts w:hint="eastAsia"/>
                <w:lang w:val="en-US" w:eastAsia="zh-CN"/>
              </w:rPr>
            </w:pPr>
          </w:p>
          <w:p>
            <w:pPr>
              <w:pStyle w:val="11"/>
              <w:keepNext w:val="0"/>
              <w:keepLines w:val="0"/>
              <w:suppressLineNumbers w:val="0"/>
              <w:bidi w:val="0"/>
              <w:spacing w:before="0" w:after="0" w:afterAutospacing="0"/>
              <w:ind w:right="0"/>
              <w:rPr>
                <w:rFonts w:hint="default"/>
              </w:rPr>
            </w:pPr>
            <w:r>
              <w:rPr>
                <w:rFonts w:hint="eastAsia"/>
                <w:lang w:val="en-US" w:eastAsia="zh-CN"/>
              </w:rPr>
              <w:t>图2-1 项目水平衡图（t/d）</w:t>
            </w:r>
          </w:p>
          <w:p>
            <w:pPr>
              <w:pStyle w:val="23"/>
              <w:keepNext w:val="0"/>
              <w:keepLines w:val="0"/>
              <w:suppressLineNumbers w:val="0"/>
              <w:bidi w:val="0"/>
              <w:spacing w:before="0" w:beforeAutospacing="0" w:after="0" w:afterAutospacing="0"/>
              <w:ind w:left="0" w:right="0"/>
              <w:rPr>
                <w:rFonts w:hint="default"/>
              </w:rPr>
            </w:pPr>
            <w:r>
              <w:rPr>
                <w:rFonts w:hint="default"/>
              </w:rPr>
              <w:t>8、劳动定员</w:t>
            </w:r>
          </w:p>
          <w:p>
            <w:pPr>
              <w:pStyle w:val="23"/>
              <w:keepNext w:val="0"/>
              <w:keepLines w:val="0"/>
              <w:suppressLineNumbers w:val="0"/>
              <w:bidi w:val="0"/>
              <w:spacing w:before="0" w:beforeAutospacing="0" w:after="0" w:afterAutospacing="0"/>
              <w:ind w:left="0" w:right="0"/>
              <w:rPr>
                <w:rFonts w:hint="default"/>
              </w:rPr>
            </w:pPr>
            <w:r>
              <w:rPr>
                <w:rFonts w:hint="default"/>
              </w:rPr>
              <w:t>本项目劳动定员为</w:t>
            </w:r>
            <w:r>
              <w:rPr>
                <w:rFonts w:hint="eastAsia"/>
              </w:rPr>
              <w:t>2</w:t>
            </w:r>
            <w:r>
              <w:rPr>
                <w:rFonts w:hint="default"/>
              </w:rPr>
              <w:t>00人，</w:t>
            </w:r>
            <w:r>
              <w:rPr>
                <w:rFonts w:hint="eastAsia"/>
              </w:rPr>
              <w:t>三班制</w:t>
            </w:r>
            <w:r>
              <w:rPr>
                <w:rFonts w:hint="default"/>
              </w:rPr>
              <w:t>，</w:t>
            </w:r>
            <w:r>
              <w:rPr>
                <w:rFonts w:hint="eastAsia"/>
              </w:rPr>
              <w:t>每班工作8小时，年</w:t>
            </w:r>
            <w:r>
              <w:rPr>
                <w:rFonts w:hint="default"/>
              </w:rPr>
              <w:t>工作时间</w:t>
            </w:r>
            <w:r>
              <w:rPr>
                <w:rFonts w:hint="eastAsia"/>
              </w:rPr>
              <w:t>为3</w:t>
            </w:r>
            <w:r>
              <w:rPr>
                <w:rFonts w:hint="eastAsia"/>
                <w:lang w:val="en-US" w:eastAsia="zh-CN"/>
              </w:rPr>
              <w:t>21</w:t>
            </w:r>
            <w:r>
              <w:rPr>
                <w:rFonts w:hint="eastAsia"/>
              </w:rPr>
              <w:t>天</w:t>
            </w:r>
            <w:r>
              <w:rPr>
                <w:rFonts w:hint="default"/>
              </w:rPr>
              <w:t>，</w:t>
            </w:r>
            <w:r>
              <w:rPr>
                <w:rFonts w:hint="eastAsia"/>
              </w:rPr>
              <w:t>公司</w:t>
            </w:r>
            <w:r>
              <w:rPr>
                <w:rFonts w:hint="eastAsia"/>
                <w:lang w:val="en-US" w:eastAsia="zh-CN"/>
              </w:rPr>
              <w:t>不</w:t>
            </w:r>
            <w:r>
              <w:rPr>
                <w:rFonts w:hint="default"/>
              </w:rPr>
              <w:t>设置食堂</w:t>
            </w:r>
            <w:r>
              <w:rPr>
                <w:rFonts w:hint="eastAsia"/>
                <w:lang w:eastAsia="zh-CN"/>
              </w:rPr>
              <w:t>、</w:t>
            </w:r>
            <w:r>
              <w:rPr>
                <w:rFonts w:hint="default"/>
              </w:rPr>
              <w:t>宿舍。</w:t>
            </w:r>
          </w:p>
          <w:p>
            <w:pPr>
              <w:pStyle w:val="23"/>
              <w:keepNext w:val="0"/>
              <w:keepLines w:val="0"/>
              <w:suppressLineNumbers w:val="0"/>
              <w:bidi w:val="0"/>
              <w:spacing w:before="0" w:beforeAutospacing="0" w:after="0" w:afterAutospacing="0"/>
              <w:ind w:left="0" w:right="0"/>
              <w:rPr>
                <w:rFonts w:hint="default"/>
              </w:rPr>
            </w:pPr>
            <w:r>
              <w:rPr>
                <w:rFonts w:hint="default"/>
              </w:rPr>
              <w:t>9、厂区平面布置</w:t>
            </w:r>
          </w:p>
          <w:p>
            <w:pPr>
              <w:pStyle w:val="23"/>
              <w:keepNext w:val="0"/>
              <w:keepLines w:val="0"/>
              <w:suppressLineNumbers w:val="0"/>
              <w:bidi w:val="0"/>
              <w:spacing w:before="0" w:beforeAutospacing="0" w:after="0" w:afterAutospacing="0"/>
              <w:ind w:left="0" w:right="0"/>
              <w:rPr>
                <w:rFonts w:hint="default"/>
                <w:szCs w:val="24"/>
              </w:rPr>
            </w:pPr>
            <w:r>
              <w:rPr>
                <w:rFonts w:hint="default"/>
              </w:rPr>
              <w:t>项目租赁淮南市高新区新型显示产业园7号楼</w:t>
            </w:r>
            <w:r>
              <w:rPr>
                <w:rFonts w:hint="default"/>
                <w:sz w:val="24"/>
                <w:szCs w:val="24"/>
              </w:rPr>
              <w:t>3、4、5层</w:t>
            </w:r>
            <w:r>
              <w:rPr>
                <w:rFonts w:hint="default"/>
              </w:rPr>
              <w:t>，面积</w:t>
            </w:r>
            <w:r>
              <w:rPr>
                <w:rFonts w:hint="eastAsia"/>
                <w:sz w:val="24"/>
                <w:szCs w:val="24"/>
                <w:lang w:val="en-US" w:eastAsia="zh-CN"/>
              </w:rPr>
              <w:t>14852</w:t>
            </w:r>
            <w:r>
              <w:rPr>
                <w:rFonts w:hint="default"/>
              </w:rPr>
              <w:t>m</w:t>
            </w:r>
            <w:r>
              <w:rPr>
                <w:rFonts w:hint="default"/>
                <w:vertAlign w:val="superscript"/>
              </w:rPr>
              <w:t>2</w:t>
            </w:r>
            <w:r>
              <w:rPr>
                <w:rFonts w:hint="default"/>
              </w:rPr>
              <w:t>，其中划分为生产区域、原料仓库、成品仓库、办公区域等。</w:t>
            </w:r>
            <w:r>
              <w:rPr>
                <w:rFonts w:hint="eastAsia"/>
              </w:rPr>
              <w:t>在满足消防需求的前提下，优化组合总平面，做到流线合理，且土地得到最大化利用。项目通过合理组织功能分区，合理布置工艺车间，合理组织交通运输使物料运输方便快捷；保证生产工艺流程畅通，保证厂区平面布置符合环境保护、安全生产、绿化与工业企业卫生要求。所以厂区平面布置符合环保要求，较为合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4" w:hRule="atLeast"/>
        </w:trPr>
        <w:tc>
          <w:tcPr>
            <w:tcW w:w="465" w:type="dxa"/>
            <w:tcBorders>
              <w:left w:val="single" w:color="000000" w:sz="6" w:space="0"/>
            </w:tcBorders>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4"/>
                <w:szCs w:val="24"/>
              </w:rPr>
            </w:pPr>
            <w:r>
              <w:rPr>
                <w:rFonts w:hint="default"/>
                <w:sz w:val="24"/>
                <w:szCs w:val="24"/>
              </w:rPr>
              <w:t>工艺流程和产排污环节</w:t>
            </w:r>
          </w:p>
        </w:tc>
        <w:tc>
          <w:tcPr>
            <w:tcW w:w="8663" w:type="dxa"/>
            <w:tcBorders>
              <w:top w:val="single" w:color="auto" w:sz="4" w:space="0"/>
              <w:right w:val="single" w:color="000000" w:sz="6" w:space="0"/>
            </w:tcBorders>
            <w:vAlign w:val="center"/>
          </w:tcPr>
          <w:p>
            <w:pPr>
              <w:pStyle w:val="23"/>
              <w:keepNext w:val="0"/>
              <w:keepLines w:val="0"/>
              <w:suppressLineNumbers w:val="0"/>
              <w:bidi w:val="0"/>
              <w:spacing w:before="0" w:beforeAutospacing="0" w:after="0" w:afterAutospacing="0"/>
              <w:ind w:left="0" w:leftChars="0" w:right="0" w:firstLine="480" w:firstLineChars="200"/>
              <w:jc w:val="both"/>
              <w:rPr>
                <w:rFonts w:hint="default"/>
              </w:rPr>
            </w:pPr>
            <w:r>
              <w:rPr>
                <w:rFonts w:hint="eastAsia"/>
                <w:lang w:val="en-US" w:eastAsia="zh-CN"/>
              </w:rPr>
              <w:t>1</w:t>
            </w:r>
            <w:r>
              <w:rPr>
                <w:rFonts w:hint="default"/>
              </w:rPr>
              <w:t>、施工期工艺</w:t>
            </w:r>
            <w:r>
              <w:rPr>
                <w:rFonts w:hint="eastAsia"/>
              </w:rPr>
              <w:t>流程和产排污节点</w:t>
            </w:r>
          </w:p>
          <w:p>
            <w:pPr>
              <w:pStyle w:val="23"/>
              <w:keepNext w:val="0"/>
              <w:keepLines w:val="0"/>
              <w:suppressLineNumbers w:val="0"/>
              <w:bidi w:val="0"/>
              <w:spacing w:before="0" w:beforeAutospacing="0" w:after="0" w:afterAutospacing="0"/>
              <w:ind w:left="0" w:right="0"/>
              <w:rPr>
                <w:rFonts w:hint="default"/>
              </w:rPr>
            </w:pPr>
            <w:r>
              <w:rPr>
                <w:rFonts w:hint="eastAsia"/>
              </w:rPr>
              <w:t>项目租赁现有闲置厂房，施工期主要环境问题是项目厂房隔断和设备安装产生的污染。</w:t>
            </w:r>
          </w:p>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4"/>
                <w:szCs w:val="24"/>
              </w:rPr>
            </w:pPr>
            <w:r>
              <w:rPr>
                <w:rFonts w:hint="default"/>
                <w:sz w:val="24"/>
                <w:szCs w:val="24"/>
              </w:rPr>
              <w:drawing>
                <wp:inline distT="0" distB="0" distL="0" distR="0">
                  <wp:extent cx="2028190" cy="725170"/>
                  <wp:effectExtent l="0" t="0" r="10160" b="177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
                          <a:srcRect r="5104" b="6284"/>
                          <a:stretch>
                            <a:fillRect/>
                          </a:stretch>
                        </pic:blipFill>
                        <pic:spPr>
                          <a:xfrm>
                            <a:off x="0" y="0"/>
                            <a:ext cx="2028190" cy="725170"/>
                          </a:xfrm>
                          <a:prstGeom prst="rect">
                            <a:avLst/>
                          </a:prstGeom>
                          <a:ln>
                            <a:noFill/>
                          </a:ln>
                        </pic:spPr>
                      </pic:pic>
                    </a:graphicData>
                  </a:graphic>
                </wp:inline>
              </w:drawing>
            </w:r>
          </w:p>
          <w:p>
            <w:pPr>
              <w:pStyle w:val="11"/>
              <w:keepNext w:val="0"/>
              <w:keepLines w:val="0"/>
              <w:suppressLineNumbers w:val="0"/>
              <w:bidi w:val="0"/>
              <w:spacing w:before="0" w:after="0" w:afterAutospacing="0"/>
              <w:ind w:right="0"/>
              <w:rPr>
                <w:rFonts w:hint="default"/>
              </w:rPr>
            </w:pPr>
            <w:r>
              <w:rPr>
                <w:rFonts w:hint="eastAsia"/>
              </w:rPr>
              <w:t>图2-</w:t>
            </w:r>
            <w:r>
              <w:rPr>
                <w:rFonts w:hint="eastAsia"/>
                <w:lang w:val="en-US" w:eastAsia="zh-CN"/>
              </w:rPr>
              <w:t>2</w:t>
            </w:r>
            <w:r>
              <w:rPr>
                <w:rFonts w:hint="default"/>
              </w:rPr>
              <w:t xml:space="preserve"> </w:t>
            </w:r>
            <w:r>
              <w:rPr>
                <w:rFonts w:hint="eastAsia"/>
              </w:rPr>
              <w:t>施工期工艺流程及产排污节点图</w:t>
            </w:r>
          </w:p>
          <w:p>
            <w:pPr>
              <w:pStyle w:val="23"/>
              <w:keepNext w:val="0"/>
              <w:keepLines w:val="0"/>
              <w:suppressLineNumbers w:val="0"/>
              <w:bidi w:val="0"/>
              <w:spacing w:before="0" w:beforeAutospacing="0" w:after="0" w:afterAutospacing="0"/>
              <w:ind w:left="0" w:right="0"/>
              <w:rPr>
                <w:rFonts w:hint="eastAsia"/>
              </w:rPr>
            </w:pPr>
            <w:r>
              <w:rPr>
                <w:rFonts w:hint="eastAsia"/>
              </w:rPr>
              <w:t>施工期工艺流程概述</w:t>
            </w:r>
          </w:p>
          <w:p>
            <w:pPr>
              <w:pStyle w:val="23"/>
              <w:keepNext w:val="0"/>
              <w:keepLines w:val="0"/>
              <w:suppressLineNumbers w:val="0"/>
              <w:bidi w:val="0"/>
              <w:spacing w:before="0" w:beforeAutospacing="0" w:after="0" w:afterAutospacing="0"/>
              <w:ind w:left="0" w:right="0"/>
              <w:rPr>
                <w:rFonts w:hint="default"/>
              </w:rPr>
            </w:pPr>
            <w:r>
              <w:rPr>
                <w:rFonts w:hint="eastAsia"/>
              </w:rPr>
              <w:t>本项目位于</w:t>
            </w:r>
            <w:r>
              <w:rPr>
                <w:rFonts w:hint="default"/>
              </w:rPr>
              <w:t>淮南市高新区新型显示产业园7号楼，面积</w:t>
            </w:r>
            <w:r>
              <w:rPr>
                <w:rFonts w:hint="eastAsia"/>
                <w:sz w:val="24"/>
                <w:szCs w:val="24"/>
                <w:lang w:val="en-US" w:eastAsia="zh-CN"/>
              </w:rPr>
              <w:t>14852</w:t>
            </w:r>
            <w:r>
              <w:rPr>
                <w:rFonts w:hint="eastAsia"/>
              </w:rPr>
              <w:t>平方米进行生产，无土方开挖、结构等施工期作业。施工期主要为厂房隔断和设备安装，工期较短，施工期主要产生的环境影响为：施工人员产生的少量生活废水、生活垃圾，施工过程产生的少量施工废料、施工噪声等。施工期对环境影响不大。</w:t>
            </w:r>
          </w:p>
          <w:p>
            <w:pPr>
              <w:pStyle w:val="23"/>
              <w:keepNext w:val="0"/>
              <w:keepLines w:val="0"/>
              <w:suppressLineNumbers w:val="0"/>
              <w:bidi w:val="0"/>
              <w:spacing w:before="0" w:beforeAutospacing="0" w:after="0" w:afterAutospacing="0"/>
              <w:ind w:left="0" w:right="0"/>
              <w:rPr>
                <w:rFonts w:hint="default"/>
              </w:rPr>
            </w:pPr>
            <w:r>
              <w:rPr>
                <w:rFonts w:hint="default"/>
              </w:rPr>
              <w:t>2、运营期工艺流程</w:t>
            </w:r>
            <w:r>
              <w:rPr>
                <w:rFonts w:hint="eastAsia"/>
              </w:rPr>
              <w:t>和产排污节点</w:t>
            </w:r>
          </w:p>
          <w:p>
            <w:pPr>
              <w:pStyle w:val="23"/>
              <w:keepNext w:val="0"/>
              <w:keepLines w:val="0"/>
              <w:suppressLineNumbers w:val="0"/>
              <w:bidi w:val="0"/>
              <w:spacing w:before="0" w:beforeAutospacing="0" w:after="0" w:afterAutospacing="0"/>
              <w:ind w:left="0" w:right="0"/>
              <w:rPr>
                <w:rFonts w:hint="default"/>
              </w:rPr>
            </w:pPr>
            <w:r>
              <w:rPr>
                <w:rFonts w:hint="eastAsia" w:ascii="Times New Roman" w:hAnsi="Times New Roman" w:eastAsia="宋体" w:cs="Times New Roman"/>
              </w:rPr>
              <w:t>生</w:t>
            </w:r>
            <w:r>
              <w:rPr>
                <w:rFonts w:hint="eastAsia"/>
              </w:rPr>
              <w:t>产工艺及产排污节点</w:t>
            </w:r>
          </w:p>
          <w:p>
            <w:pPr>
              <w:keepNext w:val="0"/>
              <w:keepLines w:val="0"/>
              <w:suppressLineNumbers w:val="0"/>
              <w:bidi w:val="0"/>
              <w:spacing w:before="0" w:beforeAutospacing="0" w:after="0" w:afterAutospacing="0"/>
              <w:ind w:left="0" w:right="0"/>
              <w:jc w:val="left"/>
              <w:rPr>
                <w:rFonts w:hint="default"/>
                <w:lang w:val="en-US" w:eastAsia="zh-CN"/>
              </w:rPr>
            </w:pPr>
            <w:r>
              <w:rPr>
                <w:rFonts w:hint="default"/>
              </w:rPr>
              <w:drawing>
                <wp:inline distT="0" distB="0" distL="114300" distR="114300">
                  <wp:extent cx="5455920" cy="1828800"/>
                  <wp:effectExtent l="0" t="0" r="1143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9"/>
                          <a:stretch>
                            <a:fillRect/>
                          </a:stretch>
                        </pic:blipFill>
                        <pic:spPr>
                          <a:xfrm>
                            <a:off x="0" y="0"/>
                            <a:ext cx="5455920" cy="1828800"/>
                          </a:xfrm>
                          <a:prstGeom prst="rect">
                            <a:avLst/>
                          </a:prstGeom>
                          <a:noFill/>
                          <a:ln>
                            <a:noFill/>
                          </a:ln>
                        </pic:spPr>
                      </pic:pic>
                    </a:graphicData>
                  </a:graphic>
                </wp:inline>
              </w:drawing>
            </w:r>
            <w:r>
              <w:rPr>
                <w:rFonts w:hint="default" w:ascii="Times New Roman" w:hAnsi="Times New Roman" w:eastAsia="黑体" w:cs="Times New Roman"/>
                <w:kern w:val="0"/>
                <w:sz w:val="21"/>
                <w:szCs w:val="24"/>
                <w:lang w:val="en-US" w:eastAsia="zh-CN" w:bidi="ar-SA"/>
              </w:rPr>
              <w:t>注：S：固废、N：噪声、W：废</w:t>
            </w:r>
            <w:r>
              <w:rPr>
                <w:rFonts w:hint="eastAsia" w:ascii="Times New Roman" w:hAnsi="Times New Roman" w:eastAsia="黑体" w:cs="Times New Roman"/>
                <w:kern w:val="0"/>
                <w:sz w:val="21"/>
                <w:szCs w:val="24"/>
                <w:lang w:val="en-US" w:eastAsia="zh-CN" w:bidi="ar-SA"/>
              </w:rPr>
              <w:t>水、G：废气</w:t>
            </w:r>
          </w:p>
          <w:p>
            <w:pPr>
              <w:pStyle w:val="11"/>
              <w:keepNext w:val="0"/>
              <w:keepLines w:val="0"/>
              <w:suppressLineNumbers w:val="0"/>
              <w:bidi w:val="0"/>
              <w:spacing w:before="0" w:after="0" w:afterAutospacing="0"/>
              <w:ind w:right="0"/>
              <w:rPr>
                <w:rFonts w:hint="default"/>
                <w:lang w:val="en-US" w:eastAsia="zh-CN"/>
              </w:rPr>
            </w:pPr>
            <w:r>
              <w:rPr>
                <w:rFonts w:hint="eastAsia"/>
                <w:lang w:val="en-US" w:eastAsia="zh-CN"/>
              </w:rPr>
              <w:t>图2-3 运营期生产工艺及产排污环节</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rPr>
            </w:pPr>
            <w:r>
              <w:rPr>
                <w:rFonts w:hint="default"/>
              </w:rPr>
              <w:t>生产工艺流程简述：</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1、来料检验</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lang w:val="en-US" w:eastAsia="zh-CN"/>
              </w:rPr>
            </w:pPr>
            <w:r>
              <w:rPr>
                <w:rFonts w:hint="default"/>
                <w:lang w:val="en-US" w:eastAsia="zh-CN"/>
              </w:rPr>
              <w:t>使用前针对入厂的原材料进行检验，检验内容包括外观、重量、尺寸、参数、包装等。</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lang w:val="en-US" w:eastAsia="zh-CN"/>
              </w:rPr>
            </w:pPr>
            <w:r>
              <w:rPr>
                <w:rFonts w:hint="eastAsia"/>
                <w:lang w:val="en-US" w:eastAsia="zh-CN"/>
              </w:rPr>
              <w:t>2、晶圆贴膜</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晶圆电路面，即完成芯片功能的那一面称为正面，另外一面即为背面。晶圆加工过程中，为各种用途，常需要在晶圆表面贴一层薄膜。有一种薄膜是为了在切割晶圆时保护晶圆的，称为切割膜，切割膜贴覆在晶圆背面。</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3、晶圆切割</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lang w:val="en-US" w:eastAsia="zh-CN"/>
              </w:rPr>
            </w:pPr>
            <w:r>
              <w:rPr>
                <w:rFonts w:hint="eastAsia"/>
                <w:lang w:val="en-US" w:eastAsia="zh-CN"/>
              </w:rPr>
              <w:t>做整片晶圆按芯片大小分割成单一的芯片（晶粒）。此工序产生一般固废</w:t>
            </w:r>
            <w:r>
              <w:rPr>
                <w:rFonts w:hint="default"/>
                <w:lang w:val="en-US" w:eastAsia="zh-CN"/>
              </w:rPr>
              <w:t>边角料及设备擦布</w:t>
            </w:r>
            <w:r>
              <w:rPr>
                <w:rFonts w:hint="eastAsia"/>
                <w:lang w:val="en-US" w:eastAsia="zh-CN"/>
              </w:rPr>
              <w:t>、设备运行噪声。</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lang w:val="en-US" w:eastAsia="zh-CN"/>
              </w:rPr>
            </w:pPr>
            <w:r>
              <w:rPr>
                <w:rFonts w:hint="eastAsia"/>
                <w:lang w:val="en-US" w:eastAsia="zh-CN"/>
              </w:rPr>
              <w:t>4、清洗</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lang w:val="en-US" w:eastAsia="zh-CN"/>
              </w:rPr>
            </w:pPr>
            <w:r>
              <w:rPr>
                <w:rFonts w:hint="default"/>
                <w:lang w:val="en-US" w:eastAsia="zh-CN"/>
              </w:rPr>
              <w:t>使用硫酸、盐酸、双氧水清洗和去胶</w:t>
            </w:r>
            <w:r>
              <w:rPr>
                <w:rFonts w:hint="eastAsia"/>
                <w:lang w:val="en-US" w:eastAsia="zh-CN"/>
              </w:rPr>
              <w:t>。再</w:t>
            </w:r>
            <w:r>
              <w:rPr>
                <w:rFonts w:hint="default"/>
                <w:lang w:val="en-US" w:eastAsia="zh-CN"/>
              </w:rPr>
              <w:t>利用去离子水冲洗芯片</w:t>
            </w:r>
            <w:r>
              <w:rPr>
                <w:rFonts w:hint="eastAsia"/>
                <w:lang w:val="en-US" w:eastAsia="zh-CN"/>
              </w:rPr>
              <w:t>，</w:t>
            </w:r>
            <w:r>
              <w:rPr>
                <w:rFonts w:hint="default"/>
                <w:lang w:val="en-US" w:eastAsia="zh-CN"/>
              </w:rPr>
              <w:t>去离子水以很高的流量冲击芯片，将芯片上</w:t>
            </w:r>
            <w:r>
              <w:rPr>
                <w:rFonts w:hint="eastAsia"/>
                <w:lang w:val="en-US" w:eastAsia="zh-CN"/>
              </w:rPr>
              <w:t>的</w:t>
            </w:r>
            <w:r>
              <w:rPr>
                <w:rFonts w:hint="default"/>
                <w:lang w:val="en-US" w:eastAsia="zh-CN"/>
              </w:rPr>
              <w:t>杂质和污染物冲走，从而达到清洗效果。</w:t>
            </w:r>
            <w:r>
              <w:rPr>
                <w:rFonts w:hint="eastAsia"/>
                <w:lang w:val="en-US" w:eastAsia="zh-CN"/>
              </w:rPr>
              <w:t>此工序产生酸雾、清洗废水、纯水制备浓水。</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5、芯片粘贴</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lang w:val="en-US" w:eastAsia="zh-CN"/>
              </w:rPr>
            </w:pPr>
            <w:r>
              <w:rPr>
                <w:rFonts w:hint="default"/>
                <w:lang w:val="en-US" w:eastAsia="zh-CN"/>
              </w:rPr>
              <w:t>用针筒或注射</w:t>
            </w:r>
            <w:r>
              <w:rPr>
                <w:rFonts w:hint="default" w:ascii="Times New Roman" w:hAnsi="Times New Roman" w:eastAsia="宋体" w:cs="Times New Roman"/>
                <w:lang w:val="en-US" w:eastAsia="zh-CN"/>
              </w:rPr>
              <w:t>器将</w:t>
            </w:r>
            <w:r>
              <w:rPr>
                <w:rFonts w:hint="eastAsia" w:ascii="Times New Roman" w:hAnsi="Times New Roman" w:eastAsia="宋体" w:cs="Times New Roman"/>
                <w:lang w:val="en-US" w:eastAsia="zh-CN"/>
              </w:rPr>
              <w:t>环氧树脂</w:t>
            </w:r>
            <w:r>
              <w:rPr>
                <w:rFonts w:hint="default" w:ascii="Times New Roman" w:hAnsi="Times New Roman" w:eastAsia="宋体" w:cs="Times New Roman"/>
                <w:lang w:val="en-US" w:eastAsia="zh-CN"/>
              </w:rPr>
              <w:t>涂布到</w:t>
            </w:r>
            <w:r>
              <w:rPr>
                <w:rFonts w:hint="default"/>
                <w:lang w:val="en-US" w:eastAsia="zh-CN"/>
              </w:rPr>
              <w:t>芯片焊盘上，然后用</w:t>
            </w:r>
            <w:r>
              <w:rPr>
                <w:rFonts w:hint="default"/>
                <w:highlight w:val="none"/>
                <w:lang w:val="en-US" w:eastAsia="zh-CN"/>
              </w:rPr>
              <w:t>自动拾片机</w:t>
            </w:r>
            <w:r>
              <w:rPr>
                <w:rFonts w:hint="eastAsia"/>
                <w:highlight w:val="none"/>
                <w:lang w:val="en-US" w:eastAsia="zh-CN"/>
              </w:rPr>
              <w:t>（</w:t>
            </w:r>
            <w:r>
              <w:rPr>
                <w:rFonts w:hint="default"/>
                <w:highlight w:val="none"/>
                <w:lang w:val="en-US" w:eastAsia="zh-CN"/>
              </w:rPr>
              <w:t>机械手</w:t>
            </w:r>
            <w:r>
              <w:rPr>
                <w:rFonts w:hint="eastAsia"/>
                <w:highlight w:val="none"/>
                <w:lang w:val="en-US" w:eastAsia="zh-CN"/>
              </w:rPr>
              <w:t>）</w:t>
            </w:r>
            <w:r>
              <w:rPr>
                <w:rFonts w:hint="default"/>
                <w:highlight w:val="none"/>
                <w:lang w:val="en-US" w:eastAsia="zh-CN"/>
              </w:rPr>
              <w:t>将芯片精确地放置到</w:t>
            </w:r>
            <w:r>
              <w:rPr>
                <w:rFonts w:hint="default" w:ascii="Times New Roman" w:hAnsi="Times New Roman" w:eastAsia="宋体" w:cs="Times New Roman"/>
                <w:highlight w:val="none"/>
                <w:lang w:val="en-US" w:eastAsia="zh-CN"/>
              </w:rPr>
              <w:t>焊盘的</w:t>
            </w:r>
            <w:r>
              <w:rPr>
                <w:rFonts w:hint="eastAsia" w:ascii="Times New Roman" w:hAnsi="Times New Roman" w:eastAsia="宋体" w:cs="Times New Roman"/>
                <w:highlight w:val="none"/>
                <w:lang w:val="en-US" w:eastAsia="zh-CN"/>
              </w:rPr>
              <w:t>环氧树脂</w:t>
            </w:r>
            <w:r>
              <w:rPr>
                <w:rFonts w:hint="default" w:ascii="Times New Roman" w:hAnsi="Times New Roman" w:eastAsia="宋体" w:cs="Times New Roman"/>
                <w:highlight w:val="none"/>
                <w:lang w:val="en-US" w:eastAsia="zh-CN"/>
              </w:rPr>
              <w:t>上面。</w:t>
            </w:r>
            <w:r>
              <w:rPr>
                <w:rFonts w:hint="eastAsia"/>
                <w:highlight w:val="none"/>
                <w:lang w:val="en-US" w:eastAsia="zh-CN"/>
              </w:rPr>
              <w:t>此工序产生酸雾、废环氧树脂。</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6、金铜线焊接</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利用超细的金属（金铜）导线（焊线）将晶片的接合焊盘连接到基板的相应引脚，构成所要求的电路。</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7、塑封</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default"/>
                <w:lang w:val="en-US" w:eastAsia="zh-CN"/>
              </w:rPr>
              <w:t>将引</w:t>
            </w:r>
            <w:r>
              <w:rPr>
                <w:rFonts w:hint="default" w:ascii="Times New Roman" w:hAnsi="Times New Roman" w:eastAsia="宋体" w:cs="Times New Roman"/>
                <w:lang w:val="en-US" w:eastAsia="zh-CN"/>
              </w:rPr>
              <w:t>线</w:t>
            </w:r>
            <w:r>
              <w:rPr>
                <w:rFonts w:hint="eastAsia" w:ascii="Times New Roman" w:hAnsi="Times New Roman" w:eastAsia="宋体" w:cs="Times New Roman"/>
                <w:lang w:val="en-US" w:eastAsia="zh-CN"/>
              </w:rPr>
              <w:t>连接</w:t>
            </w:r>
            <w:r>
              <w:rPr>
                <w:rFonts w:hint="default" w:ascii="Times New Roman" w:hAnsi="Times New Roman" w:eastAsia="宋体" w:cs="Times New Roman"/>
                <w:lang w:val="en-US" w:eastAsia="zh-CN"/>
              </w:rPr>
              <w:t>后的芯</w:t>
            </w:r>
            <w:r>
              <w:rPr>
                <w:rFonts w:hint="default"/>
                <w:lang w:val="en-US" w:eastAsia="zh-CN"/>
              </w:rPr>
              <w:t>片与载板放在铸模内，注入环氧树脂后再烘烤硬化模塑包封，塑封其实就是将芯片完全包覆起来，以隔绝外界的水汽与污染，以保护芯片、焊接线及焊盘。</w:t>
            </w:r>
            <w:r>
              <w:rPr>
                <w:rFonts w:hint="eastAsia"/>
                <w:lang w:val="en-US" w:eastAsia="zh-CN"/>
              </w:rPr>
              <w:t>此工序产生塑封废气。</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8、电镀</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委托有能力的公司完成。</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lang w:val="en-US" w:eastAsia="zh-CN"/>
              </w:rPr>
            </w:pPr>
            <w:r>
              <w:rPr>
                <w:rFonts w:hint="eastAsia"/>
                <w:lang w:val="en-US" w:eastAsia="zh-CN"/>
              </w:rPr>
              <w:t>9、打标</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将产品的制造商、品名、批号与制造日期等信息通过激光技术打印在封装外壳表面作为辨识标记，激光是高能量的光束，可以将文字直接刻写在封装外壳上。此工序产生设备运行噪声。</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10、切筋成型</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切筋是切除框架外引脚之间的堤坝以及在框架带上连在一起的地方，成型是将引脚弯成一定形状，以适合装配的需要。此工序产生一般固废边角料、设备噪声。</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11、测试</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default"/>
                <w:lang w:val="en-US" w:eastAsia="zh-CN"/>
              </w:rPr>
              <w:t>将测试用的电子信号，经由载板上的金属接脚输入集成电路，再经由金线传送到焊盘，流入芯片，然后经过芯片内部运算后的结果，再由另外某些焊盘送出，最后由另外的金线传送到载板上的球形接脚输出，我们可以由这些输出的电子信号来判断集成电路是否正常工作</w:t>
            </w:r>
            <w:r>
              <w:rPr>
                <w:rFonts w:hint="eastAsia"/>
                <w:lang w:val="en-US" w:eastAsia="zh-CN"/>
              </w:rPr>
              <w:t>。此工序产生一般固废</w:t>
            </w:r>
            <w:r>
              <w:rPr>
                <w:rFonts w:hint="default"/>
                <w:lang w:val="en-US" w:eastAsia="zh-CN"/>
              </w:rPr>
              <w:t>边角料</w:t>
            </w:r>
            <w:r>
              <w:rPr>
                <w:rFonts w:hint="eastAsia"/>
                <w:lang w:val="en-US" w:eastAsia="zh-CN"/>
              </w:rPr>
              <w:t>。</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12、包装入库</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对成品进行包装，存放在成品库内。此工序产生一般固废废包装。</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lang w:val="en-US" w:eastAsia="zh-CN"/>
              </w:rPr>
            </w:pPr>
            <w:r>
              <w:rPr>
                <w:rFonts w:hint="eastAsia"/>
                <w:lang w:val="en-US" w:eastAsia="zh-CN"/>
              </w:rPr>
              <w:t>运营期主要污染工序：</w:t>
            </w:r>
          </w:p>
          <w:tbl>
            <w:tblPr>
              <w:tblStyle w:val="19"/>
              <w:tblW w:w="8598"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238"/>
              <w:gridCol w:w="1613"/>
              <w:gridCol w:w="2170"/>
              <w:gridCol w:w="357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Align w:val="center"/>
                </w:tcPr>
                <w:p>
                  <w:pPr>
                    <w:keepNext w:val="0"/>
                    <w:keepLines w:val="0"/>
                    <w:suppressLineNumbers w:val="0"/>
                    <w:spacing w:before="0" w:beforeAutospacing="0" w:after="0" w:afterAutospacing="0" w:line="240" w:lineRule="auto"/>
                    <w:ind w:left="0" w:right="0"/>
                    <w:jc w:val="center"/>
                    <w:rPr>
                      <w:rFonts w:hint="default"/>
                      <w:sz w:val="21"/>
                      <w:szCs w:val="21"/>
                      <w:lang w:val="en-US" w:eastAsia="zh-CN"/>
                    </w:rPr>
                  </w:pPr>
                  <w:r>
                    <w:rPr>
                      <w:rFonts w:hint="eastAsia"/>
                      <w:sz w:val="21"/>
                      <w:szCs w:val="21"/>
                      <w:lang w:val="en-US" w:eastAsia="zh-CN"/>
                    </w:rPr>
                    <w:t>污染物名称</w:t>
                  </w:r>
                </w:p>
              </w:tc>
              <w:tc>
                <w:tcPr>
                  <w:tcW w:w="1613" w:type="dxa"/>
                  <w:vAlign w:val="center"/>
                </w:tcPr>
                <w:p>
                  <w:pPr>
                    <w:keepNext w:val="0"/>
                    <w:keepLines w:val="0"/>
                    <w:suppressLineNumbers w:val="0"/>
                    <w:spacing w:before="0" w:beforeAutospacing="0" w:after="0" w:afterAutospacing="0" w:line="240" w:lineRule="auto"/>
                    <w:ind w:left="0" w:right="0"/>
                    <w:jc w:val="center"/>
                    <w:rPr>
                      <w:rFonts w:hint="default"/>
                      <w:sz w:val="21"/>
                      <w:szCs w:val="21"/>
                      <w:lang w:val="en-US" w:eastAsia="zh-CN"/>
                    </w:rPr>
                  </w:pPr>
                  <w:r>
                    <w:rPr>
                      <w:rFonts w:hint="eastAsia"/>
                      <w:sz w:val="21"/>
                      <w:szCs w:val="21"/>
                      <w:lang w:val="en-US" w:eastAsia="zh-CN"/>
                    </w:rPr>
                    <w:t>污染源</w:t>
                  </w:r>
                </w:p>
              </w:tc>
              <w:tc>
                <w:tcPr>
                  <w:tcW w:w="2170" w:type="dxa"/>
                  <w:vAlign w:val="center"/>
                </w:tcPr>
                <w:p>
                  <w:pPr>
                    <w:keepNext w:val="0"/>
                    <w:keepLines w:val="0"/>
                    <w:suppressLineNumbers w:val="0"/>
                    <w:spacing w:before="0" w:beforeAutospacing="0" w:after="0" w:afterAutospacing="0" w:line="240" w:lineRule="auto"/>
                    <w:ind w:left="0" w:right="0"/>
                    <w:jc w:val="center"/>
                    <w:rPr>
                      <w:rFonts w:hint="default"/>
                      <w:sz w:val="21"/>
                      <w:szCs w:val="21"/>
                      <w:lang w:val="en-US" w:eastAsia="zh-CN"/>
                    </w:rPr>
                  </w:pPr>
                  <w:r>
                    <w:rPr>
                      <w:rFonts w:hint="eastAsia"/>
                      <w:sz w:val="21"/>
                      <w:szCs w:val="21"/>
                      <w:lang w:val="en-US" w:eastAsia="zh-CN"/>
                    </w:rPr>
                    <w:t>主要污染物</w:t>
                  </w:r>
                </w:p>
              </w:tc>
              <w:tc>
                <w:tcPr>
                  <w:tcW w:w="3577" w:type="dxa"/>
                  <w:vAlign w:val="center"/>
                </w:tcPr>
                <w:p>
                  <w:pPr>
                    <w:keepNext w:val="0"/>
                    <w:keepLines w:val="0"/>
                    <w:suppressLineNumbers w:val="0"/>
                    <w:spacing w:before="0" w:beforeAutospacing="0" w:after="0" w:afterAutospacing="0" w:line="240" w:lineRule="auto"/>
                    <w:ind w:left="0" w:right="0"/>
                    <w:jc w:val="center"/>
                    <w:rPr>
                      <w:rFonts w:hint="default"/>
                      <w:sz w:val="21"/>
                      <w:szCs w:val="21"/>
                      <w:lang w:val="en-US" w:eastAsia="zh-CN"/>
                    </w:rPr>
                  </w:pPr>
                  <w:r>
                    <w:rPr>
                      <w:rFonts w:hint="eastAsia"/>
                      <w:sz w:val="21"/>
                      <w:szCs w:val="21"/>
                      <w:lang w:val="en-US" w:eastAsia="zh-CN"/>
                    </w:rPr>
                    <w:t>收集方式及治理措施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废气</w:t>
                  </w: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default"/>
                      <w:sz w:val="21"/>
                      <w:szCs w:val="21"/>
                      <w:lang w:val="en-US" w:eastAsia="zh-CN"/>
                    </w:rPr>
                    <w:t>清洗</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氯化氢、硫酸雾</w:t>
                  </w:r>
                </w:p>
              </w:tc>
              <w:tc>
                <w:tcPr>
                  <w:tcW w:w="357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default"/>
                      <w:sz w:val="21"/>
                      <w:szCs w:val="21"/>
                      <w:lang w:val="en-US" w:eastAsia="zh-CN"/>
                    </w:rPr>
                    <w:t>负压收集经碱液喷淋塔处理后，由</w:t>
                  </w:r>
                  <w:r>
                    <w:rPr>
                      <w:rFonts w:hint="eastAsia"/>
                      <w:sz w:val="21"/>
                      <w:szCs w:val="21"/>
                      <w:lang w:val="en-US" w:eastAsia="zh-CN"/>
                    </w:rPr>
                    <w:t>1</w:t>
                  </w:r>
                  <w:r>
                    <w:rPr>
                      <w:rFonts w:hint="default"/>
                      <w:sz w:val="21"/>
                      <w:szCs w:val="21"/>
                      <w:lang w:val="en-US" w:eastAsia="zh-CN"/>
                    </w:rPr>
                    <w:t>根25m高排气筒DA001排放。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lang w:val="en-US" w:eastAsia="zh-CN"/>
                    </w:rPr>
                  </w:pP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default"/>
                      <w:sz w:val="21"/>
                      <w:szCs w:val="21"/>
                      <w:lang w:val="en-US" w:eastAsia="zh-CN"/>
                    </w:rPr>
                    <w:t>去胶</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eastAsia"/>
                      <w:sz w:val="21"/>
                      <w:szCs w:val="21"/>
                      <w:lang w:val="en-US" w:eastAsia="zh-CN"/>
                    </w:rPr>
                  </w:pPr>
                  <w:r>
                    <w:rPr>
                      <w:rFonts w:hint="eastAsia"/>
                      <w:sz w:val="21"/>
                      <w:szCs w:val="21"/>
                      <w:lang w:val="en-US" w:eastAsia="zh-CN"/>
                    </w:rPr>
                    <w:t>氯化氢、硫酸雾</w:t>
                  </w:r>
                </w:p>
              </w:tc>
              <w:tc>
                <w:tcPr>
                  <w:tcW w:w="357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default"/>
                      <w:sz w:val="21"/>
                      <w:szCs w:val="21"/>
                      <w:lang w:val="en-US" w:eastAsia="zh-CN"/>
                    </w:rPr>
                    <w:t>负压收集经碱液喷淋塔处理后，由</w:t>
                  </w:r>
                  <w:r>
                    <w:rPr>
                      <w:rFonts w:hint="eastAsia"/>
                      <w:sz w:val="21"/>
                      <w:szCs w:val="21"/>
                      <w:lang w:val="en-US" w:eastAsia="zh-CN"/>
                    </w:rPr>
                    <w:t>1</w:t>
                  </w:r>
                  <w:r>
                    <w:rPr>
                      <w:rFonts w:hint="default"/>
                      <w:sz w:val="21"/>
                      <w:szCs w:val="21"/>
                      <w:lang w:val="en-US" w:eastAsia="zh-CN"/>
                    </w:rPr>
                    <w:t>根25m高排气筒DA002排放。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90"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塑封</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挥发性有机物</w:t>
                  </w:r>
                </w:p>
              </w:tc>
              <w:tc>
                <w:tcPr>
                  <w:tcW w:w="357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default"/>
                      <w:sz w:val="21"/>
                      <w:szCs w:val="21"/>
                      <w:lang w:val="en-US" w:eastAsia="zh-CN"/>
                    </w:rPr>
                    <w:t>采用集气罩+</w:t>
                  </w:r>
                  <w:r>
                    <w:rPr>
                      <w:rFonts w:hint="eastAsia"/>
                      <w:sz w:val="21"/>
                      <w:szCs w:val="21"/>
                      <w:lang w:val="en-US" w:eastAsia="zh-CN"/>
                    </w:rPr>
                    <w:t>二级</w:t>
                  </w:r>
                  <w:r>
                    <w:rPr>
                      <w:rFonts w:hint="default"/>
                      <w:sz w:val="21"/>
                      <w:szCs w:val="21"/>
                      <w:lang w:val="en-US" w:eastAsia="zh-CN"/>
                    </w:rPr>
                    <w:t>活性炭吸附装置处理后，再经</w:t>
                  </w:r>
                  <w:r>
                    <w:rPr>
                      <w:rFonts w:hint="eastAsia"/>
                      <w:sz w:val="21"/>
                      <w:szCs w:val="21"/>
                      <w:lang w:val="en-US" w:eastAsia="zh-CN"/>
                    </w:rPr>
                    <w:t>25m</w:t>
                  </w:r>
                  <w:r>
                    <w:rPr>
                      <w:rFonts w:hint="default"/>
                      <w:sz w:val="21"/>
                      <w:szCs w:val="21"/>
                      <w:lang w:val="en-US" w:eastAsia="zh-CN"/>
                    </w:rPr>
                    <w:t>高排气筒</w:t>
                  </w:r>
                  <w:r>
                    <w:rPr>
                      <w:rFonts w:hint="eastAsia"/>
                      <w:sz w:val="21"/>
                      <w:szCs w:val="21"/>
                      <w:lang w:val="en-US" w:eastAsia="zh-CN"/>
                    </w:rPr>
                    <w:t>DA003</w:t>
                  </w:r>
                  <w:r>
                    <w:rPr>
                      <w:rFonts w:hint="default"/>
                      <w:sz w:val="21"/>
                      <w:szCs w:val="21"/>
                      <w:lang w:val="en-US" w:eastAsia="zh-CN"/>
                    </w:rPr>
                    <w:t>排放。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废水</w:t>
                  </w: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清洗废水</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default"/>
                      <w:sz w:val="21"/>
                      <w:szCs w:val="21"/>
                      <w:lang w:val="en-US" w:eastAsia="zh-CN"/>
                    </w:rPr>
                    <w:t>pH</w:t>
                  </w:r>
                  <w:r>
                    <w:rPr>
                      <w:rFonts w:hint="eastAsia"/>
                      <w:sz w:val="21"/>
                      <w:szCs w:val="21"/>
                      <w:lang w:val="en-US" w:eastAsia="zh-CN"/>
                    </w:rPr>
                    <w:t>、</w:t>
                  </w:r>
                  <w:r>
                    <w:rPr>
                      <w:rFonts w:hint="default"/>
                      <w:sz w:val="21"/>
                      <w:szCs w:val="21"/>
                      <w:lang w:val="en-US" w:eastAsia="zh-CN"/>
                    </w:rPr>
                    <w:t>COD</w:t>
                  </w:r>
                  <w:r>
                    <w:rPr>
                      <w:rFonts w:hint="eastAsia"/>
                      <w:sz w:val="21"/>
                      <w:szCs w:val="21"/>
                      <w:lang w:val="en-US" w:eastAsia="zh-CN"/>
                    </w:rPr>
                    <w:t>、</w:t>
                  </w:r>
                  <w:r>
                    <w:rPr>
                      <w:rFonts w:hint="default"/>
                      <w:sz w:val="21"/>
                      <w:szCs w:val="21"/>
                      <w:lang w:val="en-US" w:eastAsia="zh-CN"/>
                    </w:rPr>
                    <w:t>SS</w:t>
                  </w:r>
                  <w:r>
                    <w:rPr>
                      <w:rFonts w:hint="eastAsia"/>
                      <w:sz w:val="21"/>
                      <w:szCs w:val="21"/>
                      <w:lang w:val="en-US" w:eastAsia="zh-CN"/>
                    </w:rPr>
                    <w:t>、</w:t>
                  </w:r>
                  <w:r>
                    <w:rPr>
                      <w:rFonts w:hint="default"/>
                      <w:sz w:val="21"/>
                      <w:szCs w:val="21"/>
                      <w:lang w:val="en-US" w:eastAsia="zh-CN"/>
                    </w:rPr>
                    <w:t>NH</w:t>
                  </w:r>
                  <w:r>
                    <w:rPr>
                      <w:rFonts w:hint="default"/>
                      <w:sz w:val="21"/>
                      <w:szCs w:val="21"/>
                      <w:vertAlign w:val="subscript"/>
                      <w:lang w:val="en-US" w:eastAsia="zh-CN"/>
                    </w:rPr>
                    <w:t>3</w:t>
                  </w:r>
                  <w:r>
                    <w:rPr>
                      <w:rFonts w:hint="default"/>
                      <w:sz w:val="21"/>
                      <w:szCs w:val="21"/>
                      <w:lang w:val="en-US" w:eastAsia="zh-CN"/>
                    </w:rPr>
                    <w:t>-N</w:t>
                  </w:r>
                  <w:r>
                    <w:rPr>
                      <w:rFonts w:hint="eastAsia"/>
                      <w:sz w:val="21"/>
                      <w:szCs w:val="21"/>
                      <w:lang w:val="en-US" w:eastAsia="zh-CN"/>
                    </w:rPr>
                    <w:t>、BOD</w:t>
                  </w:r>
                </w:p>
              </w:tc>
              <w:tc>
                <w:tcPr>
                  <w:tcW w:w="357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排</w:t>
                  </w:r>
                  <w:r>
                    <w:rPr>
                      <w:rFonts w:hint="default"/>
                      <w:sz w:val="21"/>
                      <w:szCs w:val="21"/>
                    </w:rPr>
                    <w:t>入</w:t>
                  </w:r>
                  <w:r>
                    <w:rPr>
                      <w:rFonts w:hint="eastAsia"/>
                      <w:sz w:val="21"/>
                      <w:szCs w:val="21"/>
                      <w:lang w:val="en-US" w:eastAsia="zh-CN"/>
                    </w:rPr>
                    <w:t>园区</w:t>
                  </w:r>
                  <w:r>
                    <w:rPr>
                      <w:rFonts w:hint="default"/>
                      <w:sz w:val="21"/>
                      <w:szCs w:val="21"/>
                    </w:rPr>
                    <w:t>污水管网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纯水制备浓水</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default"/>
                      <w:sz w:val="21"/>
                      <w:szCs w:val="21"/>
                      <w:lang w:val="en-US" w:eastAsia="zh-CN"/>
                    </w:rPr>
                    <w:t>COD</w:t>
                  </w:r>
                  <w:r>
                    <w:rPr>
                      <w:rFonts w:hint="default"/>
                      <w:sz w:val="21"/>
                      <w:szCs w:val="21"/>
                      <w:vertAlign w:val="subscript"/>
                      <w:lang w:val="en-US" w:eastAsia="zh-CN"/>
                    </w:rPr>
                    <w:t>Cr</w:t>
                  </w:r>
                  <w:r>
                    <w:rPr>
                      <w:rFonts w:hint="default"/>
                      <w:sz w:val="21"/>
                      <w:szCs w:val="21"/>
                      <w:lang w:val="en-US" w:eastAsia="zh-CN"/>
                    </w:rPr>
                    <w:t>、SS</w:t>
                  </w:r>
                </w:p>
              </w:tc>
              <w:tc>
                <w:tcPr>
                  <w:tcW w:w="357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排</w:t>
                  </w:r>
                  <w:r>
                    <w:rPr>
                      <w:rFonts w:hint="default"/>
                      <w:sz w:val="21"/>
                      <w:szCs w:val="21"/>
                    </w:rPr>
                    <w:t>入</w:t>
                  </w:r>
                  <w:r>
                    <w:rPr>
                      <w:rFonts w:hint="eastAsia"/>
                      <w:sz w:val="21"/>
                      <w:szCs w:val="21"/>
                      <w:lang w:val="en-US" w:eastAsia="zh-CN"/>
                    </w:rPr>
                    <w:t>园区</w:t>
                  </w:r>
                  <w:r>
                    <w:rPr>
                      <w:rFonts w:hint="default"/>
                      <w:sz w:val="21"/>
                      <w:szCs w:val="21"/>
                    </w:rPr>
                    <w:t>污水管网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生活污水</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default"/>
                      <w:sz w:val="21"/>
                      <w:szCs w:val="21"/>
                      <w:lang w:val="en-US" w:eastAsia="zh-CN"/>
                    </w:rPr>
                    <w:t>COD</w:t>
                  </w:r>
                  <w:r>
                    <w:rPr>
                      <w:rFonts w:hint="default"/>
                      <w:sz w:val="21"/>
                      <w:szCs w:val="21"/>
                      <w:vertAlign w:val="subscript"/>
                      <w:lang w:val="en-US" w:eastAsia="zh-CN"/>
                    </w:rPr>
                    <w:t>Cr</w:t>
                  </w:r>
                  <w:r>
                    <w:rPr>
                      <w:rFonts w:hint="default"/>
                      <w:sz w:val="21"/>
                      <w:szCs w:val="21"/>
                      <w:lang w:val="en-US" w:eastAsia="zh-CN"/>
                    </w:rPr>
                    <w:t>、BOD</w:t>
                  </w:r>
                  <w:r>
                    <w:rPr>
                      <w:rFonts w:hint="default"/>
                      <w:sz w:val="21"/>
                      <w:szCs w:val="21"/>
                      <w:vertAlign w:val="subscript"/>
                      <w:lang w:val="en-US" w:eastAsia="zh-CN"/>
                    </w:rPr>
                    <w:t>5</w:t>
                  </w:r>
                  <w:r>
                    <w:rPr>
                      <w:rFonts w:hint="default"/>
                      <w:sz w:val="21"/>
                      <w:szCs w:val="21"/>
                      <w:lang w:val="en-US" w:eastAsia="zh-CN"/>
                    </w:rPr>
                    <w:t>、SS、NH</w:t>
                  </w:r>
                  <w:r>
                    <w:rPr>
                      <w:rFonts w:hint="default"/>
                      <w:sz w:val="21"/>
                      <w:szCs w:val="21"/>
                      <w:vertAlign w:val="subscript"/>
                      <w:lang w:val="en-US" w:eastAsia="zh-CN"/>
                    </w:rPr>
                    <w:t>3</w:t>
                  </w:r>
                  <w:r>
                    <w:rPr>
                      <w:rFonts w:hint="default"/>
                      <w:sz w:val="21"/>
                      <w:szCs w:val="21"/>
                      <w:lang w:val="en-US" w:eastAsia="zh-CN"/>
                    </w:rPr>
                    <w:t>-N</w:t>
                  </w:r>
                </w:p>
              </w:tc>
              <w:tc>
                <w:tcPr>
                  <w:tcW w:w="357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化粪池预处理后，排</w:t>
                  </w:r>
                  <w:r>
                    <w:rPr>
                      <w:rFonts w:hint="default"/>
                      <w:sz w:val="21"/>
                      <w:szCs w:val="21"/>
                    </w:rPr>
                    <w:t>入</w:t>
                  </w:r>
                  <w:r>
                    <w:rPr>
                      <w:rFonts w:hint="eastAsia"/>
                      <w:sz w:val="21"/>
                      <w:szCs w:val="21"/>
                      <w:lang w:val="en-US" w:eastAsia="zh-CN"/>
                    </w:rPr>
                    <w:t>园区</w:t>
                  </w:r>
                  <w:r>
                    <w:rPr>
                      <w:rFonts w:hint="default"/>
                      <w:sz w:val="21"/>
                      <w:szCs w:val="21"/>
                    </w:rPr>
                    <w:t>污水管网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固废</w:t>
                  </w: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sz w:val="21"/>
                      <w:szCs w:val="21"/>
                      <w:lang w:val="en-US" w:eastAsia="zh-CN"/>
                    </w:rPr>
                  </w:pPr>
                  <w:r>
                    <w:rPr>
                      <w:rFonts w:hint="eastAsia"/>
                      <w:sz w:val="21"/>
                      <w:szCs w:val="21"/>
                      <w:lang w:val="en-US" w:eastAsia="zh-CN"/>
                    </w:rPr>
                    <w:t>纯水制备过滤</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sz w:val="21"/>
                      <w:szCs w:val="21"/>
                      <w:lang w:val="en-US" w:eastAsia="zh-CN"/>
                    </w:rPr>
                  </w:pPr>
                  <w:r>
                    <w:rPr>
                      <w:rFonts w:hint="eastAsia"/>
                      <w:sz w:val="21"/>
                      <w:szCs w:val="21"/>
                      <w:lang w:val="en-US" w:eastAsia="zh-CN"/>
                    </w:rPr>
                    <w:t>废过滤介质</w:t>
                  </w:r>
                </w:p>
              </w:tc>
              <w:tc>
                <w:tcPr>
                  <w:tcW w:w="357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一般固废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试剂使用</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废试剂瓶</w:t>
                  </w:r>
                </w:p>
              </w:tc>
              <w:tc>
                <w:tcPr>
                  <w:tcW w:w="3577" w:type="dxa"/>
                  <w:vMerge w:val="restart"/>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在危废库暂存后，委托有资质单位处置。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碱液喷淋</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碱液废水</w:t>
                  </w:r>
                </w:p>
              </w:tc>
              <w:tc>
                <w:tcPr>
                  <w:tcW w:w="3577"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废气处理</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废活性炭</w:t>
                  </w:r>
                </w:p>
              </w:tc>
              <w:tc>
                <w:tcPr>
                  <w:tcW w:w="3577"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芯片粘贴</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废环氧树脂</w:t>
                  </w:r>
                </w:p>
              </w:tc>
              <w:tc>
                <w:tcPr>
                  <w:tcW w:w="3577"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测试</w:t>
                  </w:r>
                </w:p>
              </w:tc>
              <w:tc>
                <w:tcPr>
                  <w:tcW w:w="2170"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不合格产品</w:t>
                  </w:r>
                </w:p>
              </w:tc>
              <w:tc>
                <w:tcPr>
                  <w:tcW w:w="3577"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分切</w:t>
                  </w:r>
                  <w:r>
                    <w:rPr>
                      <w:rFonts w:hint="eastAsia"/>
                      <w:sz w:val="21"/>
                      <w:szCs w:val="21"/>
                      <w:lang w:val="en-US" w:eastAsia="zh-CN"/>
                    </w:rPr>
                    <w:t>、包装</w:t>
                  </w:r>
                </w:p>
              </w:tc>
              <w:tc>
                <w:tcPr>
                  <w:tcW w:w="2170" w:type="dxa"/>
                  <w:vAlign w:val="center"/>
                </w:tcPr>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边角料</w:t>
                  </w:r>
                  <w:r>
                    <w:rPr>
                      <w:rFonts w:hint="eastAsia" w:ascii="Times New Roman" w:hAnsi="Times New Roman" w:eastAsia="宋体" w:cs="Times New Roman"/>
                      <w:kern w:val="2"/>
                      <w:sz w:val="21"/>
                      <w:szCs w:val="21"/>
                      <w:lang w:val="en-US" w:eastAsia="zh-CN" w:bidi="ar-SA"/>
                    </w:rPr>
                    <w:t>、废包装</w:t>
                  </w:r>
                </w:p>
              </w:tc>
              <w:tc>
                <w:tcPr>
                  <w:tcW w:w="357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default"/>
                      <w:sz w:val="21"/>
                      <w:szCs w:val="21"/>
                      <w:lang w:val="en-US" w:eastAsia="zh-CN"/>
                    </w:rPr>
                    <w:t>外售回收利用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238" w:type="dxa"/>
                  <w:vMerge w:val="continue"/>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p>
              </w:tc>
              <w:tc>
                <w:tcPr>
                  <w:tcW w:w="1613" w:type="dxa"/>
                  <w:vAlign w:val="center"/>
                </w:tcPr>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日常办公、生活</w:t>
                  </w:r>
                </w:p>
              </w:tc>
              <w:tc>
                <w:tcPr>
                  <w:tcW w:w="2170" w:type="dxa"/>
                  <w:vAlign w:val="center"/>
                </w:tcPr>
                <w:p>
                  <w:pPr>
                    <w:pStyle w:val="23"/>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生活垃圾</w:t>
                  </w:r>
                </w:p>
              </w:tc>
              <w:tc>
                <w:tcPr>
                  <w:tcW w:w="3577" w:type="dxa"/>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firstLine="0" w:firstLineChars="0"/>
                    <w:jc w:val="center"/>
                    <w:textAlignment w:val="auto"/>
                    <w:rPr>
                      <w:rFonts w:hint="default"/>
                      <w:sz w:val="21"/>
                      <w:szCs w:val="21"/>
                      <w:lang w:val="en-US" w:eastAsia="zh-CN"/>
                    </w:rPr>
                  </w:pPr>
                  <w:r>
                    <w:rPr>
                      <w:rFonts w:hint="eastAsia"/>
                      <w:sz w:val="21"/>
                      <w:szCs w:val="21"/>
                      <w:lang w:val="en-US" w:eastAsia="zh-CN"/>
                    </w:rPr>
                    <w:t>由环卫部门统一清运处理</w:t>
                  </w:r>
                </w:p>
              </w:tc>
            </w:tr>
          </w:tbl>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left"/>
              <w:textAlignment w:val="auto"/>
              <w:rPr>
                <w:rFonts w:hint="default" w:ascii="Times New Roman" w:hAnsi="Times New Roman" w:eastAsia="宋体" w:cs="Times New Roman"/>
                <w:kern w:val="2"/>
                <w:sz w:val="24"/>
                <w:szCs w:val="24"/>
                <w:lang w:val="en-US" w:eastAsia="zh-CN" w:bidi="ar-SA"/>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0" w:hRule="atLeast"/>
        </w:trPr>
        <w:tc>
          <w:tcPr>
            <w:tcW w:w="465" w:type="dxa"/>
            <w:tcBorders>
              <w:left w:val="single" w:color="000000" w:sz="6" w:space="0"/>
            </w:tcBorders>
            <w:vAlign w:val="center"/>
          </w:tcPr>
          <w:p>
            <w:pPr>
              <w:keepNext w:val="0"/>
              <w:keepLines w:val="0"/>
              <w:pageBreakBefore w:val="0"/>
              <w:suppressLineNumbers w:val="0"/>
              <w:kinsoku/>
              <w:wordWrap/>
              <w:overflowPunct/>
              <w:topLinePunct w:val="0"/>
              <w:autoSpaceDE/>
              <w:autoSpaceDN/>
              <w:bidi w:val="0"/>
              <w:adjustRightInd/>
              <w:spacing w:before="0" w:beforeAutospacing="0" w:after="0" w:afterAutospacing="0"/>
              <w:ind w:left="0" w:leftChars="0" w:right="0" w:firstLine="0" w:firstLineChars="0"/>
              <w:jc w:val="center"/>
              <w:textAlignment w:val="auto"/>
              <w:rPr>
                <w:rFonts w:hint="default"/>
                <w:sz w:val="24"/>
                <w:szCs w:val="24"/>
              </w:rPr>
            </w:pPr>
            <w:r>
              <w:rPr>
                <w:rFonts w:hint="default"/>
                <w:sz w:val="24"/>
                <w:szCs w:val="24"/>
              </w:rPr>
              <w:t>与项目有关的原有环境污染问题</w:t>
            </w:r>
          </w:p>
        </w:tc>
        <w:tc>
          <w:tcPr>
            <w:tcW w:w="8663" w:type="dxa"/>
            <w:tcBorders>
              <w:right w:val="single" w:color="000000" w:sz="6" w:space="0"/>
            </w:tcBorders>
            <w:vAlign w:val="center"/>
          </w:tcPr>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sz w:val="24"/>
                <w:szCs w:val="24"/>
              </w:rPr>
            </w:pPr>
            <w:r>
              <w:rPr>
                <w:rStyle w:val="24"/>
                <w:rFonts w:hint="default"/>
                <w:sz w:val="24"/>
                <w:szCs w:val="24"/>
              </w:rPr>
              <w:t>本项目为新建项目，租赁淮南市高新区新型显示产业园7号楼，经过现场勘查，租赁厂房现状为空置状态，厂房无生产经历，不存在与本项目有关的原有污染情况及主要环境问题</w:t>
            </w:r>
            <w:r>
              <w:rPr>
                <w:rFonts w:hint="default"/>
                <w:sz w:val="24"/>
                <w:szCs w:val="24"/>
              </w:rPr>
              <w:t>。</w:t>
            </w:r>
          </w:p>
        </w:tc>
      </w:tr>
    </w:tbl>
    <w:p>
      <w:pPr>
        <w:bidi w:val="0"/>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bidi w:val="0"/>
      </w:pPr>
      <w:r>
        <w:t>三、区域环境质量现状、环境保护目标及评价标准</w:t>
      </w:r>
    </w:p>
    <w:tbl>
      <w:tblPr>
        <w:tblStyle w:val="26"/>
        <w:tblW w:w="912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5"/>
        <w:gridCol w:w="866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465" w:type="dxa"/>
            <w:tcBorders>
              <w:left w:val="single" w:color="000000" w:sz="6"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区域环境质量现状</w:t>
            </w:r>
          </w:p>
        </w:tc>
        <w:tc>
          <w:tcPr>
            <w:tcW w:w="8663" w:type="dxa"/>
            <w:tcBorders>
              <w:right w:val="single" w:color="000000" w:sz="6" w:space="0"/>
            </w:tcBorders>
          </w:tcPr>
          <w:p>
            <w:pPr>
              <w:pStyle w:val="23"/>
              <w:keepNext w:val="0"/>
              <w:keepLines w:val="0"/>
              <w:suppressLineNumbers w:val="0"/>
              <w:bidi w:val="0"/>
              <w:spacing w:before="0" w:beforeAutospacing="0" w:after="0" w:afterAutospacing="0"/>
              <w:ind w:left="0" w:right="0"/>
              <w:rPr>
                <w:rFonts w:hint="default"/>
                <w:sz w:val="24"/>
                <w:szCs w:val="24"/>
              </w:rPr>
            </w:pPr>
            <w:r>
              <w:rPr>
                <w:rFonts w:hint="default"/>
                <w:sz w:val="24"/>
                <w:szCs w:val="24"/>
              </w:rPr>
              <w:t>一、环境空气质量现状</w:t>
            </w:r>
          </w:p>
          <w:p>
            <w:pPr>
              <w:pStyle w:val="23"/>
              <w:keepNext w:val="0"/>
              <w:keepLines w:val="0"/>
              <w:suppressLineNumbers w:val="0"/>
              <w:bidi w:val="0"/>
              <w:spacing w:before="0" w:beforeAutospacing="0" w:after="0" w:afterAutospacing="0"/>
              <w:ind w:left="0" w:right="0"/>
              <w:rPr>
                <w:rFonts w:hint="default"/>
                <w:sz w:val="24"/>
                <w:szCs w:val="24"/>
              </w:rPr>
            </w:pPr>
            <w:r>
              <w:rPr>
                <w:rFonts w:hint="default"/>
                <w:sz w:val="24"/>
                <w:szCs w:val="24"/>
              </w:rPr>
              <w:t>1、执行标准</w:t>
            </w:r>
          </w:p>
          <w:p>
            <w:pPr>
              <w:pStyle w:val="23"/>
              <w:keepNext w:val="0"/>
              <w:keepLines w:val="0"/>
              <w:suppressLineNumbers w:val="0"/>
              <w:bidi w:val="0"/>
              <w:spacing w:before="0" w:beforeAutospacing="0" w:after="0" w:afterAutospacing="0"/>
              <w:ind w:left="0" w:right="0"/>
              <w:rPr>
                <w:rFonts w:hint="default"/>
                <w:sz w:val="24"/>
                <w:szCs w:val="24"/>
              </w:rPr>
            </w:pPr>
            <w:r>
              <w:rPr>
                <w:rFonts w:hint="default"/>
                <w:sz w:val="24"/>
                <w:szCs w:val="24"/>
              </w:rPr>
              <w:t>项目所在区域为环境空气质量二类区，评价区内SO</w:t>
            </w:r>
            <w:r>
              <w:rPr>
                <w:rFonts w:hint="default"/>
                <w:sz w:val="24"/>
                <w:szCs w:val="24"/>
                <w:vertAlign w:val="subscript"/>
              </w:rPr>
              <w:t>2</w:t>
            </w:r>
            <w:r>
              <w:rPr>
                <w:rFonts w:hint="default"/>
                <w:sz w:val="24"/>
                <w:szCs w:val="24"/>
              </w:rPr>
              <w:t>、NO</w:t>
            </w:r>
            <w:r>
              <w:rPr>
                <w:rFonts w:hint="default"/>
                <w:sz w:val="24"/>
                <w:szCs w:val="24"/>
                <w:vertAlign w:val="subscript"/>
              </w:rPr>
              <w:t>2</w:t>
            </w:r>
            <w:r>
              <w:rPr>
                <w:rFonts w:hint="default"/>
                <w:sz w:val="24"/>
                <w:szCs w:val="24"/>
              </w:rPr>
              <w:t>、PM</w:t>
            </w:r>
            <w:r>
              <w:rPr>
                <w:rFonts w:hint="default"/>
                <w:sz w:val="24"/>
                <w:szCs w:val="24"/>
                <w:vertAlign w:val="subscript"/>
              </w:rPr>
              <w:t>2.5</w:t>
            </w:r>
            <w:r>
              <w:rPr>
                <w:rFonts w:hint="default"/>
                <w:sz w:val="24"/>
                <w:szCs w:val="24"/>
              </w:rPr>
              <w:t>、PM</w:t>
            </w:r>
            <w:r>
              <w:rPr>
                <w:rFonts w:hint="default"/>
                <w:sz w:val="24"/>
                <w:szCs w:val="24"/>
                <w:vertAlign w:val="subscript"/>
              </w:rPr>
              <w:t>10</w:t>
            </w:r>
            <w:r>
              <w:rPr>
                <w:rFonts w:hint="default"/>
                <w:sz w:val="24"/>
                <w:szCs w:val="24"/>
              </w:rPr>
              <w:t>、CO、O</w:t>
            </w:r>
            <w:r>
              <w:rPr>
                <w:rFonts w:hint="default"/>
                <w:sz w:val="24"/>
                <w:szCs w:val="24"/>
                <w:vertAlign w:val="subscript"/>
              </w:rPr>
              <w:t>3</w:t>
            </w:r>
            <w:r>
              <w:rPr>
                <w:rFonts w:hint="default"/>
                <w:sz w:val="24"/>
                <w:szCs w:val="24"/>
              </w:rPr>
              <w:t>执行《环境空气质量标准》（GB3095-2012）中的二级标准及2018年修改单中二级标准，非甲烷总烃参照执行《大气污染物综合排放标准详解》中标准限值</w:t>
            </w:r>
            <w:r>
              <w:rPr>
                <w:rFonts w:hint="default"/>
                <w:sz w:val="24"/>
                <w:szCs w:val="24"/>
                <w:lang w:eastAsia="zh-CN"/>
              </w:rPr>
              <w:t>，</w:t>
            </w:r>
            <w:r>
              <w:rPr>
                <w:rFonts w:hint="default"/>
                <w:sz w:val="24"/>
                <w:szCs w:val="24"/>
              </w:rPr>
              <w:t>详见下表。</w:t>
            </w:r>
          </w:p>
          <w:p>
            <w:pPr>
              <w:pStyle w:val="11"/>
              <w:keepNext w:val="0"/>
              <w:keepLines w:val="0"/>
              <w:suppressLineNumbers w:val="0"/>
              <w:bidi w:val="0"/>
              <w:spacing w:before="0" w:after="0" w:afterAutospacing="0"/>
              <w:ind w:right="0"/>
              <w:rPr>
                <w:rFonts w:hint="default" w:ascii="Times New Roman" w:hAnsi="Times New Roman" w:cs="Times New Roman"/>
                <w:b w:val="0"/>
                <w:bCs w:val="0"/>
                <w:sz w:val="24"/>
                <w:szCs w:val="24"/>
              </w:rPr>
            </w:pPr>
            <w:r>
              <w:rPr>
                <w:rFonts w:hint="default"/>
                <w:sz w:val="24"/>
                <w:szCs w:val="24"/>
              </w:rPr>
              <w:t>表3-1</w:t>
            </w:r>
            <w:r>
              <w:rPr>
                <w:rFonts w:hint="eastAsia"/>
                <w:sz w:val="24"/>
                <w:szCs w:val="24"/>
                <w:lang w:val="en-US" w:eastAsia="zh-CN"/>
              </w:rPr>
              <w:t xml:space="preserve">  </w:t>
            </w:r>
            <w:r>
              <w:rPr>
                <w:rFonts w:hint="default"/>
                <w:sz w:val="24"/>
                <w:szCs w:val="24"/>
              </w:rPr>
              <w:t>环境空气质量标准</w:t>
            </w:r>
          </w:p>
          <w:tbl>
            <w:tblPr>
              <w:tblStyle w:val="19"/>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5"/>
              <w:gridCol w:w="1680"/>
              <w:gridCol w:w="1950"/>
              <w:gridCol w:w="1350"/>
              <w:gridCol w:w="291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类别</w:t>
                  </w:r>
                </w:p>
              </w:tc>
              <w:tc>
                <w:tcPr>
                  <w:tcW w:w="1680" w:type="dxa"/>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项目</w:t>
                  </w:r>
                </w:p>
              </w:tc>
              <w:tc>
                <w:tcPr>
                  <w:tcW w:w="1950" w:type="dxa"/>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取值时间</w:t>
                  </w:r>
                </w:p>
              </w:tc>
              <w:tc>
                <w:tcPr>
                  <w:tcW w:w="1350" w:type="dxa"/>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标准值</w:t>
                  </w:r>
                </w:p>
              </w:tc>
              <w:tc>
                <w:tcPr>
                  <w:tcW w:w="2915" w:type="dxa"/>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环境空气</w:t>
                  </w:r>
                </w:p>
              </w:tc>
              <w:tc>
                <w:tcPr>
                  <w:tcW w:w="1680"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SO</w:t>
                  </w:r>
                  <w:r>
                    <w:rPr>
                      <w:rFonts w:hint="default" w:ascii="Times New Roman" w:hAnsi="Times New Roman" w:cs="Times New Roman"/>
                      <w:b w:val="0"/>
                      <w:bCs w:val="0"/>
                      <w:sz w:val="21"/>
                      <w:szCs w:val="21"/>
                      <w:vertAlign w:val="subscript"/>
                    </w:rPr>
                    <w:t>2</w:t>
                  </w: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1小时均值</w:t>
                  </w:r>
                </w:p>
              </w:tc>
              <w:tc>
                <w:tcPr>
                  <w:tcW w:w="1350" w:type="dxa"/>
                  <w:vAlign w:val="center"/>
                </w:tcPr>
                <w:p>
                  <w:pPr>
                    <w:keepNext w:val="0"/>
                    <w:keepLines w:val="0"/>
                    <w:suppressLineNumbers w:val="0"/>
                    <w:spacing w:before="38"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500μg/m</w:t>
                  </w:r>
                  <w:r>
                    <w:rPr>
                      <w:rFonts w:hint="default" w:ascii="Times New Roman" w:hAnsi="Times New Roman" w:cs="Times New Roman"/>
                      <w:b w:val="0"/>
                      <w:bCs w:val="0"/>
                      <w:sz w:val="21"/>
                      <w:szCs w:val="21"/>
                      <w:vertAlign w:val="superscript"/>
                    </w:rPr>
                    <w:t>3</w:t>
                  </w:r>
                </w:p>
              </w:tc>
              <w:tc>
                <w:tcPr>
                  <w:tcW w:w="2915"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《环境空气质量标准》</w:t>
                  </w:r>
                  <w:r>
                    <w:rPr>
                      <w:rFonts w:hint="eastAsia" w:cs="Times New Roman"/>
                      <w:b w:val="0"/>
                      <w:bCs w:val="0"/>
                      <w:sz w:val="21"/>
                      <w:szCs w:val="21"/>
                      <w:lang w:eastAsia="zh-CN"/>
                    </w:rPr>
                    <w:t>（</w:t>
                  </w:r>
                  <w:r>
                    <w:rPr>
                      <w:rFonts w:hint="default" w:ascii="Times New Roman" w:hAnsi="Times New Roman" w:cs="Times New Roman"/>
                      <w:b w:val="0"/>
                      <w:bCs w:val="0"/>
                      <w:sz w:val="21"/>
                      <w:szCs w:val="21"/>
                    </w:rPr>
                    <w:t>GB3095-2012</w:t>
                  </w:r>
                  <w:r>
                    <w:rPr>
                      <w:rFonts w:hint="eastAsia" w:cs="Times New Roman"/>
                      <w:b w:val="0"/>
                      <w:bCs w:val="0"/>
                      <w:sz w:val="21"/>
                      <w:szCs w:val="21"/>
                      <w:lang w:eastAsia="zh-CN"/>
                    </w:rPr>
                    <w:t>）</w:t>
                  </w:r>
                  <w:r>
                    <w:rPr>
                      <w:rFonts w:hint="default" w:ascii="Times New Roman" w:hAnsi="Times New Roman" w:cs="Times New Roman"/>
                      <w:b w:val="0"/>
                      <w:bCs w:val="0"/>
                      <w:sz w:val="21"/>
                      <w:szCs w:val="21"/>
                    </w:rPr>
                    <w:t>中的二级标准及</w:t>
                  </w:r>
                  <w:r>
                    <w:rPr>
                      <w:rFonts w:hint="eastAsia" w:cs="Times New Roman"/>
                      <w:b w:val="0"/>
                      <w:bCs w:val="0"/>
                      <w:sz w:val="21"/>
                      <w:szCs w:val="21"/>
                      <w:lang w:val="en-US" w:eastAsia="zh-CN"/>
                    </w:rPr>
                    <w:t>-</w:t>
                  </w:r>
                  <w:r>
                    <w:rPr>
                      <w:rFonts w:hint="default" w:ascii="Times New Roman" w:hAnsi="Times New Roman" w:cs="Times New Roman"/>
                      <w:b w:val="0"/>
                      <w:bCs w:val="0"/>
                      <w:sz w:val="21"/>
                      <w:szCs w:val="21"/>
                    </w:rPr>
                    <w:t>2018年修改单中相关标准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24小时均值</w:t>
                  </w:r>
                </w:p>
              </w:tc>
              <w:tc>
                <w:tcPr>
                  <w:tcW w:w="1350" w:type="dxa"/>
                  <w:vAlign w:val="center"/>
                </w:tcPr>
                <w:p>
                  <w:pPr>
                    <w:keepNext w:val="0"/>
                    <w:keepLines w:val="0"/>
                    <w:suppressLineNumbers w:val="0"/>
                    <w:spacing w:before="37"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150μg/m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年平均</w:t>
                  </w:r>
                </w:p>
              </w:tc>
              <w:tc>
                <w:tcPr>
                  <w:tcW w:w="1350" w:type="dxa"/>
                  <w:vAlign w:val="center"/>
                </w:tcPr>
                <w:p>
                  <w:pPr>
                    <w:keepNext w:val="0"/>
                    <w:keepLines w:val="0"/>
                    <w:suppressLineNumbers w:val="0"/>
                    <w:spacing w:before="39"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60μg/m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NO</w:t>
                  </w:r>
                  <w:r>
                    <w:rPr>
                      <w:rFonts w:hint="default" w:ascii="Times New Roman" w:hAnsi="Times New Roman" w:cs="Times New Roman"/>
                      <w:b w:val="0"/>
                      <w:bCs w:val="0"/>
                      <w:sz w:val="21"/>
                      <w:szCs w:val="21"/>
                      <w:vertAlign w:val="subscript"/>
                    </w:rPr>
                    <w:t>2</w:t>
                  </w: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1小时均值</w:t>
                  </w:r>
                </w:p>
              </w:tc>
              <w:tc>
                <w:tcPr>
                  <w:tcW w:w="1350" w:type="dxa"/>
                  <w:vAlign w:val="center"/>
                </w:tcPr>
                <w:p>
                  <w:pPr>
                    <w:keepNext w:val="0"/>
                    <w:keepLines w:val="0"/>
                    <w:suppressLineNumbers w:val="0"/>
                    <w:spacing w:before="38"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24小时均值</w:t>
                  </w:r>
                </w:p>
              </w:tc>
              <w:tc>
                <w:tcPr>
                  <w:tcW w:w="1350" w:type="dxa"/>
                  <w:vAlign w:val="center"/>
                </w:tcPr>
                <w:p>
                  <w:pPr>
                    <w:keepNext w:val="0"/>
                    <w:keepLines w:val="0"/>
                    <w:suppressLineNumbers w:val="0"/>
                    <w:spacing w:before="41"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80μg/m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年平均</w:t>
                  </w:r>
                </w:p>
              </w:tc>
              <w:tc>
                <w:tcPr>
                  <w:tcW w:w="1350" w:type="dxa"/>
                  <w:vAlign w:val="center"/>
                </w:tcPr>
                <w:p>
                  <w:pPr>
                    <w:keepNext w:val="0"/>
                    <w:keepLines w:val="0"/>
                    <w:suppressLineNumbers w:val="0"/>
                    <w:spacing w:before="4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40μg/m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PM</w:t>
                  </w:r>
                  <w:r>
                    <w:rPr>
                      <w:rFonts w:hint="default" w:ascii="Times New Roman" w:hAnsi="Times New Roman" w:cs="Times New Roman"/>
                      <w:b w:val="0"/>
                      <w:bCs w:val="0"/>
                      <w:sz w:val="21"/>
                      <w:szCs w:val="21"/>
                      <w:vertAlign w:val="subscript"/>
                    </w:rPr>
                    <w:t>2.5</w:t>
                  </w: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24小时均值</w:t>
                  </w:r>
                </w:p>
              </w:tc>
              <w:tc>
                <w:tcPr>
                  <w:tcW w:w="1350" w:type="dxa"/>
                  <w:vAlign w:val="center"/>
                </w:tcPr>
                <w:p>
                  <w:pPr>
                    <w:keepNext w:val="0"/>
                    <w:keepLines w:val="0"/>
                    <w:suppressLineNumbers w:val="0"/>
                    <w:spacing w:before="41"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75μg/m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年平均</w:t>
                  </w:r>
                </w:p>
              </w:tc>
              <w:tc>
                <w:tcPr>
                  <w:tcW w:w="1350" w:type="dxa"/>
                  <w:vAlign w:val="center"/>
                </w:tcPr>
                <w:p>
                  <w:pPr>
                    <w:keepNext w:val="0"/>
                    <w:keepLines w:val="0"/>
                    <w:suppressLineNumbers w:val="0"/>
                    <w:spacing w:before="41"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35μg/m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PM</w:t>
                  </w:r>
                  <w:r>
                    <w:rPr>
                      <w:rFonts w:hint="default" w:ascii="Times New Roman" w:hAnsi="Times New Roman" w:cs="Times New Roman"/>
                      <w:b w:val="0"/>
                      <w:bCs w:val="0"/>
                      <w:sz w:val="21"/>
                      <w:szCs w:val="21"/>
                      <w:vertAlign w:val="subscript"/>
                    </w:rPr>
                    <w:t>10</w:t>
                  </w: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24小时均值</w:t>
                  </w:r>
                </w:p>
              </w:tc>
              <w:tc>
                <w:tcPr>
                  <w:tcW w:w="1350" w:type="dxa"/>
                  <w:vAlign w:val="center"/>
                </w:tcPr>
                <w:p>
                  <w:pPr>
                    <w:keepNext w:val="0"/>
                    <w:keepLines w:val="0"/>
                    <w:suppressLineNumbers w:val="0"/>
                    <w:spacing w:before="42"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150μg/m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年平均</w:t>
                  </w:r>
                </w:p>
              </w:tc>
              <w:tc>
                <w:tcPr>
                  <w:tcW w:w="1350" w:type="dxa"/>
                  <w:vAlign w:val="center"/>
                </w:tcPr>
                <w:p>
                  <w:pPr>
                    <w:keepNext w:val="0"/>
                    <w:keepLines w:val="0"/>
                    <w:suppressLineNumbers w:val="0"/>
                    <w:spacing w:before="41"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70μg/m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O</w:t>
                  </w:r>
                  <w:r>
                    <w:rPr>
                      <w:rFonts w:hint="default" w:ascii="Times New Roman" w:hAnsi="Times New Roman" w:cs="Times New Roman"/>
                      <w:b w:val="0"/>
                      <w:bCs w:val="0"/>
                      <w:sz w:val="21"/>
                      <w:szCs w:val="21"/>
                      <w:vertAlign w:val="subscript"/>
                    </w:rPr>
                    <w:t>3</w:t>
                  </w: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1小时均值</w:t>
                  </w:r>
                </w:p>
              </w:tc>
              <w:tc>
                <w:tcPr>
                  <w:tcW w:w="1350" w:type="dxa"/>
                  <w:vAlign w:val="center"/>
                </w:tcPr>
                <w:p>
                  <w:pPr>
                    <w:keepNext w:val="0"/>
                    <w:keepLines w:val="0"/>
                    <w:suppressLineNumbers w:val="0"/>
                    <w:spacing w:before="43"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日最大8小时均值</w:t>
                  </w:r>
                </w:p>
              </w:tc>
              <w:tc>
                <w:tcPr>
                  <w:tcW w:w="1350" w:type="dxa"/>
                  <w:vAlign w:val="center"/>
                </w:tcPr>
                <w:p>
                  <w:pPr>
                    <w:keepNext w:val="0"/>
                    <w:keepLines w:val="0"/>
                    <w:suppressLineNumbers w:val="0"/>
                    <w:spacing w:before="42"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160μg/m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CO</w:t>
                  </w: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1小时均值</w:t>
                  </w:r>
                </w:p>
              </w:tc>
              <w:tc>
                <w:tcPr>
                  <w:tcW w:w="1350" w:type="dxa"/>
                  <w:vAlign w:val="center"/>
                </w:tcPr>
                <w:p>
                  <w:pPr>
                    <w:keepNext w:val="0"/>
                    <w:keepLines w:val="0"/>
                    <w:suppressLineNumbers w:val="0"/>
                    <w:spacing w:before="43"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10mg/m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24小时均值</w:t>
                  </w:r>
                </w:p>
              </w:tc>
              <w:tc>
                <w:tcPr>
                  <w:tcW w:w="1350" w:type="dxa"/>
                  <w:vAlign w:val="center"/>
                </w:tcPr>
                <w:p>
                  <w:pPr>
                    <w:keepNext w:val="0"/>
                    <w:keepLines w:val="0"/>
                    <w:suppressLineNumbers w:val="0"/>
                    <w:spacing w:before="42"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4mg/m</w:t>
                  </w:r>
                  <w:r>
                    <w:rPr>
                      <w:rFonts w:hint="default" w:ascii="Times New Roman" w:hAnsi="Times New Roman" w:cs="Times New Roman"/>
                      <w:b w:val="0"/>
                      <w:bCs w:val="0"/>
                      <w:sz w:val="21"/>
                      <w:szCs w:val="21"/>
                      <w:vertAlign w:val="superscript"/>
                    </w:rPr>
                    <w:t>3</w:t>
                  </w:r>
                </w:p>
              </w:tc>
              <w:tc>
                <w:tcPr>
                  <w:tcW w:w="291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2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p>
              </w:tc>
              <w:tc>
                <w:tcPr>
                  <w:tcW w:w="168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非甲烷总烃</w:t>
                  </w:r>
                </w:p>
              </w:tc>
              <w:tc>
                <w:tcPr>
                  <w:tcW w:w="19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1小时均值</w:t>
                  </w:r>
                </w:p>
              </w:tc>
              <w:tc>
                <w:tcPr>
                  <w:tcW w:w="1350" w:type="dxa"/>
                  <w:vAlign w:val="center"/>
                </w:tcPr>
                <w:p>
                  <w:pPr>
                    <w:keepNext w:val="0"/>
                    <w:keepLines w:val="0"/>
                    <w:suppressLineNumbers w:val="0"/>
                    <w:spacing w:before="0" w:beforeAutospacing="0" w:after="0" w:afterAutospacing="0" w:line="240" w:lineRule="auto"/>
                    <w:ind w:left="0" w:right="0"/>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2000μg/m</w:t>
                  </w:r>
                  <w:r>
                    <w:rPr>
                      <w:rFonts w:hint="default" w:ascii="Times New Roman" w:hAnsi="Times New Roman" w:cs="Times New Roman"/>
                      <w:b w:val="0"/>
                      <w:bCs w:val="0"/>
                      <w:sz w:val="21"/>
                      <w:szCs w:val="21"/>
                      <w:vertAlign w:val="superscript"/>
                    </w:rPr>
                    <w:t>3</w:t>
                  </w:r>
                </w:p>
              </w:tc>
              <w:tc>
                <w:tcPr>
                  <w:tcW w:w="291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《大气污染物综合排放标准详解》</w:t>
                  </w:r>
                </w:p>
              </w:tc>
            </w:tr>
          </w:tbl>
          <w:p>
            <w:pPr>
              <w:pStyle w:val="23"/>
              <w:keepNext w:val="0"/>
              <w:keepLines w:val="0"/>
              <w:suppressLineNumbers w:val="0"/>
              <w:bidi w:val="0"/>
              <w:spacing w:before="0" w:beforeAutospacing="0" w:after="0" w:afterAutospacing="0"/>
              <w:ind w:left="0" w:right="0"/>
              <w:rPr>
                <w:rFonts w:hint="default"/>
              </w:rPr>
            </w:pPr>
            <w:r>
              <w:rPr>
                <w:rFonts w:hint="default" w:ascii="Times New Roman" w:hAnsi="Times New Roman" w:cs="Times New Roman"/>
                <w:b w:val="0"/>
                <w:bCs w:val="0"/>
                <w:szCs w:val="24"/>
              </w:rPr>
              <w:t>2</w:t>
            </w:r>
            <w:r>
              <w:rPr>
                <w:rFonts w:hint="default"/>
              </w:rPr>
              <w:t>、环境空气质量现状</w:t>
            </w:r>
          </w:p>
          <w:p>
            <w:pPr>
              <w:pStyle w:val="23"/>
              <w:keepNext w:val="0"/>
              <w:keepLines w:val="0"/>
              <w:suppressLineNumbers w:val="0"/>
              <w:bidi w:val="0"/>
              <w:spacing w:before="0" w:beforeAutospacing="0" w:after="0" w:afterAutospacing="0"/>
              <w:ind w:left="0" w:right="0"/>
              <w:rPr>
                <w:rFonts w:hint="default"/>
              </w:rPr>
            </w:pPr>
            <w:r>
              <w:rPr>
                <w:rFonts w:hint="default"/>
              </w:rPr>
              <w:t>根据《淮南市2022年环境质量状况公报》，2022年淮南市空气质量优良天数为290天，优良率为79.5%，与上年相比增加4.7个百分点。2022年淮南市环境空气综合指数为3.89。全年首要污染物主要为细颗粒物（PM</w:t>
            </w:r>
            <w:r>
              <w:rPr>
                <w:rFonts w:hint="default"/>
                <w:vertAlign w:val="subscript"/>
              </w:rPr>
              <w:t>2.5</w:t>
            </w:r>
            <w:r>
              <w:rPr>
                <w:rFonts w:hint="default"/>
              </w:rPr>
              <w:t>）。细颗粒物（PM</w:t>
            </w:r>
            <w:r>
              <w:rPr>
                <w:rFonts w:hint="default"/>
                <w:vertAlign w:val="subscript"/>
              </w:rPr>
              <w:t>2.5</w:t>
            </w:r>
            <w:r>
              <w:rPr>
                <w:rFonts w:hint="default"/>
              </w:rPr>
              <w:t>）日均浓度范围为6～176微克/立方米，日均值达标率为87.9%。年均浓度为41微克/立方米，与上年相比下降了2.4%。可吸入颗粒物（PM</w:t>
            </w:r>
            <w:r>
              <w:rPr>
                <w:rFonts w:hint="default"/>
                <w:vertAlign w:val="subscript"/>
              </w:rPr>
              <w:t>10</w:t>
            </w:r>
            <w:r>
              <w:rPr>
                <w:rFonts w:hint="default"/>
              </w:rPr>
              <w:t>）日均浓度范围为12～201微克/立方米，日均值达标率为94.3%。年均浓度为67微克/立方米，与上年相比下降了5.6%。二氧化氮（NO</w:t>
            </w:r>
            <w:r>
              <w:rPr>
                <w:rFonts w:hint="default"/>
                <w:vertAlign w:val="subscript"/>
              </w:rPr>
              <w:t>2</w:t>
            </w:r>
            <w:r>
              <w:rPr>
                <w:rFonts w:hint="default"/>
              </w:rPr>
              <w:t>）日均浓度范围为5～56微克/立方米，日均值达标率为100%。年均浓度为19微克/立方米，与上年相比下降了17.4%。二氧化硫（SO</w:t>
            </w:r>
            <w:r>
              <w:rPr>
                <w:rFonts w:hint="default"/>
                <w:vertAlign w:val="subscript"/>
              </w:rPr>
              <w:t>2</w:t>
            </w:r>
            <w:r>
              <w:rPr>
                <w:rFonts w:hint="default"/>
              </w:rPr>
              <w:t>）日均浓度范围为4～16微克/立方米，日均值达标率为100%。年均浓度为8微克/立方米，与上年相比持平。一氧化碳（CO）日均浓度范围为0.2～1.0毫克/立方米，日均值达标率为100%。日均值第95百分位数为0.8毫克/立方米，与上年相比下降了11.1%。臭氧日最大8小时（O</w:t>
            </w:r>
            <w:r>
              <w:rPr>
                <w:rFonts w:hint="default"/>
                <w:vertAlign w:val="subscript"/>
              </w:rPr>
              <w:t>3</w:t>
            </w:r>
            <w:r>
              <w:rPr>
                <w:rFonts w:hint="default"/>
              </w:rPr>
              <w:t>-8h）滑动平均值范围为18～223微克/立方米，达标率为92.6%。日最大8小时滑动平均值第90百分位数为152微克/立方米，与上年相比下降了6.2%</w:t>
            </w:r>
          </w:p>
          <w:p>
            <w:pPr>
              <w:pStyle w:val="23"/>
              <w:keepNext w:val="0"/>
              <w:keepLines w:val="0"/>
              <w:suppressLineNumbers w:val="0"/>
              <w:bidi w:val="0"/>
              <w:spacing w:before="0" w:beforeAutospacing="0" w:after="0" w:afterAutospacing="0"/>
              <w:ind w:left="0" w:right="0"/>
              <w:rPr>
                <w:rFonts w:hint="default"/>
              </w:rPr>
            </w:pPr>
            <w:r>
              <w:rPr>
                <w:rFonts w:hint="default"/>
              </w:rPr>
              <w:t>综上，该区域二氧化硫（SO</w:t>
            </w:r>
            <w:r>
              <w:rPr>
                <w:rFonts w:hint="default"/>
                <w:vertAlign w:val="subscript"/>
              </w:rPr>
              <w:t>2</w:t>
            </w:r>
            <w:r>
              <w:rPr>
                <w:rFonts w:hint="default"/>
              </w:rPr>
              <w:t>）、二氧化氮（NO</w:t>
            </w:r>
            <w:r>
              <w:rPr>
                <w:rFonts w:hint="default"/>
                <w:vertAlign w:val="subscript"/>
              </w:rPr>
              <w:t>2</w:t>
            </w:r>
            <w:r>
              <w:rPr>
                <w:rFonts w:hint="default"/>
              </w:rPr>
              <w:t>）、一氧化碳（CO）、可吸入颗粒物（PM</w:t>
            </w:r>
            <w:r>
              <w:rPr>
                <w:rFonts w:hint="default"/>
                <w:vertAlign w:val="subscript"/>
              </w:rPr>
              <w:t>10</w:t>
            </w:r>
            <w:r>
              <w:rPr>
                <w:rFonts w:hint="default"/>
              </w:rPr>
              <w:t>）年均浓度、臭氧（O</w:t>
            </w:r>
            <w:r>
              <w:rPr>
                <w:rFonts w:hint="default"/>
                <w:vertAlign w:val="subscript"/>
              </w:rPr>
              <w:t>3</w:t>
            </w:r>
            <w:r>
              <w:rPr>
                <w:rFonts w:hint="default"/>
              </w:rPr>
              <w:t>）均符合《环境空气质量标准》（GB3095-2012）二级标准，细颗粒物（PM</w:t>
            </w:r>
            <w:r>
              <w:rPr>
                <w:rFonts w:hint="default"/>
                <w:vertAlign w:val="subscript"/>
              </w:rPr>
              <w:t>2.5</w:t>
            </w:r>
            <w:r>
              <w:rPr>
                <w:rFonts w:hint="default"/>
              </w:rPr>
              <w:t>）年均浓度不满足《环境空气质量标准》（GB3095-2012）二级标准，项目所在区域为不达标区。根据大气环境质量达标规划，通过进一步控制扬尘污染，机动车尾气污染防治等措施，预计大气环境质量状况可以得到进一步改善。</w:t>
            </w:r>
          </w:p>
          <w:p>
            <w:pPr>
              <w:pStyle w:val="23"/>
              <w:keepNext w:val="0"/>
              <w:keepLines w:val="0"/>
              <w:suppressLineNumbers w:val="0"/>
              <w:bidi w:val="0"/>
              <w:spacing w:before="0" w:beforeAutospacing="0" w:after="0" w:afterAutospacing="0"/>
              <w:ind w:left="0" w:right="0"/>
              <w:rPr>
                <w:rFonts w:hint="default"/>
              </w:rPr>
            </w:pPr>
            <w:r>
              <w:rPr>
                <w:rFonts w:hint="default"/>
              </w:rPr>
              <w:t>为了解项目所在地大气污染物非甲烷总烃的环境空气质量，本次评价引用《淮南高新技术产业开发区环境影响区域评估报告（2022）》（以下简称</w:t>
            </w:r>
            <w:r>
              <w:rPr>
                <w:rFonts w:hint="eastAsia"/>
                <w:lang w:eastAsia="zh-CN"/>
              </w:rPr>
              <w:t>“</w:t>
            </w:r>
            <w:r>
              <w:rPr>
                <w:rFonts w:hint="default"/>
              </w:rPr>
              <w:t>评估报告</w:t>
            </w:r>
            <w:r>
              <w:rPr>
                <w:rFonts w:hint="eastAsia"/>
                <w:lang w:eastAsia="zh-CN"/>
              </w:rPr>
              <w:t>”</w:t>
            </w:r>
            <w:r>
              <w:rPr>
                <w:rFonts w:hint="default"/>
              </w:rPr>
              <w:t>）相关数据。监测点位于淮南市高新区公租房，距离项目所在地约</w:t>
            </w:r>
            <w:r>
              <w:rPr>
                <w:rFonts w:hint="default"/>
                <w:lang w:val="en-US" w:eastAsia="zh-CN"/>
              </w:rPr>
              <w:t>150</w:t>
            </w:r>
            <w:r>
              <w:rPr>
                <w:rFonts w:hint="default"/>
              </w:rPr>
              <w:t>米，监测时间为2022年5月23日至2022年5月29日，满足三年时效性，引用监测数据可行。</w:t>
            </w:r>
          </w:p>
          <w:p>
            <w:pPr>
              <w:pStyle w:val="23"/>
              <w:keepNext w:val="0"/>
              <w:keepLines w:val="0"/>
              <w:suppressLineNumbers w:val="0"/>
              <w:bidi w:val="0"/>
              <w:spacing w:before="0" w:beforeAutospacing="0" w:after="0" w:afterAutospacing="0"/>
              <w:ind w:left="0" w:right="0"/>
              <w:rPr>
                <w:rFonts w:hint="default"/>
              </w:rPr>
            </w:pPr>
            <w:r>
              <w:rPr>
                <w:rFonts w:hint="default"/>
              </w:rPr>
              <w:t>TSP和非甲烷总烃现状监测及评价结果见下表。</w:t>
            </w:r>
          </w:p>
          <w:p>
            <w:pPr>
              <w:pStyle w:val="11"/>
              <w:keepNext w:val="0"/>
              <w:keepLines w:val="0"/>
              <w:suppressLineNumbers w:val="0"/>
              <w:bidi w:val="0"/>
              <w:spacing w:before="0" w:after="0" w:afterAutospacing="0"/>
              <w:ind w:right="0"/>
              <w:rPr>
                <w:rFonts w:hint="default"/>
              </w:rPr>
            </w:pPr>
            <w:r>
              <w:rPr>
                <w:rFonts w:hint="default"/>
              </w:rPr>
              <w:t>表3-</w:t>
            </w:r>
            <w:r>
              <w:rPr>
                <w:rFonts w:hint="eastAsia"/>
                <w:lang w:val="en-US" w:eastAsia="zh-CN"/>
              </w:rPr>
              <w:t xml:space="preserve">2 </w:t>
            </w:r>
            <w:r>
              <w:rPr>
                <w:rFonts w:hint="default"/>
                <w:lang w:val="en-US" w:eastAsia="zh-CN"/>
              </w:rPr>
              <w:t xml:space="preserve"> </w:t>
            </w:r>
            <w:r>
              <w:rPr>
                <w:rFonts w:hint="default"/>
              </w:rPr>
              <w:t>项目区大气环境现状监测结果一览表</w:t>
            </w:r>
          </w:p>
          <w:tbl>
            <w:tblPr>
              <w:tblStyle w:val="19"/>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295"/>
              <w:gridCol w:w="765"/>
              <w:gridCol w:w="765"/>
              <w:gridCol w:w="1074"/>
              <w:gridCol w:w="1473"/>
              <w:gridCol w:w="1363"/>
              <w:gridCol w:w="786"/>
              <w:gridCol w:w="107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611" w:hRule="atLeast"/>
              </w:trPr>
              <w:tc>
                <w:tcPr>
                  <w:tcW w:w="129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监测点位</w:t>
                  </w:r>
                </w:p>
              </w:tc>
              <w:tc>
                <w:tcPr>
                  <w:tcW w:w="76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因子</w:t>
                  </w:r>
                </w:p>
              </w:tc>
              <w:tc>
                <w:tcPr>
                  <w:tcW w:w="76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平均</w:t>
                  </w:r>
                </w:p>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时间</w:t>
                  </w:r>
                </w:p>
              </w:tc>
              <w:tc>
                <w:tcPr>
                  <w:tcW w:w="107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评价标准（μg/m</w:t>
                  </w:r>
                  <w:r>
                    <w:rPr>
                      <w:rFonts w:hint="default" w:ascii="Times New Roman" w:hAnsi="Times New Roman" w:cs="Times New Roman"/>
                      <w:b w:val="0"/>
                      <w:bCs w:val="0"/>
                      <w:sz w:val="21"/>
                      <w:szCs w:val="21"/>
                      <w:vertAlign w:val="superscript"/>
                    </w:rPr>
                    <w:t>3</w:t>
                  </w:r>
                  <w:r>
                    <w:rPr>
                      <w:rFonts w:hint="default" w:ascii="Times New Roman" w:hAnsi="Times New Roman" w:cs="Times New Roman"/>
                      <w:b w:val="0"/>
                      <w:bCs w:val="0"/>
                      <w:sz w:val="21"/>
                      <w:szCs w:val="21"/>
                    </w:rPr>
                    <w:t>）</w:t>
                  </w:r>
                </w:p>
              </w:tc>
              <w:tc>
                <w:tcPr>
                  <w:tcW w:w="147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监测浓度范围（μg/m</w:t>
                  </w:r>
                  <w:r>
                    <w:rPr>
                      <w:rFonts w:hint="default" w:ascii="Times New Roman" w:hAnsi="Times New Roman" w:cs="Times New Roman"/>
                      <w:b w:val="0"/>
                      <w:bCs w:val="0"/>
                      <w:sz w:val="21"/>
                      <w:szCs w:val="21"/>
                      <w:vertAlign w:val="superscript"/>
                    </w:rPr>
                    <w:t>3</w:t>
                  </w:r>
                  <w:r>
                    <w:rPr>
                      <w:rFonts w:hint="default" w:ascii="Times New Roman" w:hAnsi="Times New Roman" w:cs="Times New Roman"/>
                      <w:b w:val="0"/>
                      <w:bCs w:val="0"/>
                      <w:sz w:val="21"/>
                      <w:szCs w:val="21"/>
                    </w:rPr>
                    <w:t>）</w:t>
                  </w:r>
                </w:p>
              </w:tc>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最大浓度占标率（%）</w:t>
                  </w:r>
                </w:p>
              </w:tc>
              <w:tc>
                <w:tcPr>
                  <w:tcW w:w="7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超标率（%）</w:t>
                  </w:r>
                </w:p>
              </w:tc>
              <w:tc>
                <w:tcPr>
                  <w:tcW w:w="10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3" w:hRule="atLeast"/>
              </w:trPr>
              <w:tc>
                <w:tcPr>
                  <w:tcW w:w="129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G3淮南市高新区公租房</w:t>
                  </w:r>
                </w:p>
              </w:tc>
              <w:tc>
                <w:tcPr>
                  <w:tcW w:w="76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非甲烷总烃</w:t>
                  </w:r>
                </w:p>
              </w:tc>
              <w:tc>
                <w:tcPr>
                  <w:tcW w:w="76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小时平均</w:t>
                  </w:r>
                </w:p>
              </w:tc>
              <w:tc>
                <w:tcPr>
                  <w:tcW w:w="107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2000</w:t>
                  </w:r>
                </w:p>
              </w:tc>
              <w:tc>
                <w:tcPr>
                  <w:tcW w:w="147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1000~1230</w:t>
                  </w:r>
                </w:p>
              </w:tc>
              <w:tc>
                <w:tcPr>
                  <w:tcW w:w="136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61.5</w:t>
                  </w:r>
                </w:p>
              </w:tc>
              <w:tc>
                <w:tcPr>
                  <w:tcW w:w="7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w:t>
                  </w:r>
                </w:p>
              </w:tc>
              <w:tc>
                <w:tcPr>
                  <w:tcW w:w="10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达标</w:t>
                  </w:r>
                </w:p>
              </w:tc>
            </w:tr>
          </w:tbl>
          <w:p>
            <w:pPr>
              <w:pStyle w:val="23"/>
              <w:keepNext w:val="0"/>
              <w:keepLines w:val="0"/>
              <w:suppressLineNumbers w:val="0"/>
              <w:bidi w:val="0"/>
              <w:spacing w:before="0" w:beforeAutospacing="0" w:after="0" w:afterAutospacing="0"/>
              <w:ind w:left="0" w:right="0"/>
              <w:rPr>
                <w:rFonts w:hint="default" w:ascii="Times New Roman" w:hAnsi="Times New Roman" w:cs="Times New Roman"/>
                <w:b w:val="0"/>
                <w:bCs w:val="0"/>
                <w:sz w:val="24"/>
                <w:szCs w:val="24"/>
              </w:rPr>
            </w:pPr>
            <w:r>
              <w:rPr>
                <w:rFonts w:hint="default"/>
              </w:rPr>
              <w:t>根据上表可知，淮南市高新区公租房监测点非甲烷总烃小时值现状监测结果满足《大气污染物综合排放标准详解》中限值要求。</w:t>
            </w:r>
          </w:p>
          <w:p>
            <w:pPr>
              <w:pStyle w:val="23"/>
              <w:keepNext w:val="0"/>
              <w:keepLines w:val="0"/>
              <w:suppressLineNumbers w:val="0"/>
              <w:bidi w:val="0"/>
              <w:spacing w:before="0" w:beforeAutospacing="0" w:after="0" w:afterAutospacing="0"/>
              <w:ind w:left="0" w:right="0"/>
              <w:rPr>
                <w:rFonts w:hint="default"/>
              </w:rPr>
            </w:pPr>
            <w:r>
              <w:rPr>
                <w:rFonts w:hint="default"/>
              </w:rPr>
              <w:t>二、地表水</w:t>
            </w:r>
            <w:r>
              <w:rPr>
                <w:rFonts w:hint="default"/>
                <w:lang w:val="en-US" w:eastAsia="zh-CN"/>
              </w:rPr>
              <w:t>环境</w:t>
            </w:r>
            <w:r>
              <w:rPr>
                <w:rFonts w:hint="default"/>
              </w:rPr>
              <w:t>质量</w:t>
            </w:r>
          </w:p>
          <w:p>
            <w:pPr>
              <w:pStyle w:val="23"/>
              <w:keepNext w:val="0"/>
              <w:keepLines w:val="0"/>
              <w:suppressLineNumbers w:val="0"/>
              <w:bidi w:val="0"/>
              <w:spacing w:before="0" w:beforeAutospacing="0" w:after="0" w:afterAutospacing="0"/>
              <w:ind w:left="0" w:right="0"/>
              <w:rPr>
                <w:rFonts w:hint="eastAsia"/>
              </w:rPr>
            </w:pPr>
            <w:r>
              <w:rPr>
                <w:rFonts w:hint="default"/>
              </w:rPr>
              <w:t>本项目纳污水体是高塘湖，高塘湖执行《地表水环境质量标准》</w:t>
            </w:r>
            <w:r>
              <w:rPr>
                <w:rFonts w:hint="eastAsia"/>
              </w:rPr>
              <w:t>（GB3838-2002）III 类标准。本项目区域地表水环境引用《</w:t>
            </w:r>
            <w:r>
              <w:rPr>
                <w:rFonts w:hint="default"/>
              </w:rPr>
              <w:t>淮南高新技术产业开发区环境影响区域评估报告（2022）</w:t>
            </w:r>
            <w:r>
              <w:rPr>
                <w:rFonts w:hint="eastAsia"/>
              </w:rPr>
              <w:t>》中的监测数据，监测时间为2022 年5 月23 日～25日，满足引用数据的要求。具体监测及统计结果如下：</w:t>
            </w:r>
          </w:p>
          <w:p>
            <w:pPr>
              <w:pStyle w:val="23"/>
              <w:keepNext w:val="0"/>
              <w:keepLines w:val="0"/>
              <w:suppressLineNumbers w:val="0"/>
              <w:bidi w:val="0"/>
              <w:spacing w:before="0" w:beforeAutospacing="0" w:after="0" w:afterAutospacing="0"/>
              <w:ind w:left="0" w:leftChars="0" w:right="0" w:firstLine="0" w:firstLineChars="0"/>
              <w:rPr>
                <w:rFonts w:hint="default" w:ascii="宋体" w:hAnsi="宋体" w:eastAsia="宋体" w:cs="宋体"/>
                <w:sz w:val="24"/>
                <w:szCs w:val="24"/>
              </w:rPr>
            </w:pPr>
            <w:r>
              <w:rPr>
                <w:rFonts w:hint="eastAsia" w:ascii="宋体" w:hAnsi="宋体" w:cs="宋体"/>
                <w:sz w:val="24"/>
                <w:szCs w:val="24"/>
                <w:lang w:eastAsia="zh-CN"/>
              </w:rPr>
              <w:t>（</w:t>
            </w:r>
            <w:r>
              <w:rPr>
                <w:rFonts w:hint="eastAsia" w:ascii="宋体" w:hAnsi="宋体" w:cs="宋体"/>
                <w:sz w:val="24"/>
                <w:szCs w:val="24"/>
                <w:lang w:val="en-US" w:eastAsia="zh-CN"/>
              </w:rPr>
              <w:t>1</w:t>
            </w:r>
            <w:r>
              <w:rPr>
                <w:rFonts w:hint="eastAsia" w:ascii="宋体" w:hAnsi="宋体" w:cs="宋体"/>
                <w:sz w:val="24"/>
                <w:szCs w:val="24"/>
                <w:lang w:eastAsia="zh-CN"/>
              </w:rPr>
              <w:t>）</w:t>
            </w:r>
            <w:r>
              <w:rPr>
                <w:rFonts w:hint="default" w:ascii="宋体" w:hAnsi="宋体" w:eastAsia="宋体" w:cs="宋体"/>
                <w:sz w:val="24"/>
                <w:szCs w:val="24"/>
              </w:rPr>
              <w:t xml:space="preserve">监测点位布设 </w:t>
            </w:r>
          </w:p>
          <w:p>
            <w:pPr>
              <w:pStyle w:val="23"/>
              <w:keepNext w:val="0"/>
              <w:keepLines w:val="0"/>
              <w:suppressLineNumbers w:val="0"/>
              <w:bidi w:val="0"/>
              <w:spacing w:before="0" w:beforeAutospacing="0" w:after="0" w:afterAutospacing="0"/>
              <w:ind w:left="0" w:right="0"/>
              <w:rPr>
                <w:rFonts w:hint="eastAsia" w:ascii="宋体" w:hAnsi="宋体" w:cs="宋体"/>
                <w:sz w:val="24"/>
                <w:szCs w:val="24"/>
                <w:lang w:val="en-US" w:eastAsia="zh-CN"/>
              </w:rPr>
            </w:pPr>
            <w:r>
              <w:rPr>
                <w:rFonts w:hint="default" w:ascii="宋体" w:hAnsi="宋体" w:eastAsia="宋体" w:cs="宋体"/>
                <w:sz w:val="24"/>
                <w:szCs w:val="24"/>
              </w:rPr>
              <w:t>监测点布设情况见</w:t>
            </w:r>
            <w:r>
              <w:rPr>
                <w:rFonts w:hint="default" w:ascii="Times New Roman" w:hAnsi="Times New Roman" w:eastAsia="宋体" w:cs="Times New Roman"/>
                <w:sz w:val="24"/>
                <w:szCs w:val="24"/>
              </w:rPr>
              <w:t>表</w:t>
            </w:r>
            <w:r>
              <w:rPr>
                <w:rFonts w:hint="default" w:ascii="Times New Roman" w:hAnsi="Times New Roman" w:cs="Times New Roman"/>
                <w:sz w:val="24"/>
                <w:szCs w:val="24"/>
                <w:lang w:val="en-US" w:eastAsia="zh-CN"/>
              </w:rPr>
              <w:t>3-3</w:t>
            </w:r>
            <w:r>
              <w:rPr>
                <w:rFonts w:hint="eastAsia" w:ascii="宋体" w:hAnsi="宋体" w:cs="宋体"/>
                <w:sz w:val="24"/>
                <w:szCs w:val="24"/>
                <w:lang w:val="en-US" w:eastAsia="zh-CN"/>
              </w:rPr>
              <w:t>。</w:t>
            </w:r>
          </w:p>
          <w:p>
            <w:pPr>
              <w:pStyle w:val="23"/>
              <w:keepNext w:val="0"/>
              <w:keepLines w:val="0"/>
              <w:suppressLineNumbers w:val="0"/>
              <w:bidi w:val="0"/>
              <w:spacing w:before="0" w:beforeAutospacing="0" w:after="0" w:afterAutospacing="0"/>
              <w:ind w:left="0" w:right="0"/>
              <w:rPr>
                <w:rFonts w:hint="default" w:ascii="宋体" w:hAnsi="宋体" w:cs="宋体"/>
                <w:sz w:val="24"/>
                <w:szCs w:val="24"/>
                <w:lang w:val="en-US" w:eastAsia="zh-CN"/>
              </w:rPr>
            </w:pPr>
          </w:p>
          <w:p>
            <w:pPr>
              <w:pStyle w:val="23"/>
              <w:keepNext w:val="0"/>
              <w:keepLines w:val="0"/>
              <w:suppressLineNumbers w:val="0"/>
              <w:bidi w:val="0"/>
              <w:spacing w:before="0" w:beforeAutospacing="0" w:after="0" w:afterAutospacing="0"/>
              <w:ind w:left="0" w:right="0"/>
              <w:rPr>
                <w:rFonts w:hint="default" w:ascii="宋体" w:hAnsi="宋体" w:cs="宋体"/>
                <w:sz w:val="24"/>
                <w:szCs w:val="24"/>
                <w:lang w:val="en-US" w:eastAsia="zh-CN"/>
              </w:rPr>
            </w:pP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表3-3  地表水质量现状监测点布设一览表</w:t>
            </w:r>
          </w:p>
          <w:tbl>
            <w:tblPr>
              <w:tblStyle w:val="19"/>
              <w:tblW w:w="855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74"/>
              <w:gridCol w:w="2811"/>
              <w:gridCol w:w="28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7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河流/湖泊</w:t>
                  </w:r>
                </w:p>
              </w:tc>
              <w:tc>
                <w:tcPr>
                  <w:tcW w:w="2811"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t>断面编号</w:t>
                  </w:r>
                </w:p>
              </w:tc>
              <w:tc>
                <w:tcPr>
                  <w:tcW w:w="287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断面（点）位置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74" w:type="dxa"/>
                  <w:vMerge w:val="restart"/>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高塘湖</w:t>
                  </w:r>
                </w:p>
              </w:tc>
              <w:tc>
                <w:tcPr>
                  <w:tcW w:w="2811"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w:t>
                  </w:r>
                  <w:r>
                    <w:rPr>
                      <w:rFonts w:hint="eastAsia" w:ascii="Times New Roman" w:hAnsi="Times New Roman" w:cs="Times New Roman"/>
                      <w:sz w:val="21"/>
                      <w:szCs w:val="21"/>
                      <w:lang w:val="en-US" w:eastAsia="zh-CN"/>
                    </w:rPr>
                    <w:t>4</w:t>
                  </w:r>
                </w:p>
              </w:tc>
              <w:tc>
                <w:tcPr>
                  <w:tcW w:w="287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建湾渠入高塘湖下游200m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74" w:type="dxa"/>
                  <w:vMerge w:val="continue"/>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p>
              </w:tc>
              <w:tc>
                <w:tcPr>
                  <w:tcW w:w="2811"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w:t>
                  </w:r>
                  <w:r>
                    <w:rPr>
                      <w:rFonts w:hint="eastAsia" w:ascii="Times New Roman" w:hAnsi="Times New Roman" w:cs="Times New Roman"/>
                      <w:sz w:val="21"/>
                      <w:szCs w:val="21"/>
                      <w:lang w:val="en-US" w:eastAsia="zh-CN"/>
                    </w:rPr>
                    <w:t>5</w:t>
                  </w:r>
                </w:p>
              </w:tc>
              <w:tc>
                <w:tcPr>
                  <w:tcW w:w="287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高塘湖中心</w:t>
                  </w:r>
                </w:p>
              </w:tc>
            </w:tr>
          </w:tbl>
          <w:p>
            <w:pPr>
              <w:pStyle w:val="23"/>
              <w:keepNext w:val="0"/>
              <w:keepLines w:val="0"/>
              <w:suppressLineNumbers w:val="0"/>
              <w:bidi w:val="0"/>
              <w:spacing w:before="0" w:beforeAutospacing="0" w:after="0" w:afterAutospacing="0"/>
              <w:ind w:left="0" w:leftChars="0" w:right="0" w:firstLine="0" w:firstLineChars="0"/>
              <w:jc w:val="both"/>
              <w:rPr>
                <w:rFonts w:hint="default" w:ascii="宋体" w:hAnsi="宋体" w:cs="宋体"/>
                <w:sz w:val="24"/>
                <w:szCs w:val="24"/>
                <w:lang w:val="en-US" w:eastAsia="zh-CN"/>
              </w:rPr>
            </w:pPr>
            <w:r>
              <w:rPr>
                <w:rFonts w:hint="eastAsia" w:ascii="宋体" w:hAnsi="宋体" w:cs="宋体"/>
                <w:sz w:val="24"/>
                <w:szCs w:val="24"/>
                <w:lang w:val="en-US" w:eastAsia="zh-CN"/>
              </w:rPr>
              <w:t>（2）</w:t>
            </w:r>
            <w:r>
              <w:rPr>
                <w:rFonts w:hint="default" w:ascii="宋体" w:hAnsi="宋体" w:cs="宋体"/>
                <w:sz w:val="24"/>
                <w:szCs w:val="24"/>
                <w:lang w:val="en-US" w:eastAsia="zh-CN"/>
              </w:rPr>
              <w:t>监测结果评价</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对照评价标准计算监测点污染物的日平均浓度的超标数和超标率，具体监测结果见下表。</w:t>
            </w:r>
          </w:p>
          <w:p>
            <w:pPr>
              <w:pStyle w:val="11"/>
              <w:keepNext w:val="0"/>
              <w:keepLines w:val="0"/>
              <w:suppressLineNumbers w:val="0"/>
              <w:bidi w:val="0"/>
              <w:spacing w:before="0" w:after="0" w:afterAutospacing="0"/>
              <w:ind w:right="0"/>
              <w:rPr>
                <w:rFonts w:hint="default"/>
              </w:rPr>
            </w:pPr>
            <w:r>
              <w:rPr>
                <w:rFonts w:hint="eastAsia"/>
                <w:lang w:val="en-US" w:eastAsia="zh-CN"/>
              </w:rPr>
              <w:t xml:space="preserve">表3-4  </w:t>
            </w:r>
            <w:r>
              <w:rPr>
                <w:rFonts w:hint="default"/>
              </w:rPr>
              <w:t>地表水现状监测结果统计表</w:t>
            </w:r>
          </w:p>
          <w:tbl>
            <w:tblPr>
              <w:tblStyle w:val="19"/>
              <w:tblW w:w="8599"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721"/>
              <w:gridCol w:w="997"/>
              <w:gridCol w:w="859"/>
              <w:gridCol w:w="859"/>
              <w:gridCol w:w="859"/>
              <w:gridCol w:w="860"/>
              <w:gridCol w:w="860"/>
              <w:gridCol w:w="860"/>
              <w:gridCol w:w="860"/>
              <w:gridCol w:w="86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1" w:hRule="atLeast"/>
              </w:trPr>
              <w:tc>
                <w:tcPr>
                  <w:tcW w:w="721" w:type="dxa"/>
                  <w:vMerge w:val="restart"/>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采样</w:t>
                  </w:r>
                </w:p>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断面</w:t>
                  </w:r>
                </w:p>
              </w:tc>
              <w:tc>
                <w:tcPr>
                  <w:tcW w:w="997" w:type="dxa"/>
                  <w:vMerge w:val="restart"/>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采样</w:t>
                  </w:r>
                </w:p>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日期</w:t>
                  </w:r>
                </w:p>
              </w:tc>
              <w:tc>
                <w:tcPr>
                  <w:tcW w:w="6881" w:type="dxa"/>
                  <w:gridSpan w:val="8"/>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检测结果（单位：mg/L，pH无量纲）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1" w:hRule="atLeast"/>
              </w:trPr>
              <w:tc>
                <w:tcPr>
                  <w:tcW w:w="721" w:type="dxa"/>
                  <w:vMerge w:val="continue"/>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p>
              </w:tc>
              <w:tc>
                <w:tcPr>
                  <w:tcW w:w="997" w:type="dxa"/>
                  <w:vMerge w:val="continue"/>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pH值</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BOD₅</w:t>
                  </w:r>
                </w:p>
              </w:tc>
              <w:tc>
                <w:tcPr>
                  <w:tcW w:w="859" w:type="dxa"/>
                  <w:vAlign w:val="center"/>
                </w:tcPr>
                <w:p>
                  <w:pPr>
                    <w:pStyle w:val="16"/>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t>COD</w:t>
                  </w:r>
                </w:p>
              </w:tc>
              <w:tc>
                <w:tcPr>
                  <w:tcW w:w="860" w:type="dxa"/>
                  <w:vAlign w:val="center"/>
                </w:tcPr>
                <w:p>
                  <w:pPr>
                    <w:pStyle w:val="16"/>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t>氨氮</w:t>
                  </w:r>
                </w:p>
              </w:tc>
              <w:tc>
                <w:tcPr>
                  <w:tcW w:w="860" w:type="dxa"/>
                  <w:vAlign w:val="center"/>
                </w:tcPr>
                <w:p>
                  <w:pPr>
                    <w:pStyle w:val="16"/>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t>总氮</w:t>
                  </w:r>
                </w:p>
              </w:tc>
              <w:tc>
                <w:tcPr>
                  <w:tcW w:w="860" w:type="dxa"/>
                  <w:vAlign w:val="center"/>
                </w:tcPr>
                <w:p>
                  <w:pPr>
                    <w:pStyle w:val="16"/>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t>总磷</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氟化物</w:t>
                  </w:r>
                </w:p>
              </w:tc>
              <w:tc>
                <w:tcPr>
                  <w:tcW w:w="864"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LAS</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1" w:hRule="atLeast"/>
              </w:trPr>
              <w:tc>
                <w:tcPr>
                  <w:tcW w:w="721" w:type="dxa"/>
                  <w:vMerge w:val="restart"/>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w:t>
                  </w:r>
                  <w:r>
                    <w:rPr>
                      <w:rFonts w:hint="eastAsia" w:cs="Times New Roman"/>
                      <w:sz w:val="21"/>
                      <w:szCs w:val="21"/>
                      <w:lang w:val="en-US" w:eastAsia="zh-CN"/>
                    </w:rPr>
                    <w:t>4</w:t>
                  </w:r>
                </w:p>
              </w:tc>
              <w:tc>
                <w:tcPr>
                  <w:tcW w:w="997"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2022.5.23</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7.4</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0.462</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0.91</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0.04</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0.86</w:t>
                  </w:r>
                </w:p>
              </w:tc>
              <w:tc>
                <w:tcPr>
                  <w:tcW w:w="864"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1" w:hRule="atLeast"/>
              </w:trPr>
              <w:tc>
                <w:tcPr>
                  <w:tcW w:w="721" w:type="dxa"/>
                  <w:vMerge w:val="continue"/>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p>
              </w:tc>
              <w:tc>
                <w:tcPr>
                  <w:tcW w:w="997"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2022.5.24</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7.4</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3.3</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0.482</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0.92</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0.85</w:t>
                  </w:r>
                </w:p>
              </w:tc>
              <w:tc>
                <w:tcPr>
                  <w:tcW w:w="864"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1" w:hRule="atLeast"/>
              </w:trPr>
              <w:tc>
                <w:tcPr>
                  <w:tcW w:w="721" w:type="dxa"/>
                  <w:vMerge w:val="continue"/>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p>
              </w:tc>
              <w:tc>
                <w:tcPr>
                  <w:tcW w:w="997"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2022.5.25</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7.2</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3.5</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0.485</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0.79</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0.71</w:t>
                  </w:r>
                </w:p>
              </w:tc>
              <w:tc>
                <w:tcPr>
                  <w:tcW w:w="864"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1" w:hRule="atLeast"/>
              </w:trPr>
              <w:tc>
                <w:tcPr>
                  <w:tcW w:w="721" w:type="dxa"/>
                  <w:vMerge w:val="restart"/>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w:t>
                  </w:r>
                  <w:r>
                    <w:rPr>
                      <w:rFonts w:hint="eastAsia" w:cs="Times New Roman"/>
                      <w:sz w:val="21"/>
                      <w:szCs w:val="21"/>
                      <w:lang w:val="en-US" w:eastAsia="zh-CN"/>
                    </w:rPr>
                    <w:t>5</w:t>
                  </w:r>
                </w:p>
              </w:tc>
              <w:tc>
                <w:tcPr>
                  <w:tcW w:w="997" w:type="dxa"/>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2022.5.23</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7.2</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3.7</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0.501</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0.86</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0.77</w:t>
                  </w:r>
                </w:p>
              </w:tc>
              <w:tc>
                <w:tcPr>
                  <w:tcW w:w="864"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1" w:hRule="atLeast"/>
              </w:trPr>
              <w:tc>
                <w:tcPr>
                  <w:tcW w:w="721" w:type="dxa"/>
                  <w:vMerge w:val="continue"/>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p>
              </w:tc>
              <w:tc>
                <w:tcPr>
                  <w:tcW w:w="997" w:type="dxa"/>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2022.5.24</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7.4</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3.7</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0.491</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0.86</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0.77</w:t>
                  </w:r>
                </w:p>
              </w:tc>
              <w:tc>
                <w:tcPr>
                  <w:tcW w:w="864"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31" w:hRule="atLeast"/>
              </w:trPr>
              <w:tc>
                <w:tcPr>
                  <w:tcW w:w="721" w:type="dxa"/>
                  <w:vMerge w:val="continue"/>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p>
              </w:tc>
              <w:tc>
                <w:tcPr>
                  <w:tcW w:w="997" w:type="dxa"/>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2022.5.25</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7.3</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3.4</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0.436</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0.86</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0.04</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0.63</w:t>
                  </w:r>
                </w:p>
              </w:tc>
              <w:tc>
                <w:tcPr>
                  <w:tcW w:w="864"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31" w:hRule="atLeast"/>
              </w:trPr>
              <w:tc>
                <w:tcPr>
                  <w:tcW w:w="1718" w:type="dxa"/>
                  <w:gridSpan w:val="2"/>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sz w:val="21"/>
                      <w:szCs w:val="21"/>
                      <w:lang w:val="en-US" w:eastAsia="zh-CN"/>
                    </w:rPr>
                  </w:pPr>
                  <w:r>
                    <w:rPr>
                      <w:rFonts w:hint="default"/>
                    </w:rPr>
                    <w:t>III 类</w:t>
                  </w:r>
                  <w:r>
                    <w:rPr>
                      <w:rFonts w:hint="eastAsia" w:cs="Times New Roman"/>
                      <w:sz w:val="21"/>
                      <w:szCs w:val="21"/>
                      <w:lang w:val="en-US" w:eastAsia="zh-CN"/>
                    </w:rPr>
                    <w:t>标准值</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6~9</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w:t>
                  </w:r>
                </w:p>
              </w:tc>
              <w:tc>
                <w:tcPr>
                  <w:tcW w:w="85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20</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0.1</w:t>
                  </w:r>
                </w:p>
              </w:tc>
              <w:tc>
                <w:tcPr>
                  <w:tcW w:w="860"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w:t>
                  </w:r>
                </w:p>
              </w:tc>
              <w:tc>
                <w:tcPr>
                  <w:tcW w:w="864"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0.2</w:t>
                  </w:r>
                </w:p>
              </w:tc>
            </w:tr>
          </w:tbl>
          <w:p>
            <w:pPr>
              <w:pStyle w:val="23"/>
              <w:keepNext w:val="0"/>
              <w:keepLines w:val="0"/>
              <w:suppressLineNumbers w:val="0"/>
              <w:bidi w:val="0"/>
              <w:spacing w:before="0" w:beforeAutospacing="0" w:after="0" w:afterAutospacing="0"/>
              <w:ind w:left="0" w:right="0"/>
              <w:rPr>
                <w:rFonts w:hint="default"/>
              </w:rPr>
            </w:pPr>
            <w:r>
              <w:rPr>
                <w:rFonts w:hint="default"/>
              </w:rPr>
              <w:t>由上表可知，高塘湖执行《地表水环境质量标准》（GB3838-2002）III 类标准。</w:t>
            </w:r>
          </w:p>
          <w:p>
            <w:pPr>
              <w:pStyle w:val="23"/>
              <w:keepNext w:val="0"/>
              <w:keepLines w:val="0"/>
              <w:suppressLineNumbers w:val="0"/>
              <w:bidi w:val="0"/>
              <w:spacing w:before="0" w:beforeAutospacing="0" w:after="0" w:afterAutospacing="0"/>
              <w:ind w:left="0" w:right="0"/>
              <w:rPr>
                <w:rFonts w:hint="default"/>
              </w:rPr>
            </w:pPr>
            <w:r>
              <w:rPr>
                <w:rFonts w:hint="default"/>
              </w:rPr>
              <w:t>三、声环境质量</w:t>
            </w:r>
          </w:p>
          <w:p>
            <w:pPr>
              <w:pStyle w:val="23"/>
              <w:keepNext w:val="0"/>
              <w:keepLines w:val="0"/>
              <w:suppressLineNumbers w:val="0"/>
              <w:bidi w:val="0"/>
              <w:spacing w:before="0" w:beforeAutospacing="0" w:after="0" w:afterAutospacing="0"/>
              <w:ind w:left="0" w:right="0"/>
              <w:rPr>
                <w:rFonts w:hint="default"/>
              </w:rPr>
            </w:pPr>
            <w:r>
              <w:rPr>
                <w:rFonts w:hint="default"/>
              </w:rPr>
              <w:t>1、执行标准</w:t>
            </w:r>
          </w:p>
          <w:p>
            <w:pPr>
              <w:pStyle w:val="23"/>
              <w:keepNext w:val="0"/>
              <w:keepLines w:val="0"/>
              <w:suppressLineNumbers w:val="0"/>
              <w:bidi w:val="0"/>
              <w:spacing w:before="0" w:beforeAutospacing="0" w:after="0" w:afterAutospacing="0"/>
              <w:ind w:left="0" w:right="0"/>
              <w:rPr>
                <w:rFonts w:hint="default"/>
              </w:rPr>
            </w:pPr>
            <w:r>
              <w:rPr>
                <w:rFonts w:hint="default"/>
              </w:rPr>
              <w:t>本项目位于淮南市高新区新型显示产业园7号楼，项目区域声环境质量执行《声环境质量标准》</w:t>
            </w:r>
            <w:r>
              <w:rPr>
                <w:rFonts w:hint="eastAsia"/>
                <w:lang w:eastAsia="zh-CN"/>
              </w:rPr>
              <w:t>（</w:t>
            </w:r>
            <w:r>
              <w:rPr>
                <w:rFonts w:hint="default"/>
              </w:rPr>
              <w:t>GB3096-2008</w:t>
            </w:r>
            <w:r>
              <w:rPr>
                <w:rFonts w:hint="eastAsia"/>
                <w:lang w:eastAsia="zh-CN"/>
              </w:rPr>
              <w:t>）</w:t>
            </w:r>
            <w:r>
              <w:rPr>
                <w:rFonts w:hint="default"/>
              </w:rPr>
              <w:t>中的3类标准，具体见下表。</w:t>
            </w:r>
          </w:p>
          <w:p>
            <w:pPr>
              <w:pStyle w:val="11"/>
              <w:keepNext w:val="0"/>
              <w:keepLines w:val="0"/>
              <w:suppressLineNumbers w:val="0"/>
              <w:bidi w:val="0"/>
              <w:spacing w:before="0" w:after="0" w:afterAutospacing="0"/>
              <w:ind w:right="0"/>
              <w:rPr>
                <w:rFonts w:hint="eastAsia" w:eastAsia="黑体"/>
                <w:lang w:eastAsia="zh-CN"/>
              </w:rPr>
            </w:pPr>
            <w:r>
              <w:rPr>
                <w:rFonts w:hint="default"/>
              </w:rPr>
              <w:t>表3-</w:t>
            </w:r>
            <w:r>
              <w:rPr>
                <w:rFonts w:hint="eastAsia"/>
                <w:lang w:val="en-US" w:eastAsia="zh-CN"/>
              </w:rPr>
              <w:t>5</w:t>
            </w:r>
            <w:r>
              <w:rPr>
                <w:rFonts w:hint="default"/>
              </w:rPr>
              <w:t xml:space="preserve"> </w:t>
            </w:r>
            <w:r>
              <w:rPr>
                <w:rFonts w:hint="eastAsia"/>
                <w:lang w:val="en-US" w:eastAsia="zh-CN"/>
              </w:rPr>
              <w:t xml:space="preserve"> </w:t>
            </w:r>
            <w:r>
              <w:rPr>
                <w:rFonts w:hint="default"/>
              </w:rPr>
              <w:t>区域声环境质量标准限值单位：dB</w:t>
            </w:r>
            <w:r>
              <w:rPr>
                <w:rFonts w:hint="eastAsia"/>
                <w:lang w:eastAsia="zh-CN"/>
              </w:rPr>
              <w:t>（</w:t>
            </w:r>
            <w:r>
              <w:rPr>
                <w:rFonts w:hint="default"/>
              </w:rPr>
              <w:t>A</w:t>
            </w:r>
            <w:r>
              <w:rPr>
                <w:rFonts w:hint="eastAsia"/>
                <w:lang w:eastAsia="zh-CN"/>
              </w:rPr>
              <w:t>）</w:t>
            </w:r>
          </w:p>
          <w:tbl>
            <w:tblPr>
              <w:tblStyle w:val="19"/>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79"/>
              <w:gridCol w:w="2900"/>
              <w:gridCol w:w="290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9"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类别</w:t>
                  </w:r>
                </w:p>
              </w:tc>
              <w:tc>
                <w:tcPr>
                  <w:tcW w:w="290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昼间</w:t>
                  </w:r>
                </w:p>
              </w:tc>
              <w:tc>
                <w:tcPr>
                  <w:tcW w:w="290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79"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3类</w:t>
                  </w:r>
                </w:p>
              </w:tc>
              <w:tc>
                <w:tcPr>
                  <w:tcW w:w="290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65</w:t>
                  </w:r>
                </w:p>
              </w:tc>
              <w:tc>
                <w:tcPr>
                  <w:tcW w:w="290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55</w:t>
                  </w:r>
                </w:p>
              </w:tc>
            </w:tr>
          </w:tbl>
          <w:p>
            <w:pPr>
              <w:pStyle w:val="23"/>
              <w:keepNext w:val="0"/>
              <w:keepLines w:val="0"/>
              <w:suppressLineNumbers w:val="0"/>
              <w:bidi w:val="0"/>
              <w:spacing w:before="0" w:beforeAutospacing="0" w:after="0" w:afterAutospacing="0"/>
              <w:ind w:left="0" w:right="0"/>
              <w:rPr>
                <w:rFonts w:hint="default"/>
              </w:rPr>
            </w:pPr>
            <w:r>
              <w:rPr>
                <w:rFonts w:hint="default" w:ascii="Times New Roman" w:hAnsi="Times New Roman" w:cs="Times New Roman"/>
                <w:b w:val="0"/>
                <w:bCs w:val="0"/>
                <w:szCs w:val="24"/>
              </w:rPr>
              <w:t>2</w:t>
            </w:r>
            <w:r>
              <w:rPr>
                <w:rFonts w:hint="default"/>
              </w:rPr>
              <w:t>、声环境现状</w:t>
            </w:r>
          </w:p>
          <w:p>
            <w:pPr>
              <w:pStyle w:val="23"/>
              <w:keepNext w:val="0"/>
              <w:keepLines w:val="0"/>
              <w:suppressLineNumbers w:val="0"/>
              <w:bidi w:val="0"/>
              <w:spacing w:before="0" w:beforeAutospacing="0" w:after="0" w:afterAutospacing="0"/>
              <w:ind w:left="0" w:right="0"/>
              <w:rPr>
                <w:rFonts w:hint="default"/>
              </w:rPr>
            </w:pPr>
            <w:r>
              <w:rPr>
                <w:rFonts w:hint="default"/>
              </w:rPr>
              <w:t>根据现场勘查，项目厂界外50m范围内无声环境保护目标，无需进行声环境现状监测。</w:t>
            </w:r>
          </w:p>
          <w:p>
            <w:pPr>
              <w:pStyle w:val="23"/>
              <w:keepNext w:val="0"/>
              <w:keepLines w:val="0"/>
              <w:suppressLineNumbers w:val="0"/>
              <w:bidi w:val="0"/>
              <w:spacing w:before="0" w:beforeAutospacing="0" w:after="0" w:afterAutospacing="0"/>
              <w:ind w:left="0" w:right="0"/>
              <w:rPr>
                <w:rFonts w:hint="default"/>
              </w:rPr>
            </w:pPr>
            <w:r>
              <w:rPr>
                <w:rFonts w:hint="default"/>
              </w:rPr>
              <w:t>四、生态环境</w:t>
            </w:r>
          </w:p>
          <w:p>
            <w:pPr>
              <w:pStyle w:val="23"/>
              <w:keepNext w:val="0"/>
              <w:keepLines w:val="0"/>
              <w:suppressLineNumbers w:val="0"/>
              <w:bidi w:val="0"/>
              <w:spacing w:before="0" w:beforeAutospacing="0" w:after="0" w:afterAutospacing="0"/>
              <w:ind w:left="0" w:right="0"/>
              <w:rPr>
                <w:rFonts w:hint="eastAsia"/>
                <w:lang w:val="en-US" w:eastAsia="zh-CN"/>
              </w:rPr>
            </w:pPr>
            <w:r>
              <w:rPr>
                <w:rFonts w:hint="default"/>
              </w:rPr>
              <w:t>本项目位于淮南高新技术产业开发区，项目未增</w:t>
            </w:r>
            <w:r>
              <w:rPr>
                <w:rFonts w:hint="eastAsia"/>
                <w:lang w:val="en-US" w:eastAsia="zh-CN"/>
              </w:rPr>
              <w:t>加</w:t>
            </w:r>
            <w:r>
              <w:rPr>
                <w:rFonts w:hint="default"/>
              </w:rPr>
              <w:t>用地且用地范围内无生态环境保护目标，无需进行生态现状调查。</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五、</w:t>
            </w:r>
            <w:r>
              <w:rPr>
                <w:rFonts w:hint="default"/>
                <w:lang w:val="en-US" w:eastAsia="zh-CN"/>
              </w:rPr>
              <w:t>地下水环境</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cs="Times New Roman"/>
                <w:lang w:val="en-US" w:eastAsia="zh-CN"/>
              </w:rPr>
              <w:t>本次地下水现状质量数据引用《淮</w:t>
            </w:r>
            <w:r>
              <w:rPr>
                <w:rFonts w:hint="default" w:cs="Times New Roman"/>
                <w:lang w:val="en-US" w:eastAsia="zh-CN"/>
              </w:rPr>
              <w:t>南高新技术产业开发区环境影响区域评估报告（2022）</w:t>
            </w:r>
            <w:r>
              <w:rPr>
                <w:rFonts w:hint="eastAsia" w:cs="Times New Roman"/>
                <w:lang w:val="en-US" w:eastAsia="zh-CN"/>
              </w:rPr>
              <w:t>》中距离本项目较近的监测点“D4区内规划工业用地”的数据，监测时间为2022年5月23日。监测点位图见图3-1。</w:t>
            </w:r>
          </w:p>
          <w:p>
            <w:pPr>
              <w:pStyle w:val="11"/>
              <w:keepNext w:val="0"/>
              <w:keepLines w:val="0"/>
              <w:suppressLineNumbers w:val="0"/>
              <w:bidi w:val="0"/>
              <w:spacing w:before="0" w:after="0" w:afterAutospacing="0"/>
              <w:ind w:right="0"/>
              <w:rPr>
                <w:rFonts w:hint="eastAsia" w:cs="Times New Roman"/>
                <w:b/>
                <w:bCs/>
                <w:lang w:val="en-US" w:eastAsia="zh-CN"/>
              </w:rPr>
            </w:pPr>
            <w:r>
              <w:rPr>
                <w:rFonts w:hint="eastAsia"/>
                <w:lang w:val="en-US" w:eastAsia="zh-CN"/>
              </w:rPr>
              <w:t>表3-6  地下水监测点位基本一览表</w:t>
            </w:r>
          </w:p>
          <w:tbl>
            <w:tblPr>
              <w:tblStyle w:val="19"/>
              <w:tblW w:w="8617"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792"/>
              <w:gridCol w:w="1380"/>
              <w:gridCol w:w="52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3"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b/>
                      <w:bCs/>
                      <w:sz w:val="21"/>
                      <w:szCs w:val="21"/>
                      <w:vertAlign w:val="baseline"/>
                      <w:lang w:val="en-US" w:eastAsia="zh-CN"/>
                    </w:rPr>
                  </w:pPr>
                  <w:r>
                    <w:rPr>
                      <w:rFonts w:hint="eastAsia" w:cs="Times New Roman"/>
                      <w:b/>
                      <w:bCs/>
                      <w:sz w:val="21"/>
                      <w:szCs w:val="21"/>
                      <w:vertAlign w:val="baseline"/>
                      <w:lang w:val="en-US" w:eastAsia="zh-CN"/>
                    </w:rPr>
                    <w:t>监测代码</w:t>
                  </w:r>
                </w:p>
              </w:tc>
              <w:tc>
                <w:tcPr>
                  <w:tcW w:w="792"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b/>
                      <w:bCs/>
                      <w:sz w:val="21"/>
                      <w:szCs w:val="21"/>
                      <w:vertAlign w:val="baseline"/>
                      <w:lang w:val="en-US" w:eastAsia="zh-CN"/>
                    </w:rPr>
                  </w:pPr>
                  <w:r>
                    <w:rPr>
                      <w:rFonts w:hint="eastAsia" w:cs="Times New Roman"/>
                      <w:b/>
                      <w:bCs/>
                      <w:sz w:val="21"/>
                      <w:szCs w:val="21"/>
                      <w:vertAlign w:val="baseline"/>
                      <w:lang w:val="en-US" w:eastAsia="zh-CN"/>
                    </w:rPr>
                    <w:t>点位名称</w:t>
                  </w:r>
                </w:p>
              </w:tc>
              <w:tc>
                <w:tcPr>
                  <w:tcW w:w="1380"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b/>
                      <w:bCs/>
                      <w:sz w:val="21"/>
                      <w:szCs w:val="21"/>
                      <w:vertAlign w:val="baseline"/>
                      <w:lang w:val="en-US" w:eastAsia="zh-CN"/>
                    </w:rPr>
                  </w:pPr>
                  <w:r>
                    <w:rPr>
                      <w:rFonts w:hint="eastAsia" w:cs="Times New Roman"/>
                      <w:b/>
                      <w:bCs/>
                      <w:sz w:val="21"/>
                      <w:szCs w:val="21"/>
                      <w:vertAlign w:val="baseline"/>
                      <w:lang w:val="en-US" w:eastAsia="zh-CN"/>
                    </w:rPr>
                    <w:t>相对本项目距离（m）</w:t>
                  </w:r>
                </w:p>
              </w:tc>
              <w:tc>
                <w:tcPr>
                  <w:tcW w:w="5212"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b/>
                      <w:bCs/>
                      <w:sz w:val="21"/>
                      <w:szCs w:val="21"/>
                      <w:vertAlign w:val="baseline"/>
                      <w:lang w:val="en-US" w:eastAsia="zh-CN"/>
                    </w:rPr>
                  </w:pPr>
                  <w:r>
                    <w:rPr>
                      <w:rFonts w:hint="eastAsia" w:cs="Times New Roman"/>
                      <w:b/>
                      <w:bCs/>
                      <w:sz w:val="21"/>
                      <w:szCs w:val="21"/>
                      <w:vertAlign w:val="baseline"/>
                      <w:lang w:val="en-US" w:eastAsia="zh-CN"/>
                    </w:rPr>
                    <w:t>监测项目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33"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D4</w:t>
                  </w:r>
                </w:p>
              </w:tc>
              <w:tc>
                <w:tcPr>
                  <w:tcW w:w="792"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sz w:val="21"/>
                      <w:szCs w:val="21"/>
                      <w:vertAlign w:val="baseline"/>
                      <w:lang w:val="en-US" w:eastAsia="zh-CN"/>
                    </w:rPr>
                  </w:pPr>
                  <w:r>
                    <w:rPr>
                      <w:rFonts w:hint="default" w:cs="Times New Roman"/>
                      <w:sz w:val="21"/>
                      <w:szCs w:val="21"/>
                      <w:vertAlign w:val="baseline"/>
                      <w:lang w:val="en-US" w:eastAsia="zh-CN"/>
                    </w:rPr>
                    <w:t>区内规划工业用地</w:t>
                  </w:r>
                </w:p>
              </w:tc>
              <w:tc>
                <w:tcPr>
                  <w:tcW w:w="1380"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10</w:t>
                  </w:r>
                </w:p>
              </w:tc>
              <w:tc>
                <w:tcPr>
                  <w:tcW w:w="5212" w:type="dxa"/>
                </w:tcPr>
                <w:p>
                  <w:pPr>
                    <w:pStyle w:val="23"/>
                    <w:keepNext w:val="0"/>
                    <w:keepLines w:val="0"/>
                    <w:suppressLineNumbers w:val="0"/>
                    <w:bidi w:val="0"/>
                    <w:spacing w:before="0" w:beforeAutospacing="0" w:after="0" w:afterAutospacing="0" w:line="240" w:lineRule="auto"/>
                    <w:ind w:left="0" w:leftChars="0" w:right="0" w:firstLine="0" w:firstLineChars="0"/>
                    <w:rPr>
                      <w:rFonts w:hint="default" w:cs="Times New Roman"/>
                      <w:sz w:val="21"/>
                      <w:szCs w:val="21"/>
                      <w:vertAlign w:val="baseline"/>
                      <w:lang w:val="en-US" w:eastAsia="zh-CN"/>
                    </w:rPr>
                  </w:pPr>
                  <w:r>
                    <w:rPr>
                      <w:rFonts w:hint="default" w:cs="Times New Roman"/>
                      <w:sz w:val="21"/>
                      <w:szCs w:val="21"/>
                      <w:vertAlign w:val="baseline"/>
                      <w:lang w:val="en-US" w:eastAsia="zh-CN"/>
                    </w:rPr>
                    <w:t>K</w:t>
                  </w:r>
                  <w:r>
                    <w:rPr>
                      <w:rFonts w:hint="default" w:cs="Times New Roman"/>
                      <w:sz w:val="21"/>
                      <w:szCs w:val="21"/>
                      <w:vertAlign w:val="superscript"/>
                      <w:lang w:val="en-US" w:eastAsia="zh-CN"/>
                    </w:rPr>
                    <w:t>+</w:t>
                  </w:r>
                  <w:r>
                    <w:rPr>
                      <w:rFonts w:hint="default" w:cs="Times New Roman"/>
                      <w:sz w:val="21"/>
                      <w:szCs w:val="21"/>
                      <w:vertAlign w:val="baseline"/>
                      <w:lang w:val="en-US" w:eastAsia="zh-CN"/>
                    </w:rPr>
                    <w:t>、Na</w:t>
                  </w:r>
                  <w:r>
                    <w:rPr>
                      <w:rFonts w:hint="default" w:cs="Times New Roman"/>
                      <w:sz w:val="21"/>
                      <w:szCs w:val="21"/>
                      <w:vertAlign w:val="superscript"/>
                      <w:lang w:val="en-US" w:eastAsia="zh-CN"/>
                    </w:rPr>
                    <w:t>+</w:t>
                  </w:r>
                  <w:r>
                    <w:rPr>
                      <w:rFonts w:hint="default" w:cs="Times New Roman"/>
                      <w:sz w:val="21"/>
                      <w:szCs w:val="21"/>
                      <w:vertAlign w:val="baseline"/>
                      <w:lang w:val="en-US" w:eastAsia="zh-CN"/>
                    </w:rPr>
                    <w:t>、Ca</w:t>
                  </w:r>
                  <w:r>
                    <w:rPr>
                      <w:rFonts w:hint="default" w:cs="Times New Roman"/>
                      <w:sz w:val="21"/>
                      <w:szCs w:val="21"/>
                      <w:vertAlign w:val="superscript"/>
                      <w:lang w:val="en-US" w:eastAsia="zh-CN"/>
                    </w:rPr>
                    <w:t>2+</w:t>
                  </w:r>
                  <w:r>
                    <w:rPr>
                      <w:rFonts w:hint="default" w:cs="Times New Roman"/>
                      <w:sz w:val="21"/>
                      <w:szCs w:val="21"/>
                      <w:vertAlign w:val="baseline"/>
                      <w:lang w:val="en-US" w:eastAsia="zh-CN"/>
                    </w:rPr>
                    <w:t>、Mg</w:t>
                  </w:r>
                  <w:r>
                    <w:rPr>
                      <w:rFonts w:hint="default" w:cs="Times New Roman"/>
                      <w:sz w:val="21"/>
                      <w:szCs w:val="21"/>
                      <w:vertAlign w:val="superscript"/>
                      <w:lang w:val="en-US" w:eastAsia="zh-CN"/>
                    </w:rPr>
                    <w:t>2+</w:t>
                  </w:r>
                  <w:r>
                    <w:rPr>
                      <w:rFonts w:hint="default" w:cs="Times New Roman"/>
                      <w:sz w:val="21"/>
                      <w:szCs w:val="21"/>
                      <w:vertAlign w:val="baseline"/>
                      <w:lang w:val="en-US" w:eastAsia="zh-CN"/>
                    </w:rPr>
                    <w:t>、CO</w:t>
                  </w:r>
                  <w:r>
                    <w:rPr>
                      <w:rFonts w:hint="default" w:cs="Times New Roman"/>
                      <w:sz w:val="21"/>
                      <w:szCs w:val="21"/>
                      <w:vertAlign w:val="subscript"/>
                      <w:lang w:val="en-US" w:eastAsia="zh-CN"/>
                    </w:rPr>
                    <w:t>3</w:t>
                  </w:r>
                  <w:r>
                    <w:rPr>
                      <w:rFonts w:hint="default" w:cs="Times New Roman"/>
                      <w:sz w:val="21"/>
                      <w:szCs w:val="21"/>
                      <w:vertAlign w:val="superscript"/>
                      <w:lang w:val="en-US" w:eastAsia="zh-CN"/>
                    </w:rPr>
                    <w:t>2-</w:t>
                  </w:r>
                  <w:r>
                    <w:rPr>
                      <w:rFonts w:hint="default" w:cs="Times New Roman"/>
                      <w:sz w:val="21"/>
                      <w:szCs w:val="21"/>
                      <w:vertAlign w:val="baseline"/>
                      <w:lang w:val="en-US" w:eastAsia="zh-CN"/>
                    </w:rPr>
                    <w:t>、HCO</w:t>
                  </w:r>
                  <w:r>
                    <w:rPr>
                      <w:rFonts w:hint="default" w:cs="Times New Roman"/>
                      <w:sz w:val="21"/>
                      <w:szCs w:val="21"/>
                      <w:vertAlign w:val="subscript"/>
                      <w:lang w:val="en-US" w:eastAsia="zh-CN"/>
                    </w:rPr>
                    <w:t>3</w:t>
                  </w:r>
                  <w:r>
                    <w:rPr>
                      <w:rFonts w:hint="default" w:cs="Times New Roman"/>
                      <w:sz w:val="21"/>
                      <w:szCs w:val="21"/>
                      <w:vertAlign w:val="superscript"/>
                      <w:lang w:val="en-US" w:eastAsia="zh-CN"/>
                    </w:rPr>
                    <w:t>2-</w:t>
                  </w:r>
                  <w:r>
                    <w:rPr>
                      <w:rFonts w:hint="default" w:cs="Times New Roman"/>
                      <w:sz w:val="21"/>
                      <w:szCs w:val="21"/>
                      <w:vertAlign w:val="baseline"/>
                      <w:lang w:val="en-US" w:eastAsia="zh-CN"/>
                    </w:rPr>
                    <w:t>、Cl</w:t>
                  </w:r>
                  <w:r>
                    <w:rPr>
                      <w:rFonts w:hint="default" w:cs="Times New Roman"/>
                      <w:sz w:val="21"/>
                      <w:szCs w:val="21"/>
                      <w:vertAlign w:val="superscript"/>
                      <w:lang w:val="en-US" w:eastAsia="zh-CN"/>
                    </w:rPr>
                    <w:t>-</w:t>
                  </w:r>
                  <w:r>
                    <w:rPr>
                      <w:rFonts w:hint="default" w:cs="Times New Roman"/>
                      <w:sz w:val="21"/>
                      <w:szCs w:val="21"/>
                      <w:vertAlign w:val="baseline"/>
                      <w:lang w:val="en-US" w:eastAsia="zh-CN"/>
                    </w:rPr>
                    <w:t>、SO</w:t>
                  </w:r>
                  <w:r>
                    <w:rPr>
                      <w:rFonts w:hint="default" w:cs="Times New Roman"/>
                      <w:sz w:val="21"/>
                      <w:szCs w:val="21"/>
                      <w:vertAlign w:val="subscript"/>
                      <w:lang w:val="en-US" w:eastAsia="zh-CN"/>
                    </w:rPr>
                    <w:t>4</w:t>
                  </w:r>
                  <w:r>
                    <w:rPr>
                      <w:rFonts w:hint="default" w:cs="Times New Roman"/>
                      <w:sz w:val="21"/>
                      <w:szCs w:val="21"/>
                      <w:vertAlign w:val="superscript"/>
                      <w:lang w:val="en-US" w:eastAsia="zh-CN"/>
                    </w:rPr>
                    <w:t>2-</w:t>
                  </w:r>
                  <w:r>
                    <w:rPr>
                      <w:rFonts w:hint="default" w:cs="Times New Roman"/>
                      <w:sz w:val="21"/>
                      <w:szCs w:val="21"/>
                      <w:vertAlign w:val="baseline"/>
                      <w:lang w:val="en-US" w:eastAsia="zh-CN"/>
                    </w:rPr>
                    <w:t>、pH、总硬度、溶解性总固体、硫酸盐、氯化物、铁、锰、铜、锌、挥发性酚类（以苯酚计）、耗氧量、氨氮、硫化物、亚硝酸盐、硝酸盐、氰化物、氟化物、汞、砷、镉、六价铬、铅、镍、总大肠菌群、菌落总数</w:t>
                  </w:r>
                </w:p>
              </w:tc>
            </w:tr>
          </w:tbl>
          <w:p>
            <w:pPr>
              <w:keepNext w:val="0"/>
              <w:keepLines w:val="0"/>
              <w:suppressLineNumbers w:val="0"/>
              <w:bidi w:val="0"/>
              <w:spacing w:before="0" w:beforeAutospacing="0" w:after="0" w:afterAutospacing="0"/>
              <w:ind w:left="0" w:right="0"/>
              <w:jc w:val="center"/>
              <w:rPr>
                <w:rFonts w:hint="default"/>
              </w:rPr>
            </w:pPr>
            <w:r>
              <w:rPr>
                <w:rFonts w:hint="default"/>
              </w:rPr>
              <w:drawing>
                <wp:inline distT="0" distB="0" distL="114300" distR="114300">
                  <wp:extent cx="4505960" cy="3094355"/>
                  <wp:effectExtent l="0" t="0" r="889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4505960" cy="3094355"/>
                          </a:xfrm>
                          <a:prstGeom prst="rect">
                            <a:avLst/>
                          </a:prstGeom>
                          <a:noFill/>
                          <a:ln>
                            <a:noFill/>
                          </a:ln>
                        </pic:spPr>
                      </pic:pic>
                    </a:graphicData>
                  </a:graphic>
                </wp:inline>
              </w:drawing>
            </w:r>
          </w:p>
          <w:p>
            <w:pPr>
              <w:pStyle w:val="11"/>
              <w:keepNext w:val="0"/>
              <w:keepLines w:val="0"/>
              <w:suppressLineNumbers w:val="0"/>
              <w:bidi w:val="0"/>
              <w:spacing w:before="0" w:after="0" w:afterAutospacing="0"/>
              <w:ind w:right="0"/>
              <w:rPr>
                <w:rFonts w:hint="default"/>
                <w:lang w:val="en-US" w:eastAsia="zh-CN"/>
              </w:rPr>
            </w:pPr>
            <w:r>
              <w:rPr>
                <w:rFonts w:hint="eastAsia"/>
                <w:lang w:val="en-US" w:eastAsia="zh-CN"/>
              </w:rPr>
              <w:t>图3-1 地下水、土壤现状监测点位</w:t>
            </w:r>
          </w:p>
          <w:p>
            <w:pPr>
              <w:pStyle w:val="23"/>
              <w:keepNext w:val="0"/>
              <w:keepLines w:val="0"/>
              <w:suppressLineNumbers w:val="0"/>
              <w:bidi w:val="0"/>
              <w:spacing w:before="0" w:beforeAutospacing="0" w:after="0" w:afterAutospacing="0"/>
              <w:ind w:left="0" w:leftChars="0" w:right="0" w:firstLine="480" w:firstLineChars="200"/>
              <w:rPr>
                <w:rFonts w:hint="eastAsia" w:cs="Times New Roman"/>
                <w:lang w:val="en-US" w:eastAsia="zh-CN"/>
              </w:rPr>
            </w:pPr>
            <w:r>
              <w:rPr>
                <w:rFonts w:hint="eastAsia" w:cs="Times New Roman"/>
                <w:lang w:val="en-US" w:eastAsia="zh-CN"/>
              </w:rPr>
              <w:t>地下水质量现状监测结果见表3-7。</w:t>
            </w: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表3-7 地下水环境质量监测结果</w:t>
            </w:r>
          </w:p>
          <w:tbl>
            <w:tblPr>
              <w:tblStyle w:val="19"/>
              <w:tblW w:w="845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5"/>
              <w:gridCol w:w="2643"/>
              <w:gridCol w:w="1250"/>
              <w:gridCol w:w="318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监测时间</w:t>
                  </w:r>
                </w:p>
              </w:tc>
              <w:tc>
                <w:tcPr>
                  <w:tcW w:w="2643"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监测因子</w:t>
                  </w:r>
                </w:p>
              </w:tc>
              <w:tc>
                <w:tcPr>
                  <w:tcW w:w="1250"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监测结果</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《地下水质量标准》（GB14848-2017）Ⅲ类标准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restart"/>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2022年</w:t>
                  </w:r>
                </w:p>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5月23日</w:t>
                  </w: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pH</w:t>
                  </w:r>
                  <w:r>
                    <w:rPr>
                      <w:rStyle w:val="38"/>
                      <w:rFonts w:hint="default" w:ascii="Times New Roman" w:hAnsi="Times New Roman" w:eastAsia="宋体" w:cs="Times New Roman"/>
                      <w:sz w:val="21"/>
                      <w:szCs w:val="21"/>
                      <w:lang w:val="en-US" w:eastAsia="zh-CN" w:bidi="ar"/>
                    </w:rPr>
                    <w:t>（无量纲）</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7.6</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6.5~8.5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氨氮（</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0.162</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钾（</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14.5</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钠（</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65.3</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钙（</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63.9</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镁（</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17.2</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Cl</w:t>
                  </w:r>
                  <w:r>
                    <w:rPr>
                      <w:rFonts w:hint="default" w:ascii="Times New Roman" w:hAnsi="Times New Roman" w:eastAsia="宋体" w:cs="Times New Roman"/>
                      <w:sz w:val="21"/>
                      <w:szCs w:val="21"/>
                      <w:vertAlign w:val="superscript"/>
                      <w:lang w:val="en-US" w:eastAsia="zh-CN"/>
                    </w:rPr>
                    <w:t>-</w:t>
                  </w:r>
                  <w:r>
                    <w:rPr>
                      <w:rStyle w:val="38"/>
                      <w:rFonts w:hint="default" w:ascii="Times New Roman" w:hAnsi="Times New Roman" w:eastAsia="宋体" w:cs="Times New Roman"/>
                      <w:sz w:val="21"/>
                      <w:szCs w:val="21"/>
                      <w:lang w:val="en-US" w:eastAsia="zh-CN" w:bidi="ar"/>
                    </w:rPr>
                    <w:t>（</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73.2</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SO</w:t>
                  </w:r>
                  <w:r>
                    <w:rPr>
                      <w:rFonts w:hint="default" w:ascii="Times New Roman" w:hAnsi="Times New Roman" w:eastAsia="宋体" w:cs="Times New Roman"/>
                      <w:sz w:val="21"/>
                      <w:szCs w:val="21"/>
                      <w:vertAlign w:val="subscript"/>
                      <w:lang w:val="en-US" w:eastAsia="zh-CN"/>
                    </w:rPr>
                    <w:t>4</w:t>
                  </w:r>
                  <w:r>
                    <w:rPr>
                      <w:rFonts w:hint="default" w:ascii="Times New Roman" w:hAnsi="Times New Roman" w:eastAsia="宋体" w:cs="Times New Roman"/>
                      <w:sz w:val="21"/>
                      <w:szCs w:val="21"/>
                      <w:vertAlign w:val="superscript"/>
                      <w:lang w:val="en-US" w:eastAsia="zh-CN"/>
                    </w:rPr>
                    <w:t>2-</w:t>
                  </w:r>
                  <w:r>
                    <w:rPr>
                      <w:rStyle w:val="38"/>
                      <w:rFonts w:hint="default" w:ascii="Times New Roman" w:hAnsi="Times New Roman" w:eastAsia="宋体" w:cs="Times New Roman"/>
                      <w:sz w:val="21"/>
                      <w:szCs w:val="21"/>
                      <w:lang w:val="en-US" w:eastAsia="zh-CN" w:bidi="ar"/>
                    </w:rPr>
                    <w:t>（</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73.6</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硝酸盐（</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7.56</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亚硝酸盐（</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0.516</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CO</w:t>
                  </w:r>
                  <w:r>
                    <w:rPr>
                      <w:rStyle w:val="40"/>
                      <w:rFonts w:hint="default" w:ascii="Times New Roman" w:hAnsi="Times New Roman" w:eastAsia="宋体" w:cs="Times New Roman"/>
                      <w:sz w:val="21"/>
                      <w:szCs w:val="21"/>
                      <w:vertAlign w:val="subscript"/>
                      <w:lang w:val="en-US" w:eastAsia="zh-CN" w:bidi="ar"/>
                    </w:rPr>
                    <w:t>3</w:t>
                  </w:r>
                  <w:r>
                    <w:rPr>
                      <w:rStyle w:val="40"/>
                      <w:rFonts w:hint="default" w:ascii="Times New Roman" w:hAnsi="Times New Roman" w:eastAsia="宋体" w:cs="Times New Roman"/>
                      <w:sz w:val="21"/>
                      <w:szCs w:val="21"/>
                      <w:vertAlign w:val="superscript"/>
                      <w:lang w:val="en-US" w:eastAsia="zh-CN" w:bidi="ar"/>
                    </w:rPr>
                    <w:t>2-</w:t>
                  </w:r>
                  <w:r>
                    <w:rPr>
                      <w:rStyle w:val="38"/>
                      <w:rFonts w:hint="default" w:ascii="Times New Roman" w:hAnsi="Times New Roman" w:eastAsia="宋体" w:cs="Times New Roman"/>
                      <w:sz w:val="21"/>
                      <w:szCs w:val="21"/>
                      <w:lang w:val="en-US" w:eastAsia="zh-CN" w:bidi="ar"/>
                    </w:rPr>
                    <w:t>（</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HCO</w:t>
                  </w:r>
                  <w:r>
                    <w:rPr>
                      <w:rStyle w:val="40"/>
                      <w:rFonts w:hint="default" w:ascii="Times New Roman" w:hAnsi="Times New Roman" w:eastAsia="宋体" w:cs="Times New Roman"/>
                      <w:sz w:val="21"/>
                      <w:szCs w:val="21"/>
                      <w:vertAlign w:val="subscript"/>
                      <w:lang w:val="en-US" w:eastAsia="zh-CN" w:bidi="ar"/>
                    </w:rPr>
                    <w:t>3</w:t>
                  </w:r>
                  <w:r>
                    <w:rPr>
                      <w:rStyle w:val="40"/>
                      <w:rFonts w:hint="default" w:ascii="Times New Roman" w:hAnsi="Times New Roman" w:eastAsia="宋体" w:cs="Times New Roman"/>
                      <w:sz w:val="21"/>
                      <w:szCs w:val="21"/>
                      <w:vertAlign w:val="superscript"/>
                      <w:lang w:val="en-US" w:eastAsia="zh-CN" w:bidi="ar"/>
                    </w:rPr>
                    <w:t>-</w:t>
                  </w:r>
                  <w:r>
                    <w:rPr>
                      <w:rStyle w:val="38"/>
                      <w:rFonts w:hint="default" w:ascii="Times New Roman" w:hAnsi="Times New Roman" w:eastAsia="宋体" w:cs="Times New Roman"/>
                      <w:sz w:val="21"/>
                      <w:szCs w:val="21"/>
                      <w:lang w:val="en-US" w:eastAsia="zh-CN" w:bidi="ar"/>
                    </w:rPr>
                    <w:t>（</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147</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挥发酚（</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氰化物（</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砷（μg/L）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汞（μg/L）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六价铬（mg/L）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溶解性总固体（mg/L）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442</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总硬度（mg/L）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198</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铅（</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镉（mg/L）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铜（mg/L）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锌（mg/L）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镍（mg/L）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铁（mg/L）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0.01</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锰（</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氟化物（</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0.23</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耗氧量（</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1.17</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氯化物（</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74.4</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硫酸盐（</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74.1</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总大肠菌群（MPN/100ml）</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细菌总数（</w:t>
                  </w:r>
                  <w:r>
                    <w:rPr>
                      <w:rStyle w:val="39"/>
                      <w:rFonts w:hint="default" w:ascii="Times New Roman" w:hAnsi="Times New Roman" w:eastAsia="宋体" w:cs="Times New Roman"/>
                      <w:sz w:val="21"/>
                      <w:szCs w:val="21"/>
                      <w:lang w:val="en-US" w:eastAsia="zh-CN" w:bidi="ar"/>
                    </w:rPr>
                    <w:t>CFU/ml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Merge w:val="continue"/>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p>
              </w:tc>
              <w:tc>
                <w:tcPr>
                  <w:tcW w:w="2643"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硫化物（</w:t>
                  </w:r>
                  <w:r>
                    <w:rPr>
                      <w:rStyle w:val="39"/>
                      <w:rFonts w:hint="default" w:ascii="Times New Roman" w:hAnsi="Times New Roman" w:eastAsia="宋体" w:cs="Times New Roman"/>
                      <w:sz w:val="21"/>
                      <w:szCs w:val="21"/>
                      <w:lang w:val="en-US" w:eastAsia="zh-CN" w:bidi="ar"/>
                    </w:rPr>
                    <w:t>mg/L</w:t>
                  </w:r>
                  <w:r>
                    <w:rPr>
                      <w:rStyle w:val="38"/>
                      <w:rFonts w:hint="default" w:ascii="Times New Roman" w:hAnsi="Times New Roman" w:eastAsia="宋体" w:cs="Times New Roman"/>
                      <w:sz w:val="21"/>
                      <w:szCs w:val="21"/>
                      <w:lang w:val="en-US" w:eastAsia="zh-CN" w:bidi="ar"/>
                    </w:rPr>
                    <w:t>）</w:t>
                  </w:r>
                </w:p>
              </w:tc>
              <w:tc>
                <w:tcPr>
                  <w:tcW w:w="1250" w:type="dxa"/>
                  <w:vAlign w:val="center"/>
                </w:tcPr>
                <w:p>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ND</w:t>
                  </w:r>
                </w:p>
              </w:tc>
              <w:tc>
                <w:tcPr>
                  <w:tcW w:w="318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75"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备注</w:t>
                  </w:r>
                </w:p>
              </w:tc>
              <w:tc>
                <w:tcPr>
                  <w:tcW w:w="7078" w:type="dxa"/>
                  <w:gridSpan w:val="3"/>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ND表示检测结果低于检出限</w:t>
                  </w:r>
                </w:p>
              </w:tc>
            </w:tr>
          </w:tbl>
          <w:p>
            <w:pPr>
              <w:pStyle w:val="23"/>
              <w:keepNext w:val="0"/>
              <w:keepLines w:val="0"/>
              <w:suppressLineNumbers w:val="0"/>
              <w:bidi w:val="0"/>
              <w:spacing w:before="0" w:beforeAutospacing="0" w:after="0" w:afterAutospacing="0"/>
              <w:ind w:left="0" w:leftChars="0" w:right="0" w:firstLine="480" w:firstLineChars="200"/>
              <w:rPr>
                <w:rFonts w:hint="default"/>
                <w:lang w:val="en-US" w:eastAsia="zh-CN"/>
              </w:rPr>
            </w:pPr>
            <w:r>
              <w:rPr>
                <w:rFonts w:hint="eastAsia"/>
                <w:lang w:val="en-US" w:eastAsia="zh-CN"/>
              </w:rPr>
              <w:t>由检测结果可知，</w:t>
            </w:r>
            <w:r>
              <w:rPr>
                <w:rFonts w:hint="eastAsia" w:cs="Times New Roman"/>
                <w:lang w:val="en-US" w:eastAsia="zh-CN"/>
              </w:rPr>
              <w:t>距离本项目较近的</w:t>
            </w:r>
            <w:r>
              <w:rPr>
                <w:rFonts w:hint="default"/>
                <w:lang w:val="en-US" w:eastAsia="zh-CN"/>
              </w:rPr>
              <w:t>地下水监测点检测因子均能达到《地下水质量标准》（GB/T 14848-2017）III类标准。</w:t>
            </w:r>
          </w:p>
          <w:p>
            <w:pPr>
              <w:pStyle w:val="23"/>
              <w:keepNext w:val="0"/>
              <w:keepLines w:val="0"/>
              <w:numPr>
                <w:ilvl w:val="0"/>
                <w:numId w:val="0"/>
              </w:numPr>
              <w:suppressLineNumbers w:val="0"/>
              <w:bidi w:val="0"/>
              <w:spacing w:before="0" w:beforeAutospacing="0" w:after="0" w:afterAutospacing="0"/>
              <w:ind w:left="0" w:right="0" w:rightChars="0"/>
              <w:rPr>
                <w:rFonts w:hint="default" w:ascii="Times New Roman" w:hAnsi="Times New Roman" w:cs="Times New Roman"/>
                <w:b w:val="0"/>
                <w:bCs w:val="0"/>
                <w:sz w:val="24"/>
                <w:szCs w:val="24"/>
                <w:lang w:val="en-US" w:eastAsia="zh-CN"/>
              </w:rPr>
            </w:pPr>
            <w:r>
              <w:rPr>
                <w:rFonts w:hint="eastAsia" w:cs="Times New Roman"/>
                <w:b w:val="0"/>
                <w:bCs w:val="0"/>
                <w:sz w:val="24"/>
                <w:szCs w:val="24"/>
                <w:lang w:val="en-US" w:eastAsia="zh-CN"/>
              </w:rPr>
              <w:t>六</w:t>
            </w:r>
            <w:r>
              <w:rPr>
                <w:rFonts w:hint="eastAsia" w:ascii="Times New Roman" w:hAnsi="Times New Roman" w:cs="Times New Roman"/>
                <w:b w:val="0"/>
                <w:bCs w:val="0"/>
                <w:sz w:val="24"/>
                <w:szCs w:val="24"/>
                <w:lang w:val="en-US" w:eastAsia="zh-CN"/>
              </w:rPr>
              <w:t>、</w:t>
            </w:r>
            <w:r>
              <w:rPr>
                <w:rFonts w:hint="default" w:ascii="Times New Roman" w:hAnsi="Times New Roman" w:cs="Times New Roman"/>
                <w:b w:val="0"/>
                <w:bCs w:val="0"/>
                <w:sz w:val="24"/>
                <w:szCs w:val="24"/>
                <w:lang w:val="en-US" w:eastAsia="zh-CN"/>
              </w:rPr>
              <w:t>土壤环境质量现状</w:t>
            </w:r>
          </w:p>
          <w:p>
            <w:pPr>
              <w:pStyle w:val="23"/>
              <w:keepNext w:val="0"/>
              <w:keepLines w:val="0"/>
              <w:suppressLineNumbers w:val="0"/>
              <w:bidi w:val="0"/>
              <w:spacing w:before="0" w:beforeAutospacing="0" w:after="0" w:afterAutospacing="0"/>
              <w:ind w:left="0" w:leftChars="0" w:right="0" w:firstLine="480" w:firstLineChars="200"/>
              <w:rPr>
                <w:rFonts w:hint="eastAsia"/>
                <w:lang w:val="en-US" w:eastAsia="zh-CN"/>
              </w:rPr>
            </w:pPr>
            <w:r>
              <w:rPr>
                <w:rFonts w:hint="eastAsia" w:cs="Times New Roman"/>
                <w:lang w:val="en-US" w:eastAsia="zh-CN"/>
              </w:rPr>
              <w:t>本次土壤现状质量数据引用《淮</w:t>
            </w:r>
            <w:r>
              <w:rPr>
                <w:rFonts w:hint="default" w:cs="Times New Roman"/>
                <w:lang w:val="en-US" w:eastAsia="zh-CN"/>
              </w:rPr>
              <w:t>南高新技术产业开发区环境影响区域评估报告（2022）</w:t>
            </w:r>
            <w:r>
              <w:rPr>
                <w:rFonts w:hint="eastAsia" w:cs="Times New Roman"/>
                <w:lang w:val="en-US" w:eastAsia="zh-CN"/>
              </w:rPr>
              <w:t>》中距离本项目较近的监测点“S4</w:t>
            </w:r>
            <w:r>
              <w:rPr>
                <w:rFonts w:hint="default" w:cs="Times New Roman"/>
                <w:vertAlign w:val="baseline"/>
                <w:lang w:val="en-US" w:eastAsia="zh-CN"/>
              </w:rPr>
              <w:t>春申大街与淝水大道交口西南侧</w:t>
            </w:r>
            <w:r>
              <w:rPr>
                <w:rFonts w:hint="eastAsia" w:cs="Times New Roman"/>
                <w:lang w:val="en-US" w:eastAsia="zh-CN"/>
              </w:rPr>
              <w:t>”的数据，监测时间为2022年5月23日，监测深度为0.2m、1.0m、2.5m。监测点位图见图3-1</w:t>
            </w:r>
          </w:p>
          <w:p>
            <w:pPr>
              <w:pStyle w:val="11"/>
              <w:keepNext w:val="0"/>
              <w:keepLines w:val="0"/>
              <w:suppressLineNumbers w:val="0"/>
              <w:bidi w:val="0"/>
              <w:spacing w:before="0" w:after="0" w:afterAutospacing="0"/>
              <w:ind w:right="0"/>
              <w:jc w:val="center"/>
              <w:rPr>
                <w:rFonts w:hint="eastAsia"/>
                <w:lang w:val="en-US" w:eastAsia="zh-CN"/>
              </w:rPr>
            </w:pPr>
            <w:r>
              <w:rPr>
                <w:rFonts w:hint="eastAsia"/>
                <w:lang w:val="en-US" w:eastAsia="zh-CN"/>
              </w:rPr>
              <w:t>表3-8 土壤监测点位基本一览表</w:t>
            </w:r>
          </w:p>
          <w:tbl>
            <w:tblPr>
              <w:tblStyle w:val="19"/>
              <w:tblW w:w="8640"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0"/>
              <w:gridCol w:w="735"/>
              <w:gridCol w:w="1320"/>
              <w:gridCol w:w="592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0"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监测代码</w:t>
                  </w:r>
                </w:p>
              </w:tc>
              <w:tc>
                <w:tcPr>
                  <w:tcW w:w="735"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点位名称</w:t>
                  </w:r>
                </w:p>
              </w:tc>
              <w:tc>
                <w:tcPr>
                  <w:tcW w:w="1320"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相对本项目距离（m）</w:t>
                  </w:r>
                </w:p>
              </w:tc>
              <w:tc>
                <w:tcPr>
                  <w:tcW w:w="5925"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监测项目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0"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S4</w:t>
                  </w:r>
                </w:p>
              </w:tc>
              <w:tc>
                <w:tcPr>
                  <w:tcW w:w="735"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sz w:val="21"/>
                      <w:szCs w:val="21"/>
                      <w:vertAlign w:val="baseline"/>
                      <w:lang w:val="en-US" w:eastAsia="zh-CN"/>
                    </w:rPr>
                  </w:pPr>
                  <w:r>
                    <w:rPr>
                      <w:rFonts w:hint="default" w:cs="Times New Roman"/>
                      <w:sz w:val="21"/>
                      <w:szCs w:val="21"/>
                      <w:vertAlign w:val="baseline"/>
                      <w:lang w:val="en-US" w:eastAsia="zh-CN"/>
                    </w:rPr>
                    <w:t>春申大街与淝水大道交口西南侧</w:t>
                  </w:r>
                </w:p>
              </w:tc>
              <w:tc>
                <w:tcPr>
                  <w:tcW w:w="1320"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cs="Times New Roman"/>
                      <w:sz w:val="21"/>
                      <w:szCs w:val="21"/>
                      <w:vertAlign w:val="baseline"/>
                      <w:lang w:val="en-US" w:eastAsia="zh-CN"/>
                    </w:rPr>
                  </w:pPr>
                  <w:r>
                    <w:rPr>
                      <w:rFonts w:hint="eastAsia" w:cs="Times New Roman"/>
                      <w:sz w:val="21"/>
                      <w:szCs w:val="21"/>
                      <w:vertAlign w:val="baseline"/>
                      <w:lang w:val="en-US" w:eastAsia="zh-CN"/>
                    </w:rPr>
                    <w:t>60</w:t>
                  </w:r>
                </w:p>
              </w:tc>
              <w:tc>
                <w:tcPr>
                  <w:tcW w:w="5925" w:type="dxa"/>
                </w:tcPr>
                <w:p>
                  <w:pPr>
                    <w:pStyle w:val="23"/>
                    <w:keepNext w:val="0"/>
                    <w:keepLines w:val="0"/>
                    <w:suppressLineNumbers w:val="0"/>
                    <w:bidi w:val="0"/>
                    <w:spacing w:before="0" w:beforeAutospacing="0" w:after="0" w:afterAutospacing="0" w:line="240" w:lineRule="auto"/>
                    <w:ind w:left="0" w:leftChars="0" w:right="0" w:firstLine="0" w:firstLineChars="0"/>
                    <w:rPr>
                      <w:rFonts w:hint="default" w:cs="Times New Roman"/>
                      <w:sz w:val="21"/>
                      <w:szCs w:val="21"/>
                      <w:vertAlign w:val="baseline"/>
                      <w:lang w:val="en-US" w:eastAsia="zh-CN"/>
                    </w:rPr>
                  </w:pPr>
                  <w:r>
                    <w:rPr>
                      <w:rFonts w:hint="default" w:cs="Times New Roman"/>
                      <w:sz w:val="21"/>
                      <w:szCs w:val="21"/>
                      <w:vertAlign w:val="baseline"/>
                      <w:lang w:val="en-US" w:eastAsia="zh-CN"/>
                    </w:rPr>
                    <w:t>铅、镉、汞、砷、镍、铬（六价）、铜、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二氯酚、苯并〔a〕蒽、苯并〔a〕芘、苯并〔b〕荧蒽、苯并〔k〕荧蒽、䓛、二苯并〔a，h〕蒽、茚并〔1，2，3-c，d〕芘、萘。</w:t>
                  </w:r>
                </w:p>
              </w:tc>
            </w:tr>
          </w:tbl>
          <w:p>
            <w:pPr>
              <w:pStyle w:val="23"/>
              <w:keepNext w:val="0"/>
              <w:keepLines w:val="0"/>
              <w:suppressLineNumbers w:val="0"/>
              <w:bidi w:val="0"/>
              <w:spacing w:before="0" w:beforeAutospacing="0" w:after="0" w:afterAutospacing="0"/>
              <w:ind w:left="0" w:leftChars="0" w:right="0" w:firstLine="480" w:firstLineChars="200"/>
              <w:rPr>
                <w:rFonts w:hint="eastAsia" w:cs="Times New Roman"/>
                <w:lang w:val="en-US" w:eastAsia="zh-CN"/>
              </w:rPr>
            </w:pPr>
            <w:r>
              <w:rPr>
                <w:rFonts w:hint="eastAsia" w:cs="Times New Roman"/>
                <w:lang w:val="en-US" w:eastAsia="zh-CN"/>
              </w:rPr>
              <w:t>土壤质量现状监测结果见表3-9。</w:t>
            </w: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表3-9 土壤环境质量监测结果</w:t>
            </w:r>
          </w:p>
          <w:tbl>
            <w:tblPr>
              <w:tblStyle w:val="19"/>
              <w:tblW w:w="853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46"/>
              <w:gridCol w:w="1555"/>
              <w:gridCol w:w="1667"/>
              <w:gridCol w:w="1434"/>
              <w:gridCol w:w="133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6" w:type="dxa"/>
                  <w:vMerge w:val="restart"/>
                  <w:tcBorders>
                    <w:tl2br w:val="single" w:color="auto" w:sz="4" w:space="0"/>
                  </w:tcBorders>
                  <w:vAlign w:val="center"/>
                </w:tcPr>
                <w:p>
                  <w:pPr>
                    <w:keepNext w:val="0"/>
                    <w:keepLines w:val="0"/>
                    <w:suppressLineNumbers w:val="0"/>
                    <w:spacing w:before="0" w:beforeAutospacing="0" w:after="0" w:afterAutospacing="0"/>
                    <w:ind w:left="0" w:right="0" w:firstLine="1050" w:firstLineChars="500"/>
                    <w:jc w:val="center"/>
                    <w:rPr>
                      <w:rFonts w:hint="default"/>
                      <w:b w:val="0"/>
                      <w:bCs w:val="0"/>
                      <w:lang w:val="en-US" w:eastAsia="zh-CN"/>
                    </w:rPr>
                  </w:pPr>
                  <w:r>
                    <w:rPr>
                      <w:rFonts w:hint="default"/>
                      <w:b w:val="0"/>
                      <w:bCs w:val="0"/>
                      <w:lang w:val="en-US" w:eastAsia="zh-CN"/>
                    </w:rPr>
                    <w:t>监测</w:t>
                  </w:r>
                  <w:r>
                    <w:rPr>
                      <w:rFonts w:hint="eastAsia"/>
                      <w:b w:val="0"/>
                      <w:bCs w:val="0"/>
                      <w:lang w:val="en-US" w:eastAsia="zh-CN"/>
                    </w:rPr>
                    <w:t>点位</w:t>
                  </w:r>
                </w:p>
                <w:p>
                  <w:pPr>
                    <w:keepNext w:val="0"/>
                    <w:keepLines w:val="0"/>
                    <w:suppressLineNumbers w:val="0"/>
                    <w:spacing w:before="0" w:beforeAutospacing="0" w:after="0" w:afterAutospacing="0"/>
                    <w:ind w:left="0" w:right="0"/>
                    <w:jc w:val="both"/>
                    <w:rPr>
                      <w:rFonts w:hint="default"/>
                      <w:b w:val="0"/>
                      <w:bCs w:val="0"/>
                      <w:lang w:val="en-US" w:eastAsia="zh-CN"/>
                    </w:rPr>
                  </w:pPr>
                  <w:r>
                    <w:rPr>
                      <w:rFonts w:hint="default"/>
                      <w:b w:val="0"/>
                      <w:bCs w:val="0"/>
                      <w:lang w:val="en-US" w:eastAsia="zh-CN"/>
                    </w:rPr>
                    <w:t>监测指标</w:t>
                  </w:r>
                </w:p>
              </w:tc>
              <w:tc>
                <w:tcPr>
                  <w:tcW w:w="4656" w:type="dxa"/>
                  <w:gridSpan w:val="3"/>
                  <w:vAlign w:val="center"/>
                </w:tcPr>
                <w:p>
                  <w:pPr>
                    <w:keepNext w:val="0"/>
                    <w:keepLines w:val="0"/>
                    <w:suppressLineNumbers w:val="0"/>
                    <w:spacing w:before="0" w:beforeAutospacing="0" w:after="0" w:afterAutospacing="0" w:line="240" w:lineRule="auto"/>
                    <w:ind w:left="0" w:right="0"/>
                    <w:jc w:val="center"/>
                    <w:rPr>
                      <w:rFonts w:hint="default"/>
                      <w:b w:val="0"/>
                      <w:bCs w:val="0"/>
                      <w:lang w:val="en-US" w:eastAsia="zh-CN"/>
                    </w:rPr>
                  </w:pPr>
                  <w:r>
                    <w:rPr>
                      <w:rFonts w:hint="default"/>
                      <w:b w:val="0"/>
                      <w:bCs w:val="0"/>
                      <w:lang w:val="en-US" w:eastAsia="zh-CN"/>
                    </w:rPr>
                    <w:t>S4春申大街与淝水大道交口 西南侧</w:t>
                  </w:r>
                </w:p>
              </w:tc>
              <w:tc>
                <w:tcPr>
                  <w:tcW w:w="1335" w:type="dxa"/>
                  <w:vMerge w:val="restart"/>
                  <w:vAlign w:val="center"/>
                </w:tcPr>
                <w:p>
                  <w:pPr>
                    <w:keepNext w:val="0"/>
                    <w:keepLines w:val="0"/>
                    <w:suppressLineNumbers w:val="0"/>
                    <w:spacing w:before="0" w:beforeAutospacing="0" w:after="0" w:afterAutospacing="0" w:line="240" w:lineRule="auto"/>
                    <w:ind w:left="0" w:right="0"/>
                    <w:jc w:val="center"/>
                    <w:rPr>
                      <w:rFonts w:hint="default"/>
                      <w:b w:val="0"/>
                      <w:bCs w:val="0"/>
                      <w:lang w:val="en-US" w:eastAsia="zh-CN"/>
                    </w:rPr>
                  </w:pPr>
                  <w:r>
                    <w:rPr>
                      <w:rFonts w:hint="default"/>
                      <w:b w:val="0"/>
                      <w:bCs w:val="0"/>
                      <w:lang w:val="en-US" w:eastAsia="zh-CN"/>
                    </w:rPr>
                    <w:t>第二类</w:t>
                  </w:r>
                </w:p>
                <w:p>
                  <w:pPr>
                    <w:keepNext w:val="0"/>
                    <w:keepLines w:val="0"/>
                    <w:suppressLineNumbers w:val="0"/>
                    <w:spacing w:before="0" w:beforeAutospacing="0" w:after="0" w:afterAutospacing="0" w:line="240" w:lineRule="auto"/>
                    <w:ind w:left="0" w:right="0"/>
                    <w:jc w:val="center"/>
                    <w:rPr>
                      <w:rFonts w:hint="default"/>
                      <w:b/>
                      <w:bCs/>
                      <w:lang w:val="en-US" w:eastAsia="zh-CN"/>
                    </w:rPr>
                  </w:pPr>
                  <w:r>
                    <w:rPr>
                      <w:rFonts w:hint="default"/>
                      <w:b w:val="0"/>
                      <w:bCs w:val="0"/>
                      <w:lang w:val="en-US" w:eastAsia="zh-CN"/>
                    </w:rPr>
                    <w:t>筛选值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546" w:type="dxa"/>
                  <w:vMerge w:val="continue"/>
                  <w:tcBorders>
                    <w:tl2br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val="0"/>
                    </w:rPr>
                  </w:pPr>
                </w:p>
              </w:tc>
              <w:tc>
                <w:tcPr>
                  <w:tcW w:w="1555" w:type="dxa"/>
                  <w:vAlign w:val="center"/>
                </w:tcPr>
                <w:p>
                  <w:pPr>
                    <w:keepNext w:val="0"/>
                    <w:keepLines w:val="0"/>
                    <w:suppressLineNumbers w:val="0"/>
                    <w:spacing w:before="0" w:beforeAutospacing="0" w:after="0" w:afterAutospacing="0" w:line="240" w:lineRule="auto"/>
                    <w:ind w:left="0" w:right="0"/>
                    <w:jc w:val="center"/>
                    <w:rPr>
                      <w:rFonts w:hint="default"/>
                      <w:b w:val="0"/>
                      <w:bCs w:val="0"/>
                      <w:lang w:val="en-US" w:eastAsia="zh-CN"/>
                    </w:rPr>
                  </w:pPr>
                  <w:r>
                    <w:rPr>
                      <w:rFonts w:hint="default"/>
                      <w:b w:val="0"/>
                      <w:bCs w:val="0"/>
                      <w:lang w:val="en-US" w:eastAsia="zh-CN"/>
                    </w:rPr>
                    <w:t>20cm</w:t>
                  </w:r>
                </w:p>
              </w:tc>
              <w:tc>
                <w:tcPr>
                  <w:tcW w:w="1667" w:type="dxa"/>
                  <w:vAlign w:val="center"/>
                </w:tcPr>
                <w:p>
                  <w:pPr>
                    <w:keepNext w:val="0"/>
                    <w:keepLines w:val="0"/>
                    <w:suppressLineNumbers w:val="0"/>
                    <w:spacing w:before="0" w:beforeAutospacing="0" w:after="0" w:afterAutospacing="0" w:line="240" w:lineRule="auto"/>
                    <w:ind w:left="0" w:right="0"/>
                    <w:jc w:val="center"/>
                    <w:rPr>
                      <w:rFonts w:hint="default"/>
                      <w:b w:val="0"/>
                      <w:bCs w:val="0"/>
                      <w:lang w:val="en-US" w:eastAsia="zh-CN"/>
                    </w:rPr>
                  </w:pPr>
                  <w:r>
                    <w:rPr>
                      <w:rFonts w:hint="default"/>
                      <w:b w:val="0"/>
                      <w:bCs w:val="0"/>
                      <w:lang w:val="en-US" w:eastAsia="zh-CN"/>
                    </w:rPr>
                    <w:t>100cm</w:t>
                  </w:r>
                </w:p>
              </w:tc>
              <w:tc>
                <w:tcPr>
                  <w:tcW w:w="1434" w:type="dxa"/>
                  <w:vAlign w:val="center"/>
                </w:tcPr>
                <w:p>
                  <w:pPr>
                    <w:keepNext w:val="0"/>
                    <w:keepLines w:val="0"/>
                    <w:suppressLineNumbers w:val="0"/>
                    <w:spacing w:before="0" w:beforeAutospacing="0" w:after="0" w:afterAutospacing="0" w:line="240" w:lineRule="auto"/>
                    <w:ind w:left="0" w:right="0"/>
                    <w:jc w:val="center"/>
                    <w:rPr>
                      <w:rFonts w:hint="default"/>
                      <w:b w:val="0"/>
                      <w:bCs w:val="0"/>
                      <w:lang w:val="en-US" w:eastAsia="zh-CN"/>
                    </w:rPr>
                  </w:pPr>
                  <w:r>
                    <w:rPr>
                      <w:rFonts w:hint="default"/>
                      <w:b w:val="0"/>
                      <w:bCs w:val="0"/>
                      <w:lang w:val="en-US" w:eastAsia="zh-CN"/>
                    </w:rPr>
                    <w:t>250cm</w:t>
                  </w:r>
                </w:p>
              </w:tc>
              <w:tc>
                <w:tcPr>
                  <w:tcW w:w="1335" w:type="dxa"/>
                  <w:vMerge w:val="continue"/>
                  <w:vAlign w:val="center"/>
                </w:tcPr>
                <w:p>
                  <w:pPr>
                    <w:keepNext w:val="0"/>
                    <w:keepLines w:val="0"/>
                    <w:suppressLineNumbers w:val="0"/>
                    <w:spacing w:before="0" w:beforeAutospacing="0" w:after="0" w:afterAutospacing="0" w:line="240" w:lineRule="auto"/>
                    <w:ind w:left="0" w:right="0"/>
                    <w:jc w:val="center"/>
                    <w:rPr>
                      <w:rFonts w:hint="default"/>
                      <w:b/>
                      <w:bCs/>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砷（mg/kg）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9.02</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8.36</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9. 11</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镉（mg/kg）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0.74</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0.8</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0.77</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铜（mg/kg）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46</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42</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40</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铅（mg/kg）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41</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36</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44</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汞（mg/kg）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0.725</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0.802</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0.776</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镍（mg/kg）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42</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41</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43</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六价铬（mg/kg）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596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四氯化碳（mg/kg）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氯仿（mg/kg）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616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氯甲烷（μg/kg）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1,1-二氯乙烷（mg/kg）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1,2-二氯乙烷（mg/kg）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1,1-二氯乙烯（mg/kg）</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 xml:space="preserve">顺-1,2-二氯乙烯 </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840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 xml:space="preserve">反-1,2-二氯乙烯 </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二氯甲烷</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1,2-二氯丙烷</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 1, 1,2-四氯乙烷</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 xml:space="preserve">1, 1,2,2-四氯乙烷 </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四氯乙烯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270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 1, 1-三氯乙烷</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560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 1,2-三氯乙烷</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三氯乙烯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1,2,3-三氯丙烷</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1290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氯乙烯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 xml:space="preserve">苯 </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570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 xml:space="preserve">氯苯 </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640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1,2-二氯苯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1,4-二氯苯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260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乙苯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2256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苯乙烯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甲苯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间</w:t>
                  </w:r>
                  <w:r>
                    <w:rPr>
                      <w:rFonts w:hint="eastAsia"/>
                      <w:lang w:val="en-US" w:eastAsia="zh-CN"/>
                    </w:rPr>
                    <w:t>（</w:t>
                  </w:r>
                  <w:r>
                    <w:rPr>
                      <w:rFonts w:hint="default"/>
                      <w:lang w:val="en-US" w:eastAsia="zh-CN"/>
                    </w:rPr>
                    <w:t>对</w:t>
                  </w:r>
                  <w:r>
                    <w:rPr>
                      <w:rFonts w:hint="eastAsia"/>
                      <w:lang w:val="en-US" w:eastAsia="zh-CN"/>
                    </w:rPr>
                    <w:t>）</w:t>
                  </w:r>
                  <w:r>
                    <w:rPr>
                      <w:rFonts w:hint="default"/>
                      <w:lang w:val="en-US" w:eastAsia="zh-CN"/>
                    </w:rPr>
                    <w:t>二甲苯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邻二甲苯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硝基苯</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1293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苯胺</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 xml:space="preserve">2-氯酚 </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苯并[a]蒽</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苯并[a]芘</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 xml:space="preserve">苯并[b]荧蒽 </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0.9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 xml:space="preserve">苯并[k]荧蒽 </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37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 xml:space="preserve">䓛 </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二苯并[a, h]蒽</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茚并[1,2,3-cd] 芘</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546"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萘</w:t>
                  </w:r>
                  <w:r>
                    <w:rPr>
                      <w:rFonts w:hint="eastAsia"/>
                      <w:lang w:val="en-US" w:eastAsia="zh-CN"/>
                    </w:rPr>
                    <w:t>（</w:t>
                  </w:r>
                  <w:r>
                    <w:rPr>
                      <w:rFonts w:hint="default"/>
                      <w:lang w:val="en-US" w:eastAsia="zh-CN"/>
                    </w:rPr>
                    <w:t>mg/kg</w:t>
                  </w:r>
                  <w:r>
                    <w:rPr>
                      <w:rFonts w:hint="eastAsia"/>
                      <w:lang w:val="en-US" w:eastAsia="zh-CN"/>
                    </w:rPr>
                    <w:t>）</w:t>
                  </w:r>
                </w:p>
              </w:tc>
              <w:tc>
                <w:tcPr>
                  <w:tcW w:w="155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66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434"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ND</w:t>
                  </w:r>
                </w:p>
              </w:tc>
              <w:tc>
                <w:tcPr>
                  <w:tcW w:w="133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default"/>
                      <w:lang w:val="en-US" w:eastAsia="zh-CN"/>
                    </w:rPr>
                    <w:t>596</w:t>
                  </w:r>
                </w:p>
              </w:tc>
            </w:tr>
          </w:tbl>
          <w:p>
            <w:pPr>
              <w:pStyle w:val="23"/>
              <w:keepNext w:val="0"/>
              <w:keepLines w:val="0"/>
              <w:suppressLineNumbers w:val="0"/>
              <w:bidi w:val="0"/>
              <w:spacing w:before="0" w:beforeAutospacing="0" w:after="0" w:afterAutospacing="0"/>
              <w:ind w:left="0" w:right="0"/>
              <w:rPr>
                <w:rFonts w:hint="default" w:ascii="Times New Roman" w:hAnsi="Times New Roman" w:cs="Times New Roman"/>
                <w:b w:val="0"/>
                <w:bCs w:val="0"/>
                <w:szCs w:val="24"/>
              </w:rPr>
            </w:pPr>
            <w:r>
              <w:rPr>
                <w:rFonts w:hint="eastAsia"/>
                <w:lang w:val="en-US" w:eastAsia="zh-CN"/>
              </w:rPr>
              <w:t>由检测结果可知，距离本项目较近土壤</w:t>
            </w:r>
            <w:r>
              <w:rPr>
                <w:rFonts w:hint="default"/>
                <w:lang w:val="en-US" w:eastAsia="zh-CN"/>
              </w:rPr>
              <w:t>监测点检测因子均能达到《土壤环境质量 建设用地土壤污染风险管控标准（试行）》（GB36600-2018）中相应筛选值。</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4" w:hRule="atLeast"/>
          <w:jc w:val="center"/>
        </w:trPr>
        <w:tc>
          <w:tcPr>
            <w:tcW w:w="465" w:type="dxa"/>
            <w:tcBorders>
              <w:left w:val="single" w:color="000000" w:sz="6"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环境保护目标</w:t>
            </w:r>
          </w:p>
        </w:tc>
        <w:tc>
          <w:tcPr>
            <w:tcW w:w="8663" w:type="dxa"/>
            <w:tcBorders>
              <w:right w:val="single" w:color="000000" w:sz="6" w:space="0"/>
            </w:tcBorders>
          </w:tcPr>
          <w:p>
            <w:pPr>
              <w:pStyle w:val="23"/>
              <w:keepNext w:val="0"/>
              <w:keepLines w:val="0"/>
              <w:suppressLineNumbers w:val="0"/>
              <w:bidi w:val="0"/>
              <w:spacing w:before="0" w:beforeAutospacing="0" w:after="0" w:afterAutospacing="0"/>
              <w:ind w:left="0" w:right="0"/>
              <w:rPr>
                <w:rFonts w:hint="default"/>
              </w:rPr>
            </w:pPr>
            <w:r>
              <w:rPr>
                <w:rFonts w:hint="default"/>
              </w:rPr>
              <w:t>1、大气环境</w:t>
            </w:r>
          </w:p>
          <w:p>
            <w:pPr>
              <w:pStyle w:val="23"/>
              <w:keepNext w:val="0"/>
              <w:keepLines w:val="0"/>
              <w:suppressLineNumbers w:val="0"/>
              <w:bidi w:val="0"/>
              <w:spacing w:before="0" w:beforeAutospacing="0" w:after="0" w:afterAutospacing="0"/>
              <w:ind w:left="0" w:right="0"/>
              <w:rPr>
                <w:rFonts w:hint="default"/>
              </w:rPr>
            </w:pPr>
            <w:r>
              <w:rPr>
                <w:rFonts w:hint="default"/>
              </w:rPr>
              <w:t>厂界外500m范围内无自然保护区、风景名胜区和文物古迹等需要特殊保护的环境敏感对象，厂界</w:t>
            </w:r>
            <w:r>
              <w:rPr>
                <w:rFonts w:hint="default"/>
                <w:lang w:val="en-US" w:eastAsia="zh-CN"/>
              </w:rPr>
              <w:t>外</w:t>
            </w:r>
            <w:r>
              <w:rPr>
                <w:rFonts w:hint="default"/>
              </w:rPr>
              <w:t>500m范围内有</w:t>
            </w:r>
            <w:r>
              <w:rPr>
                <w:rFonts w:hint="eastAsia"/>
                <w:lang w:val="en-US" w:eastAsia="zh-CN"/>
              </w:rPr>
              <w:t>3</w:t>
            </w:r>
            <w:r>
              <w:rPr>
                <w:rFonts w:hint="default"/>
              </w:rPr>
              <w:t>个居住区，环境保护目标详见表3-9。</w:t>
            </w:r>
          </w:p>
          <w:p>
            <w:pPr>
              <w:pStyle w:val="23"/>
              <w:keepNext w:val="0"/>
              <w:keepLines w:val="0"/>
              <w:suppressLineNumbers w:val="0"/>
              <w:bidi w:val="0"/>
              <w:spacing w:before="0" w:beforeAutospacing="0" w:after="0" w:afterAutospacing="0"/>
              <w:ind w:left="0" w:right="0"/>
              <w:rPr>
                <w:rFonts w:hint="default"/>
              </w:rPr>
            </w:pPr>
            <w:r>
              <w:rPr>
                <w:rFonts w:hint="default"/>
              </w:rPr>
              <w:t>2、声环境</w:t>
            </w:r>
          </w:p>
          <w:p>
            <w:pPr>
              <w:pStyle w:val="23"/>
              <w:keepNext w:val="0"/>
              <w:keepLines w:val="0"/>
              <w:suppressLineNumbers w:val="0"/>
              <w:bidi w:val="0"/>
              <w:spacing w:before="0" w:beforeAutospacing="0" w:after="0" w:afterAutospacing="0"/>
              <w:ind w:left="0" w:right="0"/>
              <w:rPr>
                <w:rFonts w:hint="default"/>
              </w:rPr>
            </w:pPr>
            <w:r>
              <w:rPr>
                <w:rFonts w:hint="default"/>
              </w:rPr>
              <w:t>本项目厂界外50米范围内无声环境保护目标。</w:t>
            </w:r>
          </w:p>
          <w:p>
            <w:pPr>
              <w:pStyle w:val="23"/>
              <w:keepNext w:val="0"/>
              <w:keepLines w:val="0"/>
              <w:suppressLineNumbers w:val="0"/>
              <w:bidi w:val="0"/>
              <w:spacing w:before="0" w:beforeAutospacing="0" w:after="0" w:afterAutospacing="0"/>
              <w:ind w:left="0" w:right="0"/>
              <w:rPr>
                <w:rFonts w:hint="default"/>
              </w:rPr>
            </w:pPr>
            <w:r>
              <w:rPr>
                <w:rFonts w:hint="default"/>
              </w:rPr>
              <w:t>3、地下水环境</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rPr>
              <w:t>本项目位于淮南市高新区新型显示产业园，项目所在区域均采用自来水作为饮用水源，项目厂界外500米范围内无地下水集中式饮用水水源和热水、矿泉水、温泉等特殊地下水资源。</w:t>
            </w:r>
          </w:p>
          <w:p>
            <w:pPr>
              <w:pStyle w:val="23"/>
              <w:keepNext w:val="0"/>
              <w:keepLines w:val="0"/>
              <w:suppressLineNumbers w:val="0"/>
              <w:bidi w:val="0"/>
              <w:spacing w:before="0" w:beforeAutospacing="0" w:after="0" w:afterAutospacing="0"/>
              <w:ind w:left="0" w:right="0"/>
              <w:rPr>
                <w:rFonts w:hint="default"/>
                <w:b w:val="0"/>
                <w:bCs w:val="0"/>
                <w:sz w:val="24"/>
                <w:szCs w:val="24"/>
              </w:rPr>
            </w:pPr>
            <w:r>
              <w:rPr>
                <w:rFonts w:hint="default"/>
              </w:rPr>
              <w:t>本项目的实施不会改变区域环境现有功能，建设项目周边环境保护目标分布情况如下所示：</w:t>
            </w:r>
          </w:p>
          <w:p>
            <w:pPr>
              <w:pStyle w:val="11"/>
              <w:keepNext w:val="0"/>
              <w:keepLines w:val="0"/>
              <w:suppressLineNumbers w:val="0"/>
              <w:bidi w:val="0"/>
              <w:spacing w:before="0" w:after="0" w:afterAutospacing="0"/>
              <w:ind w:right="0"/>
              <w:rPr>
                <w:rFonts w:hint="default"/>
              </w:rPr>
            </w:pPr>
            <w:r>
              <w:rPr>
                <w:rFonts w:hint="default"/>
              </w:rPr>
              <w:t>表3-</w:t>
            </w:r>
            <w:r>
              <w:rPr>
                <w:rFonts w:hint="eastAsia"/>
                <w:lang w:val="en-US" w:eastAsia="zh-CN"/>
              </w:rPr>
              <w:t>10</w:t>
            </w:r>
            <w:r>
              <w:rPr>
                <w:rFonts w:hint="default"/>
                <w:lang w:val="en-US" w:eastAsia="zh-CN"/>
              </w:rPr>
              <w:t xml:space="preserve"> </w:t>
            </w:r>
            <w:r>
              <w:rPr>
                <w:rFonts w:hint="default"/>
              </w:rPr>
              <w:t>主要环境保护目标一览表</w:t>
            </w:r>
          </w:p>
          <w:tbl>
            <w:tblPr>
              <w:tblStyle w:val="19"/>
              <w:tblW w:w="8640"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751"/>
              <w:gridCol w:w="1673"/>
              <w:gridCol w:w="600"/>
              <w:gridCol w:w="554"/>
              <w:gridCol w:w="600"/>
              <w:gridCol w:w="658"/>
              <w:gridCol w:w="865"/>
              <w:gridCol w:w="773"/>
              <w:gridCol w:w="21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751"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环境</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要素</w:t>
                  </w:r>
                </w:p>
              </w:tc>
              <w:tc>
                <w:tcPr>
                  <w:tcW w:w="1673"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名称</w:t>
                  </w:r>
                </w:p>
              </w:tc>
              <w:tc>
                <w:tcPr>
                  <w:tcW w:w="1154" w:type="dxa"/>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r>
                    <w:rPr>
                      <w:rFonts w:hint="default" w:ascii="Times New Roman" w:hAnsi="Times New Roman" w:cs="Times New Roman"/>
                      <w:b w:val="0"/>
                      <w:bCs w:val="0"/>
                      <w:sz w:val="21"/>
                      <w:szCs w:val="21"/>
                      <w:vertAlign w:val="baseline"/>
                      <w:lang w:val="en-US" w:eastAsia="zh-CN"/>
                    </w:rPr>
                    <w:t>坐标</w:t>
                  </w:r>
                </w:p>
              </w:tc>
              <w:tc>
                <w:tcPr>
                  <w:tcW w:w="600"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保护内容</w:t>
                  </w:r>
                </w:p>
              </w:tc>
              <w:tc>
                <w:tcPr>
                  <w:tcW w:w="658"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方向</w:t>
                  </w:r>
                </w:p>
              </w:tc>
              <w:tc>
                <w:tcPr>
                  <w:tcW w:w="865"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相对厂界距离</w:t>
                  </w:r>
                </w:p>
              </w:tc>
              <w:tc>
                <w:tcPr>
                  <w:tcW w:w="773"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规模</w:t>
                  </w:r>
                </w:p>
              </w:tc>
              <w:tc>
                <w:tcPr>
                  <w:tcW w:w="2166"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环境</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功能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c>
                <w:tcPr>
                  <w:tcW w:w="751" w:type="dxa"/>
                  <w:vMerge w:val="continue"/>
                </w:tcPr>
                <w:p>
                  <w:pPr>
                    <w:keepNext w:val="0"/>
                    <w:keepLines w:val="0"/>
                    <w:suppressLineNumbers w:val="0"/>
                    <w:spacing w:before="0" w:beforeAutospacing="0" w:after="0" w:afterAutospacing="0"/>
                    <w:ind w:left="0" w:right="0"/>
                    <w:rPr>
                      <w:rFonts w:hint="default" w:ascii="Times New Roman" w:hAnsi="Times New Roman" w:cs="Times New Roman"/>
                      <w:b w:val="0"/>
                      <w:bCs w:val="0"/>
                      <w:sz w:val="21"/>
                      <w:szCs w:val="21"/>
                      <w:vertAlign w:val="baseline"/>
                    </w:rPr>
                  </w:pPr>
                </w:p>
              </w:tc>
              <w:tc>
                <w:tcPr>
                  <w:tcW w:w="1673" w:type="dxa"/>
                  <w:vMerge w:val="continue"/>
                </w:tcPr>
                <w:p>
                  <w:pPr>
                    <w:keepNext w:val="0"/>
                    <w:keepLines w:val="0"/>
                    <w:suppressLineNumbers w:val="0"/>
                    <w:spacing w:before="0" w:beforeAutospacing="0" w:after="0" w:afterAutospacing="0"/>
                    <w:ind w:left="0" w:right="0"/>
                    <w:rPr>
                      <w:rFonts w:hint="default" w:ascii="Times New Roman" w:hAnsi="Times New Roman" w:cs="Times New Roman"/>
                      <w:b w:val="0"/>
                      <w:bCs w:val="0"/>
                      <w:sz w:val="21"/>
                      <w:szCs w:val="21"/>
                      <w:vertAlign w:val="baseline"/>
                    </w:rPr>
                  </w:pPr>
                </w:p>
              </w:tc>
              <w:tc>
                <w:tcPr>
                  <w:tcW w:w="6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X</w:t>
                  </w:r>
                </w:p>
              </w:tc>
              <w:tc>
                <w:tcPr>
                  <w:tcW w:w="55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Y</w:t>
                  </w:r>
                </w:p>
              </w:tc>
              <w:tc>
                <w:tcPr>
                  <w:tcW w:w="600" w:type="dxa"/>
                  <w:vMerge w:val="continue"/>
                </w:tcPr>
                <w:p>
                  <w:pPr>
                    <w:keepNext w:val="0"/>
                    <w:keepLines w:val="0"/>
                    <w:suppressLineNumbers w:val="0"/>
                    <w:spacing w:before="0" w:beforeAutospacing="0" w:after="0" w:afterAutospacing="0"/>
                    <w:ind w:left="0" w:right="0"/>
                    <w:rPr>
                      <w:rFonts w:hint="default" w:ascii="Times New Roman" w:hAnsi="Times New Roman" w:cs="Times New Roman"/>
                      <w:b w:val="0"/>
                      <w:bCs w:val="0"/>
                      <w:sz w:val="21"/>
                      <w:szCs w:val="21"/>
                      <w:vertAlign w:val="baseline"/>
                    </w:rPr>
                  </w:pPr>
                </w:p>
              </w:tc>
              <w:tc>
                <w:tcPr>
                  <w:tcW w:w="658" w:type="dxa"/>
                  <w:vMerge w:val="continue"/>
                </w:tcPr>
                <w:p>
                  <w:pPr>
                    <w:keepNext w:val="0"/>
                    <w:keepLines w:val="0"/>
                    <w:suppressLineNumbers w:val="0"/>
                    <w:spacing w:before="0" w:beforeAutospacing="0" w:after="0" w:afterAutospacing="0"/>
                    <w:ind w:left="0" w:right="0"/>
                    <w:rPr>
                      <w:rFonts w:hint="default" w:ascii="Times New Roman" w:hAnsi="Times New Roman" w:cs="Times New Roman"/>
                      <w:b w:val="0"/>
                      <w:bCs w:val="0"/>
                      <w:sz w:val="21"/>
                      <w:szCs w:val="21"/>
                      <w:vertAlign w:val="baseline"/>
                    </w:rPr>
                  </w:pPr>
                </w:p>
              </w:tc>
              <w:tc>
                <w:tcPr>
                  <w:tcW w:w="865" w:type="dxa"/>
                  <w:vMerge w:val="continue"/>
                </w:tcPr>
                <w:p>
                  <w:pPr>
                    <w:keepNext w:val="0"/>
                    <w:keepLines w:val="0"/>
                    <w:suppressLineNumbers w:val="0"/>
                    <w:spacing w:before="0" w:beforeAutospacing="0" w:after="0" w:afterAutospacing="0"/>
                    <w:ind w:left="0" w:right="0"/>
                    <w:rPr>
                      <w:rFonts w:hint="default" w:ascii="Times New Roman" w:hAnsi="Times New Roman" w:cs="Times New Roman"/>
                      <w:b w:val="0"/>
                      <w:bCs w:val="0"/>
                      <w:sz w:val="21"/>
                      <w:szCs w:val="21"/>
                      <w:vertAlign w:val="baseline"/>
                    </w:rPr>
                  </w:pPr>
                </w:p>
              </w:tc>
              <w:tc>
                <w:tcPr>
                  <w:tcW w:w="773" w:type="dxa"/>
                  <w:vMerge w:val="continue"/>
                </w:tcPr>
                <w:p>
                  <w:pPr>
                    <w:keepNext w:val="0"/>
                    <w:keepLines w:val="0"/>
                    <w:suppressLineNumbers w:val="0"/>
                    <w:spacing w:before="0" w:beforeAutospacing="0" w:after="0" w:afterAutospacing="0"/>
                    <w:ind w:left="0" w:right="0"/>
                    <w:rPr>
                      <w:rFonts w:hint="default" w:ascii="Times New Roman" w:hAnsi="Times New Roman" w:cs="Times New Roman"/>
                      <w:b w:val="0"/>
                      <w:bCs w:val="0"/>
                      <w:sz w:val="21"/>
                      <w:szCs w:val="21"/>
                      <w:vertAlign w:val="baseline"/>
                    </w:rPr>
                  </w:pPr>
                </w:p>
              </w:tc>
              <w:tc>
                <w:tcPr>
                  <w:tcW w:w="2166" w:type="dxa"/>
                  <w:vMerge w:val="continue"/>
                </w:tcPr>
                <w:p>
                  <w:pPr>
                    <w:keepNext w:val="0"/>
                    <w:keepLines w:val="0"/>
                    <w:suppressLineNumbers w:val="0"/>
                    <w:spacing w:before="0" w:beforeAutospacing="0" w:after="0" w:afterAutospacing="0"/>
                    <w:ind w:left="0" w:right="0"/>
                    <w:rPr>
                      <w:rFonts w:hint="default" w:ascii="Times New Roman" w:hAnsi="Times New Roman" w:cs="Times New Roman"/>
                      <w:b w:val="0"/>
                      <w:bCs w:val="0"/>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92" w:hRule="atLeast"/>
              </w:trPr>
              <w:tc>
                <w:tcPr>
                  <w:tcW w:w="751"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环境</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空气</w:t>
                  </w:r>
                </w:p>
              </w:tc>
              <w:tc>
                <w:tcPr>
                  <w:tcW w:w="167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r>
                    <w:rPr>
                      <w:rFonts w:hint="default" w:ascii="Times New Roman" w:hAnsi="Times New Roman" w:cs="Times New Roman"/>
                      <w:b w:val="0"/>
                      <w:bCs w:val="0"/>
                      <w:sz w:val="21"/>
                      <w:szCs w:val="21"/>
                      <w:vertAlign w:val="baseline"/>
                    </w:rPr>
                    <w:t>高新区人才公寓</w:t>
                  </w:r>
                </w:p>
              </w:tc>
              <w:tc>
                <w:tcPr>
                  <w:tcW w:w="6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0</w:t>
                  </w:r>
                </w:p>
              </w:tc>
              <w:tc>
                <w:tcPr>
                  <w:tcW w:w="55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-160</w:t>
                  </w:r>
                </w:p>
              </w:tc>
              <w:tc>
                <w:tcPr>
                  <w:tcW w:w="60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r>
                    <w:rPr>
                      <w:rFonts w:hint="default" w:ascii="Times New Roman" w:hAnsi="Times New Roman" w:cs="Times New Roman"/>
                      <w:b w:val="0"/>
                      <w:bCs w:val="0"/>
                      <w:sz w:val="21"/>
                      <w:szCs w:val="21"/>
                      <w:vertAlign w:val="baseline"/>
                      <w:lang w:val="en-US" w:eastAsia="zh-CN"/>
                    </w:rPr>
                    <w:t>居民</w:t>
                  </w:r>
                </w:p>
              </w:tc>
              <w:tc>
                <w:tcPr>
                  <w:tcW w:w="65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S</w:t>
                  </w:r>
                </w:p>
              </w:tc>
              <w:tc>
                <w:tcPr>
                  <w:tcW w:w="86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160</w:t>
                  </w:r>
                </w:p>
              </w:tc>
              <w:tc>
                <w:tcPr>
                  <w:tcW w:w="77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2000人</w:t>
                  </w:r>
                </w:p>
              </w:tc>
              <w:tc>
                <w:tcPr>
                  <w:tcW w:w="2166" w:type="dxa"/>
                  <w:vMerge w:val="restart"/>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val="0"/>
                      <w:bCs w:val="0"/>
                      <w:sz w:val="21"/>
                      <w:szCs w:val="21"/>
                      <w:vertAlign w:val="baseline"/>
                    </w:rPr>
                  </w:pPr>
                  <w:r>
                    <w:rPr>
                      <w:rFonts w:hint="eastAsia" w:cs="Times New Roman"/>
                      <w:b w:val="0"/>
                      <w:bCs w:val="0"/>
                      <w:sz w:val="21"/>
                      <w:szCs w:val="21"/>
                      <w:vertAlign w:val="baseline"/>
                      <w:lang w:val="en-US" w:eastAsia="zh-CN"/>
                    </w:rPr>
                    <w:t>《环境空气质量标准》（</w:t>
                  </w:r>
                  <w:r>
                    <w:rPr>
                      <w:rFonts w:hint="default" w:ascii="Times New Roman" w:hAnsi="Times New Roman" w:cs="Times New Roman"/>
                      <w:b w:val="0"/>
                      <w:bCs w:val="0"/>
                      <w:sz w:val="21"/>
                      <w:szCs w:val="21"/>
                      <w:vertAlign w:val="baseline"/>
                    </w:rPr>
                    <w:t>GB3095-2012</w:t>
                  </w:r>
                  <w:r>
                    <w:rPr>
                      <w:rFonts w:hint="eastAsia" w:cs="Times New Roman"/>
                      <w:b w:val="0"/>
                      <w:bCs w:val="0"/>
                      <w:sz w:val="21"/>
                      <w:szCs w:val="21"/>
                      <w:vertAlign w:val="baseline"/>
                      <w:lang w:val="en-US" w:eastAsia="zh-CN"/>
                    </w:rPr>
                    <w:t>）</w:t>
                  </w:r>
                  <w:r>
                    <w:rPr>
                      <w:rFonts w:hint="default" w:ascii="Times New Roman" w:hAnsi="Times New Roman" w:cs="Times New Roman"/>
                      <w:b w:val="0"/>
                      <w:bCs w:val="0"/>
                      <w:sz w:val="21"/>
                      <w:szCs w:val="21"/>
                      <w:vertAlign w:val="baseline"/>
                    </w:rPr>
                    <w:t>中二类区标准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92" w:hRule="atLeast"/>
              </w:trPr>
              <w:tc>
                <w:tcPr>
                  <w:tcW w:w="751"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lang w:val="en-US" w:eastAsia="zh-CN"/>
                    </w:rPr>
                  </w:pPr>
                </w:p>
              </w:tc>
              <w:tc>
                <w:tcPr>
                  <w:tcW w:w="167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汤洼村</w:t>
                  </w:r>
                </w:p>
              </w:tc>
              <w:tc>
                <w:tcPr>
                  <w:tcW w:w="60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300</w:t>
                  </w:r>
                </w:p>
              </w:tc>
              <w:tc>
                <w:tcPr>
                  <w:tcW w:w="55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240</w:t>
                  </w:r>
                </w:p>
              </w:tc>
              <w:tc>
                <w:tcPr>
                  <w:tcW w:w="60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r>
                    <w:rPr>
                      <w:rFonts w:hint="default" w:ascii="Times New Roman" w:hAnsi="Times New Roman" w:cs="Times New Roman"/>
                      <w:b w:val="0"/>
                      <w:bCs w:val="0"/>
                      <w:sz w:val="21"/>
                      <w:szCs w:val="21"/>
                      <w:vertAlign w:val="baseline"/>
                      <w:lang w:val="en-US" w:eastAsia="zh-CN"/>
                    </w:rPr>
                    <w:t>居民</w:t>
                  </w:r>
                </w:p>
              </w:tc>
              <w:tc>
                <w:tcPr>
                  <w:tcW w:w="65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NW</w:t>
                  </w:r>
                </w:p>
              </w:tc>
              <w:tc>
                <w:tcPr>
                  <w:tcW w:w="86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300</w:t>
                  </w:r>
                </w:p>
              </w:tc>
              <w:tc>
                <w:tcPr>
                  <w:tcW w:w="77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500</w:t>
                  </w:r>
                  <w:r>
                    <w:rPr>
                      <w:rFonts w:hint="eastAsia" w:cs="Times New Roman"/>
                      <w:b w:val="0"/>
                      <w:bCs w:val="0"/>
                      <w:sz w:val="21"/>
                      <w:szCs w:val="21"/>
                      <w:vertAlign w:val="baseline"/>
                      <w:lang w:val="en-US" w:eastAsia="zh-CN"/>
                    </w:rPr>
                    <w:t>人</w:t>
                  </w:r>
                </w:p>
              </w:tc>
              <w:tc>
                <w:tcPr>
                  <w:tcW w:w="216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c>
                <w:tcPr>
                  <w:tcW w:w="751"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p>
              </w:tc>
              <w:tc>
                <w:tcPr>
                  <w:tcW w:w="167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r>
                    <w:rPr>
                      <w:rFonts w:hint="default" w:ascii="Times New Roman" w:hAnsi="Times New Roman" w:cs="Times New Roman"/>
                      <w:b w:val="0"/>
                      <w:bCs w:val="0"/>
                      <w:sz w:val="21"/>
                      <w:szCs w:val="21"/>
                      <w:vertAlign w:val="baseline"/>
                    </w:rPr>
                    <w:t>香樟苑五期</w:t>
                  </w:r>
                </w:p>
              </w:tc>
              <w:tc>
                <w:tcPr>
                  <w:tcW w:w="6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-110</w:t>
                  </w:r>
                </w:p>
              </w:tc>
              <w:tc>
                <w:tcPr>
                  <w:tcW w:w="55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236</w:t>
                  </w:r>
                </w:p>
              </w:tc>
              <w:tc>
                <w:tcPr>
                  <w:tcW w:w="60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r>
                    <w:rPr>
                      <w:rFonts w:hint="default" w:ascii="Times New Roman" w:hAnsi="Times New Roman" w:cs="Times New Roman"/>
                      <w:b w:val="0"/>
                      <w:bCs w:val="0"/>
                      <w:sz w:val="21"/>
                      <w:szCs w:val="21"/>
                      <w:vertAlign w:val="baseline"/>
                      <w:lang w:val="en-US" w:eastAsia="zh-CN"/>
                    </w:rPr>
                    <w:t>居民</w:t>
                  </w:r>
                </w:p>
              </w:tc>
              <w:tc>
                <w:tcPr>
                  <w:tcW w:w="65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NE</w:t>
                  </w:r>
                </w:p>
              </w:tc>
              <w:tc>
                <w:tcPr>
                  <w:tcW w:w="86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236</w:t>
                  </w:r>
                </w:p>
              </w:tc>
              <w:tc>
                <w:tcPr>
                  <w:tcW w:w="77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6500人</w:t>
                  </w:r>
                </w:p>
              </w:tc>
              <w:tc>
                <w:tcPr>
                  <w:tcW w:w="216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c>
                <w:tcPr>
                  <w:tcW w:w="75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地表水</w:t>
                  </w:r>
                </w:p>
              </w:tc>
              <w:tc>
                <w:tcPr>
                  <w:tcW w:w="167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高塘湖</w:t>
                  </w:r>
                </w:p>
              </w:tc>
              <w:tc>
                <w:tcPr>
                  <w:tcW w:w="6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w:t>
                  </w:r>
                </w:p>
              </w:tc>
              <w:tc>
                <w:tcPr>
                  <w:tcW w:w="55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w:t>
                  </w:r>
                </w:p>
              </w:tc>
              <w:tc>
                <w:tcPr>
                  <w:tcW w:w="6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河流</w:t>
                  </w:r>
                </w:p>
              </w:tc>
              <w:tc>
                <w:tcPr>
                  <w:tcW w:w="65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NE</w:t>
                  </w:r>
                </w:p>
              </w:tc>
              <w:tc>
                <w:tcPr>
                  <w:tcW w:w="86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15200</w:t>
                  </w:r>
                </w:p>
              </w:tc>
              <w:tc>
                <w:tcPr>
                  <w:tcW w:w="77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cs="Times New Roman"/>
                      <w:b w:val="0"/>
                      <w:bCs w:val="0"/>
                      <w:sz w:val="21"/>
                      <w:szCs w:val="21"/>
                      <w:vertAlign w:val="baseline"/>
                      <w:lang w:val="en-US" w:eastAsia="zh-CN"/>
                    </w:rPr>
                    <w:t>中型</w:t>
                  </w:r>
                </w:p>
              </w:tc>
              <w:tc>
                <w:tcPr>
                  <w:tcW w:w="2166"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vertAlign w:val="baseline"/>
                      <w:lang w:eastAsia="zh-CN"/>
                    </w:rPr>
                  </w:pPr>
                  <w:r>
                    <w:rPr>
                      <w:rFonts w:hint="default" w:ascii="Times New Roman" w:hAnsi="Times New Roman" w:cs="Times New Roman"/>
                      <w:b w:val="0"/>
                      <w:bCs w:val="0"/>
                      <w:sz w:val="21"/>
                      <w:szCs w:val="21"/>
                      <w:vertAlign w:val="baseline"/>
                    </w:rPr>
                    <w:t>地表水环境质量标准</w:t>
                  </w:r>
                  <w:r>
                    <w:rPr>
                      <w:rFonts w:hint="eastAsia" w:cs="Times New Roman"/>
                      <w:b w:val="0"/>
                      <w:bCs w:val="0"/>
                      <w:sz w:val="21"/>
                      <w:szCs w:val="21"/>
                      <w:vertAlign w:val="baseline"/>
                      <w:lang w:eastAsia="zh-CN"/>
                    </w:rPr>
                    <w:t>（</w:t>
                  </w:r>
                  <w:r>
                    <w:rPr>
                      <w:rFonts w:hint="default" w:ascii="Times New Roman" w:hAnsi="Times New Roman" w:cs="Times New Roman"/>
                      <w:b w:val="0"/>
                      <w:bCs w:val="0"/>
                      <w:sz w:val="21"/>
                      <w:szCs w:val="21"/>
                      <w:vertAlign w:val="baseline"/>
                    </w:rPr>
                    <w:t>GB3838-2002</w:t>
                  </w:r>
                  <w:r>
                    <w:rPr>
                      <w:rFonts w:hint="eastAsia" w:cs="Times New Roman"/>
                      <w:b w:val="0"/>
                      <w:bCs w:val="0"/>
                      <w:sz w:val="21"/>
                      <w:szCs w:val="21"/>
                      <w:vertAlign w:val="baseline"/>
                      <w:lang w:eastAsia="zh-CN"/>
                    </w:rPr>
                    <w:t>）</w:t>
                  </w:r>
                </w:p>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vertAlign w:val="baseline"/>
                    </w:rPr>
                  </w:pPr>
                  <w:r>
                    <w:rPr>
                      <w:rFonts w:hint="default" w:ascii="Times New Roman" w:hAnsi="Times New Roman" w:cs="Times New Roman"/>
                      <w:b w:val="0"/>
                      <w:bCs w:val="0"/>
                      <w:sz w:val="21"/>
                      <w:szCs w:val="21"/>
                      <w:vertAlign w:val="baseline"/>
                    </w:rPr>
                    <w:t>Ⅲ类标准</w:t>
                  </w:r>
                </w:p>
              </w:tc>
            </w:tr>
          </w:tbl>
          <w:p>
            <w:pPr>
              <w:keepNext w:val="0"/>
              <w:keepLines w:val="0"/>
              <w:suppressLineNumbers w:val="0"/>
              <w:spacing w:before="0" w:beforeAutospacing="0" w:after="0" w:afterAutospacing="0" w:line="360" w:lineRule="auto"/>
              <w:ind w:left="0" w:right="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lang w:val="en-US" w:eastAsia="zh-CN"/>
              </w:rPr>
              <w:t>注：以项目厂房西南角为坐标原点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8" w:hRule="atLeast"/>
          <w:jc w:val="center"/>
        </w:trPr>
        <w:tc>
          <w:tcPr>
            <w:tcW w:w="465" w:type="dxa"/>
            <w:tcBorders>
              <w:left w:val="single" w:color="000000" w:sz="6" w:space="0"/>
            </w:tcBorders>
            <w:vAlign w:val="center"/>
          </w:tcPr>
          <w:p>
            <w:pPr>
              <w:keepNext w:val="0"/>
              <w:keepLines w:val="0"/>
              <w:suppressLineNumbers w:val="0"/>
              <w:spacing w:before="65" w:beforeAutospacing="0" w:after="0" w:afterAutospacing="0" w:line="229" w:lineRule="auto"/>
              <w:ind w:left="0" w:right="0"/>
              <w:jc w:val="center"/>
              <w:rPr>
                <w:rFonts w:hint="default" w:ascii="Times New Roman" w:hAnsi="Times New Roman" w:cs="Times New Roman"/>
                <w:b w:val="0"/>
                <w:bCs w:val="0"/>
                <w:sz w:val="24"/>
                <w:szCs w:val="24"/>
              </w:rPr>
            </w:pPr>
            <w:r>
              <w:rPr>
                <w:rFonts w:hint="default" w:ascii="Times New Roman" w:hAnsi="Times New Roman" w:cs="Times New Roman"/>
                <w:b w:val="0"/>
                <w:bCs w:val="0"/>
                <w:spacing w:val="4"/>
                <w:sz w:val="24"/>
                <w:szCs w:val="24"/>
              </w:rPr>
              <w:t>污</w:t>
            </w:r>
            <w:r>
              <w:rPr>
                <w:rFonts w:hint="default" w:ascii="Times New Roman" w:hAnsi="Times New Roman" w:cs="Times New Roman"/>
                <w:b w:val="0"/>
                <w:bCs w:val="0"/>
                <w:spacing w:val="3"/>
                <w:sz w:val="24"/>
                <w:szCs w:val="24"/>
              </w:rPr>
              <w:t>染</w:t>
            </w:r>
            <w:r>
              <w:rPr>
                <w:rFonts w:hint="default" w:ascii="Times New Roman" w:hAnsi="Times New Roman" w:cs="Times New Roman"/>
                <w:b w:val="0"/>
                <w:bCs w:val="0"/>
                <w:spacing w:val="5"/>
                <w:sz w:val="24"/>
                <w:szCs w:val="24"/>
              </w:rPr>
              <w:t>物</w:t>
            </w:r>
            <w:r>
              <w:rPr>
                <w:rFonts w:hint="default" w:ascii="Times New Roman" w:hAnsi="Times New Roman" w:cs="Times New Roman"/>
                <w:b w:val="0"/>
                <w:bCs w:val="0"/>
                <w:spacing w:val="4"/>
                <w:sz w:val="24"/>
                <w:szCs w:val="24"/>
              </w:rPr>
              <w:t>排</w:t>
            </w:r>
            <w:r>
              <w:rPr>
                <w:rFonts w:hint="default" w:ascii="Times New Roman" w:hAnsi="Times New Roman" w:cs="Times New Roman"/>
                <w:b w:val="0"/>
                <w:bCs w:val="0"/>
                <w:spacing w:val="5"/>
                <w:sz w:val="24"/>
                <w:szCs w:val="24"/>
              </w:rPr>
              <w:t>放</w:t>
            </w:r>
            <w:r>
              <w:rPr>
                <w:rFonts w:hint="default" w:ascii="Times New Roman" w:hAnsi="Times New Roman" w:cs="Times New Roman"/>
                <w:b w:val="0"/>
                <w:bCs w:val="0"/>
                <w:spacing w:val="4"/>
                <w:sz w:val="24"/>
                <w:szCs w:val="24"/>
              </w:rPr>
              <w:t>控制标</w:t>
            </w:r>
            <w:r>
              <w:rPr>
                <w:rFonts w:hint="default" w:ascii="Times New Roman" w:hAnsi="Times New Roman" w:cs="Times New Roman"/>
                <w:b w:val="0"/>
                <w:bCs w:val="0"/>
                <w:sz w:val="24"/>
                <w:szCs w:val="24"/>
              </w:rPr>
              <w:t>准</w:t>
            </w:r>
          </w:p>
        </w:tc>
        <w:tc>
          <w:tcPr>
            <w:tcW w:w="8663" w:type="dxa"/>
            <w:tcBorders>
              <w:right w:val="single" w:color="000000" w:sz="6" w:space="0"/>
            </w:tcBorders>
          </w:tcPr>
          <w:p>
            <w:pPr>
              <w:keepNext w:val="0"/>
              <w:keepLines w:val="0"/>
              <w:suppressLineNumbers w:val="0"/>
              <w:spacing w:before="0" w:beforeAutospacing="0" w:after="0" w:afterAutospacing="0" w:line="360" w:lineRule="auto"/>
              <w:ind w:left="0" w:right="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1、大气污染物</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项目营运期非甲烷总烃</w:t>
            </w:r>
            <w:r>
              <w:rPr>
                <w:rFonts w:hint="eastAsia" w:cs="Times New Roman"/>
                <w:b w:val="0"/>
                <w:bCs w:val="0"/>
                <w:sz w:val="24"/>
                <w:szCs w:val="24"/>
                <w:lang w:eastAsia="zh-CN"/>
              </w:rPr>
              <w:t>、</w:t>
            </w:r>
            <w:r>
              <w:rPr>
                <w:rFonts w:hint="eastAsia" w:cs="Times New Roman"/>
                <w:b w:val="0"/>
                <w:bCs w:val="0"/>
                <w:sz w:val="24"/>
                <w:szCs w:val="24"/>
                <w:lang w:val="en-US" w:eastAsia="zh-CN"/>
              </w:rPr>
              <w:t>硫酸雾、氯化氢</w:t>
            </w:r>
            <w:r>
              <w:rPr>
                <w:rFonts w:hint="default" w:ascii="Times New Roman" w:hAnsi="Times New Roman" w:cs="Times New Roman"/>
                <w:b w:val="0"/>
                <w:bCs w:val="0"/>
                <w:sz w:val="24"/>
                <w:szCs w:val="24"/>
              </w:rPr>
              <w:t>参照执行《大气污染物综合排放标准》（GB16297-1996）表2中新污染源大气污染物项目排放限值；企业厂区内VOCS无组织排放监控点浓度执行《挥发性有机物无组织排放控制标准》（GB37822-2019）中表A.1厂区内VOCs无组织特别排放限值，具体见下表：</w:t>
            </w:r>
          </w:p>
          <w:p>
            <w:pPr>
              <w:pStyle w:val="11"/>
              <w:keepNext w:val="0"/>
              <w:keepLines w:val="0"/>
              <w:suppressLineNumbers w:val="0"/>
              <w:bidi w:val="0"/>
              <w:spacing w:before="0" w:after="0" w:afterAutospacing="0"/>
              <w:ind w:right="0"/>
              <w:rPr>
                <w:rFonts w:hint="default"/>
              </w:rPr>
            </w:pPr>
            <w:r>
              <w:rPr>
                <w:rFonts w:hint="default"/>
              </w:rPr>
              <w:t>表3-1</w:t>
            </w:r>
            <w:r>
              <w:rPr>
                <w:rFonts w:hint="eastAsia"/>
                <w:lang w:val="en-US" w:eastAsia="zh-CN"/>
              </w:rPr>
              <w:t>1</w:t>
            </w:r>
            <w:r>
              <w:rPr>
                <w:rFonts w:hint="default"/>
                <w:lang w:val="en-US" w:eastAsia="zh-CN"/>
              </w:rPr>
              <w:t xml:space="preserve"> </w:t>
            </w:r>
            <w:r>
              <w:rPr>
                <w:rFonts w:hint="default"/>
              </w:rPr>
              <w:t>大气污染物综合排放标准</w:t>
            </w:r>
          </w:p>
          <w:tbl>
            <w:tblPr>
              <w:tblStyle w:val="26"/>
              <w:tblW w:w="8527" w:type="dxa"/>
              <w:jc w:val="center"/>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673"/>
              <w:gridCol w:w="1375"/>
              <w:gridCol w:w="1024"/>
              <w:gridCol w:w="1346"/>
              <w:gridCol w:w="1781"/>
              <w:gridCol w:w="1328"/>
            </w:tblGrid>
            <w:tr>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1673"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污染物</w:t>
                  </w:r>
                </w:p>
              </w:tc>
              <w:tc>
                <w:tcPr>
                  <w:tcW w:w="1375" w:type="dxa"/>
                  <w:vMerge w:val="restart"/>
                  <w:tcBorders>
                    <w:bottom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cs="Times New Roman"/>
                      <w:b w:val="0"/>
                      <w:bCs w:val="0"/>
                      <w:sz w:val="21"/>
                      <w:szCs w:val="21"/>
                    </w:rPr>
                    <w:t>最高允许排放浓度</w:t>
                  </w:r>
                  <w:r>
                    <w:rPr>
                      <w:rFonts w:hint="eastAsia" w:cs="Times New Roman"/>
                      <w:b w:val="0"/>
                      <w:bCs w:val="0"/>
                      <w:sz w:val="21"/>
                      <w:szCs w:val="21"/>
                      <w:lang w:eastAsia="zh-CN"/>
                    </w:rPr>
                    <w:t>（</w:t>
                  </w:r>
                  <w:r>
                    <w:rPr>
                      <w:rFonts w:hint="default" w:ascii="Times New Roman" w:hAnsi="Times New Roman" w:cs="Times New Roman"/>
                      <w:b w:val="0"/>
                      <w:bCs w:val="0"/>
                      <w:sz w:val="21"/>
                      <w:szCs w:val="21"/>
                    </w:rPr>
                    <w:t>mg/m</w:t>
                  </w:r>
                  <w:r>
                    <w:rPr>
                      <w:rFonts w:hint="default" w:ascii="Times New Roman" w:hAnsi="Times New Roman" w:cs="Times New Roman"/>
                      <w:b w:val="0"/>
                      <w:bCs w:val="0"/>
                      <w:sz w:val="21"/>
                      <w:szCs w:val="21"/>
                      <w:vertAlign w:val="superscript"/>
                    </w:rPr>
                    <w:t>3</w:t>
                  </w:r>
                  <w:r>
                    <w:rPr>
                      <w:rFonts w:hint="eastAsia" w:cs="Times New Roman"/>
                      <w:b w:val="0"/>
                      <w:bCs w:val="0"/>
                      <w:sz w:val="21"/>
                      <w:szCs w:val="21"/>
                      <w:lang w:eastAsia="zh-CN"/>
                    </w:rPr>
                    <w:t>）</w:t>
                  </w:r>
                </w:p>
              </w:tc>
              <w:tc>
                <w:tcPr>
                  <w:tcW w:w="1024" w:type="dxa"/>
                  <w:vMerge w:val="restart"/>
                  <w:tcBorders>
                    <w:bottom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cs="Times New Roman"/>
                      <w:b w:val="0"/>
                      <w:bCs w:val="0"/>
                      <w:sz w:val="21"/>
                      <w:szCs w:val="21"/>
                    </w:rPr>
                    <w:t>排气筒高度</w:t>
                  </w:r>
                  <w:r>
                    <w:rPr>
                      <w:rFonts w:hint="eastAsia" w:cs="Times New Roman"/>
                      <w:b w:val="0"/>
                      <w:bCs w:val="0"/>
                      <w:sz w:val="21"/>
                      <w:szCs w:val="21"/>
                      <w:lang w:eastAsia="zh-CN"/>
                    </w:rPr>
                    <w:t>（</w:t>
                  </w:r>
                  <w:r>
                    <w:rPr>
                      <w:rFonts w:hint="default" w:ascii="Times New Roman" w:hAnsi="Times New Roman" w:cs="Times New Roman"/>
                      <w:b w:val="0"/>
                      <w:bCs w:val="0"/>
                      <w:sz w:val="21"/>
                      <w:szCs w:val="21"/>
                    </w:rPr>
                    <w:t>m</w:t>
                  </w:r>
                  <w:r>
                    <w:rPr>
                      <w:rFonts w:hint="eastAsia" w:cs="Times New Roman"/>
                      <w:b w:val="0"/>
                      <w:bCs w:val="0"/>
                      <w:sz w:val="21"/>
                      <w:szCs w:val="21"/>
                      <w:lang w:eastAsia="zh-CN"/>
                    </w:rPr>
                    <w:t>）</w:t>
                  </w:r>
                </w:p>
              </w:tc>
              <w:tc>
                <w:tcPr>
                  <w:tcW w:w="1346" w:type="dxa"/>
                  <w:vMerge w:val="restart"/>
                  <w:tcBorders>
                    <w:bottom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cs="Times New Roman"/>
                      <w:b w:val="0"/>
                      <w:bCs w:val="0"/>
                      <w:sz w:val="21"/>
                      <w:szCs w:val="21"/>
                    </w:rPr>
                    <w:t>最高允许排放速率</w:t>
                  </w:r>
                  <w:r>
                    <w:rPr>
                      <w:rFonts w:hint="eastAsia" w:cs="Times New Roman"/>
                      <w:b w:val="0"/>
                      <w:bCs w:val="0"/>
                      <w:sz w:val="21"/>
                      <w:szCs w:val="21"/>
                      <w:lang w:eastAsia="zh-CN"/>
                    </w:rPr>
                    <w:t>（</w:t>
                  </w:r>
                  <w:r>
                    <w:rPr>
                      <w:rFonts w:hint="default" w:ascii="Times New Roman" w:hAnsi="Times New Roman" w:cs="Times New Roman"/>
                      <w:b w:val="0"/>
                      <w:bCs w:val="0"/>
                      <w:sz w:val="21"/>
                      <w:szCs w:val="21"/>
                    </w:rPr>
                    <w:t>kg/h</w:t>
                  </w:r>
                  <w:r>
                    <w:rPr>
                      <w:rFonts w:hint="eastAsia" w:cs="Times New Roman"/>
                      <w:b w:val="0"/>
                      <w:bCs w:val="0"/>
                      <w:sz w:val="21"/>
                      <w:szCs w:val="21"/>
                      <w:lang w:eastAsia="zh-CN"/>
                    </w:rPr>
                    <w:t>）</w:t>
                  </w:r>
                </w:p>
              </w:tc>
              <w:tc>
                <w:tcPr>
                  <w:tcW w:w="3109" w:type="dxa"/>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无组织排放浓度限值</w:t>
                  </w:r>
                </w:p>
              </w:tc>
            </w:tr>
            <w:tr>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1673"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c>
                <w:tcPr>
                  <w:tcW w:w="1375"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c>
                <w:tcPr>
                  <w:tcW w:w="1024"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c>
                <w:tcPr>
                  <w:tcW w:w="1346"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c>
                <w:tcPr>
                  <w:tcW w:w="1781"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监控点</w:t>
                  </w:r>
                </w:p>
              </w:tc>
              <w:tc>
                <w:tcPr>
                  <w:tcW w:w="1328"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kern w:val="2"/>
                      <w:sz w:val="21"/>
                      <w:szCs w:val="21"/>
                      <w:lang w:val="en-US" w:eastAsia="zh-CN" w:bidi="ar-SA"/>
                    </w:rPr>
                  </w:pPr>
                  <w:r>
                    <w:rPr>
                      <w:rFonts w:hint="default" w:ascii="Times New Roman" w:hAnsi="Times New Roman" w:cs="Times New Roman"/>
                      <w:b w:val="0"/>
                      <w:bCs w:val="0"/>
                      <w:sz w:val="21"/>
                      <w:szCs w:val="21"/>
                    </w:rPr>
                    <w:t>浓度</w:t>
                  </w:r>
                  <w:r>
                    <w:rPr>
                      <w:rFonts w:hint="eastAsia" w:cs="Times New Roman"/>
                      <w:b w:val="0"/>
                      <w:bCs w:val="0"/>
                      <w:sz w:val="21"/>
                      <w:szCs w:val="21"/>
                      <w:lang w:eastAsia="zh-CN"/>
                    </w:rPr>
                    <w:t>（</w:t>
                  </w:r>
                  <w:r>
                    <w:rPr>
                      <w:rFonts w:hint="default" w:ascii="Times New Roman" w:hAnsi="Times New Roman" w:cs="Times New Roman"/>
                      <w:b w:val="0"/>
                      <w:bCs w:val="0"/>
                      <w:sz w:val="21"/>
                      <w:szCs w:val="21"/>
                    </w:rPr>
                    <w:t>mg/m</w:t>
                  </w:r>
                  <w:r>
                    <w:rPr>
                      <w:rFonts w:hint="default" w:ascii="Times New Roman" w:hAnsi="Times New Roman" w:cs="Times New Roman"/>
                      <w:b w:val="0"/>
                      <w:bCs w:val="0"/>
                      <w:sz w:val="21"/>
                      <w:szCs w:val="21"/>
                      <w:vertAlign w:val="superscript"/>
                    </w:rPr>
                    <w:t>3</w:t>
                  </w:r>
                  <w:r>
                    <w:rPr>
                      <w:rFonts w:hint="eastAsia" w:cs="Times New Roman"/>
                      <w:b w:val="0"/>
                      <w:bCs w:val="0"/>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167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auto"/>
                      <w:sz w:val="21"/>
                      <w:szCs w:val="21"/>
                    </w:rPr>
                    <w:t>非甲烷总烃</w:t>
                  </w:r>
                </w:p>
              </w:tc>
              <w:tc>
                <w:tcPr>
                  <w:tcW w:w="13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120</w:t>
                  </w:r>
                </w:p>
              </w:tc>
              <w:tc>
                <w:tcPr>
                  <w:tcW w:w="102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25</w:t>
                  </w:r>
                </w:p>
              </w:tc>
              <w:tc>
                <w:tcPr>
                  <w:tcW w:w="1346"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1</w:t>
                  </w:r>
                  <w:r>
                    <w:rPr>
                      <w:rFonts w:hint="eastAsia" w:cs="Times New Roman"/>
                      <w:b w:val="0"/>
                      <w:bCs w:val="0"/>
                      <w:color w:val="000000" w:themeColor="text1"/>
                      <w:sz w:val="21"/>
                      <w:szCs w:val="21"/>
                      <w:lang w:val="en-US" w:eastAsia="zh-CN"/>
                      <w14:textFill>
                        <w14:solidFill>
                          <w14:schemeClr w14:val="tx1"/>
                        </w14:solidFill>
                      </w14:textFill>
                    </w:rPr>
                    <w:t>7</w:t>
                  </w:r>
                </w:p>
              </w:tc>
              <w:tc>
                <w:tcPr>
                  <w:tcW w:w="1781"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周界外浓度最高点</w:t>
                  </w:r>
                </w:p>
              </w:tc>
              <w:tc>
                <w:tcPr>
                  <w:tcW w:w="132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4.0</w:t>
                  </w:r>
                </w:p>
              </w:tc>
            </w:tr>
            <w:tr>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167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硫酸雾</w:t>
                  </w:r>
                </w:p>
              </w:tc>
              <w:tc>
                <w:tcPr>
                  <w:tcW w:w="13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45</w:t>
                  </w:r>
                </w:p>
              </w:tc>
              <w:tc>
                <w:tcPr>
                  <w:tcW w:w="102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25</w:t>
                  </w:r>
                </w:p>
              </w:tc>
              <w:tc>
                <w:tcPr>
                  <w:tcW w:w="134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2.6</w:t>
                  </w:r>
                </w:p>
              </w:tc>
              <w:tc>
                <w:tcPr>
                  <w:tcW w:w="1781"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周界外浓度最高点</w:t>
                  </w:r>
                </w:p>
              </w:tc>
              <w:tc>
                <w:tcPr>
                  <w:tcW w:w="132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eastAsia" w:cs="Times New Roman"/>
                      <w:b w:val="0"/>
                      <w:bCs w:val="0"/>
                      <w:kern w:val="2"/>
                      <w:sz w:val="21"/>
                      <w:szCs w:val="21"/>
                      <w:lang w:val="en-US" w:eastAsia="zh-CN" w:bidi="ar-SA"/>
                    </w:rPr>
                    <w:t>1.2</w:t>
                  </w:r>
                </w:p>
              </w:tc>
            </w:tr>
            <w:tr>
              <w:tblPrEx>
                <w:tblBorders>
                  <w:top w:val="single" w:color="auto" w:sz="4" w:space="0"/>
                  <w:left w:val="none" w:color="auto" w:sz="0" w:space="0"/>
                  <w:bottom w:val="single" w:color="auto" w:sz="4"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167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氯化氢</w:t>
                  </w:r>
                </w:p>
              </w:tc>
              <w:tc>
                <w:tcPr>
                  <w:tcW w:w="137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100</w:t>
                  </w:r>
                </w:p>
              </w:tc>
              <w:tc>
                <w:tcPr>
                  <w:tcW w:w="102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25</w:t>
                  </w:r>
                </w:p>
              </w:tc>
              <w:tc>
                <w:tcPr>
                  <w:tcW w:w="134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0.43</w:t>
                  </w:r>
                </w:p>
              </w:tc>
              <w:tc>
                <w:tcPr>
                  <w:tcW w:w="1781"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周界外浓度最高点</w:t>
                  </w:r>
                </w:p>
              </w:tc>
              <w:tc>
                <w:tcPr>
                  <w:tcW w:w="132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cs="Times New Roman"/>
                      <w:b w:val="0"/>
                      <w:bCs w:val="0"/>
                      <w:color w:val="000000" w:themeColor="text1"/>
                      <w:kern w:val="2"/>
                      <w:sz w:val="21"/>
                      <w:szCs w:val="21"/>
                      <w:lang w:val="en-US" w:eastAsia="zh-CN" w:bidi="ar-SA"/>
                      <w14:textFill>
                        <w14:solidFill>
                          <w14:schemeClr w14:val="tx1"/>
                        </w14:solidFill>
                      </w14:textFill>
                    </w:rPr>
                    <w:t>0.20</w:t>
                  </w:r>
                </w:p>
              </w:tc>
            </w:tr>
          </w:tbl>
          <w:p>
            <w:pPr>
              <w:pStyle w:val="11"/>
              <w:keepNext w:val="0"/>
              <w:keepLines w:val="0"/>
              <w:suppressLineNumbers w:val="0"/>
              <w:bidi w:val="0"/>
              <w:spacing w:before="0" w:after="0" w:afterAutospacing="0"/>
              <w:ind w:right="0"/>
              <w:rPr>
                <w:rFonts w:hint="default"/>
                <w:lang w:val="en-US" w:eastAsia="zh-CN"/>
              </w:rPr>
            </w:pPr>
            <w:r>
              <w:rPr>
                <w:rFonts w:hint="default"/>
                <w:lang w:val="en-US" w:eastAsia="zh-CN"/>
              </w:rPr>
              <w:t>表3-1</w:t>
            </w:r>
            <w:r>
              <w:rPr>
                <w:rFonts w:hint="eastAsia"/>
                <w:lang w:val="en-US" w:eastAsia="zh-CN"/>
              </w:rPr>
              <w:t>2</w:t>
            </w:r>
            <w:r>
              <w:rPr>
                <w:rFonts w:hint="default"/>
                <w:lang w:val="en-US" w:eastAsia="zh-CN"/>
              </w:rPr>
              <w:t xml:space="preserve"> 《挥发性有机物无组织排放控制标准》</w:t>
            </w:r>
            <w:r>
              <w:rPr>
                <w:rFonts w:hint="eastAsia"/>
                <w:lang w:val="en-US" w:eastAsia="zh-CN"/>
              </w:rPr>
              <w:t>（</w:t>
            </w:r>
            <w:r>
              <w:rPr>
                <w:rFonts w:hint="default"/>
                <w:lang w:val="en-US" w:eastAsia="zh-CN"/>
              </w:rPr>
              <w:t>GB37822-2019</w:t>
            </w:r>
            <w:r>
              <w:rPr>
                <w:rFonts w:hint="eastAsia"/>
                <w:lang w:val="en-US" w:eastAsia="zh-CN"/>
              </w:rPr>
              <w:t>）</w:t>
            </w:r>
            <w:r>
              <w:rPr>
                <w:rFonts w:hint="default"/>
                <w:lang w:val="en-US" w:eastAsia="zh-CN"/>
              </w:rPr>
              <w:t xml:space="preserve"> 单位：mg/m</w:t>
            </w:r>
            <w:r>
              <w:rPr>
                <w:rFonts w:hint="default"/>
                <w:vertAlign w:val="superscript"/>
                <w:lang w:val="en-US" w:eastAsia="zh-CN"/>
              </w:rPr>
              <w:t>3</w:t>
            </w:r>
          </w:p>
          <w:tbl>
            <w:tblPr>
              <w:tblStyle w:val="19"/>
              <w:tblW w:w="8596"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4"/>
              <w:gridCol w:w="1534"/>
              <w:gridCol w:w="2539"/>
              <w:gridCol w:w="32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4" w:type="dxa"/>
                </w:tcPr>
                <w:p>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污染物项目</w:t>
                  </w:r>
                </w:p>
              </w:tc>
              <w:tc>
                <w:tcPr>
                  <w:tcW w:w="1534" w:type="dxa"/>
                </w:tcPr>
                <w:p>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特别排放限值</w:t>
                  </w:r>
                </w:p>
              </w:tc>
              <w:tc>
                <w:tcPr>
                  <w:tcW w:w="253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限值意义</w:t>
                  </w:r>
                </w:p>
              </w:tc>
              <w:tc>
                <w:tcPr>
                  <w:tcW w:w="3229" w:type="dxa"/>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无组织排放监控位置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4" w:type="dxa"/>
                  <w:vMerge w:val="restart"/>
                  <w:vAlign w:val="center"/>
                </w:tcPr>
                <w:p>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NMHC</w:t>
                  </w:r>
                </w:p>
              </w:tc>
              <w:tc>
                <w:tcPr>
                  <w:tcW w:w="1534" w:type="dxa"/>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val="0"/>
                      <w:bCs w:val="0"/>
                      <w:sz w:val="21"/>
                      <w:szCs w:val="21"/>
                      <w:lang w:val="en-US"/>
                    </w:rPr>
                  </w:pPr>
                  <w:r>
                    <w:rPr>
                      <w:rFonts w:hint="default" w:ascii="Times New Roman" w:hAnsi="Times New Roman" w:eastAsia="宋体" w:cs="Times New Roman"/>
                      <w:b w:val="0"/>
                      <w:bCs w:val="0"/>
                      <w:color w:val="000000"/>
                      <w:kern w:val="0"/>
                      <w:sz w:val="21"/>
                      <w:szCs w:val="21"/>
                      <w:lang w:val="en-US" w:eastAsia="zh-CN" w:bidi="ar"/>
                    </w:rPr>
                    <w:t>6</w:t>
                  </w:r>
                </w:p>
              </w:tc>
              <w:tc>
                <w:tcPr>
                  <w:tcW w:w="2539" w:type="dxa"/>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val="0"/>
                      <w:bCs w:val="0"/>
                      <w:sz w:val="21"/>
                      <w:szCs w:val="21"/>
                      <w:lang w:val="en-US"/>
                    </w:rPr>
                  </w:pPr>
                  <w:r>
                    <w:rPr>
                      <w:rFonts w:hint="default" w:ascii="Times New Roman" w:hAnsi="Times New Roman" w:eastAsia="宋体" w:cs="Times New Roman"/>
                      <w:b w:val="0"/>
                      <w:bCs w:val="0"/>
                      <w:color w:val="000000"/>
                      <w:kern w:val="0"/>
                      <w:sz w:val="21"/>
                      <w:szCs w:val="21"/>
                      <w:lang w:val="en-US" w:eastAsia="zh-CN" w:bidi="ar"/>
                    </w:rPr>
                    <w:t>监控点处1h平均浓度值</w:t>
                  </w:r>
                </w:p>
              </w:tc>
              <w:tc>
                <w:tcPr>
                  <w:tcW w:w="3229" w:type="dxa"/>
                  <w:vMerge w:val="restart"/>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val="0"/>
                      <w:bCs w:val="0"/>
                      <w:sz w:val="21"/>
                      <w:szCs w:val="21"/>
                      <w:lang w:val="en-US"/>
                    </w:rPr>
                  </w:pPr>
                  <w:r>
                    <w:rPr>
                      <w:rFonts w:hint="default" w:ascii="Times New Roman" w:hAnsi="Times New Roman" w:eastAsia="宋体" w:cs="Times New Roman"/>
                      <w:b w:val="0"/>
                      <w:bCs w:val="0"/>
                      <w:color w:val="000000"/>
                      <w:kern w:val="0"/>
                      <w:sz w:val="21"/>
                      <w:szCs w:val="21"/>
                      <w:lang w:val="en-US" w:eastAsia="zh-CN" w:bidi="ar"/>
                    </w:rPr>
                    <w:t>在厂房外设置监控点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4" w:type="dxa"/>
                  <w:vMerge w:val="continue"/>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val="0"/>
                      <w:bCs w:val="0"/>
                      <w:sz w:val="21"/>
                      <w:szCs w:val="21"/>
                      <w:lang w:val="en-US"/>
                    </w:rPr>
                  </w:pPr>
                </w:p>
              </w:tc>
              <w:tc>
                <w:tcPr>
                  <w:tcW w:w="1534" w:type="dxa"/>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val="0"/>
                      <w:bCs w:val="0"/>
                      <w:sz w:val="21"/>
                      <w:szCs w:val="21"/>
                      <w:lang w:val="en-US"/>
                    </w:rPr>
                  </w:pPr>
                  <w:r>
                    <w:rPr>
                      <w:rFonts w:hint="default" w:ascii="Times New Roman" w:hAnsi="Times New Roman" w:eastAsia="宋体" w:cs="Times New Roman"/>
                      <w:b w:val="0"/>
                      <w:bCs w:val="0"/>
                      <w:color w:val="000000"/>
                      <w:kern w:val="0"/>
                      <w:sz w:val="21"/>
                      <w:szCs w:val="21"/>
                      <w:lang w:val="en-US" w:eastAsia="zh-CN" w:bidi="ar"/>
                    </w:rPr>
                    <w:t>20</w:t>
                  </w:r>
                </w:p>
              </w:tc>
              <w:tc>
                <w:tcPr>
                  <w:tcW w:w="2539" w:type="dxa"/>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b w:val="0"/>
                      <w:bCs w:val="0"/>
                      <w:sz w:val="21"/>
                      <w:szCs w:val="21"/>
                      <w:lang w:val="en-US"/>
                    </w:rPr>
                  </w:pPr>
                  <w:r>
                    <w:rPr>
                      <w:rFonts w:hint="default" w:ascii="Times New Roman" w:hAnsi="Times New Roman" w:eastAsia="宋体" w:cs="Times New Roman"/>
                      <w:b w:val="0"/>
                      <w:bCs w:val="0"/>
                      <w:color w:val="000000"/>
                      <w:kern w:val="0"/>
                      <w:sz w:val="21"/>
                      <w:szCs w:val="21"/>
                      <w:lang w:val="en-US" w:eastAsia="zh-CN" w:bidi="ar"/>
                    </w:rPr>
                    <w:t>监控点处任意一次浓度值</w:t>
                  </w:r>
                </w:p>
              </w:tc>
              <w:tc>
                <w:tcPr>
                  <w:tcW w:w="3229" w:type="dxa"/>
                  <w:vMerge w:val="continue"/>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val="0"/>
                      <w:bCs w:val="0"/>
                      <w:sz w:val="21"/>
                      <w:szCs w:val="21"/>
                      <w:lang w:val="en-US"/>
                    </w:rPr>
                  </w:pPr>
                </w:p>
              </w:tc>
            </w:tr>
          </w:tbl>
          <w:p>
            <w:pPr>
              <w:keepNext w:val="0"/>
              <w:keepLines w:val="0"/>
              <w:suppressLineNumbers w:val="0"/>
              <w:spacing w:before="0" w:beforeAutospacing="0" w:after="0" w:afterAutospacing="0" w:line="360" w:lineRule="auto"/>
              <w:ind w:left="0" w:right="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2、水污染物</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lang w:val="en-US" w:eastAsia="zh-CN"/>
              </w:rPr>
              <w:t>清洗废水、</w:t>
            </w:r>
            <w:r>
              <w:rPr>
                <w:rFonts w:hint="default" w:ascii="Times New Roman" w:hAnsi="Times New Roman" w:cs="Times New Roman"/>
                <w:b w:val="0"/>
                <w:bCs w:val="0"/>
                <w:sz w:val="24"/>
                <w:szCs w:val="24"/>
              </w:rPr>
              <w:t>纯水制备废水接</w:t>
            </w:r>
            <w:r>
              <w:rPr>
                <w:rFonts w:hint="eastAsia" w:ascii="Times New Roman" w:hAnsi="Times New Roman" w:cs="Times New Roman"/>
                <w:b w:val="0"/>
                <w:bCs w:val="0"/>
                <w:sz w:val="24"/>
                <w:szCs w:val="24"/>
                <w:lang w:val="en-US" w:eastAsia="zh-CN"/>
              </w:rPr>
              <w:t>入</w:t>
            </w:r>
            <w:r>
              <w:rPr>
                <w:rFonts w:hint="default" w:ascii="Times New Roman" w:hAnsi="Times New Roman" w:cs="Times New Roman"/>
                <w:b w:val="0"/>
                <w:bCs w:val="0"/>
                <w:sz w:val="24"/>
                <w:szCs w:val="24"/>
              </w:rPr>
              <w:t>市政污水管网；生活污水经化粪池处理后纳管排入山南新区污水处理厂处理，废水排放执行《电子工业水污染物排放标准》</w:t>
            </w:r>
            <w:r>
              <w:rPr>
                <w:rFonts w:hint="eastAsia" w:cs="Times New Roman"/>
                <w:b w:val="0"/>
                <w:bCs w:val="0"/>
                <w:sz w:val="24"/>
                <w:szCs w:val="24"/>
                <w:lang w:eastAsia="zh-CN"/>
              </w:rPr>
              <w:t>（</w:t>
            </w:r>
            <w:r>
              <w:rPr>
                <w:rFonts w:hint="default" w:ascii="Times New Roman" w:hAnsi="Times New Roman" w:cs="Times New Roman"/>
                <w:b w:val="0"/>
                <w:bCs w:val="0"/>
                <w:sz w:val="24"/>
                <w:szCs w:val="24"/>
              </w:rPr>
              <w:t>GB39731-2020</w:t>
            </w:r>
            <w:r>
              <w:rPr>
                <w:rFonts w:hint="eastAsia" w:cs="Times New Roman"/>
                <w:b w:val="0"/>
                <w:bCs w:val="0"/>
                <w:sz w:val="24"/>
                <w:szCs w:val="24"/>
                <w:lang w:eastAsia="zh-CN"/>
              </w:rPr>
              <w:t>）</w:t>
            </w:r>
            <w:r>
              <w:rPr>
                <w:rFonts w:hint="default" w:ascii="Times New Roman" w:hAnsi="Times New Roman" w:cs="Times New Roman"/>
                <w:b w:val="0"/>
                <w:bCs w:val="0"/>
                <w:sz w:val="24"/>
                <w:szCs w:val="24"/>
              </w:rPr>
              <w:t>表1中水污染物间接排放标准和山南污水处理厂接管限值；山南新区污水处理厂出水水质执行《城镇污水处理厂污染物排放标准》</w:t>
            </w:r>
            <w:r>
              <w:rPr>
                <w:rFonts w:hint="eastAsia" w:cs="Times New Roman"/>
                <w:b w:val="0"/>
                <w:bCs w:val="0"/>
                <w:sz w:val="24"/>
                <w:szCs w:val="24"/>
                <w:lang w:eastAsia="zh-CN"/>
              </w:rPr>
              <w:t>（</w:t>
            </w:r>
            <w:r>
              <w:rPr>
                <w:rFonts w:hint="default" w:ascii="Times New Roman" w:hAnsi="Times New Roman" w:cs="Times New Roman"/>
                <w:b w:val="0"/>
                <w:bCs w:val="0"/>
                <w:sz w:val="24"/>
                <w:szCs w:val="24"/>
              </w:rPr>
              <w:t>GB18918-2002</w:t>
            </w:r>
            <w:r>
              <w:rPr>
                <w:rFonts w:hint="eastAsia" w:cs="Times New Roman"/>
                <w:b w:val="0"/>
                <w:bCs w:val="0"/>
                <w:sz w:val="24"/>
                <w:szCs w:val="24"/>
                <w:lang w:eastAsia="zh-CN"/>
              </w:rPr>
              <w:t>）</w:t>
            </w:r>
            <w:r>
              <w:rPr>
                <w:rFonts w:hint="default" w:ascii="Times New Roman" w:hAnsi="Times New Roman" w:cs="Times New Roman"/>
                <w:b w:val="0"/>
                <w:bCs w:val="0"/>
                <w:sz w:val="24"/>
                <w:szCs w:val="24"/>
              </w:rPr>
              <w:t>一级A标准。废水排放标准见下表：</w:t>
            </w:r>
          </w:p>
          <w:p>
            <w:pPr>
              <w:pStyle w:val="11"/>
              <w:keepNext w:val="0"/>
              <w:keepLines w:val="0"/>
              <w:suppressLineNumbers w:val="0"/>
              <w:bidi w:val="0"/>
              <w:spacing w:before="0" w:after="0" w:afterAutospacing="0"/>
              <w:ind w:right="0"/>
              <w:rPr>
                <w:rFonts w:hint="default"/>
              </w:rPr>
            </w:pPr>
            <w:r>
              <w:rPr>
                <w:rFonts w:hint="default"/>
              </w:rPr>
              <w:t>表3-</w:t>
            </w:r>
            <w:r>
              <w:rPr>
                <w:rFonts w:hint="eastAsia"/>
                <w:lang w:val="en-US" w:eastAsia="zh-CN"/>
              </w:rPr>
              <w:t>13</w:t>
            </w:r>
            <w:r>
              <w:rPr>
                <w:rFonts w:hint="default"/>
                <w:lang w:val="en-US" w:eastAsia="zh-CN"/>
              </w:rPr>
              <w:t xml:space="preserve"> </w:t>
            </w:r>
            <w:r>
              <w:rPr>
                <w:rFonts w:hint="default"/>
              </w:rPr>
              <w:t>废水排放执行标准</w:t>
            </w:r>
          </w:p>
          <w:tbl>
            <w:tblPr>
              <w:tblStyle w:val="19"/>
              <w:tblW w:w="858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586"/>
              <w:gridCol w:w="1559"/>
              <w:gridCol w:w="1985"/>
              <w:gridCol w:w="1275"/>
              <w:gridCol w:w="993"/>
              <w:gridCol w:w="218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序号</w:t>
                  </w:r>
                </w:p>
              </w:tc>
              <w:tc>
                <w:tcPr>
                  <w:tcW w:w="1559"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污染物项目</w:t>
                  </w:r>
                </w:p>
              </w:tc>
              <w:tc>
                <w:tcPr>
                  <w:tcW w:w="19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《电子工业水污染排放标准》（GB39731-2020）中间接排放标准</w:t>
                  </w:r>
                </w:p>
              </w:tc>
              <w:tc>
                <w:tcPr>
                  <w:tcW w:w="12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污水处理厂接管限值</w:t>
                  </w:r>
                </w:p>
              </w:tc>
              <w:tc>
                <w:tcPr>
                  <w:tcW w:w="99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本项目执行标准</w:t>
                  </w:r>
                </w:p>
              </w:tc>
              <w:tc>
                <w:tcPr>
                  <w:tcW w:w="2188" w:type="dxa"/>
                  <w:vAlign w:val="center"/>
                </w:tcPr>
                <w:p>
                  <w:pPr>
                    <w:keepNext w:val="0"/>
                    <w:keepLines w:val="0"/>
                    <w:suppressLineNumbers w:val="0"/>
                    <w:spacing w:before="0" w:beforeAutospacing="0" w:after="0" w:afterAutospacing="0"/>
                    <w:ind w:left="0" w:right="0"/>
                    <w:jc w:val="both"/>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山南新区污水处理厂尾水排放标准（GB18918-2002中一级A标准）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w:t>
                  </w:r>
                </w:p>
              </w:tc>
              <w:tc>
                <w:tcPr>
                  <w:tcW w:w="1559"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pH</w:t>
                  </w:r>
                </w:p>
              </w:tc>
              <w:tc>
                <w:tcPr>
                  <w:tcW w:w="19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6~9</w:t>
                  </w:r>
                </w:p>
              </w:tc>
              <w:tc>
                <w:tcPr>
                  <w:tcW w:w="12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6~9</w:t>
                  </w:r>
                </w:p>
              </w:tc>
              <w:tc>
                <w:tcPr>
                  <w:tcW w:w="99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6~9</w:t>
                  </w:r>
                </w:p>
              </w:tc>
              <w:tc>
                <w:tcPr>
                  <w:tcW w:w="218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w:t>
                  </w:r>
                </w:p>
              </w:tc>
              <w:tc>
                <w:tcPr>
                  <w:tcW w:w="1559"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COD（mg/L）</w:t>
                  </w:r>
                </w:p>
              </w:tc>
              <w:tc>
                <w:tcPr>
                  <w:tcW w:w="19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500</w:t>
                  </w:r>
                </w:p>
              </w:tc>
              <w:tc>
                <w:tcPr>
                  <w:tcW w:w="12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350</w:t>
                  </w:r>
                </w:p>
              </w:tc>
              <w:tc>
                <w:tcPr>
                  <w:tcW w:w="99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350</w:t>
                  </w:r>
                </w:p>
              </w:tc>
              <w:tc>
                <w:tcPr>
                  <w:tcW w:w="218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w:t>
                  </w:r>
                </w:p>
              </w:tc>
              <w:tc>
                <w:tcPr>
                  <w:tcW w:w="1559"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eastAsia="Times New Roman" w:cs="Times New Roman"/>
                      <w:b w:val="0"/>
                      <w:bCs w:val="0"/>
                      <w:spacing w:val="-1"/>
                      <w:sz w:val="21"/>
                      <w:szCs w:val="21"/>
                    </w:rPr>
                    <w:t>BOD</w:t>
                  </w:r>
                  <w:r>
                    <w:rPr>
                      <w:rFonts w:hint="default" w:ascii="Times New Roman" w:hAnsi="Times New Roman" w:eastAsia="Times New Roman" w:cs="Times New Roman"/>
                      <w:b w:val="0"/>
                      <w:bCs w:val="0"/>
                      <w:spacing w:val="-1"/>
                      <w:position w:val="-2"/>
                      <w:sz w:val="21"/>
                      <w:szCs w:val="21"/>
                      <w:vertAlign w:val="subscript"/>
                    </w:rPr>
                    <w:t>5</w:t>
                  </w:r>
                  <w:r>
                    <w:rPr>
                      <w:rFonts w:hint="eastAsia" w:eastAsia="宋体" w:cs="Times New Roman"/>
                      <w:b w:val="0"/>
                      <w:bCs w:val="0"/>
                      <w:spacing w:val="27"/>
                      <w:sz w:val="21"/>
                      <w:szCs w:val="21"/>
                      <w:lang w:eastAsia="zh-CN"/>
                    </w:rPr>
                    <w:t>（</w:t>
                  </w:r>
                  <w:r>
                    <w:rPr>
                      <w:rFonts w:hint="default" w:ascii="Times New Roman" w:hAnsi="Times New Roman" w:eastAsia="Times New Roman" w:cs="Times New Roman"/>
                      <w:b w:val="0"/>
                      <w:bCs w:val="0"/>
                      <w:sz w:val="21"/>
                      <w:szCs w:val="21"/>
                    </w:rPr>
                    <w:t>mg</w:t>
                  </w:r>
                  <w:r>
                    <w:rPr>
                      <w:rFonts w:hint="default" w:ascii="Times New Roman" w:hAnsi="Times New Roman" w:eastAsia="Times New Roman" w:cs="Times New Roman"/>
                      <w:b w:val="0"/>
                      <w:bCs w:val="0"/>
                      <w:spacing w:val="25"/>
                      <w:sz w:val="21"/>
                      <w:szCs w:val="21"/>
                    </w:rPr>
                    <w:t>/</w:t>
                  </w:r>
                  <w:r>
                    <w:rPr>
                      <w:rFonts w:hint="default" w:ascii="Times New Roman" w:hAnsi="Times New Roman" w:eastAsia="Times New Roman" w:cs="Times New Roman"/>
                      <w:b w:val="0"/>
                      <w:bCs w:val="0"/>
                      <w:sz w:val="21"/>
                      <w:szCs w:val="21"/>
                    </w:rPr>
                    <w:t>L</w:t>
                  </w:r>
                  <w:r>
                    <w:rPr>
                      <w:rFonts w:hint="eastAsia" w:eastAsia="宋体" w:cs="Times New Roman"/>
                      <w:b w:val="0"/>
                      <w:bCs w:val="0"/>
                      <w:spacing w:val="25"/>
                      <w:sz w:val="21"/>
                      <w:szCs w:val="21"/>
                      <w:lang w:eastAsia="zh-CN"/>
                    </w:rPr>
                    <w:t>）</w:t>
                  </w:r>
                </w:p>
              </w:tc>
              <w:tc>
                <w:tcPr>
                  <w:tcW w:w="19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w:t>
                  </w:r>
                </w:p>
              </w:tc>
              <w:tc>
                <w:tcPr>
                  <w:tcW w:w="12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300</w:t>
                  </w:r>
                </w:p>
              </w:tc>
              <w:tc>
                <w:tcPr>
                  <w:tcW w:w="99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300</w:t>
                  </w:r>
                </w:p>
              </w:tc>
              <w:tc>
                <w:tcPr>
                  <w:tcW w:w="218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w:t>
                  </w:r>
                </w:p>
              </w:tc>
              <w:tc>
                <w:tcPr>
                  <w:tcW w:w="1559"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eastAsia="Times New Roman" w:cs="Times New Roman"/>
                      <w:b w:val="0"/>
                      <w:bCs w:val="0"/>
                      <w:spacing w:val="-1"/>
                      <w:position w:val="2"/>
                      <w:sz w:val="21"/>
                      <w:szCs w:val="21"/>
                    </w:rPr>
                    <w:t>SS</w:t>
                  </w:r>
                  <w:r>
                    <w:rPr>
                      <w:rFonts w:hint="eastAsia" w:eastAsia="宋体" w:cs="Times New Roman"/>
                      <w:b w:val="0"/>
                      <w:bCs w:val="0"/>
                      <w:spacing w:val="-2"/>
                      <w:position w:val="2"/>
                      <w:sz w:val="21"/>
                      <w:szCs w:val="21"/>
                      <w:lang w:eastAsia="zh-CN"/>
                    </w:rPr>
                    <w:t>（</w:t>
                  </w:r>
                  <w:r>
                    <w:rPr>
                      <w:rFonts w:hint="default" w:ascii="Times New Roman" w:hAnsi="Times New Roman" w:eastAsia="Times New Roman" w:cs="Times New Roman"/>
                      <w:b w:val="0"/>
                      <w:bCs w:val="0"/>
                      <w:spacing w:val="-1"/>
                      <w:position w:val="2"/>
                      <w:sz w:val="21"/>
                      <w:szCs w:val="21"/>
                    </w:rPr>
                    <w:t>mg</w:t>
                  </w:r>
                  <w:r>
                    <w:rPr>
                      <w:rFonts w:hint="default" w:ascii="Times New Roman" w:hAnsi="Times New Roman" w:eastAsia="Times New Roman" w:cs="Times New Roman"/>
                      <w:b w:val="0"/>
                      <w:bCs w:val="0"/>
                      <w:spacing w:val="-2"/>
                      <w:position w:val="2"/>
                      <w:sz w:val="21"/>
                      <w:szCs w:val="21"/>
                    </w:rPr>
                    <w:t>/</w:t>
                  </w:r>
                  <w:r>
                    <w:rPr>
                      <w:rFonts w:hint="default" w:ascii="Times New Roman" w:hAnsi="Times New Roman" w:eastAsia="Times New Roman" w:cs="Times New Roman"/>
                      <w:b w:val="0"/>
                      <w:bCs w:val="0"/>
                      <w:spacing w:val="-1"/>
                      <w:position w:val="2"/>
                      <w:sz w:val="21"/>
                      <w:szCs w:val="21"/>
                    </w:rPr>
                    <w:t>L</w:t>
                  </w:r>
                  <w:r>
                    <w:rPr>
                      <w:rFonts w:hint="eastAsia" w:eastAsia="宋体" w:cs="Times New Roman"/>
                      <w:b w:val="0"/>
                      <w:bCs w:val="0"/>
                      <w:spacing w:val="-2"/>
                      <w:position w:val="2"/>
                      <w:sz w:val="21"/>
                      <w:szCs w:val="21"/>
                      <w:lang w:eastAsia="zh-CN"/>
                    </w:rPr>
                    <w:t>）</w:t>
                  </w:r>
                </w:p>
              </w:tc>
              <w:tc>
                <w:tcPr>
                  <w:tcW w:w="19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400</w:t>
                  </w:r>
                </w:p>
              </w:tc>
              <w:tc>
                <w:tcPr>
                  <w:tcW w:w="12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400</w:t>
                  </w:r>
                </w:p>
              </w:tc>
              <w:tc>
                <w:tcPr>
                  <w:tcW w:w="99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400</w:t>
                  </w:r>
                </w:p>
              </w:tc>
              <w:tc>
                <w:tcPr>
                  <w:tcW w:w="218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5</w:t>
                  </w:r>
                </w:p>
              </w:tc>
              <w:tc>
                <w:tcPr>
                  <w:tcW w:w="1559"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cs="Times New Roman"/>
                      <w:b w:val="0"/>
                      <w:bCs w:val="0"/>
                      <w:sz w:val="21"/>
                      <w:szCs w:val="21"/>
                    </w:rPr>
                    <w:t>NH</w:t>
                  </w:r>
                  <w:r>
                    <w:rPr>
                      <w:rFonts w:hint="default" w:ascii="Times New Roman" w:hAnsi="Times New Roman" w:cs="Times New Roman"/>
                      <w:b w:val="0"/>
                      <w:bCs w:val="0"/>
                      <w:sz w:val="21"/>
                      <w:szCs w:val="21"/>
                      <w:vertAlign w:val="subscript"/>
                    </w:rPr>
                    <w:t>3</w:t>
                  </w:r>
                  <w:r>
                    <w:rPr>
                      <w:rFonts w:hint="default" w:ascii="Times New Roman" w:hAnsi="Times New Roman" w:cs="Times New Roman"/>
                      <w:b w:val="0"/>
                      <w:bCs w:val="0"/>
                      <w:sz w:val="21"/>
                      <w:szCs w:val="21"/>
                    </w:rPr>
                    <w:t>-N</w:t>
                  </w:r>
                  <w:r>
                    <w:rPr>
                      <w:rFonts w:hint="eastAsia" w:cs="Times New Roman"/>
                      <w:b w:val="0"/>
                      <w:bCs w:val="0"/>
                      <w:sz w:val="21"/>
                      <w:szCs w:val="21"/>
                      <w:lang w:eastAsia="zh-CN"/>
                    </w:rPr>
                    <w:t>（</w:t>
                  </w:r>
                  <w:r>
                    <w:rPr>
                      <w:rFonts w:hint="default" w:ascii="Times New Roman" w:hAnsi="Times New Roman" w:cs="Times New Roman"/>
                      <w:b w:val="0"/>
                      <w:bCs w:val="0"/>
                      <w:sz w:val="21"/>
                      <w:szCs w:val="21"/>
                    </w:rPr>
                    <w:t>mg/L</w:t>
                  </w:r>
                  <w:r>
                    <w:rPr>
                      <w:rFonts w:hint="eastAsia" w:cs="Times New Roman"/>
                      <w:b w:val="0"/>
                      <w:bCs w:val="0"/>
                      <w:sz w:val="21"/>
                      <w:szCs w:val="21"/>
                      <w:lang w:eastAsia="zh-CN"/>
                    </w:rPr>
                    <w:t>）</w:t>
                  </w:r>
                </w:p>
              </w:tc>
              <w:tc>
                <w:tcPr>
                  <w:tcW w:w="19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w:t>
                  </w:r>
                </w:p>
              </w:tc>
              <w:tc>
                <w:tcPr>
                  <w:tcW w:w="12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35</w:t>
                  </w:r>
                </w:p>
              </w:tc>
              <w:tc>
                <w:tcPr>
                  <w:tcW w:w="99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35</w:t>
                  </w:r>
                </w:p>
              </w:tc>
              <w:tc>
                <w:tcPr>
                  <w:tcW w:w="2188"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cs="Times New Roman"/>
                      <w:b w:val="0"/>
                      <w:bCs w:val="0"/>
                      <w:sz w:val="21"/>
                      <w:szCs w:val="21"/>
                    </w:rPr>
                    <w:t>5</w:t>
                  </w:r>
                  <w:r>
                    <w:rPr>
                      <w:rFonts w:hint="eastAsia" w:cs="Times New Roman"/>
                      <w:b w:val="0"/>
                      <w:bCs w:val="0"/>
                      <w:sz w:val="21"/>
                      <w:szCs w:val="21"/>
                      <w:lang w:eastAsia="zh-CN"/>
                    </w:rPr>
                    <w:t>（</w:t>
                  </w:r>
                  <w:r>
                    <w:rPr>
                      <w:rFonts w:hint="default" w:ascii="Times New Roman" w:hAnsi="Times New Roman" w:cs="Times New Roman"/>
                      <w:b w:val="0"/>
                      <w:bCs w:val="0"/>
                      <w:sz w:val="21"/>
                      <w:szCs w:val="21"/>
                    </w:rPr>
                    <w:t>8</w:t>
                  </w:r>
                  <w:r>
                    <w:rPr>
                      <w:rFonts w:hint="eastAsia" w:cs="Times New Roman"/>
                      <w:b w:val="0"/>
                      <w:bCs w:val="0"/>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w:t>
                  </w:r>
                </w:p>
              </w:tc>
              <w:tc>
                <w:tcPr>
                  <w:tcW w:w="1559"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cs="Times New Roman"/>
                      <w:b w:val="0"/>
                      <w:bCs w:val="0"/>
                      <w:sz w:val="21"/>
                      <w:szCs w:val="21"/>
                    </w:rPr>
                    <w:t>总磷</w:t>
                  </w:r>
                  <w:r>
                    <w:rPr>
                      <w:rFonts w:hint="eastAsia" w:cs="Times New Roman"/>
                      <w:b w:val="0"/>
                      <w:bCs w:val="0"/>
                      <w:sz w:val="21"/>
                      <w:szCs w:val="21"/>
                      <w:lang w:eastAsia="zh-CN"/>
                    </w:rPr>
                    <w:t>（</w:t>
                  </w:r>
                  <w:r>
                    <w:rPr>
                      <w:rFonts w:hint="default" w:ascii="Times New Roman" w:hAnsi="Times New Roman" w:cs="Times New Roman"/>
                      <w:b w:val="0"/>
                      <w:bCs w:val="0"/>
                      <w:sz w:val="21"/>
                      <w:szCs w:val="21"/>
                    </w:rPr>
                    <w:t>mg/L</w:t>
                  </w:r>
                  <w:r>
                    <w:rPr>
                      <w:rFonts w:hint="eastAsia" w:cs="Times New Roman"/>
                      <w:b w:val="0"/>
                      <w:bCs w:val="0"/>
                      <w:sz w:val="21"/>
                      <w:szCs w:val="21"/>
                      <w:lang w:eastAsia="zh-CN"/>
                    </w:rPr>
                    <w:t>）</w:t>
                  </w:r>
                </w:p>
              </w:tc>
              <w:tc>
                <w:tcPr>
                  <w:tcW w:w="19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8.0</w:t>
                  </w:r>
                </w:p>
              </w:tc>
              <w:tc>
                <w:tcPr>
                  <w:tcW w:w="12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w:t>
                  </w:r>
                </w:p>
              </w:tc>
              <w:tc>
                <w:tcPr>
                  <w:tcW w:w="99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8.0</w:t>
                  </w:r>
                </w:p>
              </w:tc>
              <w:tc>
                <w:tcPr>
                  <w:tcW w:w="218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8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w:t>
                  </w:r>
                </w:p>
              </w:tc>
              <w:tc>
                <w:tcPr>
                  <w:tcW w:w="1559"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cs="Times New Roman"/>
                      <w:b w:val="0"/>
                      <w:bCs w:val="0"/>
                      <w:sz w:val="21"/>
                      <w:szCs w:val="21"/>
                    </w:rPr>
                    <w:t>总氮</w:t>
                  </w:r>
                  <w:r>
                    <w:rPr>
                      <w:rFonts w:hint="eastAsia" w:cs="Times New Roman"/>
                      <w:b w:val="0"/>
                      <w:bCs w:val="0"/>
                      <w:sz w:val="21"/>
                      <w:szCs w:val="21"/>
                      <w:lang w:eastAsia="zh-CN"/>
                    </w:rPr>
                    <w:t>（</w:t>
                  </w:r>
                  <w:r>
                    <w:rPr>
                      <w:rFonts w:hint="default" w:ascii="Times New Roman" w:hAnsi="Times New Roman" w:cs="Times New Roman"/>
                      <w:b w:val="0"/>
                      <w:bCs w:val="0"/>
                      <w:sz w:val="21"/>
                      <w:szCs w:val="21"/>
                    </w:rPr>
                    <w:t>mg/L</w:t>
                  </w:r>
                  <w:r>
                    <w:rPr>
                      <w:rFonts w:hint="eastAsia" w:cs="Times New Roman"/>
                      <w:b w:val="0"/>
                      <w:bCs w:val="0"/>
                      <w:sz w:val="21"/>
                      <w:szCs w:val="21"/>
                      <w:lang w:eastAsia="zh-CN"/>
                    </w:rPr>
                    <w:t>）</w:t>
                  </w:r>
                </w:p>
              </w:tc>
              <w:tc>
                <w:tcPr>
                  <w:tcW w:w="19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70</w:t>
                  </w:r>
                </w:p>
              </w:tc>
              <w:tc>
                <w:tcPr>
                  <w:tcW w:w="127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w:t>
                  </w:r>
                </w:p>
              </w:tc>
              <w:tc>
                <w:tcPr>
                  <w:tcW w:w="993"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70</w:t>
                  </w:r>
                </w:p>
              </w:tc>
              <w:tc>
                <w:tcPr>
                  <w:tcW w:w="218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w:t>
                  </w:r>
                </w:p>
              </w:tc>
            </w:tr>
          </w:tbl>
          <w:p>
            <w:pPr>
              <w:keepNext w:val="0"/>
              <w:keepLines w:val="0"/>
              <w:suppressLineNumbers w:val="0"/>
              <w:spacing w:before="0" w:beforeAutospacing="0" w:after="0" w:afterAutospacing="0" w:line="360" w:lineRule="auto"/>
              <w:ind w:left="0" w:right="0"/>
              <w:rPr>
                <w:rFonts w:hint="default" w:ascii="Times New Roman" w:hAnsi="Times New Roman" w:cs="Times New Roman"/>
                <w:b w:val="0"/>
                <w:bCs w:val="0"/>
                <w:sz w:val="24"/>
                <w:szCs w:val="24"/>
              </w:rPr>
            </w:pPr>
          </w:p>
          <w:p>
            <w:pPr>
              <w:keepNext w:val="0"/>
              <w:keepLines w:val="0"/>
              <w:suppressLineNumbers w:val="0"/>
              <w:spacing w:before="0" w:beforeAutospacing="0" w:after="0" w:afterAutospacing="0" w:line="360" w:lineRule="auto"/>
              <w:ind w:left="0" w:right="0"/>
              <w:rPr>
                <w:rFonts w:hint="default" w:ascii="Times New Roman" w:hAnsi="Times New Roman" w:cs="Times New Roman"/>
                <w:b w:val="0"/>
                <w:bCs w:val="0"/>
                <w:sz w:val="24"/>
                <w:szCs w:val="24"/>
              </w:rPr>
            </w:pPr>
          </w:p>
          <w:p>
            <w:pPr>
              <w:pStyle w:val="17"/>
              <w:keepNext w:val="0"/>
              <w:keepLines w:val="0"/>
              <w:suppressLineNumbers w:val="0"/>
              <w:spacing w:before="0" w:after="0" w:afterAutospacing="0"/>
              <w:ind w:right="0"/>
              <w:rPr>
                <w:rFonts w:hint="default"/>
              </w:rPr>
            </w:pPr>
          </w:p>
          <w:p>
            <w:pPr>
              <w:keepNext w:val="0"/>
              <w:keepLines w:val="0"/>
              <w:suppressLineNumbers w:val="0"/>
              <w:spacing w:before="0" w:beforeAutospacing="0" w:after="0" w:afterAutospacing="0" w:line="360" w:lineRule="auto"/>
              <w:ind w:left="0" w:right="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3、噪声</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项目运营期厂界噪声执行《工业企业厂界环境噪声排放标准》（GB12348-2008）中3类标准。具体见下表。</w:t>
            </w:r>
          </w:p>
          <w:p>
            <w:pPr>
              <w:pStyle w:val="11"/>
              <w:keepNext w:val="0"/>
              <w:keepLines w:val="0"/>
              <w:suppressLineNumbers w:val="0"/>
              <w:bidi w:val="0"/>
              <w:spacing w:before="0" w:after="0" w:afterAutospacing="0"/>
              <w:ind w:right="0"/>
              <w:rPr>
                <w:rFonts w:hint="default"/>
              </w:rPr>
            </w:pPr>
            <w:r>
              <w:rPr>
                <w:rFonts w:hint="default"/>
              </w:rPr>
              <w:t>表3-1</w:t>
            </w:r>
            <w:r>
              <w:rPr>
                <w:rFonts w:hint="eastAsia"/>
                <w:lang w:val="en-US" w:eastAsia="zh-CN"/>
              </w:rPr>
              <w:t xml:space="preserve">4 </w:t>
            </w:r>
            <w:r>
              <w:rPr>
                <w:rFonts w:hint="default"/>
              </w:rPr>
              <w:t>工业企业厂界环境噪声排放标准单位：dB（A）</w:t>
            </w:r>
          </w:p>
          <w:tbl>
            <w:tblPr>
              <w:tblStyle w:val="19"/>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05"/>
              <w:gridCol w:w="2091"/>
              <w:gridCol w:w="27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0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标准</w:t>
                  </w:r>
                </w:p>
              </w:tc>
              <w:tc>
                <w:tcPr>
                  <w:tcW w:w="2091"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昼间</w:t>
                  </w:r>
                </w:p>
              </w:tc>
              <w:tc>
                <w:tcPr>
                  <w:tcW w:w="2769"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0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《GB12348-2008》中</w:t>
                  </w:r>
                  <w:r>
                    <w:rPr>
                      <w:rFonts w:hint="eastAsia" w:ascii="Times New Roman" w:hAnsi="Times New Roman" w:cs="Times New Roman"/>
                      <w:b w:val="0"/>
                      <w:bCs w:val="0"/>
                      <w:sz w:val="21"/>
                      <w:szCs w:val="21"/>
                      <w:lang w:val="en-US" w:eastAsia="zh-CN"/>
                    </w:rPr>
                    <w:t>3</w:t>
                  </w:r>
                  <w:r>
                    <w:rPr>
                      <w:rFonts w:hint="default" w:ascii="Times New Roman" w:hAnsi="Times New Roman" w:cs="Times New Roman"/>
                      <w:b w:val="0"/>
                      <w:bCs w:val="0"/>
                      <w:sz w:val="21"/>
                      <w:szCs w:val="21"/>
                    </w:rPr>
                    <w:t>类标准</w:t>
                  </w:r>
                </w:p>
              </w:tc>
              <w:tc>
                <w:tcPr>
                  <w:tcW w:w="2091"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65</w:t>
                  </w:r>
                </w:p>
              </w:tc>
              <w:tc>
                <w:tcPr>
                  <w:tcW w:w="2769"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55</w:t>
                  </w:r>
                </w:p>
              </w:tc>
            </w:tr>
          </w:tbl>
          <w:p>
            <w:pPr>
              <w:keepNext w:val="0"/>
              <w:keepLines w:val="0"/>
              <w:suppressLineNumbers w:val="0"/>
              <w:spacing w:before="0" w:beforeAutospacing="0" w:after="0" w:afterAutospacing="0" w:line="360" w:lineRule="auto"/>
              <w:ind w:left="0" w:right="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4、固体废物</w:t>
            </w:r>
          </w:p>
          <w:p>
            <w:pPr>
              <w:pStyle w:val="23"/>
              <w:keepNext w:val="0"/>
              <w:keepLines w:val="0"/>
              <w:suppressLineNumbers w:val="0"/>
              <w:spacing w:before="0" w:beforeAutospacing="0" w:after="0" w:afterAutospacing="0"/>
              <w:ind w:left="0" w:right="0" w:firstLine="420"/>
              <w:rPr>
                <w:rFonts w:hint="default" w:ascii="Times New Roman" w:hAnsi="Times New Roman" w:cs="Times New Roman"/>
                <w:b w:val="0"/>
                <w:bCs w:val="0"/>
                <w:sz w:val="24"/>
                <w:szCs w:val="24"/>
              </w:rPr>
            </w:pPr>
            <w:r>
              <w:rPr>
                <w:rFonts w:hint="default"/>
                <w:color w:val="auto"/>
                <w:kern w:val="0"/>
                <w:szCs w:val="21"/>
              </w:rPr>
              <w:t>一般工业固体废物贮存执行《一般工业固体废物贮存和填埋污染控制标准》（GB18599-2020）标准要求</w:t>
            </w:r>
            <w:r>
              <w:rPr>
                <w:rFonts w:hint="eastAsia"/>
                <w:color w:val="auto"/>
                <w:kern w:val="0"/>
                <w:szCs w:val="21"/>
              </w:rPr>
              <w:t>，危险废物执行《</w:t>
            </w:r>
            <w:r>
              <w:rPr>
                <w:rFonts w:hint="eastAsia"/>
                <w:color w:val="auto"/>
                <w:kern w:val="0"/>
                <w:szCs w:val="21"/>
                <w:lang w:eastAsia="zh-CN"/>
              </w:rPr>
              <w:t>危险废物贮存污染控制标准</w:t>
            </w:r>
            <w:r>
              <w:rPr>
                <w:rFonts w:hint="eastAsia"/>
                <w:color w:val="auto"/>
                <w:kern w:val="0"/>
                <w:szCs w:val="21"/>
              </w:rPr>
              <w:t>》(GB18597-2023)相关要求</w:t>
            </w:r>
            <w:r>
              <w:rPr>
                <w:rFonts w:hint="default"/>
                <w:color w:val="auto"/>
                <w:kern w:val="0"/>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8" w:hRule="atLeast"/>
          <w:jc w:val="center"/>
        </w:trPr>
        <w:tc>
          <w:tcPr>
            <w:tcW w:w="465" w:type="dxa"/>
            <w:tcBorders>
              <w:left w:val="single" w:color="000000" w:sz="6"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总量控制指标</w:t>
            </w:r>
          </w:p>
        </w:tc>
        <w:tc>
          <w:tcPr>
            <w:tcW w:w="8663" w:type="dxa"/>
            <w:tcBorders>
              <w:right w:val="single" w:color="000000" w:sz="6" w:space="0"/>
            </w:tcBorders>
          </w:tcPr>
          <w:p>
            <w:pPr>
              <w:pStyle w:val="23"/>
              <w:keepNext w:val="0"/>
              <w:keepLines w:val="0"/>
              <w:suppressLineNumbers w:val="0"/>
              <w:spacing w:before="0" w:beforeAutospacing="0" w:after="0" w:afterAutospacing="0"/>
              <w:ind w:left="0" w:right="0" w:firstLine="42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根据</w:t>
            </w:r>
            <w:r>
              <w:rPr>
                <w:rFonts w:hint="eastAsia" w:cs="Times New Roman"/>
                <w:b w:val="0"/>
                <w:bCs w:val="0"/>
                <w:sz w:val="24"/>
                <w:szCs w:val="24"/>
                <w:lang w:eastAsia="zh-CN"/>
              </w:rPr>
              <w:t>“</w:t>
            </w:r>
            <w:r>
              <w:rPr>
                <w:rFonts w:hint="default" w:ascii="Times New Roman" w:hAnsi="Times New Roman" w:cs="Times New Roman"/>
                <w:b w:val="0"/>
                <w:bCs w:val="0"/>
                <w:sz w:val="24"/>
                <w:szCs w:val="24"/>
              </w:rPr>
              <w:t>安徽省环保厅关于进一步加强建设项目新增大气主要污染物总量指标管理工作的通知</w:t>
            </w:r>
            <w:r>
              <w:rPr>
                <w:rFonts w:hint="eastAsia" w:cs="Times New Roman"/>
                <w:b w:val="0"/>
                <w:bCs w:val="0"/>
                <w:sz w:val="24"/>
                <w:szCs w:val="24"/>
                <w:lang w:eastAsia="zh-CN"/>
              </w:rPr>
              <w:t>”</w:t>
            </w:r>
            <w:r>
              <w:rPr>
                <w:rFonts w:hint="default" w:ascii="Times New Roman" w:hAnsi="Times New Roman" w:cs="Times New Roman"/>
                <w:b w:val="0"/>
                <w:bCs w:val="0"/>
                <w:sz w:val="24"/>
                <w:szCs w:val="24"/>
              </w:rPr>
              <w:t>中有关规定，大气主要污染物总量指标从两项增加为四项，</w:t>
            </w:r>
          </w:p>
          <w:p>
            <w:pPr>
              <w:pStyle w:val="23"/>
              <w:keepNext w:val="0"/>
              <w:keepLines w:val="0"/>
              <w:suppressLineNumbers w:val="0"/>
              <w:spacing w:before="0" w:beforeAutospacing="0" w:after="0" w:afterAutospacing="0"/>
              <w:ind w:left="0" w:right="0" w:firstLine="42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在SO</w:t>
            </w:r>
            <w:r>
              <w:rPr>
                <w:rFonts w:hint="default" w:ascii="Times New Roman" w:hAnsi="Times New Roman" w:cs="Times New Roman"/>
                <w:b w:val="0"/>
                <w:bCs w:val="0"/>
                <w:sz w:val="24"/>
                <w:szCs w:val="24"/>
                <w:vertAlign w:val="subscript"/>
              </w:rPr>
              <w:t>2</w:t>
            </w:r>
            <w:r>
              <w:rPr>
                <w:rFonts w:hint="default" w:ascii="Times New Roman" w:hAnsi="Times New Roman" w:cs="Times New Roman"/>
                <w:b w:val="0"/>
                <w:bCs w:val="0"/>
                <w:sz w:val="24"/>
                <w:szCs w:val="24"/>
              </w:rPr>
              <w:t>、NOx的基础上增加烟</w:t>
            </w:r>
            <w:r>
              <w:rPr>
                <w:rFonts w:hint="eastAsia" w:cs="Times New Roman"/>
                <w:b w:val="0"/>
                <w:bCs w:val="0"/>
                <w:sz w:val="24"/>
                <w:szCs w:val="24"/>
                <w:lang w:eastAsia="zh-CN"/>
              </w:rPr>
              <w:t>（</w:t>
            </w:r>
            <w:r>
              <w:rPr>
                <w:rFonts w:hint="default" w:ascii="Times New Roman" w:hAnsi="Times New Roman" w:cs="Times New Roman"/>
                <w:b w:val="0"/>
                <w:bCs w:val="0"/>
                <w:sz w:val="24"/>
                <w:szCs w:val="24"/>
              </w:rPr>
              <w:t>粉</w:t>
            </w:r>
            <w:r>
              <w:rPr>
                <w:rFonts w:hint="eastAsia" w:cs="Times New Roman"/>
                <w:b w:val="0"/>
                <w:bCs w:val="0"/>
                <w:sz w:val="24"/>
                <w:szCs w:val="24"/>
                <w:lang w:eastAsia="zh-CN"/>
              </w:rPr>
              <w:t>）</w:t>
            </w:r>
            <w:r>
              <w:rPr>
                <w:rFonts w:hint="default" w:ascii="Times New Roman" w:hAnsi="Times New Roman" w:cs="Times New Roman"/>
                <w:b w:val="0"/>
                <w:bCs w:val="0"/>
                <w:sz w:val="24"/>
                <w:szCs w:val="24"/>
              </w:rPr>
              <w:t>尘、挥发性有机物</w:t>
            </w:r>
            <w:r>
              <w:rPr>
                <w:rFonts w:hint="eastAsia" w:cs="Times New Roman"/>
                <w:b w:val="0"/>
                <w:bCs w:val="0"/>
                <w:sz w:val="24"/>
                <w:szCs w:val="24"/>
                <w:lang w:eastAsia="zh-CN"/>
              </w:rPr>
              <w:t>（</w:t>
            </w:r>
            <w:r>
              <w:rPr>
                <w:rFonts w:hint="default" w:ascii="Times New Roman" w:hAnsi="Times New Roman" w:cs="Times New Roman"/>
                <w:b w:val="0"/>
                <w:bCs w:val="0"/>
                <w:sz w:val="24"/>
                <w:szCs w:val="24"/>
              </w:rPr>
              <w:t>VOCs</w:t>
            </w:r>
            <w:r>
              <w:rPr>
                <w:rFonts w:hint="eastAsia" w:cs="Times New Roman"/>
                <w:b w:val="0"/>
                <w:bCs w:val="0"/>
                <w:sz w:val="24"/>
                <w:szCs w:val="24"/>
                <w:lang w:eastAsia="zh-CN"/>
              </w:rPr>
              <w:t>）</w:t>
            </w:r>
            <w:r>
              <w:rPr>
                <w:rFonts w:hint="default" w:ascii="Times New Roman" w:hAnsi="Times New Roman" w:cs="Times New Roman"/>
                <w:b w:val="0"/>
                <w:bCs w:val="0"/>
                <w:sz w:val="24"/>
                <w:szCs w:val="24"/>
              </w:rPr>
              <w:t>两项指标。</w:t>
            </w:r>
          </w:p>
          <w:p>
            <w:pPr>
              <w:pStyle w:val="23"/>
              <w:keepNext w:val="0"/>
              <w:keepLines w:val="0"/>
              <w:suppressLineNumbers w:val="0"/>
              <w:spacing w:before="0" w:beforeAutospacing="0" w:after="0" w:afterAutospacing="0"/>
              <w:ind w:left="0" w:right="0" w:firstLine="42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本项目大气污染物主要为VOCs，排放量为：</w:t>
            </w:r>
            <w:r>
              <w:rPr>
                <w:rFonts w:hint="eastAsia" w:cs="Times New Roman"/>
                <w:b w:val="0"/>
                <w:bCs w:val="0"/>
                <w:sz w:val="24"/>
                <w:szCs w:val="24"/>
                <w:lang w:val="en-US" w:eastAsia="zh-CN"/>
              </w:rPr>
              <w:t>0.000361</w:t>
            </w:r>
            <w:r>
              <w:rPr>
                <w:rFonts w:hint="default" w:ascii="Times New Roman" w:hAnsi="Times New Roman" w:eastAsia="宋体" w:cs="Times New Roman"/>
                <w:b w:val="0"/>
                <w:bCs w:val="0"/>
                <w:sz w:val="24"/>
                <w:szCs w:val="24"/>
              </w:rPr>
              <w:t>/a</w:t>
            </w:r>
            <w:r>
              <w:rPr>
                <w:rFonts w:hint="default" w:ascii="Times New Roman" w:hAnsi="Times New Roman" w:cs="Times New Roman"/>
                <w:b w:val="0"/>
                <w:bCs w:val="0"/>
                <w:sz w:val="24"/>
                <w:szCs w:val="24"/>
              </w:rPr>
              <w:t>。具体总量指标由生态环境主管部门核定。</w:t>
            </w:r>
          </w:p>
          <w:p>
            <w:pPr>
              <w:pStyle w:val="23"/>
              <w:keepNext w:val="0"/>
              <w:keepLines w:val="0"/>
              <w:suppressLineNumbers w:val="0"/>
              <w:spacing w:before="0" w:beforeAutospacing="0" w:after="0" w:afterAutospacing="0"/>
              <w:ind w:left="0" w:right="0" w:firstLine="42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废水：清洗废水排入</w:t>
            </w:r>
            <w:r>
              <w:rPr>
                <w:rFonts w:hint="default" w:ascii="Times New Roman" w:hAnsi="Times New Roman" w:cs="Times New Roman"/>
                <w:b w:val="0"/>
                <w:bCs w:val="0"/>
                <w:sz w:val="24"/>
                <w:szCs w:val="24"/>
                <w:lang w:eastAsia="zh-CN"/>
              </w:rPr>
              <w:t>、</w:t>
            </w:r>
            <w:r>
              <w:rPr>
                <w:rFonts w:hint="default" w:ascii="Times New Roman" w:hAnsi="Times New Roman" w:cs="Times New Roman"/>
                <w:b w:val="0"/>
                <w:bCs w:val="0"/>
                <w:sz w:val="24"/>
                <w:szCs w:val="24"/>
              </w:rPr>
              <w:t>纯水制备废水排入厂区废水总排口；生活污水经化粪池处理后排入厂区废水总排口。各类废水处理达《电子工业水污染物排放标准》</w:t>
            </w:r>
            <w:r>
              <w:rPr>
                <w:rFonts w:hint="eastAsia" w:cs="Times New Roman"/>
                <w:b w:val="0"/>
                <w:bCs w:val="0"/>
                <w:sz w:val="24"/>
                <w:szCs w:val="24"/>
                <w:lang w:eastAsia="zh-CN"/>
              </w:rPr>
              <w:t>（</w:t>
            </w:r>
            <w:r>
              <w:rPr>
                <w:rFonts w:hint="default" w:ascii="Times New Roman" w:hAnsi="Times New Roman" w:cs="Times New Roman"/>
                <w:b w:val="0"/>
                <w:bCs w:val="0"/>
                <w:sz w:val="24"/>
                <w:szCs w:val="24"/>
              </w:rPr>
              <w:t>GB39731-2020</w:t>
            </w:r>
            <w:r>
              <w:rPr>
                <w:rFonts w:hint="eastAsia" w:cs="Times New Roman"/>
                <w:b w:val="0"/>
                <w:bCs w:val="0"/>
                <w:sz w:val="24"/>
                <w:szCs w:val="24"/>
                <w:lang w:eastAsia="zh-CN"/>
              </w:rPr>
              <w:t>）</w:t>
            </w:r>
            <w:r>
              <w:rPr>
                <w:rFonts w:hint="default" w:ascii="Times New Roman" w:hAnsi="Times New Roman" w:cs="Times New Roman"/>
                <w:b w:val="0"/>
                <w:bCs w:val="0"/>
                <w:sz w:val="24"/>
                <w:szCs w:val="24"/>
              </w:rPr>
              <w:t>表1中水污染物间接排放标准及山南新区污水处理厂接管限值后由公司污水总排口排入市政管网，进入山南新区污水处理厂处理。废水控制指标统一纳入山南新区污水处理厂，本项目不需要单独申请总量。</w:t>
            </w:r>
          </w:p>
        </w:tc>
      </w:tr>
    </w:tbl>
    <w:p>
      <w:p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bidi w:val="0"/>
      </w:pPr>
      <w:r>
        <w:t>四、主要环境影响和保护措施</w:t>
      </w:r>
    </w:p>
    <w:p>
      <w:pPr>
        <w:spacing w:line="16" w:lineRule="exact"/>
      </w:pPr>
    </w:p>
    <w:tbl>
      <w:tblPr>
        <w:tblStyle w:val="26"/>
        <w:tblW w:w="912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65"/>
        <w:gridCol w:w="866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5" w:hRule="atLeast"/>
          <w:jc w:val="center"/>
        </w:trPr>
        <w:tc>
          <w:tcPr>
            <w:tcW w:w="465" w:type="dxa"/>
            <w:tcBorders>
              <w:left w:val="single" w:color="000000" w:sz="6" w:space="0"/>
            </w:tcBorders>
            <w:vAlign w:val="center"/>
          </w:tcPr>
          <w:p>
            <w:pPr>
              <w:keepNext w:val="0"/>
              <w:keepLines w:val="0"/>
              <w:suppressLineNumbers w:val="0"/>
              <w:spacing w:before="65" w:beforeAutospacing="0" w:after="0" w:afterAutospacing="0" w:line="231" w:lineRule="auto"/>
              <w:ind w:left="0" w:right="0"/>
              <w:jc w:val="center"/>
              <w:rPr>
                <w:rFonts w:hint="default" w:ascii="Times New Roman" w:hAnsi="Times New Roman" w:cs="Times New Roman"/>
                <w:b w:val="0"/>
                <w:bCs w:val="0"/>
                <w:sz w:val="24"/>
                <w:szCs w:val="24"/>
              </w:rPr>
            </w:pPr>
            <w:r>
              <w:rPr>
                <w:rFonts w:hint="default" w:ascii="Times New Roman" w:hAnsi="Times New Roman" w:cs="Times New Roman"/>
                <w:b w:val="0"/>
                <w:bCs w:val="0"/>
                <w:spacing w:val="5"/>
                <w:sz w:val="24"/>
                <w:szCs w:val="24"/>
              </w:rPr>
              <w:t>施工</w:t>
            </w:r>
            <w:r>
              <w:rPr>
                <w:rFonts w:hint="default" w:ascii="Times New Roman" w:hAnsi="Times New Roman" w:cs="Times New Roman"/>
                <w:b w:val="0"/>
                <w:bCs w:val="0"/>
                <w:spacing w:val="4"/>
                <w:sz w:val="24"/>
                <w:szCs w:val="24"/>
              </w:rPr>
              <w:t>期</w:t>
            </w:r>
            <w:r>
              <w:rPr>
                <w:rFonts w:hint="default" w:ascii="Times New Roman" w:hAnsi="Times New Roman" w:cs="Times New Roman"/>
                <w:b w:val="0"/>
                <w:bCs w:val="0"/>
                <w:spacing w:val="3"/>
                <w:sz w:val="24"/>
                <w:szCs w:val="24"/>
              </w:rPr>
              <w:t>环</w:t>
            </w:r>
            <w:r>
              <w:rPr>
                <w:rFonts w:hint="default" w:ascii="Times New Roman" w:hAnsi="Times New Roman" w:cs="Times New Roman"/>
                <w:b w:val="0"/>
                <w:bCs w:val="0"/>
                <w:spacing w:val="4"/>
                <w:sz w:val="24"/>
                <w:szCs w:val="24"/>
              </w:rPr>
              <w:t>境保护措</w:t>
            </w:r>
            <w:r>
              <w:rPr>
                <w:rFonts w:hint="default" w:ascii="Times New Roman" w:hAnsi="Times New Roman" w:cs="Times New Roman"/>
                <w:b w:val="0"/>
                <w:bCs w:val="0"/>
                <w:spacing w:val="1"/>
                <w:sz w:val="24"/>
                <w:szCs w:val="24"/>
              </w:rPr>
              <w:t>施</w:t>
            </w:r>
          </w:p>
        </w:tc>
        <w:tc>
          <w:tcPr>
            <w:tcW w:w="8663" w:type="dxa"/>
            <w:tcBorders>
              <w:bottom w:val="single" w:color="auto" w:sz="4" w:space="0"/>
              <w:right w:val="single" w:color="000000" w:sz="6" w:space="0"/>
            </w:tcBorders>
          </w:tcPr>
          <w:p>
            <w:pPr>
              <w:keepNext w:val="0"/>
              <w:keepLines w:val="0"/>
              <w:suppressLineNumbers w:val="0"/>
              <w:spacing w:before="0" w:beforeAutospacing="0" w:after="0" w:afterAutospacing="0" w:line="360" w:lineRule="auto"/>
              <w:ind w:left="0" w:right="0" w:firstLine="480" w:firstLineChars="200"/>
              <w:rPr>
                <w:rFonts w:hint="default"/>
                <w:b w:val="0"/>
                <w:bCs w:val="0"/>
                <w:sz w:val="24"/>
                <w:szCs w:val="24"/>
              </w:rPr>
            </w:pPr>
            <w:r>
              <w:rPr>
                <w:rFonts w:hint="default"/>
                <w:b w:val="0"/>
                <w:bCs w:val="0"/>
                <w:sz w:val="24"/>
                <w:szCs w:val="24"/>
              </w:rPr>
              <w:t>一、施工期环境影响分析</w:t>
            </w:r>
          </w:p>
          <w:p>
            <w:pPr>
              <w:keepNext w:val="0"/>
              <w:keepLines w:val="0"/>
              <w:suppressLineNumbers w:val="0"/>
              <w:spacing w:before="0" w:beforeAutospacing="0" w:after="0" w:afterAutospacing="0" w:line="360" w:lineRule="auto"/>
              <w:ind w:left="0" w:right="0" w:firstLine="480" w:firstLineChars="200"/>
              <w:rPr>
                <w:rFonts w:hint="default"/>
                <w:b w:val="0"/>
                <w:bCs w:val="0"/>
                <w:sz w:val="24"/>
                <w:szCs w:val="24"/>
              </w:rPr>
            </w:pPr>
            <w:r>
              <w:rPr>
                <w:rFonts w:hint="default"/>
                <w:b w:val="0"/>
                <w:bCs w:val="0"/>
                <w:sz w:val="24"/>
                <w:szCs w:val="24"/>
              </w:rPr>
              <w:t>本项目租用淮南高新技术产业开发区，施工期主要是对厂房进行</w:t>
            </w:r>
            <w:r>
              <w:rPr>
                <w:rFonts w:hint="eastAsia"/>
                <w:b w:val="0"/>
                <w:bCs w:val="0"/>
                <w:sz w:val="24"/>
                <w:szCs w:val="24"/>
                <w:lang w:eastAsia="zh-CN"/>
              </w:rPr>
              <w:t>简单</w:t>
            </w:r>
            <w:r>
              <w:rPr>
                <w:rFonts w:hint="default"/>
                <w:b w:val="0"/>
                <w:bCs w:val="0"/>
                <w:sz w:val="24"/>
                <w:szCs w:val="24"/>
              </w:rPr>
              <w:t>改造、设备安装，不涉及大型土建工程，产生的污染物较少。因此，本次评价仅对其进行简要分析和评价。</w:t>
            </w:r>
          </w:p>
          <w:p>
            <w:pPr>
              <w:pStyle w:val="23"/>
              <w:keepNext w:val="0"/>
              <w:keepLines w:val="0"/>
              <w:suppressLineNumbers w:val="0"/>
              <w:bidi w:val="0"/>
              <w:spacing w:before="0" w:beforeAutospacing="0" w:after="0" w:afterAutospacing="0"/>
              <w:ind w:left="0" w:right="0"/>
              <w:rPr>
                <w:rFonts w:hint="default"/>
                <w:b w:val="0"/>
                <w:bCs w:val="0"/>
                <w:sz w:val="24"/>
                <w:szCs w:val="24"/>
              </w:rPr>
            </w:pPr>
            <w:r>
              <w:rPr>
                <w:rFonts w:hint="default"/>
                <w:b w:val="0"/>
                <w:bCs w:val="0"/>
                <w:sz w:val="24"/>
                <w:szCs w:val="24"/>
              </w:rPr>
              <w:t>施工期保护措施如下：</w:t>
            </w:r>
          </w:p>
          <w:p>
            <w:pPr>
              <w:keepNext w:val="0"/>
              <w:keepLines w:val="0"/>
              <w:suppressLineNumbers w:val="0"/>
              <w:spacing w:before="0" w:beforeAutospacing="0" w:after="0" w:afterAutospacing="0" w:line="360" w:lineRule="auto"/>
              <w:ind w:left="0" w:right="0" w:firstLine="480" w:firstLineChars="200"/>
              <w:rPr>
                <w:rFonts w:hint="default"/>
                <w:b w:val="0"/>
                <w:bCs w:val="0"/>
                <w:sz w:val="24"/>
                <w:szCs w:val="24"/>
              </w:rPr>
            </w:pPr>
            <w:r>
              <w:rPr>
                <w:rFonts w:hint="default"/>
                <w:b w:val="0"/>
                <w:bCs w:val="0"/>
                <w:sz w:val="24"/>
                <w:szCs w:val="24"/>
              </w:rPr>
              <w:t>（1）施工人员生活废水经化粪池预处理后排入市政污水管网。</w:t>
            </w:r>
          </w:p>
          <w:p>
            <w:pPr>
              <w:keepNext w:val="0"/>
              <w:keepLines w:val="0"/>
              <w:suppressLineNumbers w:val="0"/>
              <w:spacing w:before="0" w:beforeAutospacing="0" w:after="0" w:afterAutospacing="0" w:line="360" w:lineRule="auto"/>
              <w:ind w:left="0" w:right="0" w:firstLine="480" w:firstLineChars="200"/>
              <w:rPr>
                <w:rFonts w:hint="default"/>
                <w:b w:val="0"/>
                <w:bCs w:val="0"/>
                <w:sz w:val="24"/>
                <w:szCs w:val="24"/>
              </w:rPr>
            </w:pPr>
            <w:r>
              <w:rPr>
                <w:rFonts w:hint="default"/>
                <w:b w:val="0"/>
                <w:bCs w:val="0"/>
                <w:sz w:val="24"/>
                <w:szCs w:val="24"/>
              </w:rPr>
              <w:t>（2）施工人员生活垃圾由垃圾桶收集后委托环卫清运。</w:t>
            </w:r>
          </w:p>
          <w:p>
            <w:pPr>
              <w:keepNext w:val="0"/>
              <w:keepLines w:val="0"/>
              <w:suppressLineNumbers w:val="0"/>
              <w:spacing w:before="0" w:beforeAutospacing="0" w:after="0" w:afterAutospacing="0" w:line="360" w:lineRule="auto"/>
              <w:ind w:left="0" w:right="0" w:firstLine="480" w:firstLineChars="200"/>
              <w:rPr>
                <w:rFonts w:hint="default"/>
                <w:b w:val="0"/>
                <w:bCs w:val="0"/>
                <w:sz w:val="24"/>
                <w:szCs w:val="24"/>
              </w:rPr>
            </w:pPr>
            <w:r>
              <w:rPr>
                <w:rFonts w:hint="default"/>
                <w:b w:val="0"/>
                <w:bCs w:val="0"/>
                <w:sz w:val="24"/>
                <w:szCs w:val="24"/>
              </w:rPr>
              <w:t>（3）通过关闭厂房门窗降低施工噪声对周围环境的影响。</w:t>
            </w: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pStyle w:val="17"/>
              <w:keepNext w:val="0"/>
              <w:keepLines w:val="0"/>
              <w:suppressLineNumbers w:val="0"/>
              <w:spacing w:before="0" w:after="0" w:afterAutospacing="0"/>
              <w:ind w:right="0"/>
              <w:rPr>
                <w:rFonts w:hint="default"/>
                <w:b w:val="0"/>
                <w:bCs w:val="0"/>
                <w:sz w:val="24"/>
                <w:szCs w:val="24"/>
              </w:rPr>
            </w:pPr>
          </w:p>
          <w:p>
            <w:pPr>
              <w:keepNext w:val="0"/>
              <w:keepLines w:val="0"/>
              <w:suppressLineNumbers w:val="0"/>
              <w:spacing w:before="0" w:beforeAutospacing="0" w:after="0" w:afterAutospacing="0"/>
              <w:ind w:left="0" w:right="0"/>
              <w:rPr>
                <w:rFonts w:hint="default"/>
                <w:b w:val="0"/>
                <w:bCs w:val="0"/>
                <w:sz w:val="24"/>
                <w:szCs w:val="24"/>
              </w:rPr>
            </w:pPr>
          </w:p>
          <w:p>
            <w:pPr>
              <w:keepNext w:val="0"/>
              <w:keepLines w:val="0"/>
              <w:suppressLineNumbers w:val="0"/>
              <w:bidi w:val="0"/>
              <w:spacing w:before="0" w:beforeAutospacing="0" w:after="0" w:afterAutospacing="0"/>
              <w:ind w:left="0" w:right="0"/>
              <w:jc w:val="left"/>
              <w:rPr>
                <w:rFonts w:hint="default"/>
                <w:b w:val="0"/>
                <w:bCs w:val="0"/>
                <w:sz w:val="24"/>
                <w:szCs w:val="24"/>
                <w:lang w:val="en-US" w:eastAsia="zh-CN"/>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834" w:hRule="atLeast"/>
          <w:jc w:val="center"/>
        </w:trPr>
        <w:tc>
          <w:tcPr>
            <w:tcW w:w="465" w:type="dxa"/>
            <w:tcBorders>
              <w:left w:val="single" w:color="000000" w:sz="6"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4"/>
                <w:szCs w:val="24"/>
                <w:highlight w:val="yellow"/>
              </w:rPr>
            </w:pPr>
            <w:r>
              <w:rPr>
                <w:rFonts w:hint="default" w:ascii="Times New Roman" w:hAnsi="Times New Roman" w:cs="Times New Roman"/>
                <w:b w:val="0"/>
                <w:bCs w:val="0"/>
                <w:sz w:val="24"/>
                <w:szCs w:val="24"/>
              </w:rPr>
              <w:t>运营期环境影响和保护措施</w:t>
            </w:r>
          </w:p>
        </w:tc>
        <w:tc>
          <w:tcPr>
            <w:tcW w:w="8663" w:type="dxa"/>
            <w:tcBorders>
              <w:top w:val="single" w:color="auto" w:sz="4" w:space="0"/>
              <w:right w:val="single" w:color="000000" w:sz="6" w:space="0"/>
            </w:tcBorders>
          </w:tcPr>
          <w:p>
            <w:pPr>
              <w:keepNext w:val="0"/>
              <w:keepLines w:val="0"/>
              <w:numPr>
                <w:ilvl w:val="0"/>
                <w:numId w:val="0"/>
              </w:numPr>
              <w:suppressLineNumbers w:val="0"/>
              <w:spacing w:before="0" w:beforeAutospacing="0" w:after="0" w:afterAutospacing="0" w:line="360" w:lineRule="auto"/>
              <w:ind w:left="0" w:right="0" w:rightChars="0" w:firstLine="480" w:firstLineChars="200"/>
              <w:jc w:val="left"/>
              <w:rPr>
                <w:rFonts w:hint="default"/>
                <w:b w:val="0"/>
                <w:bCs w:val="0"/>
                <w:sz w:val="24"/>
                <w:szCs w:val="24"/>
              </w:rPr>
            </w:pPr>
            <w:r>
              <w:rPr>
                <w:rFonts w:hint="eastAsia" w:cs="Times New Roman"/>
                <w:b w:val="0"/>
                <w:bCs w:val="0"/>
                <w:sz w:val="24"/>
                <w:szCs w:val="24"/>
                <w:lang w:val="en-US" w:eastAsia="zh-CN"/>
              </w:rPr>
              <w:t>一、</w:t>
            </w:r>
            <w:r>
              <w:rPr>
                <w:rFonts w:hint="default" w:ascii="Times New Roman" w:hAnsi="Times New Roman" w:cs="Times New Roman"/>
                <w:b w:val="0"/>
                <w:bCs w:val="0"/>
                <w:sz w:val="24"/>
                <w:szCs w:val="24"/>
              </w:rPr>
              <w:t>大气污染源强及环境影响和保护措施</w:t>
            </w:r>
          </w:p>
          <w:p>
            <w:pPr>
              <w:pStyle w:val="23"/>
              <w:keepNext w:val="0"/>
              <w:keepLines w:val="0"/>
              <w:numPr>
                <w:ilvl w:val="0"/>
                <w:numId w:val="0"/>
              </w:numPr>
              <w:suppressLineNumbers w:val="0"/>
              <w:bidi w:val="0"/>
              <w:spacing w:before="0" w:beforeAutospacing="0" w:after="0" w:afterAutospacing="0"/>
              <w:ind w:left="0" w:right="0" w:firstLine="480" w:firstLineChars="200"/>
              <w:rPr>
                <w:rFonts w:hint="eastAsia"/>
                <w:b w:val="0"/>
                <w:bCs w:val="0"/>
                <w:sz w:val="24"/>
                <w:szCs w:val="24"/>
                <w:lang w:val="en-US" w:eastAsia="zh-CN"/>
              </w:rPr>
            </w:pPr>
            <w:r>
              <w:rPr>
                <w:rFonts w:hint="eastAsia"/>
                <w:b w:val="0"/>
                <w:bCs w:val="0"/>
                <w:sz w:val="24"/>
                <w:szCs w:val="24"/>
                <w:lang w:val="en-US" w:eastAsia="zh-CN"/>
              </w:rPr>
              <w:t>1、酸雾（HCl、硫酸雾）</w:t>
            </w:r>
          </w:p>
          <w:p>
            <w:pPr>
              <w:pStyle w:val="23"/>
              <w:keepNext w:val="0"/>
              <w:keepLines w:val="0"/>
              <w:suppressLineNumbers w:val="0"/>
              <w:bidi w:val="0"/>
              <w:spacing w:before="0" w:beforeAutospacing="0" w:after="0" w:afterAutospacing="0"/>
              <w:ind w:left="0" w:right="0"/>
              <w:rPr>
                <w:rFonts w:hint="eastAsia"/>
                <w:b w:val="0"/>
                <w:bCs w:val="0"/>
                <w:sz w:val="24"/>
                <w:szCs w:val="24"/>
                <w:lang w:val="en-US" w:eastAsia="zh-CN"/>
              </w:rPr>
            </w:pPr>
            <w:r>
              <w:rPr>
                <w:rFonts w:hint="eastAsia"/>
                <w:b w:val="0"/>
                <w:bCs w:val="0"/>
                <w:sz w:val="24"/>
                <w:szCs w:val="24"/>
                <w:lang w:val="en-US" w:eastAsia="zh-CN"/>
              </w:rPr>
              <w:t>项目在清洗和去胶过程中，使用的盐酸、硫酸会产生酸雾，主要包括氯化氢、硫酸雾。根据企业提供</w:t>
            </w:r>
            <w:r>
              <w:rPr>
                <w:rFonts w:hint="eastAsia" w:ascii="Times New Roman" w:hAnsi="Times New Roman" w:eastAsia="宋体" w:cs="Times New Roman"/>
                <w:b w:val="0"/>
                <w:bCs w:val="0"/>
                <w:sz w:val="24"/>
                <w:szCs w:val="24"/>
                <w:lang w:val="en-US" w:eastAsia="zh-CN"/>
              </w:rPr>
              <w:t>资料，本项目盐酸、硫酸年使用量分别为0.02t、0.02t，使用量较少，挥发的酸雾极少。</w:t>
            </w:r>
          </w:p>
          <w:p>
            <w:pPr>
              <w:pStyle w:val="23"/>
              <w:keepNext w:val="0"/>
              <w:keepLines w:val="0"/>
              <w:suppressLineNumbers w:val="0"/>
              <w:bidi w:val="0"/>
              <w:spacing w:before="0" w:beforeAutospacing="0" w:after="0" w:afterAutospacing="0"/>
              <w:ind w:left="0" w:right="0"/>
              <w:rPr>
                <w:rFonts w:hint="default"/>
                <w:b w:val="0"/>
                <w:bCs w:val="0"/>
                <w:sz w:val="24"/>
                <w:szCs w:val="24"/>
                <w:lang w:val="en-US" w:eastAsia="zh-CN"/>
              </w:rPr>
            </w:pPr>
            <w:r>
              <w:rPr>
                <w:rFonts w:hint="eastAsia"/>
                <w:b w:val="0"/>
                <w:bCs w:val="0"/>
                <w:sz w:val="24"/>
                <w:szCs w:val="24"/>
                <w:lang w:val="en-US" w:eastAsia="zh-CN"/>
              </w:rPr>
              <w:t>本次评价不对酸性废气进行定量分析，项目酸性废气经</w:t>
            </w:r>
            <w:r>
              <w:rPr>
                <w:rFonts w:hint="default"/>
                <w:b w:val="0"/>
                <w:bCs w:val="0"/>
                <w:sz w:val="24"/>
                <w:szCs w:val="24"/>
                <w:lang w:val="en-US" w:eastAsia="zh-CN"/>
              </w:rPr>
              <w:t>负压收集经2套碱液喷淋塔分别处理后，由2根25m高排气筒DA001、DA002排放。</w:t>
            </w:r>
          </w:p>
          <w:p>
            <w:pPr>
              <w:pStyle w:val="23"/>
              <w:keepNext w:val="0"/>
              <w:keepLines w:val="0"/>
              <w:suppressLineNumbers w:val="0"/>
              <w:bidi w:val="0"/>
              <w:spacing w:before="0" w:beforeAutospacing="0" w:after="0" w:afterAutospacing="0"/>
              <w:ind w:left="0" w:right="0"/>
              <w:rPr>
                <w:rFonts w:hint="eastAsia"/>
                <w:b w:val="0"/>
                <w:bCs w:val="0"/>
                <w:sz w:val="24"/>
                <w:szCs w:val="24"/>
                <w:lang w:val="en-US" w:eastAsia="zh-CN"/>
              </w:rPr>
            </w:pPr>
            <w:r>
              <w:rPr>
                <w:rFonts w:hint="eastAsia"/>
                <w:b w:val="0"/>
                <w:bCs w:val="0"/>
                <w:sz w:val="24"/>
                <w:szCs w:val="24"/>
                <w:lang w:val="en-US" w:eastAsia="zh-CN"/>
              </w:rPr>
              <w:t>碱液喷淋塔：</w:t>
            </w:r>
          </w:p>
          <w:p>
            <w:pPr>
              <w:pStyle w:val="23"/>
              <w:keepNext w:val="0"/>
              <w:keepLines w:val="0"/>
              <w:suppressLineNumbers w:val="0"/>
              <w:bidi w:val="0"/>
              <w:spacing w:before="0" w:beforeAutospacing="0" w:after="0" w:afterAutospacing="0"/>
              <w:ind w:left="0" w:right="0"/>
              <w:rPr>
                <w:rFonts w:hint="eastAsia"/>
                <w:b w:val="0"/>
                <w:bCs w:val="0"/>
                <w:sz w:val="24"/>
                <w:szCs w:val="24"/>
                <w:lang w:val="en-US" w:eastAsia="zh-CN"/>
              </w:rPr>
            </w:pPr>
            <w:r>
              <w:rPr>
                <w:rFonts w:hint="default"/>
                <w:b w:val="0"/>
                <w:bCs w:val="0"/>
                <w:sz w:val="24"/>
                <w:szCs w:val="24"/>
                <w:lang w:val="en-US" w:eastAsia="zh-CN"/>
              </w:rPr>
              <w:t>喷淋塔整个塔为圆筒形，其结构由风道、压力室、储液罐、填料、喷淋装置、消泡装置等组成。当废气通过风管进入净化塔，并通过塔内的填料层时，废气将与NaOH</w:t>
            </w:r>
            <w:r>
              <w:rPr>
                <w:rFonts w:hint="eastAsia"/>
                <w:b w:val="0"/>
                <w:bCs w:val="0"/>
                <w:sz w:val="24"/>
                <w:szCs w:val="24"/>
                <w:lang w:val="en-US" w:eastAsia="zh-CN"/>
              </w:rPr>
              <w:t>（</w:t>
            </w:r>
            <w:r>
              <w:rPr>
                <w:rFonts w:hint="default"/>
                <w:b w:val="0"/>
                <w:bCs w:val="0"/>
                <w:sz w:val="24"/>
                <w:szCs w:val="24"/>
                <w:lang w:val="en-US" w:eastAsia="zh-CN"/>
              </w:rPr>
              <w:t>氢氧化钠</w:t>
            </w:r>
            <w:r>
              <w:rPr>
                <w:rFonts w:hint="eastAsia"/>
                <w:b w:val="0"/>
                <w:bCs w:val="0"/>
                <w:sz w:val="24"/>
                <w:szCs w:val="24"/>
                <w:lang w:val="en-US" w:eastAsia="zh-CN"/>
              </w:rPr>
              <w:t>）</w:t>
            </w:r>
            <w:r>
              <w:rPr>
                <w:rFonts w:hint="default"/>
                <w:b w:val="0"/>
                <w:bCs w:val="0"/>
                <w:sz w:val="24"/>
                <w:szCs w:val="24"/>
                <w:lang w:val="en-US" w:eastAsia="zh-CN"/>
              </w:rPr>
              <w:t>吸收液接触，产生中和反应。净化后的废气会被除雾板装置除雾，最后净化后的空气由风机排入大气。这种净化方法具有较高的除尘脱硫率，碱性洗涤水的脱硫效率可达85%。所以排出的净化空气是完全可靠的</w:t>
            </w:r>
            <w:r>
              <w:rPr>
                <w:rFonts w:hint="eastAsia"/>
                <w:b w:val="0"/>
                <w:bCs w:val="0"/>
                <w:sz w:val="24"/>
                <w:szCs w:val="24"/>
                <w:lang w:val="en-US" w:eastAsia="zh-CN"/>
              </w:rPr>
              <w:t>。</w:t>
            </w:r>
          </w:p>
          <w:p>
            <w:pPr>
              <w:pStyle w:val="23"/>
              <w:keepNext w:val="0"/>
              <w:keepLines w:val="0"/>
              <w:suppressLineNumbers w:val="0"/>
              <w:bidi w:val="0"/>
              <w:spacing w:before="0" w:beforeAutospacing="0" w:after="0" w:afterAutospacing="0"/>
              <w:ind w:left="0" w:right="0"/>
              <w:rPr>
                <w:rFonts w:hint="default"/>
                <w:b w:val="0"/>
                <w:bCs w:val="0"/>
                <w:sz w:val="24"/>
                <w:szCs w:val="24"/>
                <w:lang w:val="en-US" w:eastAsia="zh-CN"/>
              </w:rPr>
            </w:pPr>
            <w:r>
              <w:rPr>
                <w:rFonts w:hint="eastAsia"/>
                <w:b w:val="0"/>
                <w:bCs w:val="0"/>
                <w:sz w:val="24"/>
                <w:szCs w:val="24"/>
                <w:lang w:val="en-US" w:eastAsia="zh-CN"/>
              </w:rPr>
              <w:t>本项目酸性废气挥发量极少，采用碱式喷淋塔处理后确保可以达标排放。</w:t>
            </w:r>
          </w:p>
          <w:p>
            <w:pPr>
              <w:pStyle w:val="23"/>
              <w:keepNext w:val="0"/>
              <w:keepLines w:val="0"/>
              <w:numPr>
                <w:ilvl w:val="0"/>
                <w:numId w:val="0"/>
              </w:numPr>
              <w:suppressLineNumbers w:val="0"/>
              <w:bidi w:val="0"/>
              <w:spacing w:before="0" w:beforeAutospacing="0" w:after="0" w:afterAutospacing="0"/>
              <w:ind w:left="0" w:leftChars="0" w:right="0" w:rightChars="0" w:firstLine="480" w:firstLineChars="200"/>
              <w:rPr>
                <w:rFonts w:hint="default" w:ascii="Times New Roman" w:hAnsi="Times New Roman" w:cs="Times New Roman"/>
                <w:b w:val="0"/>
                <w:bCs w:val="0"/>
                <w:sz w:val="24"/>
                <w:szCs w:val="24"/>
                <w:lang w:val="en-US" w:eastAsia="zh-CN"/>
              </w:rPr>
            </w:pPr>
            <w:r>
              <w:rPr>
                <w:rFonts w:hint="eastAsia" w:cs="Times New Roman"/>
                <w:b w:val="0"/>
                <w:bCs w:val="0"/>
                <w:sz w:val="24"/>
                <w:szCs w:val="24"/>
                <w:lang w:val="en-US" w:eastAsia="zh-CN"/>
              </w:rPr>
              <w:t>2、有机</w:t>
            </w:r>
            <w:r>
              <w:rPr>
                <w:rFonts w:hint="default" w:ascii="Times New Roman" w:hAnsi="Times New Roman" w:cs="Times New Roman"/>
                <w:b w:val="0"/>
                <w:bCs w:val="0"/>
                <w:sz w:val="24"/>
                <w:szCs w:val="24"/>
                <w:lang w:val="en-US" w:eastAsia="zh-CN"/>
              </w:rPr>
              <w:t>废气源强分析</w:t>
            </w:r>
          </w:p>
          <w:p>
            <w:pPr>
              <w:pStyle w:val="23"/>
              <w:keepNext w:val="0"/>
              <w:keepLines w:val="0"/>
              <w:suppressLineNumbers w:val="0"/>
              <w:bidi w:val="0"/>
              <w:spacing w:before="0" w:beforeAutospacing="0" w:after="0" w:afterAutospacing="0"/>
              <w:ind w:left="0" w:right="0"/>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rPr>
              <w:t>塑料封装生产过程中会产生一定量的塑</w:t>
            </w:r>
            <w:r>
              <w:rPr>
                <w:rFonts w:hint="eastAsia" w:cs="Times New Roman"/>
                <w:b w:val="0"/>
                <w:bCs w:val="0"/>
                <w:sz w:val="24"/>
                <w:szCs w:val="24"/>
                <w:lang w:val="en-US" w:eastAsia="zh-CN"/>
              </w:rPr>
              <w:t>封</w:t>
            </w:r>
            <w:r>
              <w:rPr>
                <w:rFonts w:hint="default" w:ascii="Times New Roman" w:hAnsi="Times New Roman" w:cs="Times New Roman"/>
                <w:b w:val="0"/>
                <w:bCs w:val="0"/>
                <w:sz w:val="24"/>
                <w:szCs w:val="24"/>
              </w:rPr>
              <w:t>废气，参</w:t>
            </w:r>
            <w:r>
              <w:rPr>
                <w:rFonts w:hint="eastAsia" w:cs="Times New Roman"/>
                <w:b w:val="0"/>
                <w:bCs w:val="0"/>
                <w:sz w:val="24"/>
                <w:szCs w:val="24"/>
                <w:lang w:val="en-US" w:eastAsia="zh-CN"/>
              </w:rPr>
              <w:t>考</w:t>
            </w:r>
            <w:r>
              <w:rPr>
                <w:rFonts w:hint="default" w:ascii="Times New Roman" w:hAnsi="Times New Roman" w:cs="Times New Roman"/>
                <w:b w:val="0"/>
                <w:bCs w:val="0"/>
                <w:sz w:val="24"/>
                <w:szCs w:val="24"/>
              </w:rPr>
              <w:t>《排放源统计调查产排污核算方法和系数手册（公告2021年第24号）》工业源产排污核算方法和系数手册中</w:t>
            </w:r>
            <w:r>
              <w:rPr>
                <w:rFonts w:hint="default" w:ascii="Times New Roman" w:hAnsi="Times New Roman" w:cs="Times New Roman"/>
                <w:b w:val="0"/>
                <w:bCs w:val="0"/>
                <w:sz w:val="24"/>
                <w:szCs w:val="24"/>
                <w:lang w:val="en-US" w:eastAsia="zh-CN"/>
              </w:rPr>
              <w:t>33-37,431-434机械行业系数手册（含35专用设备制造）行业系数手册可知：挥发性有机物产污系数为1.20千克/吨-原</w:t>
            </w:r>
            <w:r>
              <w:rPr>
                <w:rFonts w:hint="default" w:ascii="Times New Roman" w:hAnsi="Times New Roman" w:eastAsia="宋体" w:cs="Times New Roman"/>
                <w:b w:val="0"/>
                <w:bCs w:val="0"/>
                <w:sz w:val="24"/>
                <w:szCs w:val="24"/>
                <w:lang w:val="en-US" w:eastAsia="zh-CN"/>
              </w:rPr>
              <w:t>料。</w:t>
            </w:r>
            <w:r>
              <w:rPr>
                <w:rFonts w:hint="eastAsia" w:ascii="Times New Roman" w:hAnsi="Times New Roman" w:eastAsia="宋体" w:cs="Times New Roman"/>
                <w:b w:val="0"/>
                <w:bCs w:val="0"/>
                <w:sz w:val="24"/>
                <w:szCs w:val="24"/>
                <w:lang w:val="en-US" w:eastAsia="zh-CN"/>
              </w:rPr>
              <w:t>本项</w:t>
            </w:r>
            <w:r>
              <w:rPr>
                <w:rFonts w:hint="eastAsia" w:cs="Times New Roman"/>
                <w:b w:val="0"/>
                <w:bCs w:val="0"/>
                <w:sz w:val="24"/>
                <w:szCs w:val="24"/>
                <w:lang w:val="en-US" w:eastAsia="zh-CN"/>
              </w:rPr>
              <w:t>目</w:t>
            </w:r>
            <w:r>
              <w:rPr>
                <w:rFonts w:hint="default" w:ascii="Times New Roman" w:hAnsi="Times New Roman" w:cs="Times New Roman"/>
                <w:b w:val="0"/>
                <w:bCs w:val="0"/>
                <w:sz w:val="24"/>
                <w:szCs w:val="24"/>
                <w:lang w:val="en-US" w:eastAsia="zh-CN"/>
              </w:rPr>
              <w:t>环氧树脂年用量为1.58t/a，则塑封产生的挥发性有机物为0.0019t</w:t>
            </w:r>
            <w:r>
              <w:rPr>
                <w:rFonts w:hint="eastAsia" w:cs="Times New Roman"/>
                <w:b w:val="0"/>
                <w:bCs w:val="0"/>
                <w:sz w:val="24"/>
                <w:szCs w:val="24"/>
                <w:lang w:val="en-US" w:eastAsia="zh-CN"/>
              </w:rPr>
              <w:t>/a</w:t>
            </w:r>
            <w:r>
              <w:rPr>
                <w:rFonts w:hint="default" w:ascii="Times New Roman" w:hAnsi="Times New Roman" w:cs="Times New Roman"/>
                <w:b w:val="0"/>
                <w:bCs w:val="0"/>
                <w:sz w:val="24"/>
                <w:szCs w:val="24"/>
                <w:lang w:val="en-US" w:eastAsia="zh-CN"/>
              </w:rPr>
              <w:t>。</w:t>
            </w:r>
          </w:p>
          <w:p>
            <w:pPr>
              <w:pStyle w:val="23"/>
              <w:keepNext w:val="0"/>
              <w:keepLines w:val="0"/>
              <w:suppressLineNumbers w:val="0"/>
              <w:bidi w:val="0"/>
              <w:spacing w:before="0" w:beforeAutospacing="0" w:after="0" w:afterAutospacing="0"/>
              <w:ind w:left="0" w:right="0"/>
              <w:rPr>
                <w:rFonts w:hint="eastAsia" w:cs="Times New Roman"/>
                <w:b w:val="0"/>
                <w:bCs w:val="0"/>
                <w:sz w:val="24"/>
                <w:szCs w:val="24"/>
                <w:lang w:val="en-US" w:eastAsia="zh-CN"/>
              </w:rPr>
            </w:pPr>
            <w:r>
              <w:rPr>
                <w:rFonts w:hint="eastAsia" w:cs="Times New Roman"/>
                <w:b w:val="0"/>
                <w:bCs w:val="0"/>
                <w:sz w:val="24"/>
                <w:szCs w:val="24"/>
                <w:lang w:val="en-US" w:eastAsia="zh-CN"/>
              </w:rPr>
              <w:t>废气收集后经二级活性炭吸附装置处理后经25m高排气筒（DA003）排放，风机风量取8000m</w:t>
            </w:r>
            <w:r>
              <w:rPr>
                <w:rFonts w:hint="eastAsia" w:cs="Times New Roman"/>
                <w:b w:val="0"/>
                <w:bCs w:val="0"/>
                <w:sz w:val="24"/>
                <w:szCs w:val="24"/>
                <w:vertAlign w:val="superscript"/>
                <w:lang w:val="en-US" w:eastAsia="zh-CN"/>
              </w:rPr>
              <w:t>3</w:t>
            </w:r>
            <w:r>
              <w:rPr>
                <w:rFonts w:hint="eastAsia" w:cs="Times New Roman"/>
                <w:b w:val="0"/>
                <w:bCs w:val="0"/>
                <w:sz w:val="24"/>
                <w:szCs w:val="24"/>
                <w:lang w:val="en-US" w:eastAsia="zh-CN"/>
              </w:rPr>
              <w:t>/h，二级活性炭吸附装置处理效率不低于90%。</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jc w:val="left"/>
              <w:rPr>
                <w:rFonts w:hint="default"/>
                <w:color w:val="auto"/>
                <w:kern w:val="0"/>
                <w:sz w:val="24"/>
                <w:szCs w:val="24"/>
                <w:highlight w:val="none"/>
              </w:rPr>
            </w:pPr>
            <w:r>
              <w:rPr>
                <w:rFonts w:hint="default"/>
                <w:color w:val="auto"/>
                <w:kern w:val="0"/>
                <w:sz w:val="24"/>
                <w:szCs w:val="24"/>
                <w:highlight w:val="none"/>
              </w:rPr>
              <w:t>根据废气产生量情况</w:t>
            </w:r>
            <w:r>
              <w:rPr>
                <w:rFonts w:hint="eastAsia"/>
                <w:color w:val="auto"/>
                <w:kern w:val="0"/>
                <w:sz w:val="24"/>
                <w:szCs w:val="24"/>
                <w:highlight w:val="none"/>
              </w:rPr>
              <w:t>及建设单位生产设备工段的尺寸</w:t>
            </w:r>
            <w:r>
              <w:rPr>
                <w:rFonts w:hint="default"/>
                <w:color w:val="auto"/>
                <w:kern w:val="0"/>
                <w:sz w:val="24"/>
                <w:szCs w:val="24"/>
                <w:highlight w:val="none"/>
              </w:rPr>
              <w:t>，建设单位拟在</w:t>
            </w:r>
            <w:r>
              <w:rPr>
                <w:rFonts w:hint="eastAsia"/>
                <w:color w:val="auto"/>
                <w:kern w:val="0"/>
                <w:sz w:val="24"/>
                <w:szCs w:val="24"/>
                <w:highlight w:val="none"/>
                <w:lang w:val="en-US" w:eastAsia="zh-CN"/>
              </w:rPr>
              <w:t>封装机（10台）</w:t>
            </w:r>
            <w:r>
              <w:rPr>
                <w:rFonts w:hint="eastAsia"/>
                <w:color w:val="auto"/>
                <w:kern w:val="0"/>
                <w:sz w:val="24"/>
                <w:szCs w:val="24"/>
                <w:highlight w:val="none"/>
              </w:rPr>
              <w:t>上方</w:t>
            </w:r>
            <w:r>
              <w:rPr>
                <w:rFonts w:hint="default"/>
                <w:color w:val="auto"/>
                <w:kern w:val="0"/>
                <w:sz w:val="24"/>
                <w:szCs w:val="24"/>
                <w:highlight w:val="none"/>
              </w:rPr>
              <w:t>采用长</w:t>
            </w:r>
            <w:r>
              <w:rPr>
                <w:rFonts w:hint="eastAsia"/>
                <w:color w:val="auto"/>
                <w:kern w:val="0"/>
                <w:sz w:val="24"/>
                <w:szCs w:val="24"/>
                <w:highlight w:val="none"/>
                <w:lang w:val="en-US" w:eastAsia="zh-CN"/>
              </w:rPr>
              <w:t>0.6</w:t>
            </w:r>
            <w:r>
              <w:rPr>
                <w:rFonts w:hint="default"/>
                <w:color w:val="auto"/>
                <w:kern w:val="0"/>
                <w:sz w:val="24"/>
                <w:szCs w:val="24"/>
                <w:highlight w:val="none"/>
              </w:rPr>
              <w:t>m，宽</w:t>
            </w:r>
            <w:r>
              <w:rPr>
                <w:rFonts w:hint="eastAsia"/>
                <w:color w:val="auto"/>
                <w:kern w:val="0"/>
                <w:sz w:val="24"/>
                <w:szCs w:val="24"/>
                <w:highlight w:val="none"/>
                <w:lang w:val="en-US" w:eastAsia="zh-CN"/>
              </w:rPr>
              <w:t>0.3</w:t>
            </w:r>
            <w:r>
              <w:rPr>
                <w:rFonts w:hint="default"/>
                <w:color w:val="auto"/>
                <w:kern w:val="0"/>
                <w:sz w:val="24"/>
                <w:szCs w:val="24"/>
                <w:highlight w:val="none"/>
              </w:rPr>
              <w:t>m的集气罩，罩口设计风速为0.</w:t>
            </w:r>
            <w:r>
              <w:rPr>
                <w:rFonts w:hint="eastAsia"/>
                <w:color w:val="auto"/>
                <w:kern w:val="0"/>
                <w:sz w:val="24"/>
                <w:szCs w:val="24"/>
                <w:highlight w:val="none"/>
                <w:lang w:val="en-US" w:eastAsia="zh-CN"/>
              </w:rPr>
              <w:t>3</w:t>
            </w:r>
            <w:r>
              <w:rPr>
                <w:rFonts w:hint="default"/>
                <w:color w:val="auto"/>
                <w:kern w:val="0"/>
                <w:sz w:val="24"/>
                <w:szCs w:val="24"/>
                <w:highlight w:val="none"/>
              </w:rPr>
              <w:t>m/s，集气罩距离产污点距离0.3m，按照《环境工程设计手册》中的经验公式：</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jc w:val="left"/>
              <w:rPr>
                <w:rFonts w:hint="default"/>
                <w:color w:val="auto"/>
                <w:kern w:val="0"/>
                <w:sz w:val="24"/>
                <w:szCs w:val="24"/>
                <w:highlight w:val="none"/>
                <w:vertAlign w:val="subscript"/>
              </w:rPr>
            </w:pPr>
            <w:r>
              <w:rPr>
                <w:rFonts w:hint="default"/>
                <w:color w:val="auto"/>
                <w:kern w:val="0"/>
                <w:sz w:val="24"/>
                <w:szCs w:val="24"/>
                <w:highlight w:val="none"/>
              </w:rPr>
              <w:t>L=3600（5X</w:t>
            </w:r>
            <w:r>
              <w:rPr>
                <w:rFonts w:hint="default"/>
                <w:color w:val="auto"/>
                <w:kern w:val="0"/>
                <w:sz w:val="24"/>
                <w:szCs w:val="24"/>
                <w:highlight w:val="none"/>
                <w:vertAlign w:val="superscript"/>
              </w:rPr>
              <w:t>2</w:t>
            </w:r>
            <w:r>
              <w:rPr>
                <w:rFonts w:hint="default"/>
                <w:color w:val="auto"/>
                <w:kern w:val="0"/>
                <w:sz w:val="24"/>
                <w:szCs w:val="24"/>
                <w:highlight w:val="none"/>
              </w:rPr>
              <w:t>+F）×V</w:t>
            </w:r>
            <w:r>
              <w:rPr>
                <w:rFonts w:hint="default"/>
                <w:color w:val="auto"/>
                <w:kern w:val="0"/>
                <w:sz w:val="24"/>
                <w:szCs w:val="24"/>
                <w:highlight w:val="none"/>
                <w:vertAlign w:val="subscript"/>
              </w:rPr>
              <w:t>X</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baseline"/>
              <w:rPr>
                <w:rFonts w:hint="default" w:ascii="Times New Roman" w:hAnsi="Times New Roman" w:eastAsia="宋体"/>
                <w:snapToGrid/>
                <w:color w:val="auto"/>
                <w:spacing w:val="0"/>
                <w:sz w:val="24"/>
                <w:szCs w:val="24"/>
                <w:highlight w:val="none"/>
              </w:rPr>
            </w:pPr>
            <w:r>
              <w:rPr>
                <w:rFonts w:hint="default" w:ascii="Times New Roman" w:hAnsi="Times New Roman" w:eastAsia="宋体"/>
                <w:snapToGrid/>
                <w:color w:val="auto"/>
                <w:spacing w:val="0"/>
                <w:sz w:val="24"/>
                <w:szCs w:val="24"/>
                <w:highlight w:val="none"/>
              </w:rPr>
              <w:t>其中：X为集气罩至产污点的距离，取0.3；</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baseline"/>
              <w:rPr>
                <w:rFonts w:hint="eastAsia" w:ascii="Times New Roman" w:hAnsi="Times New Roman" w:eastAsia="宋体"/>
                <w:snapToGrid/>
                <w:color w:val="auto"/>
                <w:spacing w:val="0"/>
                <w:sz w:val="24"/>
                <w:szCs w:val="24"/>
                <w:highlight w:val="none"/>
                <w:lang w:eastAsia="zh-CN"/>
              </w:rPr>
            </w:pPr>
            <w:r>
              <w:rPr>
                <w:rFonts w:hint="default" w:ascii="Times New Roman" w:hAnsi="Times New Roman" w:eastAsia="宋体"/>
                <w:snapToGrid/>
                <w:color w:val="auto"/>
                <w:spacing w:val="0"/>
                <w:sz w:val="24"/>
                <w:szCs w:val="24"/>
                <w:highlight w:val="none"/>
              </w:rPr>
              <w:t>F为集气罩面积，为</w:t>
            </w:r>
            <w:r>
              <w:rPr>
                <w:rFonts w:hint="eastAsia" w:ascii="Times New Roman" w:hAnsi="Times New Roman" w:eastAsia="宋体"/>
                <w:snapToGrid/>
                <w:color w:val="auto"/>
                <w:spacing w:val="0"/>
                <w:sz w:val="24"/>
                <w:szCs w:val="24"/>
                <w:highlight w:val="none"/>
                <w:lang w:val="en-US" w:eastAsia="zh-CN"/>
              </w:rPr>
              <w:t>0.18</w:t>
            </w:r>
            <w:r>
              <w:rPr>
                <w:rFonts w:hint="default" w:ascii="Times New Roman" w:hAnsi="Times New Roman" w:eastAsia="宋体"/>
                <w:snapToGrid/>
                <w:color w:val="auto"/>
                <w:spacing w:val="0"/>
                <w:sz w:val="24"/>
                <w:szCs w:val="24"/>
                <w:highlight w:val="none"/>
              </w:rPr>
              <w:t>m</w:t>
            </w:r>
            <w:r>
              <w:rPr>
                <w:rFonts w:hint="default" w:ascii="Times New Roman" w:hAnsi="Times New Roman" w:eastAsia="宋体"/>
                <w:snapToGrid/>
                <w:color w:val="auto"/>
                <w:spacing w:val="0"/>
                <w:sz w:val="24"/>
                <w:szCs w:val="24"/>
                <w:highlight w:val="none"/>
                <w:vertAlign w:val="superscript"/>
              </w:rPr>
              <w:t>2</w:t>
            </w:r>
            <w:r>
              <w:rPr>
                <w:rFonts w:hint="eastAsia" w:ascii="Times New Roman" w:hAnsi="Times New Roman" w:eastAsia="宋体"/>
                <w:snapToGrid/>
                <w:color w:val="auto"/>
                <w:spacing w:val="0"/>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baseline"/>
              <w:rPr>
                <w:rFonts w:hint="default" w:ascii="Times New Roman" w:hAnsi="Times New Roman" w:eastAsia="宋体"/>
                <w:snapToGrid/>
                <w:color w:val="auto"/>
                <w:spacing w:val="0"/>
                <w:sz w:val="24"/>
                <w:szCs w:val="24"/>
                <w:highlight w:val="none"/>
              </w:rPr>
            </w:pPr>
            <w:r>
              <w:rPr>
                <w:rFonts w:hint="default" w:ascii="Times New Roman" w:hAnsi="Times New Roman" w:eastAsia="宋体"/>
                <w:snapToGrid/>
                <w:color w:val="auto"/>
                <w:spacing w:val="0"/>
                <w:sz w:val="24"/>
                <w:szCs w:val="24"/>
                <w:highlight w:val="none"/>
              </w:rPr>
              <w:t>Vx为控制风速，取0.</w:t>
            </w:r>
            <w:r>
              <w:rPr>
                <w:rFonts w:hint="eastAsia" w:ascii="Times New Roman" w:hAnsi="Times New Roman" w:eastAsia="宋体"/>
                <w:snapToGrid/>
                <w:color w:val="auto"/>
                <w:spacing w:val="0"/>
                <w:sz w:val="24"/>
                <w:szCs w:val="24"/>
                <w:highlight w:val="none"/>
                <w:lang w:val="en-US" w:eastAsia="zh-CN"/>
              </w:rPr>
              <w:t>3</w:t>
            </w:r>
            <w:r>
              <w:rPr>
                <w:rFonts w:hint="default" w:ascii="Times New Roman" w:hAnsi="Times New Roman" w:eastAsia="宋体"/>
                <w:snapToGrid/>
                <w:color w:val="auto"/>
                <w:spacing w:val="0"/>
                <w:sz w:val="24"/>
                <w:szCs w:val="24"/>
                <w:highlight w:val="none"/>
              </w:rPr>
              <w:t>m/s。</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baseline"/>
              <w:rPr>
                <w:rFonts w:hint="eastAsia" w:eastAsia="宋体"/>
                <w:bCs/>
                <w:color w:val="auto"/>
                <w:kern w:val="0"/>
                <w:sz w:val="24"/>
                <w:szCs w:val="24"/>
                <w:highlight w:val="none"/>
                <w:lang w:val="en-US" w:eastAsia="zh-CN"/>
              </w:rPr>
            </w:pPr>
            <w:r>
              <w:rPr>
                <w:rFonts w:hint="eastAsia"/>
                <w:color w:val="auto"/>
                <w:sz w:val="24"/>
                <w:szCs w:val="24"/>
                <w:highlight w:val="none"/>
                <w:lang w:val="en-US" w:eastAsia="zh-CN"/>
              </w:rPr>
              <w:t>经计算，单个</w:t>
            </w:r>
            <w:r>
              <w:rPr>
                <w:rFonts w:hint="default"/>
                <w:color w:val="auto"/>
                <w:sz w:val="24"/>
                <w:szCs w:val="24"/>
                <w:highlight w:val="none"/>
              </w:rPr>
              <w:t>集气罩风量为</w:t>
            </w:r>
            <w:r>
              <w:rPr>
                <w:rFonts w:hint="eastAsia"/>
                <w:color w:val="auto"/>
                <w:sz w:val="24"/>
                <w:szCs w:val="24"/>
                <w:highlight w:val="none"/>
                <w:lang w:val="en-US" w:eastAsia="zh-CN"/>
              </w:rPr>
              <w:t>680.4</w:t>
            </w:r>
            <w:r>
              <w:rPr>
                <w:rFonts w:hint="default"/>
                <w:color w:val="auto"/>
                <w:sz w:val="24"/>
                <w:szCs w:val="24"/>
                <w:highlight w:val="none"/>
              </w:rPr>
              <w:t>m</w:t>
            </w:r>
            <w:r>
              <w:rPr>
                <w:rFonts w:hint="default"/>
                <w:color w:val="auto"/>
                <w:sz w:val="24"/>
                <w:szCs w:val="24"/>
                <w:highlight w:val="none"/>
                <w:vertAlign w:val="superscript"/>
              </w:rPr>
              <w:t>3</w:t>
            </w:r>
            <w:r>
              <w:rPr>
                <w:rFonts w:hint="default"/>
                <w:color w:val="auto"/>
                <w:sz w:val="24"/>
                <w:szCs w:val="24"/>
                <w:highlight w:val="none"/>
              </w:rPr>
              <w:t>/h</w:t>
            </w:r>
            <w:r>
              <w:rPr>
                <w:rFonts w:hint="eastAsia"/>
                <w:color w:val="auto"/>
                <w:sz w:val="24"/>
                <w:szCs w:val="24"/>
                <w:highlight w:val="none"/>
              </w:rPr>
              <w:t>，本项目设</w:t>
            </w:r>
            <w:r>
              <w:rPr>
                <w:rFonts w:hint="eastAsia"/>
                <w:color w:val="auto"/>
                <w:sz w:val="24"/>
                <w:szCs w:val="24"/>
                <w:highlight w:val="none"/>
                <w:lang w:val="en-US" w:eastAsia="zh-CN"/>
              </w:rPr>
              <w:t>10台集气罩</w:t>
            </w:r>
            <w:r>
              <w:rPr>
                <w:rFonts w:hint="eastAsia"/>
                <w:color w:val="auto"/>
                <w:sz w:val="24"/>
                <w:szCs w:val="24"/>
                <w:highlight w:val="none"/>
              </w:rPr>
              <w:t>，</w:t>
            </w:r>
            <w:r>
              <w:rPr>
                <w:rFonts w:hint="eastAsia"/>
                <w:color w:val="auto"/>
                <w:sz w:val="24"/>
                <w:szCs w:val="24"/>
                <w:highlight w:val="none"/>
                <w:lang w:val="en-US" w:eastAsia="zh-CN"/>
              </w:rPr>
              <w:t>设计风量共计6840</w:t>
            </w:r>
            <w:r>
              <w:rPr>
                <w:rFonts w:hint="default"/>
                <w:color w:val="auto"/>
                <w:sz w:val="24"/>
                <w:szCs w:val="24"/>
                <w:highlight w:val="none"/>
              </w:rPr>
              <w:t>m</w:t>
            </w:r>
            <w:r>
              <w:rPr>
                <w:rFonts w:hint="default"/>
                <w:color w:val="auto"/>
                <w:sz w:val="24"/>
                <w:szCs w:val="24"/>
                <w:highlight w:val="none"/>
                <w:vertAlign w:val="superscript"/>
              </w:rPr>
              <w:t>3</w:t>
            </w:r>
            <w:r>
              <w:rPr>
                <w:rFonts w:hint="default"/>
                <w:color w:val="auto"/>
                <w:sz w:val="24"/>
                <w:szCs w:val="24"/>
                <w:highlight w:val="none"/>
              </w:rPr>
              <w:t>/h</w:t>
            </w:r>
            <w:r>
              <w:rPr>
                <w:rFonts w:hint="eastAsia"/>
                <w:color w:val="auto"/>
                <w:sz w:val="24"/>
                <w:szCs w:val="24"/>
                <w:highlight w:val="none"/>
              </w:rPr>
              <w:t>，</w:t>
            </w:r>
            <w:r>
              <w:rPr>
                <w:rFonts w:hint="default"/>
                <w:color w:val="auto"/>
                <w:sz w:val="24"/>
                <w:szCs w:val="24"/>
                <w:highlight w:val="none"/>
              </w:rPr>
              <w:t>考虑系统漏风等因素，因此总风机</w:t>
            </w:r>
            <w:r>
              <w:rPr>
                <w:rFonts w:hint="eastAsia"/>
                <w:color w:val="auto"/>
                <w:kern w:val="0"/>
                <w:sz w:val="24"/>
                <w:szCs w:val="24"/>
                <w:highlight w:val="none"/>
              </w:rPr>
              <w:t>风量</w:t>
            </w:r>
            <w:r>
              <w:rPr>
                <w:rFonts w:hint="default"/>
                <w:color w:val="auto"/>
                <w:sz w:val="24"/>
                <w:szCs w:val="24"/>
                <w:highlight w:val="none"/>
              </w:rPr>
              <w:t>设计为</w:t>
            </w:r>
            <w:r>
              <w:rPr>
                <w:rFonts w:hint="eastAsia"/>
                <w:color w:val="auto"/>
                <w:sz w:val="24"/>
                <w:szCs w:val="24"/>
                <w:highlight w:val="none"/>
                <w:lang w:val="en-US" w:eastAsia="zh-CN"/>
              </w:rPr>
              <w:t>8000</w:t>
            </w:r>
            <w:r>
              <w:rPr>
                <w:rFonts w:hint="default"/>
                <w:color w:val="auto"/>
                <w:sz w:val="24"/>
                <w:szCs w:val="24"/>
                <w:highlight w:val="none"/>
              </w:rPr>
              <w:t>m</w:t>
            </w:r>
            <w:r>
              <w:rPr>
                <w:rFonts w:hint="default"/>
                <w:color w:val="auto"/>
                <w:sz w:val="24"/>
                <w:szCs w:val="24"/>
                <w:highlight w:val="none"/>
                <w:vertAlign w:val="superscript"/>
              </w:rPr>
              <w:t>3</w:t>
            </w:r>
            <w:r>
              <w:rPr>
                <w:rFonts w:hint="default"/>
                <w:color w:val="auto"/>
                <w:sz w:val="24"/>
                <w:szCs w:val="24"/>
                <w:highlight w:val="none"/>
              </w:rPr>
              <w:t>/h</w:t>
            </w:r>
            <w:r>
              <w:rPr>
                <w:rFonts w:hint="eastAsia"/>
                <w:color w:val="auto"/>
                <w:sz w:val="24"/>
                <w:szCs w:val="24"/>
                <w:highlight w:val="none"/>
                <w:lang w:eastAsia="zh-CN"/>
              </w:rPr>
              <w:t>。</w:t>
            </w:r>
          </w:p>
          <w:p>
            <w:pPr>
              <w:pStyle w:val="11"/>
              <w:keepNext w:val="0"/>
              <w:keepLines w:val="0"/>
              <w:suppressLineNumbers w:val="0"/>
              <w:bidi w:val="0"/>
              <w:spacing w:before="0" w:after="0" w:afterAutospacing="0"/>
              <w:ind w:right="0"/>
              <w:rPr>
                <w:rFonts w:hint="default"/>
                <w:lang w:val="en-US" w:eastAsia="zh-CN"/>
              </w:rPr>
            </w:pPr>
            <w:r>
              <w:rPr>
                <w:rFonts w:hint="default"/>
                <w:lang w:val="en-US" w:eastAsia="zh-CN"/>
              </w:rPr>
              <w:t>表4-1 废气产污情况一览表</w:t>
            </w:r>
          </w:p>
          <w:tbl>
            <w:tblPr>
              <w:tblStyle w:val="19"/>
              <w:tblW w:w="853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17"/>
              <w:gridCol w:w="310"/>
              <w:gridCol w:w="829"/>
              <w:gridCol w:w="674"/>
              <w:gridCol w:w="397"/>
              <w:gridCol w:w="817"/>
              <w:gridCol w:w="519"/>
              <w:gridCol w:w="485"/>
              <w:gridCol w:w="452"/>
              <w:gridCol w:w="534"/>
              <w:gridCol w:w="928"/>
              <w:gridCol w:w="850"/>
              <w:gridCol w:w="612"/>
              <w:gridCol w:w="70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44" w:type="pct"/>
                  <w:vMerge w:val="restar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产排污环节</w:t>
                  </w:r>
                </w:p>
              </w:tc>
              <w:tc>
                <w:tcPr>
                  <w:tcW w:w="181" w:type="pct"/>
                  <w:vMerge w:val="restar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污染物种类</w:t>
                  </w:r>
                </w:p>
              </w:tc>
              <w:tc>
                <w:tcPr>
                  <w:tcW w:w="880" w:type="pct"/>
                  <w:gridSpan w:val="2"/>
                  <w:noWrap w:val="0"/>
                  <w:vAlign w:val="center"/>
                </w:tcPr>
                <w:p>
                  <w:pPr>
                    <w:pStyle w:val="2"/>
                    <w:keepNext w:val="0"/>
                    <w:keepLines w:val="0"/>
                    <w:pageBreakBefore w:val="0"/>
                    <w:suppressLineNumbers w:val="0"/>
                    <w:wordWrap/>
                    <w:topLinePunct w:val="0"/>
                    <w:bidi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污染物</w:t>
                  </w:r>
                </w:p>
                <w:p>
                  <w:pPr>
                    <w:pStyle w:val="2"/>
                    <w:keepNext w:val="0"/>
                    <w:keepLines w:val="0"/>
                    <w:pageBreakBefore w:val="0"/>
                    <w:suppressLineNumbers w:val="0"/>
                    <w:wordWrap/>
                    <w:topLinePunct w:val="0"/>
                    <w:bidi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产生情况</w:t>
                  </w:r>
                </w:p>
              </w:tc>
              <w:tc>
                <w:tcPr>
                  <w:tcW w:w="232" w:type="pct"/>
                  <w:vMerge w:val="restar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排放</w:t>
                  </w:r>
                </w:p>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形式</w:t>
                  </w:r>
                </w:p>
              </w:tc>
              <w:tc>
                <w:tcPr>
                  <w:tcW w:w="1644" w:type="pct"/>
                  <w:gridSpan w:val="5"/>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主要污染治理设施</w:t>
                  </w:r>
                </w:p>
              </w:tc>
              <w:tc>
                <w:tcPr>
                  <w:tcW w:w="1400" w:type="pct"/>
                  <w:gridSpan w:val="3"/>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污染物排放情况</w:t>
                  </w:r>
                </w:p>
              </w:tc>
              <w:tc>
                <w:tcPr>
                  <w:tcW w:w="415"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排放</w:t>
                  </w:r>
                </w:p>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44" w:type="pct"/>
                  <w:vMerge w:val="continue"/>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p>
              </w:tc>
              <w:tc>
                <w:tcPr>
                  <w:tcW w:w="181" w:type="pct"/>
                  <w:vMerge w:val="continue"/>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p>
              </w:tc>
              <w:tc>
                <w:tcPr>
                  <w:tcW w:w="485"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产生量</w:t>
                  </w:r>
                  <w:r>
                    <w:rPr>
                      <w:rFonts w:hint="default" w:ascii="Times New Roman" w:hAnsi="Times New Roman" w:cs="Times New Roman"/>
                      <w:b w:val="0"/>
                      <w:bCs w:val="0"/>
                      <w:color w:val="000000"/>
                      <w:sz w:val="21"/>
                      <w:szCs w:val="21"/>
                      <w:lang w:eastAsia="zh-CN"/>
                    </w:rPr>
                    <w:t>t/a</w:t>
                  </w:r>
                </w:p>
              </w:tc>
              <w:tc>
                <w:tcPr>
                  <w:tcW w:w="39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产生</w:t>
                  </w:r>
                </w:p>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浓度mg/m</w:t>
                  </w:r>
                  <w:r>
                    <w:rPr>
                      <w:rFonts w:hint="default" w:ascii="Times New Roman" w:hAnsi="Times New Roman" w:cs="Times New Roman"/>
                      <w:b w:val="0"/>
                      <w:bCs w:val="0"/>
                      <w:color w:val="000000"/>
                      <w:sz w:val="21"/>
                      <w:szCs w:val="21"/>
                      <w:vertAlign w:val="superscript"/>
                      <w:lang w:val="en-US" w:eastAsia="zh-CN"/>
                    </w:rPr>
                    <w:t>3</w:t>
                  </w:r>
                </w:p>
              </w:tc>
              <w:tc>
                <w:tcPr>
                  <w:tcW w:w="232" w:type="pct"/>
                  <w:vMerge w:val="continue"/>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p>
              </w:tc>
              <w:tc>
                <w:tcPr>
                  <w:tcW w:w="478"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治理</w:t>
                  </w:r>
                </w:p>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措施</w:t>
                  </w:r>
                </w:p>
              </w:tc>
              <w:tc>
                <w:tcPr>
                  <w:tcW w:w="30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处理</w:t>
                  </w:r>
                </w:p>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能力</w:t>
                  </w:r>
                </w:p>
              </w:tc>
              <w:tc>
                <w:tcPr>
                  <w:tcW w:w="28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收集效率</w:t>
                  </w:r>
                </w:p>
              </w:tc>
              <w:tc>
                <w:tcPr>
                  <w:tcW w:w="26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去除效率</w:t>
                  </w:r>
                </w:p>
              </w:tc>
              <w:tc>
                <w:tcPr>
                  <w:tcW w:w="312"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是否为可行技术</w:t>
                  </w:r>
                </w:p>
              </w:tc>
              <w:tc>
                <w:tcPr>
                  <w:tcW w:w="543"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排放量</w:t>
                  </w:r>
                  <w:r>
                    <w:rPr>
                      <w:rFonts w:hint="default" w:ascii="Times New Roman" w:hAnsi="Times New Roman" w:cs="Times New Roman"/>
                      <w:b w:val="0"/>
                      <w:bCs w:val="0"/>
                      <w:color w:val="000000"/>
                      <w:sz w:val="21"/>
                      <w:szCs w:val="21"/>
                      <w:lang w:eastAsia="zh-CN"/>
                    </w:rPr>
                    <w:t>t/a</w:t>
                  </w:r>
                </w:p>
              </w:tc>
              <w:tc>
                <w:tcPr>
                  <w:tcW w:w="498"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排放速率kg/h</w:t>
                  </w:r>
                </w:p>
              </w:tc>
              <w:tc>
                <w:tcPr>
                  <w:tcW w:w="358"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排放浓度mg/m</w:t>
                  </w:r>
                  <w:r>
                    <w:rPr>
                      <w:rFonts w:hint="default" w:ascii="Times New Roman" w:hAnsi="Times New Roman" w:cs="Times New Roman"/>
                      <w:b w:val="0"/>
                      <w:bCs w:val="0"/>
                      <w:color w:val="000000"/>
                      <w:sz w:val="21"/>
                      <w:szCs w:val="21"/>
                      <w:vertAlign w:val="superscript"/>
                      <w:lang w:val="en-US" w:eastAsia="zh-CN"/>
                    </w:rPr>
                    <w:t>3</w:t>
                  </w:r>
                </w:p>
              </w:tc>
              <w:tc>
                <w:tcPr>
                  <w:tcW w:w="415"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浓度</w:t>
                  </w:r>
                </w:p>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限值mg/m</w:t>
                  </w:r>
                  <w:r>
                    <w:rPr>
                      <w:rFonts w:hint="default" w:ascii="Times New Roman" w:hAnsi="Times New Roman" w:cs="Times New Roman"/>
                      <w:b w:val="0"/>
                      <w:bCs w:val="0"/>
                      <w:color w:val="000000"/>
                      <w:sz w:val="21"/>
                      <w:szCs w:val="21"/>
                      <w:vertAlign w:val="superscript"/>
                      <w:lang w:val="en-US" w:eastAsia="zh-CN"/>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44" w:type="pct"/>
                  <w:vMerge w:val="restar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塑封</w:t>
                  </w:r>
                </w:p>
              </w:tc>
              <w:tc>
                <w:tcPr>
                  <w:tcW w:w="181" w:type="pct"/>
                  <w:vMerge w:val="restar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挥发性有物</w:t>
                  </w:r>
                </w:p>
              </w:tc>
              <w:tc>
                <w:tcPr>
                  <w:tcW w:w="485"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cs="Times New Roman"/>
                      <w:b w:val="0"/>
                      <w:bCs w:val="0"/>
                      <w:sz w:val="21"/>
                      <w:szCs w:val="21"/>
                      <w:lang w:val="en-US" w:eastAsia="zh-CN"/>
                    </w:rPr>
                    <w:t>0.00171</w:t>
                  </w:r>
                </w:p>
              </w:tc>
              <w:tc>
                <w:tcPr>
                  <w:tcW w:w="39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cs="Times New Roman"/>
                      <w:b w:val="0"/>
                      <w:bCs w:val="0"/>
                      <w:color w:val="000000"/>
                      <w:sz w:val="21"/>
                      <w:szCs w:val="21"/>
                      <w:lang w:val="en-US" w:eastAsia="zh-CN"/>
                    </w:rPr>
                    <w:t>0.09</w:t>
                  </w:r>
                </w:p>
              </w:tc>
              <w:tc>
                <w:tcPr>
                  <w:tcW w:w="232"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有组织</w:t>
                  </w:r>
                </w:p>
              </w:tc>
              <w:tc>
                <w:tcPr>
                  <w:tcW w:w="478"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sz w:val="21"/>
                      <w:szCs w:val="21"/>
                      <w:lang w:val="en-US" w:eastAsia="zh-CN"/>
                    </w:rPr>
                    <w:t>集气罩+</w:t>
                  </w:r>
                  <w:r>
                    <w:rPr>
                      <w:rFonts w:hint="eastAsia" w:cs="Times New Roman"/>
                      <w:b w:val="0"/>
                      <w:bCs w:val="0"/>
                      <w:sz w:val="21"/>
                      <w:szCs w:val="21"/>
                      <w:lang w:val="en-US" w:eastAsia="zh-CN"/>
                    </w:rPr>
                    <w:t>二级</w:t>
                  </w:r>
                  <w:r>
                    <w:rPr>
                      <w:rFonts w:hint="default" w:ascii="Times New Roman" w:hAnsi="Times New Roman" w:cs="Times New Roman"/>
                      <w:b w:val="0"/>
                      <w:bCs w:val="0"/>
                      <w:sz w:val="21"/>
                      <w:szCs w:val="21"/>
                      <w:lang w:val="en-US" w:eastAsia="zh-CN"/>
                    </w:rPr>
                    <w:t>活性炭吸附</w:t>
                  </w:r>
                </w:p>
              </w:tc>
              <w:tc>
                <w:tcPr>
                  <w:tcW w:w="30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vertAlign w:val="baseline"/>
                      <w:lang w:val="en-US" w:eastAsia="zh-CN"/>
                    </w:rPr>
                  </w:pPr>
                  <w:r>
                    <w:rPr>
                      <w:rFonts w:hint="default" w:ascii="Times New Roman" w:hAnsi="Times New Roman" w:cs="Times New Roman"/>
                      <w:b w:val="0"/>
                      <w:bCs w:val="0"/>
                      <w:color w:val="000000"/>
                      <w:sz w:val="21"/>
                      <w:szCs w:val="21"/>
                      <w:vertAlign w:val="baseline"/>
                      <w:lang w:val="en-US" w:eastAsia="zh-CN"/>
                    </w:rPr>
                    <w:t>/</w:t>
                  </w:r>
                </w:p>
              </w:tc>
              <w:tc>
                <w:tcPr>
                  <w:tcW w:w="28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9</w:t>
                  </w:r>
                  <w:r>
                    <w:rPr>
                      <w:rFonts w:hint="eastAsia" w:cs="Times New Roman"/>
                      <w:b w:val="0"/>
                      <w:bCs w:val="0"/>
                      <w:color w:val="000000"/>
                      <w:sz w:val="21"/>
                      <w:szCs w:val="21"/>
                      <w:lang w:val="en-US" w:eastAsia="zh-CN"/>
                    </w:rPr>
                    <w:t>0</w:t>
                  </w:r>
                  <w:r>
                    <w:rPr>
                      <w:rFonts w:hint="default" w:ascii="Times New Roman" w:hAnsi="Times New Roman" w:cs="Times New Roman"/>
                      <w:b w:val="0"/>
                      <w:bCs w:val="0"/>
                      <w:color w:val="000000"/>
                      <w:sz w:val="21"/>
                      <w:szCs w:val="21"/>
                      <w:lang w:val="en-US" w:eastAsia="zh-CN"/>
                    </w:rPr>
                    <w:t>%</w:t>
                  </w:r>
                </w:p>
              </w:tc>
              <w:tc>
                <w:tcPr>
                  <w:tcW w:w="26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cs="Times New Roman"/>
                      <w:b w:val="0"/>
                      <w:bCs w:val="0"/>
                      <w:color w:val="000000"/>
                      <w:sz w:val="21"/>
                      <w:szCs w:val="21"/>
                      <w:lang w:val="en-US" w:eastAsia="zh-CN"/>
                    </w:rPr>
                    <w:t>90</w:t>
                  </w:r>
                  <w:r>
                    <w:rPr>
                      <w:rFonts w:hint="default" w:ascii="Times New Roman" w:hAnsi="Times New Roman" w:cs="Times New Roman"/>
                      <w:b w:val="0"/>
                      <w:bCs w:val="0"/>
                      <w:color w:val="000000"/>
                      <w:sz w:val="21"/>
                      <w:szCs w:val="21"/>
                      <w:lang w:val="en-US" w:eastAsia="zh-CN"/>
                    </w:rPr>
                    <w:t>%</w:t>
                  </w:r>
                </w:p>
              </w:tc>
              <w:tc>
                <w:tcPr>
                  <w:tcW w:w="312"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是</w:t>
                  </w:r>
                </w:p>
              </w:tc>
              <w:tc>
                <w:tcPr>
                  <w:tcW w:w="543" w:type="pct"/>
                  <w:noWrap w:val="0"/>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eastAsia" w:cs="Times New Roman"/>
                      <w:b w:val="0"/>
                      <w:bCs w:val="0"/>
                      <w:sz w:val="21"/>
                      <w:szCs w:val="21"/>
                      <w:lang w:val="en-US" w:eastAsia="zh-CN"/>
                    </w:rPr>
                    <w:t>0.000171</w:t>
                  </w:r>
                </w:p>
              </w:tc>
              <w:tc>
                <w:tcPr>
                  <w:tcW w:w="498" w:type="pct"/>
                  <w:noWrap w:val="0"/>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0.00007</w:t>
                  </w:r>
                </w:p>
              </w:tc>
              <w:tc>
                <w:tcPr>
                  <w:tcW w:w="358"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cs="Times New Roman"/>
                      <w:b w:val="0"/>
                      <w:bCs w:val="0"/>
                      <w:sz w:val="21"/>
                      <w:szCs w:val="21"/>
                      <w:vertAlign w:val="baseline"/>
                      <w:lang w:val="en-US" w:eastAsia="zh-CN"/>
                    </w:rPr>
                    <w:t>0.009</w:t>
                  </w:r>
                </w:p>
              </w:tc>
              <w:tc>
                <w:tcPr>
                  <w:tcW w:w="415"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default" w:ascii="Times New Roman" w:hAnsi="Times New Roman" w:cs="Times New Roman"/>
                      <w:b w:val="0"/>
                      <w:bCs w:val="0"/>
                      <w:color w:val="000000"/>
                      <w:sz w:val="21"/>
                      <w:szCs w:val="21"/>
                      <w:lang w:val="en-US" w:eastAsia="zh-CN"/>
                    </w:rPr>
                    <w:t>120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44" w:type="pct"/>
                  <w:vMerge w:val="continue"/>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p>
              </w:tc>
              <w:tc>
                <w:tcPr>
                  <w:tcW w:w="181" w:type="pct"/>
                  <w:vMerge w:val="continue"/>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p>
              </w:tc>
              <w:tc>
                <w:tcPr>
                  <w:tcW w:w="485"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cs="Times New Roman"/>
                      <w:b w:val="0"/>
                      <w:bCs w:val="0"/>
                      <w:sz w:val="21"/>
                      <w:szCs w:val="21"/>
                      <w:vertAlign w:val="baseline"/>
                      <w:lang w:val="en-US" w:eastAsia="zh-CN"/>
                    </w:rPr>
                    <w:t>0.00019</w:t>
                  </w:r>
                </w:p>
              </w:tc>
              <w:tc>
                <w:tcPr>
                  <w:tcW w:w="39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ascii="Times New Roman" w:hAnsi="Times New Roman" w:cs="Times New Roman"/>
                      <w:b w:val="0"/>
                      <w:bCs w:val="0"/>
                      <w:color w:val="000000"/>
                      <w:sz w:val="21"/>
                      <w:szCs w:val="21"/>
                      <w:lang w:val="en-US" w:eastAsia="zh-CN"/>
                    </w:rPr>
                    <w:t>/</w:t>
                  </w:r>
                </w:p>
              </w:tc>
              <w:tc>
                <w:tcPr>
                  <w:tcW w:w="232"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ascii="Times New Roman" w:hAnsi="Times New Roman" w:cs="Times New Roman"/>
                      <w:b w:val="0"/>
                      <w:bCs w:val="0"/>
                      <w:color w:val="000000"/>
                      <w:sz w:val="21"/>
                      <w:szCs w:val="21"/>
                      <w:lang w:val="en-US" w:eastAsia="zh-CN"/>
                    </w:rPr>
                    <w:t>无组织</w:t>
                  </w:r>
                </w:p>
              </w:tc>
              <w:tc>
                <w:tcPr>
                  <w:tcW w:w="478"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sz w:val="21"/>
                      <w:szCs w:val="21"/>
                      <w:lang w:val="en-US" w:eastAsia="zh-CN"/>
                    </w:rPr>
                    <w:t>车间通排风设施</w:t>
                  </w:r>
                </w:p>
              </w:tc>
              <w:tc>
                <w:tcPr>
                  <w:tcW w:w="30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vertAlign w:val="baseline"/>
                      <w:lang w:val="en-US" w:eastAsia="zh-CN"/>
                    </w:rPr>
                  </w:pPr>
                  <w:r>
                    <w:rPr>
                      <w:rFonts w:hint="eastAsia" w:ascii="Times New Roman" w:hAnsi="Times New Roman" w:cs="Times New Roman"/>
                      <w:b w:val="0"/>
                      <w:bCs w:val="0"/>
                      <w:color w:val="000000"/>
                      <w:sz w:val="21"/>
                      <w:szCs w:val="21"/>
                      <w:vertAlign w:val="baseline"/>
                      <w:lang w:val="en-US" w:eastAsia="zh-CN"/>
                    </w:rPr>
                    <w:t>/</w:t>
                  </w:r>
                </w:p>
              </w:tc>
              <w:tc>
                <w:tcPr>
                  <w:tcW w:w="28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ascii="Times New Roman" w:hAnsi="Times New Roman" w:cs="Times New Roman"/>
                      <w:b w:val="0"/>
                      <w:bCs w:val="0"/>
                      <w:color w:val="000000"/>
                      <w:sz w:val="21"/>
                      <w:szCs w:val="21"/>
                      <w:lang w:val="en-US" w:eastAsia="zh-CN"/>
                    </w:rPr>
                    <w:t>/</w:t>
                  </w:r>
                </w:p>
              </w:tc>
              <w:tc>
                <w:tcPr>
                  <w:tcW w:w="264"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ascii="Times New Roman" w:hAnsi="Times New Roman" w:cs="Times New Roman"/>
                      <w:b w:val="0"/>
                      <w:bCs w:val="0"/>
                      <w:color w:val="000000"/>
                      <w:sz w:val="21"/>
                      <w:szCs w:val="21"/>
                      <w:lang w:val="en-US" w:eastAsia="zh-CN"/>
                    </w:rPr>
                    <w:t>/</w:t>
                  </w:r>
                </w:p>
              </w:tc>
              <w:tc>
                <w:tcPr>
                  <w:tcW w:w="312"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ascii="Times New Roman" w:hAnsi="Times New Roman" w:cs="Times New Roman"/>
                      <w:b w:val="0"/>
                      <w:bCs w:val="0"/>
                      <w:color w:val="000000"/>
                      <w:sz w:val="21"/>
                      <w:szCs w:val="21"/>
                      <w:lang w:val="en-US" w:eastAsia="zh-CN"/>
                    </w:rPr>
                    <w:t>/</w:t>
                  </w:r>
                </w:p>
              </w:tc>
              <w:tc>
                <w:tcPr>
                  <w:tcW w:w="543"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cs="Times New Roman"/>
                      <w:b w:val="0"/>
                      <w:bCs w:val="0"/>
                      <w:sz w:val="21"/>
                      <w:szCs w:val="21"/>
                      <w:vertAlign w:val="baseline"/>
                      <w:lang w:val="en-US" w:eastAsia="zh-CN"/>
                    </w:rPr>
                    <w:t>0.00019</w:t>
                  </w:r>
                </w:p>
              </w:tc>
              <w:tc>
                <w:tcPr>
                  <w:tcW w:w="498"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cs="Times New Roman"/>
                      <w:b w:val="0"/>
                      <w:bCs w:val="0"/>
                      <w:sz w:val="21"/>
                      <w:szCs w:val="21"/>
                      <w:lang w:val="en-US" w:eastAsia="zh-CN"/>
                    </w:rPr>
                    <w:t>2.5×10</w:t>
                  </w:r>
                  <w:r>
                    <w:rPr>
                      <w:rFonts w:hint="default" w:ascii="Times New Roman" w:hAnsi="Times New Roman" w:cs="Times New Roman"/>
                      <w:b w:val="0"/>
                      <w:bCs w:val="0"/>
                      <w:sz w:val="21"/>
                      <w:szCs w:val="21"/>
                      <w:vertAlign w:val="superscript"/>
                      <w:lang w:val="en-US" w:eastAsia="zh-CN"/>
                    </w:rPr>
                    <w:t>-</w:t>
                  </w:r>
                  <w:r>
                    <w:rPr>
                      <w:rFonts w:hint="eastAsia" w:ascii="Times New Roman" w:hAnsi="Times New Roman" w:cs="Times New Roman"/>
                      <w:b w:val="0"/>
                      <w:bCs w:val="0"/>
                      <w:sz w:val="21"/>
                      <w:szCs w:val="21"/>
                      <w:vertAlign w:val="superscript"/>
                      <w:lang w:val="en-US" w:eastAsia="zh-CN"/>
                    </w:rPr>
                    <w:t>5</w:t>
                  </w:r>
                </w:p>
              </w:tc>
              <w:tc>
                <w:tcPr>
                  <w:tcW w:w="358"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ascii="Times New Roman" w:hAnsi="Times New Roman" w:cs="Times New Roman"/>
                      <w:b w:val="0"/>
                      <w:bCs w:val="0"/>
                      <w:color w:val="000000"/>
                      <w:sz w:val="21"/>
                      <w:szCs w:val="21"/>
                      <w:lang w:val="en-US" w:eastAsia="zh-CN"/>
                    </w:rPr>
                    <w:t>/</w:t>
                  </w:r>
                </w:p>
              </w:tc>
              <w:tc>
                <w:tcPr>
                  <w:tcW w:w="415" w:type="pct"/>
                  <w:noWrap w:val="0"/>
                  <w:vAlign w:val="center"/>
                </w:tcPr>
                <w:p>
                  <w:pPr>
                    <w:keepNext w:val="0"/>
                    <w:keepLines w:val="0"/>
                    <w:pageBreakBefore w:val="0"/>
                    <w:suppressLineNumbers w:val="0"/>
                    <w:wordWrap/>
                    <w:topLinePunct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color w:val="000000"/>
                      <w:sz w:val="21"/>
                      <w:szCs w:val="21"/>
                      <w:lang w:val="en-US" w:eastAsia="zh-CN"/>
                    </w:rPr>
                  </w:pPr>
                  <w:r>
                    <w:rPr>
                      <w:rFonts w:hint="eastAsia" w:cs="Times New Roman"/>
                      <w:b w:val="0"/>
                      <w:bCs w:val="0"/>
                      <w:color w:val="000000"/>
                      <w:sz w:val="21"/>
                      <w:szCs w:val="21"/>
                      <w:lang w:val="en-US" w:eastAsia="zh-CN"/>
                    </w:rPr>
                    <w:t>4.0</w:t>
                  </w:r>
                </w:p>
              </w:tc>
            </w:tr>
          </w:tbl>
          <w:p>
            <w:pPr>
              <w:pStyle w:val="6"/>
              <w:pageBreakBefore w:val="0"/>
              <w:widowControl w:val="0"/>
              <w:suppressLineNumbers w:val="0"/>
              <w:kinsoku/>
              <w:wordWrap/>
              <w:overflowPunct/>
              <w:topLinePunct w:val="0"/>
              <w:autoSpaceDE/>
              <w:autoSpaceDN/>
              <w:bidi w:val="0"/>
              <w:snapToGrid/>
              <w:spacing w:before="60" w:beforeAutospacing="0" w:after="0" w:afterAutospacing="0" w:line="360" w:lineRule="auto"/>
              <w:ind w:left="0" w:leftChars="0" w:right="0" w:firstLine="420" w:firstLineChars="200"/>
              <w:rPr>
                <w:rFonts w:hint="default" w:ascii="Times New Roman" w:hAnsi="Times New Roman" w:eastAsia="黑体" w:cs="Times New Roman"/>
                <w:b w:val="0"/>
                <w:bCs/>
                <w:color w:val="000000"/>
                <w:spacing w:val="0"/>
                <w:kern w:val="2"/>
                <w:position w:val="0"/>
                <w:sz w:val="21"/>
                <w:szCs w:val="21"/>
                <w:lang w:val="en-US" w:eastAsia="zh-CN" w:bidi="ar-SA"/>
              </w:rPr>
            </w:pPr>
            <w:r>
              <w:rPr>
                <w:rFonts w:hint="eastAsia" w:ascii="Times New Roman" w:hAnsi="Times New Roman" w:eastAsia="宋体" w:cs="Times New Roman"/>
                <w:spacing w:val="0"/>
                <w:kern w:val="2"/>
                <w:position w:val="0"/>
                <w:sz w:val="21"/>
                <w:szCs w:val="24"/>
                <w:lang w:val="en-US" w:eastAsia="zh-CN" w:bidi="ar-SA"/>
              </w:rPr>
              <w:t>本项目各污染物排气筒信息及排放标准见下表：</w:t>
            </w:r>
          </w:p>
          <w:p>
            <w:pPr>
              <w:pStyle w:val="43"/>
              <w:keepNext w:val="0"/>
              <w:keepLines w:val="0"/>
              <w:suppressLineNumbers w:val="0"/>
              <w:spacing w:before="60" w:beforeAutospacing="0" w:after="0" w:afterAutospacing="0" w:line="240" w:lineRule="auto"/>
              <w:ind w:left="0" w:right="0" w:firstLine="420" w:firstLineChars="200"/>
              <w:rPr>
                <w:rFonts w:hint="default" w:ascii="Times New Roman" w:hAnsi="Times New Roman" w:eastAsia="黑体" w:cs="Times New Roman"/>
                <w:b w:val="0"/>
                <w:bCs/>
                <w:color w:val="auto"/>
                <w:spacing w:val="0"/>
                <w:kern w:val="0"/>
                <w:position w:val="0"/>
                <w:sz w:val="21"/>
                <w:szCs w:val="21"/>
                <w:lang w:val="en-US" w:eastAsia="zh-CN" w:bidi="ar-SA"/>
              </w:rPr>
            </w:pPr>
            <w:r>
              <w:rPr>
                <w:rFonts w:hint="default" w:ascii="Times New Roman" w:hAnsi="Times New Roman" w:eastAsia="黑体" w:cs="Times New Roman"/>
                <w:b w:val="0"/>
                <w:bCs/>
                <w:color w:val="auto"/>
                <w:spacing w:val="0"/>
                <w:kern w:val="0"/>
                <w:position w:val="0"/>
                <w:sz w:val="21"/>
                <w:szCs w:val="21"/>
                <w:lang w:val="en-US" w:eastAsia="zh-CN" w:bidi="ar-SA"/>
              </w:rPr>
              <w:t>表4-</w:t>
            </w:r>
            <w:r>
              <w:rPr>
                <w:rFonts w:hint="eastAsia" w:ascii="Times New Roman" w:hAnsi="Times New Roman" w:cs="Times New Roman"/>
                <w:b w:val="0"/>
                <w:bCs/>
                <w:color w:val="auto"/>
                <w:spacing w:val="0"/>
                <w:kern w:val="0"/>
                <w:position w:val="0"/>
                <w:sz w:val="21"/>
                <w:szCs w:val="21"/>
                <w:lang w:val="en-US" w:eastAsia="zh-CN" w:bidi="ar-SA"/>
              </w:rPr>
              <w:t>2</w:t>
            </w:r>
            <w:r>
              <w:rPr>
                <w:rFonts w:hint="default" w:ascii="Times New Roman" w:hAnsi="Times New Roman" w:eastAsia="黑体" w:cs="Times New Roman"/>
                <w:b w:val="0"/>
                <w:bCs/>
                <w:color w:val="auto"/>
                <w:spacing w:val="0"/>
                <w:kern w:val="0"/>
                <w:position w:val="0"/>
                <w:sz w:val="21"/>
                <w:szCs w:val="21"/>
                <w:lang w:val="en-US" w:eastAsia="zh-CN" w:bidi="ar-SA"/>
              </w:rPr>
              <w:t xml:space="preserve"> </w:t>
            </w:r>
            <w:r>
              <w:rPr>
                <w:rFonts w:hint="eastAsia" w:ascii="Times New Roman" w:hAnsi="Times New Roman" w:eastAsia="黑体" w:cs="Times New Roman"/>
                <w:b w:val="0"/>
                <w:bCs/>
                <w:color w:val="auto"/>
                <w:spacing w:val="0"/>
                <w:kern w:val="0"/>
                <w:position w:val="0"/>
                <w:sz w:val="21"/>
                <w:szCs w:val="21"/>
                <w:lang w:val="en-US" w:eastAsia="zh-CN" w:bidi="ar-SA"/>
              </w:rPr>
              <w:t>本项目各污染物排气筒信息及排放标准汇总表</w:t>
            </w:r>
          </w:p>
          <w:tbl>
            <w:tblPr>
              <w:tblStyle w:val="18"/>
              <w:tblW w:w="4900" w:type="pct"/>
              <w:jc w:val="center"/>
              <w:tblBorders>
                <w:top w:val="single" w:color="auto" w:sz="4" w:space="0"/>
                <w:left w:val="none" w:color="auto" w:sz="0" w:space="0"/>
                <w:bottom w:val="single" w:color="auto" w:sz="4"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672"/>
              <w:gridCol w:w="662"/>
              <w:gridCol w:w="1331"/>
              <w:gridCol w:w="857"/>
              <w:gridCol w:w="600"/>
              <w:gridCol w:w="675"/>
              <w:gridCol w:w="568"/>
              <w:gridCol w:w="868"/>
              <w:gridCol w:w="1157"/>
              <w:gridCol w:w="1089"/>
            </w:tblGrid>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000000"/>
                      <w:sz w:val="21"/>
                      <w:szCs w:val="21"/>
                      <w:lang w:val="en-US" w:eastAsia="zh-CN"/>
                    </w:rPr>
                  </w:pPr>
                  <w:r>
                    <w:rPr>
                      <w:rFonts w:hint="eastAsia" w:ascii="Times New Roman" w:hAnsi="Times New Roman" w:cs="Times New Roman"/>
                      <w:b w:val="0"/>
                      <w:bCs/>
                      <w:color w:val="000000"/>
                      <w:sz w:val="21"/>
                      <w:szCs w:val="21"/>
                      <w:lang w:val="en-US" w:eastAsia="zh-CN"/>
                    </w:rPr>
                    <w:t>污染物</w:t>
                  </w:r>
                </w:p>
              </w:tc>
              <w:tc>
                <w:tcPr>
                  <w:tcW w:w="4693" w:type="dxa"/>
                  <w:gridSpan w:val="6"/>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eastAsia="Calibri" w:cs="Times New Roman"/>
                      <w:b w:val="0"/>
                      <w:bCs/>
                      <w:color w:val="000000"/>
                      <w:sz w:val="21"/>
                      <w:szCs w:val="21"/>
                      <w:lang w:val="en-US" w:eastAsia="zh-CN"/>
                    </w:rPr>
                    <w:t>排气筒参数</w:t>
                  </w:r>
                </w:p>
              </w:tc>
              <w:tc>
                <w:tcPr>
                  <w:tcW w:w="3114" w:type="dxa"/>
                  <w:gridSpan w:val="3"/>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cs="Times New Roman"/>
                      <w:b w:val="0"/>
                      <w:bCs/>
                      <w:color w:val="000000"/>
                      <w:sz w:val="21"/>
                      <w:szCs w:val="21"/>
                      <w:lang w:val="en-US" w:eastAsia="zh-CN"/>
                    </w:rPr>
                    <w:t>排放标准及限值</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67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val="0"/>
                      <w:bCs/>
                      <w:color w:val="000000"/>
                      <w:sz w:val="21"/>
                      <w:szCs w:val="21"/>
                      <w:lang w:val="en-US" w:eastAsia="zh-CN"/>
                    </w:rPr>
                  </w:pPr>
                </w:p>
              </w:tc>
              <w:tc>
                <w:tcPr>
                  <w:tcW w:w="662"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eastAsia="Calibri" w:cs="Times New Roman"/>
                      <w:b w:val="0"/>
                      <w:bCs/>
                      <w:color w:val="000000"/>
                      <w:sz w:val="21"/>
                      <w:szCs w:val="21"/>
                      <w:lang w:val="en-US" w:eastAsia="zh-CN"/>
                    </w:rPr>
                    <w:t>编号</w:t>
                  </w:r>
                </w:p>
              </w:tc>
              <w:tc>
                <w:tcPr>
                  <w:tcW w:w="133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cs="Times New Roman"/>
                      <w:b w:val="0"/>
                      <w:bCs/>
                      <w:color w:val="000000"/>
                      <w:sz w:val="21"/>
                      <w:szCs w:val="21"/>
                      <w:lang w:val="en-US" w:eastAsia="zh-CN"/>
                    </w:rPr>
                    <w:t>地理坐标</w:t>
                  </w:r>
                </w:p>
              </w:tc>
              <w:tc>
                <w:tcPr>
                  <w:tcW w:w="85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cs="Times New Roman"/>
                      <w:b w:val="0"/>
                      <w:bCs/>
                      <w:color w:val="000000"/>
                      <w:sz w:val="21"/>
                      <w:szCs w:val="21"/>
                      <w:lang w:val="en-US" w:eastAsia="zh-CN"/>
                    </w:rPr>
                    <w:t>排放口类型</w:t>
                  </w:r>
                </w:p>
              </w:tc>
              <w:tc>
                <w:tcPr>
                  <w:tcW w:w="600"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cs="Times New Roman"/>
                      <w:b w:val="0"/>
                      <w:bCs/>
                      <w:color w:val="000000"/>
                      <w:sz w:val="21"/>
                      <w:szCs w:val="21"/>
                      <w:lang w:val="en-US" w:eastAsia="zh-CN"/>
                    </w:rPr>
                    <w:t>高度</w:t>
                  </w:r>
                </w:p>
              </w:tc>
              <w:tc>
                <w:tcPr>
                  <w:tcW w:w="67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cs="Times New Roman"/>
                      <w:b w:val="0"/>
                      <w:bCs/>
                      <w:color w:val="000000"/>
                      <w:sz w:val="21"/>
                      <w:szCs w:val="21"/>
                      <w:lang w:val="en-US" w:eastAsia="zh-CN"/>
                    </w:rPr>
                    <w:t>内径</w:t>
                  </w:r>
                </w:p>
              </w:tc>
              <w:tc>
                <w:tcPr>
                  <w:tcW w:w="56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cs="Times New Roman"/>
                      <w:b w:val="0"/>
                      <w:bCs/>
                      <w:color w:val="000000"/>
                      <w:sz w:val="21"/>
                      <w:szCs w:val="21"/>
                      <w:lang w:val="en-US" w:eastAsia="zh-CN"/>
                    </w:rPr>
                    <w:t>温度</w:t>
                  </w:r>
                </w:p>
              </w:tc>
              <w:tc>
                <w:tcPr>
                  <w:tcW w:w="86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cs="Times New Roman"/>
                      <w:b w:val="0"/>
                      <w:bCs/>
                      <w:color w:val="000000"/>
                      <w:sz w:val="21"/>
                      <w:szCs w:val="21"/>
                      <w:lang w:val="en-US" w:eastAsia="zh-CN"/>
                    </w:rPr>
                    <w:t>最高允许排放速率</w:t>
                  </w:r>
                </w:p>
              </w:tc>
              <w:tc>
                <w:tcPr>
                  <w:tcW w:w="115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000000"/>
                      <w:sz w:val="21"/>
                      <w:szCs w:val="21"/>
                      <w:highlight w:val="none"/>
                      <w:lang w:val="en-US" w:eastAsia="zh-CN"/>
                    </w:rPr>
                  </w:pPr>
                  <w:r>
                    <w:rPr>
                      <w:rFonts w:hint="eastAsia" w:ascii="Times New Roman" w:hAnsi="Times New Roman" w:eastAsia="宋体" w:cs="Times New Roman"/>
                      <w:b w:val="0"/>
                      <w:bCs/>
                      <w:color w:val="000000"/>
                      <w:sz w:val="21"/>
                      <w:szCs w:val="21"/>
                      <w:highlight w:val="none"/>
                      <w:lang w:val="en-US" w:eastAsia="zh-CN"/>
                    </w:rPr>
                    <w:t>最高允许排放浓度</w:t>
                  </w:r>
                </w:p>
              </w:tc>
              <w:tc>
                <w:tcPr>
                  <w:tcW w:w="108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color w:val="000000"/>
                      <w:sz w:val="21"/>
                      <w:szCs w:val="21"/>
                      <w:lang w:val="en-US" w:eastAsia="zh-CN"/>
                    </w:rPr>
                  </w:pPr>
                  <w:r>
                    <w:rPr>
                      <w:rFonts w:hint="eastAsia" w:ascii="Times New Roman" w:hAnsi="Times New Roman" w:cs="Times New Roman"/>
                      <w:b w:val="0"/>
                      <w:bCs/>
                      <w:color w:val="000000"/>
                      <w:sz w:val="21"/>
                      <w:szCs w:val="21"/>
                      <w:lang w:val="en-US" w:eastAsia="zh-CN"/>
                    </w:rPr>
                    <w:t>标准</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Style w:val="20"/>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b w:val="0"/>
                      <w:bCs w:val="0"/>
                      <w:color w:val="auto"/>
                      <w:sz w:val="21"/>
                      <w:szCs w:val="21"/>
                    </w:rPr>
                    <w:t>非甲烷总烃</w:t>
                  </w:r>
                </w:p>
              </w:tc>
              <w:tc>
                <w:tcPr>
                  <w:tcW w:w="6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DA003</w:t>
                  </w:r>
                </w:p>
              </w:tc>
              <w:tc>
                <w:tcPr>
                  <w:tcW w:w="13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E</w:t>
                  </w:r>
                  <w:r>
                    <w:rPr>
                      <w:rFonts w:hint="eastAsia" w:ascii="Times New Roman" w:hAnsi="Times New Roman" w:eastAsia="宋体" w:cs="Times New Roman"/>
                      <w:color w:val="000000"/>
                      <w:kern w:val="2"/>
                      <w:sz w:val="21"/>
                      <w:szCs w:val="21"/>
                      <w:lang w:val="en-US" w:eastAsia="zh-CN" w:bidi="ar-SA"/>
                    </w:rPr>
                    <w:t>:116.99246</w:t>
                  </w:r>
                </w:p>
                <w:p>
                  <w:pPr>
                    <w:pStyle w:val="11"/>
                    <w:keepNext w:val="0"/>
                    <w:keepLines w:val="0"/>
                    <w:pageBreakBefore w:val="0"/>
                    <w:suppressLineNumbers w:val="0"/>
                    <w:kinsoku/>
                    <w:wordWrap/>
                    <w:overflowPunct/>
                    <w:topLinePunct w:val="0"/>
                    <w:autoSpaceDE/>
                    <w:autoSpaceDN/>
                    <w:bidi w:val="0"/>
                    <w:adjustRightInd/>
                    <w:snapToGrid/>
                    <w:spacing w:before="0" w:after="0" w:afterAutospacing="0" w:line="240" w:lineRule="auto"/>
                    <w:ind w:left="0" w:leftChars="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N:33.57124</w:t>
                  </w:r>
                </w:p>
              </w:tc>
              <w:tc>
                <w:tcPr>
                  <w:tcW w:w="8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一般排放口</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25m</w:t>
                  </w:r>
                </w:p>
              </w:tc>
              <w:tc>
                <w:tcPr>
                  <w:tcW w:w="675"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0.</w:t>
                  </w:r>
                  <w:r>
                    <w:rPr>
                      <w:rFonts w:hint="eastAsia" w:ascii="Times New Roman" w:hAnsi="Times New Roman" w:cs="Times New Roman"/>
                      <w:color w:val="000000"/>
                      <w:sz w:val="21"/>
                      <w:szCs w:val="21"/>
                      <w:lang w:val="en-US" w:eastAsia="zh-CN"/>
                    </w:rPr>
                    <w:t>3</w:t>
                  </w:r>
                  <w:r>
                    <w:rPr>
                      <w:rFonts w:hint="default" w:ascii="Times New Roman" w:hAnsi="Times New Roman" w:cs="Times New Roman"/>
                      <w:color w:val="000000"/>
                      <w:sz w:val="21"/>
                      <w:szCs w:val="21"/>
                      <w:lang w:val="en-US" w:eastAsia="zh-CN"/>
                    </w:rPr>
                    <w:t>m</w:t>
                  </w:r>
                </w:p>
              </w:tc>
              <w:tc>
                <w:tcPr>
                  <w:tcW w:w="568"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20℃</w:t>
                  </w:r>
                </w:p>
              </w:tc>
              <w:tc>
                <w:tcPr>
                  <w:tcW w:w="868"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b w:val="0"/>
                      <w:bCs w:val="0"/>
                      <w:color w:val="000000" w:themeColor="text1"/>
                      <w:sz w:val="21"/>
                      <w:szCs w:val="21"/>
                      <w14:textFill>
                        <w14:solidFill>
                          <w14:schemeClr w14:val="tx1"/>
                        </w14:solidFill>
                      </w14:textFill>
                    </w:rPr>
                    <w:t>1</w:t>
                  </w:r>
                  <w:r>
                    <w:rPr>
                      <w:rFonts w:hint="eastAsia" w:cs="Times New Roman"/>
                      <w:b w:val="0"/>
                      <w:bCs w:val="0"/>
                      <w:color w:val="000000" w:themeColor="text1"/>
                      <w:sz w:val="21"/>
                      <w:szCs w:val="21"/>
                      <w:lang w:val="en-US" w:eastAsia="zh-CN"/>
                      <w14:textFill>
                        <w14:solidFill>
                          <w14:schemeClr w14:val="tx1"/>
                        </w14:solidFill>
                      </w14:textFill>
                    </w:rPr>
                    <w:t>7</w:t>
                  </w:r>
                </w:p>
              </w:tc>
              <w:tc>
                <w:tcPr>
                  <w:tcW w:w="11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120</w:t>
                  </w:r>
                  <w:r>
                    <w:rPr>
                      <w:rFonts w:hint="eastAsia" w:ascii="Times New Roman" w:hAnsi="Times New Roman" w:eastAsia="宋体" w:cs="Times New Roman"/>
                      <w:b w:val="0"/>
                      <w:bCs/>
                      <w:color w:val="000000"/>
                      <w:sz w:val="21"/>
                      <w:szCs w:val="21"/>
                      <w:highlight w:val="none"/>
                      <w:lang w:val="en-US" w:eastAsia="zh-CN"/>
                    </w:rPr>
                    <w:t>mg/m</w:t>
                  </w:r>
                  <w:r>
                    <w:rPr>
                      <w:rFonts w:hint="eastAsia" w:ascii="Times New Roman" w:hAnsi="Times New Roman" w:eastAsia="宋体" w:cs="Times New Roman"/>
                      <w:b w:val="0"/>
                      <w:bCs/>
                      <w:color w:val="000000"/>
                      <w:sz w:val="21"/>
                      <w:szCs w:val="21"/>
                      <w:highlight w:val="none"/>
                      <w:vertAlign w:val="superscript"/>
                      <w:lang w:val="en-US" w:eastAsia="zh-CN"/>
                    </w:rPr>
                    <w:t>3</w:t>
                  </w:r>
                </w:p>
              </w:tc>
              <w:tc>
                <w:tcPr>
                  <w:tcW w:w="1089"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b w:val="0"/>
                      <w:bCs w:val="0"/>
                      <w:sz w:val="21"/>
                      <w:szCs w:val="21"/>
                    </w:rPr>
                    <w:t>大气污染物综合排放标准》（GB16297-1996）表2中新污染源大气污染物项目排放限值</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b w:val="0"/>
                      <w:bCs/>
                      <w:color w:val="000000"/>
                      <w:sz w:val="21"/>
                      <w:szCs w:val="21"/>
                      <w:highlight w:val="none"/>
                      <w:lang w:val="en-US" w:eastAsia="zh-CN"/>
                    </w:rPr>
                  </w:pPr>
                  <w:r>
                    <w:rPr>
                      <w:rFonts w:hint="eastAsia" w:cs="Times New Roman"/>
                      <w:b w:val="0"/>
                      <w:bCs w:val="0"/>
                      <w:color w:val="auto"/>
                      <w:sz w:val="21"/>
                      <w:szCs w:val="21"/>
                      <w:lang w:val="en-US" w:eastAsia="zh-CN"/>
                    </w:rPr>
                    <w:t>硫酸雾</w:t>
                  </w:r>
                </w:p>
              </w:tc>
              <w:tc>
                <w:tcPr>
                  <w:tcW w:w="6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DA002</w:t>
                  </w:r>
                </w:p>
              </w:tc>
              <w:tc>
                <w:tcPr>
                  <w:tcW w:w="13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E</w:t>
                  </w:r>
                  <w:r>
                    <w:rPr>
                      <w:rFonts w:hint="eastAsia" w:ascii="Times New Roman" w:hAnsi="Times New Roman" w:eastAsia="宋体" w:cs="Times New Roman"/>
                      <w:color w:val="000000"/>
                      <w:kern w:val="2"/>
                      <w:sz w:val="21"/>
                      <w:szCs w:val="21"/>
                      <w:lang w:val="en-US" w:eastAsia="zh-CN" w:bidi="ar-SA"/>
                    </w:rPr>
                    <w:t>:116.99249N:33.57123</w:t>
                  </w:r>
                </w:p>
              </w:tc>
              <w:tc>
                <w:tcPr>
                  <w:tcW w:w="8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一般排放口</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25m</w:t>
                  </w:r>
                </w:p>
              </w:tc>
              <w:tc>
                <w:tcPr>
                  <w:tcW w:w="675"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0.3m</w:t>
                  </w:r>
                </w:p>
              </w:tc>
              <w:tc>
                <w:tcPr>
                  <w:tcW w:w="568"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20℃</w:t>
                  </w:r>
                </w:p>
              </w:tc>
              <w:tc>
                <w:tcPr>
                  <w:tcW w:w="868"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000000"/>
                      <w:sz w:val="21"/>
                      <w:szCs w:val="21"/>
                      <w:lang w:val="en-US" w:eastAsia="zh-CN"/>
                    </w:rPr>
                  </w:pPr>
                  <w:r>
                    <w:rPr>
                      <w:rFonts w:hint="eastAsia" w:cs="Times New Roman"/>
                      <w:b w:val="0"/>
                      <w:bCs w:val="0"/>
                      <w:color w:val="000000" w:themeColor="text1"/>
                      <w:sz w:val="21"/>
                      <w:szCs w:val="21"/>
                      <w:lang w:val="en-US" w:eastAsia="zh-CN"/>
                      <w14:textFill>
                        <w14:solidFill>
                          <w14:schemeClr w14:val="tx1"/>
                        </w14:solidFill>
                      </w14:textFill>
                    </w:rPr>
                    <w:t>2.6</w:t>
                  </w:r>
                </w:p>
              </w:tc>
              <w:tc>
                <w:tcPr>
                  <w:tcW w:w="11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45</w:t>
                  </w:r>
                  <w:r>
                    <w:rPr>
                      <w:rFonts w:hint="eastAsia" w:ascii="Times New Roman" w:hAnsi="Times New Roman" w:eastAsia="宋体" w:cs="Times New Roman"/>
                      <w:b w:val="0"/>
                      <w:bCs/>
                      <w:color w:val="000000"/>
                      <w:sz w:val="21"/>
                      <w:szCs w:val="21"/>
                      <w:highlight w:val="none"/>
                      <w:lang w:val="en-US" w:eastAsia="zh-CN"/>
                    </w:rPr>
                    <w:t>mg/m</w:t>
                  </w:r>
                  <w:r>
                    <w:rPr>
                      <w:rFonts w:hint="eastAsia" w:ascii="Times New Roman" w:hAnsi="Times New Roman" w:eastAsia="宋体" w:cs="Times New Roman"/>
                      <w:b w:val="0"/>
                      <w:bCs/>
                      <w:color w:val="000000"/>
                      <w:sz w:val="21"/>
                      <w:szCs w:val="21"/>
                      <w:highlight w:val="none"/>
                      <w:vertAlign w:val="superscript"/>
                      <w:lang w:val="en-US" w:eastAsia="zh-CN"/>
                    </w:rPr>
                    <w:t>3</w:t>
                  </w:r>
                </w:p>
              </w:tc>
              <w:tc>
                <w:tcPr>
                  <w:tcW w:w="1089"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氯化氢</w:t>
                  </w:r>
                </w:p>
              </w:tc>
              <w:tc>
                <w:tcPr>
                  <w:tcW w:w="6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DA002</w:t>
                  </w:r>
                </w:p>
              </w:tc>
              <w:tc>
                <w:tcPr>
                  <w:tcW w:w="1331" w:type="dxa"/>
                  <w:tcBorders>
                    <w:tl2br w:val="nil"/>
                    <w:tr2bl w:val="nil"/>
                  </w:tcBorders>
                  <w:noWrap w:val="0"/>
                  <w:vAlign w:val="center"/>
                </w:tcPr>
                <w:p>
                  <w:pPr>
                    <w:pStyle w:val="11"/>
                    <w:keepNext w:val="0"/>
                    <w:keepLines w:val="0"/>
                    <w:pageBreakBefore w:val="0"/>
                    <w:suppressLineNumbers w:val="0"/>
                    <w:kinsoku/>
                    <w:wordWrap/>
                    <w:overflowPunct/>
                    <w:topLinePunct w:val="0"/>
                    <w:autoSpaceDE/>
                    <w:autoSpaceDN/>
                    <w:bidi w:val="0"/>
                    <w:adjustRightInd/>
                    <w:snapToGrid/>
                    <w:spacing w:before="0" w:after="0" w:afterAutospacing="0" w:line="240" w:lineRule="auto"/>
                    <w:ind w:left="0" w:leftChars="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E</w:t>
                  </w:r>
                  <w:r>
                    <w:rPr>
                      <w:rFonts w:hint="eastAsia" w:ascii="Times New Roman" w:hAnsi="Times New Roman" w:eastAsia="宋体" w:cs="Times New Roman"/>
                      <w:color w:val="000000"/>
                      <w:kern w:val="2"/>
                      <w:sz w:val="21"/>
                      <w:szCs w:val="21"/>
                      <w:lang w:val="en-US" w:eastAsia="zh-CN" w:bidi="ar-SA"/>
                    </w:rPr>
                    <w:t>:116.99249N:33.57123</w:t>
                  </w:r>
                </w:p>
              </w:tc>
              <w:tc>
                <w:tcPr>
                  <w:tcW w:w="8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一般排放口</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25m</w:t>
                  </w:r>
                </w:p>
              </w:tc>
              <w:tc>
                <w:tcPr>
                  <w:tcW w:w="675"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0.3m</w:t>
                  </w:r>
                </w:p>
              </w:tc>
              <w:tc>
                <w:tcPr>
                  <w:tcW w:w="568"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20℃</w:t>
                  </w:r>
                </w:p>
              </w:tc>
              <w:tc>
                <w:tcPr>
                  <w:tcW w:w="868"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0.43</w:t>
                  </w:r>
                </w:p>
              </w:tc>
              <w:tc>
                <w:tcPr>
                  <w:tcW w:w="11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100</w:t>
                  </w:r>
                  <w:r>
                    <w:rPr>
                      <w:rFonts w:hint="eastAsia" w:ascii="Times New Roman" w:hAnsi="Times New Roman" w:eastAsia="宋体" w:cs="Times New Roman"/>
                      <w:b w:val="0"/>
                      <w:bCs/>
                      <w:color w:val="000000"/>
                      <w:sz w:val="21"/>
                      <w:szCs w:val="21"/>
                      <w:highlight w:val="none"/>
                      <w:lang w:val="en-US" w:eastAsia="zh-CN"/>
                    </w:rPr>
                    <w:t>mg/m</w:t>
                  </w:r>
                  <w:r>
                    <w:rPr>
                      <w:rFonts w:hint="eastAsia" w:ascii="Times New Roman" w:hAnsi="Times New Roman" w:eastAsia="宋体" w:cs="Times New Roman"/>
                      <w:b w:val="0"/>
                      <w:bCs/>
                      <w:color w:val="000000"/>
                      <w:sz w:val="21"/>
                      <w:szCs w:val="21"/>
                      <w:highlight w:val="none"/>
                      <w:vertAlign w:val="superscript"/>
                      <w:lang w:val="en-US" w:eastAsia="zh-CN"/>
                    </w:rPr>
                    <w:t>3</w:t>
                  </w:r>
                </w:p>
              </w:tc>
              <w:tc>
                <w:tcPr>
                  <w:tcW w:w="1089"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b w:val="0"/>
                      <w:bCs/>
                      <w:color w:val="000000"/>
                      <w:sz w:val="21"/>
                      <w:szCs w:val="21"/>
                      <w:highlight w:val="none"/>
                      <w:lang w:val="en-US" w:eastAsia="zh-CN"/>
                    </w:rPr>
                  </w:pPr>
                  <w:r>
                    <w:rPr>
                      <w:rFonts w:hint="eastAsia" w:cs="Times New Roman"/>
                      <w:b w:val="0"/>
                      <w:bCs w:val="0"/>
                      <w:color w:val="auto"/>
                      <w:sz w:val="21"/>
                      <w:szCs w:val="21"/>
                      <w:lang w:val="en-US" w:eastAsia="zh-CN"/>
                    </w:rPr>
                    <w:t>硫酸雾</w:t>
                  </w:r>
                </w:p>
              </w:tc>
              <w:tc>
                <w:tcPr>
                  <w:tcW w:w="6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DA003</w:t>
                  </w:r>
                </w:p>
              </w:tc>
              <w:tc>
                <w:tcPr>
                  <w:tcW w:w="13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E</w:t>
                  </w:r>
                  <w:r>
                    <w:rPr>
                      <w:rFonts w:hint="eastAsia" w:ascii="Times New Roman" w:hAnsi="Times New Roman" w:eastAsia="宋体" w:cs="Times New Roman"/>
                      <w:color w:val="000000"/>
                      <w:kern w:val="2"/>
                      <w:sz w:val="21"/>
                      <w:szCs w:val="21"/>
                      <w:lang w:val="en-US" w:eastAsia="zh-CN" w:bidi="ar-SA"/>
                    </w:rPr>
                    <w:t>:116.99247</w:t>
                  </w:r>
                </w:p>
                <w:p>
                  <w:pPr>
                    <w:pStyle w:val="11"/>
                    <w:keepNext w:val="0"/>
                    <w:keepLines w:val="0"/>
                    <w:pageBreakBefore w:val="0"/>
                    <w:suppressLineNumbers w:val="0"/>
                    <w:kinsoku/>
                    <w:wordWrap/>
                    <w:overflowPunct/>
                    <w:topLinePunct w:val="0"/>
                    <w:autoSpaceDE/>
                    <w:autoSpaceDN/>
                    <w:bidi w:val="0"/>
                    <w:adjustRightInd/>
                    <w:snapToGrid/>
                    <w:spacing w:before="0" w:after="0" w:afterAutospacing="0" w:line="240" w:lineRule="auto"/>
                    <w:ind w:left="0" w:leftChars="0" w:right="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N:33.57123</w:t>
                  </w:r>
                </w:p>
              </w:tc>
              <w:tc>
                <w:tcPr>
                  <w:tcW w:w="8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一般排放口</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25m</w:t>
                  </w:r>
                </w:p>
              </w:tc>
              <w:tc>
                <w:tcPr>
                  <w:tcW w:w="675"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0.3m</w:t>
                  </w:r>
                </w:p>
              </w:tc>
              <w:tc>
                <w:tcPr>
                  <w:tcW w:w="568"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20℃</w:t>
                  </w:r>
                </w:p>
              </w:tc>
              <w:tc>
                <w:tcPr>
                  <w:tcW w:w="868"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color w:val="000000"/>
                      <w:sz w:val="21"/>
                      <w:szCs w:val="21"/>
                      <w:lang w:val="en-US" w:eastAsia="zh-CN"/>
                    </w:rPr>
                  </w:pPr>
                  <w:r>
                    <w:rPr>
                      <w:rFonts w:hint="eastAsia" w:cs="Times New Roman"/>
                      <w:b w:val="0"/>
                      <w:bCs w:val="0"/>
                      <w:color w:val="000000" w:themeColor="text1"/>
                      <w:sz w:val="21"/>
                      <w:szCs w:val="21"/>
                      <w:lang w:val="en-US" w:eastAsia="zh-CN"/>
                      <w14:textFill>
                        <w14:solidFill>
                          <w14:schemeClr w14:val="tx1"/>
                        </w14:solidFill>
                      </w14:textFill>
                    </w:rPr>
                    <w:t>2.6</w:t>
                  </w:r>
                </w:p>
              </w:tc>
              <w:tc>
                <w:tcPr>
                  <w:tcW w:w="11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45</w:t>
                  </w:r>
                  <w:r>
                    <w:rPr>
                      <w:rFonts w:hint="eastAsia" w:ascii="Times New Roman" w:hAnsi="Times New Roman" w:eastAsia="宋体" w:cs="Times New Roman"/>
                      <w:b w:val="0"/>
                      <w:bCs/>
                      <w:color w:val="000000"/>
                      <w:sz w:val="21"/>
                      <w:szCs w:val="21"/>
                      <w:highlight w:val="none"/>
                      <w:lang w:val="en-US" w:eastAsia="zh-CN"/>
                    </w:rPr>
                    <w:t>mg/m</w:t>
                  </w:r>
                  <w:r>
                    <w:rPr>
                      <w:rFonts w:hint="eastAsia" w:ascii="Times New Roman" w:hAnsi="Times New Roman" w:eastAsia="宋体" w:cs="Times New Roman"/>
                      <w:b w:val="0"/>
                      <w:bCs/>
                      <w:color w:val="000000"/>
                      <w:sz w:val="21"/>
                      <w:szCs w:val="21"/>
                      <w:highlight w:val="none"/>
                      <w:vertAlign w:val="superscript"/>
                      <w:lang w:val="en-US" w:eastAsia="zh-CN"/>
                    </w:rPr>
                    <w:t>3</w:t>
                  </w:r>
                </w:p>
              </w:tc>
              <w:tc>
                <w:tcPr>
                  <w:tcW w:w="1089"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b w:val="0"/>
                      <w:bCs/>
                      <w:color w:val="000000"/>
                      <w:sz w:val="21"/>
                      <w:szCs w:val="21"/>
                      <w:highlight w:val="none"/>
                      <w:lang w:val="en-US" w:eastAsia="zh-CN"/>
                    </w:rPr>
                  </w:pPr>
                  <w:r>
                    <w:rPr>
                      <w:rFonts w:hint="eastAsia" w:cs="Times New Roman"/>
                      <w:b w:val="0"/>
                      <w:bCs w:val="0"/>
                      <w:color w:val="auto"/>
                      <w:sz w:val="21"/>
                      <w:szCs w:val="21"/>
                      <w:lang w:val="en-US" w:eastAsia="zh-CN"/>
                    </w:rPr>
                    <w:t>氯化氢</w:t>
                  </w:r>
                </w:p>
              </w:tc>
              <w:tc>
                <w:tcPr>
                  <w:tcW w:w="6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DA003</w:t>
                  </w:r>
                </w:p>
              </w:tc>
              <w:tc>
                <w:tcPr>
                  <w:tcW w:w="13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E</w:t>
                  </w:r>
                  <w:r>
                    <w:rPr>
                      <w:rFonts w:hint="eastAsia" w:ascii="Times New Roman" w:hAnsi="Times New Roman" w:eastAsia="宋体" w:cs="Times New Roman"/>
                      <w:color w:val="000000"/>
                      <w:kern w:val="2"/>
                      <w:sz w:val="21"/>
                      <w:szCs w:val="21"/>
                      <w:lang w:val="en-US" w:eastAsia="zh-CN" w:bidi="ar-SA"/>
                    </w:rPr>
                    <w:t>:116.99247</w:t>
                  </w:r>
                </w:p>
                <w:p>
                  <w:pPr>
                    <w:pStyle w:val="11"/>
                    <w:keepNext w:val="0"/>
                    <w:keepLines w:val="0"/>
                    <w:pageBreakBefore w:val="0"/>
                    <w:suppressLineNumbers w:val="0"/>
                    <w:kinsoku/>
                    <w:wordWrap/>
                    <w:overflowPunct/>
                    <w:topLinePunct w:val="0"/>
                    <w:autoSpaceDE/>
                    <w:autoSpaceDN/>
                    <w:bidi w:val="0"/>
                    <w:adjustRightInd/>
                    <w:snapToGrid/>
                    <w:spacing w:before="0" w:after="0" w:afterAutospacing="0" w:line="240" w:lineRule="auto"/>
                    <w:ind w:left="0" w:leftChars="0" w:right="0" w:firstLine="0" w:firstLineChars="0"/>
                    <w:jc w:val="center"/>
                    <w:textAlignment w:val="auto"/>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N:33.57123</w:t>
                  </w:r>
                </w:p>
              </w:tc>
              <w:tc>
                <w:tcPr>
                  <w:tcW w:w="8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一般排放口</w:t>
                  </w:r>
                </w:p>
              </w:tc>
              <w:tc>
                <w:tcPr>
                  <w:tcW w:w="600"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25m</w:t>
                  </w:r>
                </w:p>
              </w:tc>
              <w:tc>
                <w:tcPr>
                  <w:tcW w:w="675"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0.3m</w:t>
                  </w:r>
                </w:p>
              </w:tc>
              <w:tc>
                <w:tcPr>
                  <w:tcW w:w="568"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20℃</w:t>
                  </w:r>
                </w:p>
              </w:tc>
              <w:tc>
                <w:tcPr>
                  <w:tcW w:w="868" w:type="dxa"/>
                  <w:tcBorders>
                    <w:tl2br w:val="nil"/>
                    <w:tr2bl w:val="nil"/>
                  </w:tcBorders>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0.43</w:t>
                  </w:r>
                </w:p>
              </w:tc>
              <w:tc>
                <w:tcPr>
                  <w:tcW w:w="115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jc w:val="center"/>
                    <w:rPr>
                      <w:rFonts w:hint="eastAsia"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100</w:t>
                  </w:r>
                  <w:r>
                    <w:rPr>
                      <w:rFonts w:hint="eastAsia" w:ascii="Times New Roman" w:hAnsi="Times New Roman" w:eastAsia="宋体" w:cs="Times New Roman"/>
                      <w:b w:val="0"/>
                      <w:bCs/>
                      <w:color w:val="000000"/>
                      <w:sz w:val="21"/>
                      <w:szCs w:val="21"/>
                      <w:highlight w:val="none"/>
                      <w:lang w:val="en-US" w:eastAsia="zh-CN"/>
                    </w:rPr>
                    <w:t>mg/m</w:t>
                  </w:r>
                  <w:r>
                    <w:rPr>
                      <w:rFonts w:hint="eastAsia" w:ascii="Times New Roman" w:hAnsi="Times New Roman" w:eastAsia="宋体" w:cs="Times New Roman"/>
                      <w:b w:val="0"/>
                      <w:bCs/>
                      <w:color w:val="000000"/>
                      <w:sz w:val="21"/>
                      <w:szCs w:val="21"/>
                      <w:highlight w:val="none"/>
                      <w:vertAlign w:val="superscript"/>
                      <w:lang w:val="en-US" w:eastAsia="zh-CN"/>
                    </w:rPr>
                    <w:t>3</w:t>
                  </w:r>
                </w:p>
              </w:tc>
              <w:tc>
                <w:tcPr>
                  <w:tcW w:w="1089"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000000"/>
                      <w:sz w:val="21"/>
                      <w:szCs w:val="21"/>
                      <w:lang w:val="en-US" w:eastAsia="zh-CN"/>
                    </w:rPr>
                  </w:pPr>
                </w:p>
              </w:tc>
            </w:tr>
          </w:tbl>
          <w:p>
            <w:pPr>
              <w:keepNext w:val="0"/>
              <w:keepLines w:val="0"/>
              <w:numPr>
                <w:ilvl w:val="0"/>
                <w:numId w:val="0"/>
              </w:numPr>
              <w:suppressLineNumbers w:val="0"/>
              <w:spacing w:before="0" w:beforeAutospacing="0" w:after="0" w:afterAutospacing="0" w:line="360" w:lineRule="auto"/>
              <w:ind w:left="0" w:leftChars="0" w:right="0" w:rightChars="0" w:firstLine="480" w:firstLineChars="200"/>
              <w:jc w:val="left"/>
              <w:rPr>
                <w:rFonts w:hint="eastAsia" w:cs="Times New Roman"/>
                <w:b w:val="0"/>
                <w:bCs w:val="0"/>
                <w:sz w:val="24"/>
                <w:szCs w:val="24"/>
                <w:lang w:val="en-US" w:eastAsia="zh-CN"/>
              </w:rPr>
            </w:pPr>
            <w:r>
              <w:rPr>
                <w:rFonts w:hint="eastAsia" w:cs="Times New Roman"/>
                <w:b w:val="0"/>
                <w:bCs w:val="0"/>
                <w:sz w:val="24"/>
                <w:szCs w:val="24"/>
                <w:lang w:val="en-US" w:eastAsia="zh-CN"/>
              </w:rPr>
              <w:t>3、废气环保设施可行性分析</w:t>
            </w:r>
          </w:p>
          <w:p>
            <w:pPr>
              <w:pStyle w:val="23"/>
              <w:keepNext w:val="0"/>
              <w:keepLines w:val="0"/>
              <w:suppressLineNumbers w:val="0"/>
              <w:bidi w:val="0"/>
              <w:spacing w:before="0" w:beforeAutospacing="0" w:after="0" w:afterAutospacing="0"/>
              <w:ind w:left="0" w:right="0"/>
              <w:rPr>
                <w:rFonts w:hint="eastAsia"/>
                <w:b w:val="0"/>
                <w:bCs w:val="0"/>
                <w:sz w:val="24"/>
                <w:szCs w:val="24"/>
                <w:lang w:val="en-US" w:eastAsia="zh-CN"/>
              </w:rPr>
            </w:pPr>
            <w:r>
              <w:rPr>
                <w:rFonts w:hint="eastAsia"/>
                <w:b w:val="0"/>
                <w:bCs w:val="0"/>
                <w:sz w:val="24"/>
                <w:szCs w:val="24"/>
                <w:lang w:val="en-US" w:eastAsia="zh-CN"/>
              </w:rPr>
              <w:t>根据《排污许可证申请与核发技术规范 电子工业》（HJ1031-2019）中废气污染防治可行技术，二级活性炭吸附为电子工业排污单位废气防治可行技术。</w:t>
            </w: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表4-3  电子工业排污单位废气污染防治可行技术参考表</w:t>
            </w:r>
          </w:p>
          <w:tbl>
            <w:tblPr>
              <w:tblStyle w:val="19"/>
              <w:tblW w:w="861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6"/>
              <w:gridCol w:w="1556"/>
              <w:gridCol w:w="2353"/>
              <w:gridCol w:w="1668"/>
              <w:gridCol w:w="172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16" w:type="dxa"/>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eastAsia"/>
                      <w:b w:val="0"/>
                      <w:bCs w:val="0"/>
                      <w:sz w:val="21"/>
                      <w:szCs w:val="21"/>
                      <w:lang w:val="en-US" w:eastAsia="zh-CN"/>
                    </w:rPr>
                    <w:t>生产设施</w:t>
                  </w:r>
                </w:p>
              </w:tc>
              <w:tc>
                <w:tcPr>
                  <w:tcW w:w="1556" w:type="dxa"/>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eastAsia"/>
                      <w:b w:val="0"/>
                      <w:bCs w:val="0"/>
                      <w:sz w:val="21"/>
                      <w:szCs w:val="21"/>
                      <w:lang w:val="en-US" w:eastAsia="zh-CN"/>
                    </w:rPr>
                    <w:t>污染控制项目</w:t>
                  </w:r>
                </w:p>
              </w:tc>
              <w:tc>
                <w:tcPr>
                  <w:tcW w:w="2353" w:type="dxa"/>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eastAsia"/>
                      <w:b w:val="0"/>
                      <w:bCs w:val="0"/>
                      <w:sz w:val="21"/>
                      <w:szCs w:val="21"/>
                      <w:lang w:val="en-US" w:eastAsia="zh-CN"/>
                    </w:rPr>
                    <w:t>规范中可行性技术</w:t>
                  </w:r>
                </w:p>
              </w:tc>
              <w:tc>
                <w:tcPr>
                  <w:tcW w:w="1668" w:type="dxa"/>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eastAsia"/>
                      <w:b w:val="0"/>
                      <w:bCs w:val="0"/>
                      <w:sz w:val="21"/>
                      <w:szCs w:val="21"/>
                      <w:lang w:val="en-US" w:eastAsia="zh-CN"/>
                    </w:rPr>
                    <w:t>本项目情况</w:t>
                  </w:r>
                </w:p>
              </w:tc>
              <w:tc>
                <w:tcPr>
                  <w:tcW w:w="1724" w:type="dxa"/>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eastAsia"/>
                      <w:b w:val="0"/>
                      <w:bCs w:val="0"/>
                      <w:sz w:val="21"/>
                      <w:szCs w:val="21"/>
                      <w:lang w:val="en-US" w:eastAsia="zh-CN"/>
                    </w:rPr>
                    <w:t>相符性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16" w:type="dxa"/>
                  <w:vAlign w:val="center"/>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eastAsia"/>
                      <w:b w:val="0"/>
                      <w:bCs w:val="0"/>
                      <w:sz w:val="21"/>
                      <w:szCs w:val="21"/>
                      <w:lang w:val="en-US" w:eastAsia="zh-CN"/>
                    </w:rPr>
                    <w:t>塑封压机</w:t>
                  </w:r>
                </w:p>
              </w:tc>
              <w:tc>
                <w:tcPr>
                  <w:tcW w:w="1556" w:type="dxa"/>
                  <w:vAlign w:val="center"/>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eastAsia"/>
                      <w:b w:val="0"/>
                      <w:bCs w:val="0"/>
                      <w:sz w:val="21"/>
                      <w:szCs w:val="21"/>
                      <w:lang w:val="en-US" w:eastAsia="zh-CN"/>
                    </w:rPr>
                    <w:t>挥发性有机物</w:t>
                  </w:r>
                </w:p>
              </w:tc>
              <w:tc>
                <w:tcPr>
                  <w:tcW w:w="2353" w:type="dxa"/>
                  <w:vAlign w:val="center"/>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default"/>
                      <w:b w:val="0"/>
                      <w:bCs w:val="0"/>
                      <w:sz w:val="21"/>
                      <w:szCs w:val="21"/>
                      <w:lang w:val="en-US" w:eastAsia="zh-CN"/>
                    </w:rPr>
                    <w:t>活性炭吸附法、燃烧法、浓缩+燃烧法、其他</w:t>
                  </w:r>
                </w:p>
              </w:tc>
              <w:tc>
                <w:tcPr>
                  <w:tcW w:w="1668" w:type="dxa"/>
                  <w:vAlign w:val="center"/>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eastAsia"/>
                      <w:b w:val="0"/>
                      <w:bCs w:val="0"/>
                      <w:sz w:val="21"/>
                      <w:szCs w:val="21"/>
                      <w:lang w:val="en-US" w:eastAsia="zh-CN"/>
                    </w:rPr>
                    <w:t>项目采用二级活性炭吸附装置处理</w:t>
                  </w:r>
                </w:p>
              </w:tc>
              <w:tc>
                <w:tcPr>
                  <w:tcW w:w="1724" w:type="dxa"/>
                  <w:vAlign w:val="center"/>
                </w:tcPr>
                <w:p>
                  <w:pPr>
                    <w:keepNext w:val="0"/>
                    <w:keepLines w:val="0"/>
                    <w:suppressLineNumbers w:val="0"/>
                    <w:spacing w:before="0" w:beforeAutospacing="0" w:after="0" w:afterAutospacing="0" w:line="240" w:lineRule="auto"/>
                    <w:ind w:left="0" w:right="0"/>
                    <w:jc w:val="center"/>
                    <w:rPr>
                      <w:rFonts w:hint="default"/>
                      <w:b w:val="0"/>
                      <w:bCs w:val="0"/>
                      <w:sz w:val="21"/>
                      <w:szCs w:val="21"/>
                      <w:lang w:val="en-US" w:eastAsia="zh-CN"/>
                    </w:rPr>
                  </w:pPr>
                  <w:r>
                    <w:rPr>
                      <w:rFonts w:hint="eastAsia"/>
                      <w:b w:val="0"/>
                      <w:bCs w:val="0"/>
                      <w:sz w:val="21"/>
                      <w:szCs w:val="21"/>
                      <w:lang w:val="en-US" w:eastAsia="zh-CN"/>
                    </w:rPr>
                    <w:t>符合</w:t>
                  </w:r>
                </w:p>
              </w:tc>
            </w:tr>
          </w:tbl>
          <w:p>
            <w:pPr>
              <w:keepNext w:val="0"/>
              <w:keepLines w:val="0"/>
              <w:numPr>
                <w:ilvl w:val="0"/>
                <w:numId w:val="0"/>
              </w:numPr>
              <w:suppressLineNumbers w:val="0"/>
              <w:spacing w:before="0" w:beforeAutospacing="0" w:after="0" w:afterAutospacing="0" w:line="360" w:lineRule="auto"/>
              <w:ind w:left="0" w:right="0" w:rightChars="0" w:firstLine="480" w:firstLineChars="200"/>
              <w:jc w:val="left"/>
              <w:rPr>
                <w:rFonts w:hint="default" w:ascii="Times New Roman" w:hAnsi="Times New Roman" w:cs="Times New Roman"/>
                <w:b w:val="0"/>
                <w:bCs w:val="0"/>
                <w:sz w:val="24"/>
                <w:szCs w:val="24"/>
                <w:lang w:val="en-US" w:eastAsia="zh-CN"/>
              </w:rPr>
            </w:pPr>
            <w:r>
              <w:rPr>
                <w:rFonts w:hint="eastAsia" w:cs="Times New Roman"/>
                <w:b w:val="0"/>
                <w:bCs w:val="0"/>
                <w:sz w:val="24"/>
                <w:szCs w:val="24"/>
                <w:lang w:val="en-US" w:eastAsia="zh-CN"/>
              </w:rPr>
              <w:t>4</w:t>
            </w:r>
            <w:r>
              <w:rPr>
                <w:rFonts w:hint="eastAsia" w:ascii="Times New Roman" w:hAnsi="Times New Roman" w:cs="Times New Roman"/>
                <w:b w:val="0"/>
                <w:bCs w:val="0"/>
                <w:sz w:val="24"/>
                <w:szCs w:val="24"/>
                <w:lang w:val="en-US" w:eastAsia="zh-CN"/>
              </w:rPr>
              <w:t>、</w:t>
            </w:r>
            <w:r>
              <w:rPr>
                <w:rFonts w:hint="default" w:ascii="Times New Roman" w:hAnsi="Times New Roman" w:cs="Times New Roman"/>
                <w:b w:val="0"/>
                <w:bCs w:val="0"/>
                <w:sz w:val="24"/>
                <w:szCs w:val="24"/>
                <w:lang w:val="en-US" w:eastAsia="zh-CN"/>
              </w:rPr>
              <w:t>非正常工况分析</w:t>
            </w:r>
          </w:p>
          <w:p>
            <w:pPr>
              <w:pStyle w:val="23"/>
              <w:keepNext w:val="0"/>
              <w:keepLines w:val="0"/>
              <w:suppressLineNumbers w:val="0"/>
              <w:bidi w:val="0"/>
              <w:spacing w:before="0" w:beforeAutospacing="0" w:after="0" w:afterAutospacing="0"/>
              <w:ind w:left="0" w:right="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lang w:val="en-US" w:eastAsia="zh-CN"/>
              </w:rPr>
              <w:t>非正常工况是指生产运行阶段的检修、操作不正常或设备故障等引起的一般性事故排放。根据本项目的污染物特点及工程分析，本项目非正常工况下分析污染源主要为：塑封废气处理的</w:t>
            </w:r>
            <w:r>
              <w:rPr>
                <w:rFonts w:hint="eastAsia" w:cs="Times New Roman"/>
                <w:b w:val="0"/>
                <w:bCs w:val="0"/>
                <w:sz w:val="24"/>
                <w:szCs w:val="24"/>
                <w:lang w:val="en-US" w:eastAsia="zh-CN"/>
              </w:rPr>
              <w:t>“</w:t>
            </w:r>
            <w:r>
              <w:rPr>
                <w:rFonts w:hint="default" w:ascii="Times New Roman" w:hAnsi="Times New Roman" w:eastAsia="宋体" w:cs="Times New Roman"/>
                <w:b w:val="0"/>
                <w:bCs w:val="0"/>
                <w:color w:val="000000"/>
                <w:sz w:val="24"/>
                <w:szCs w:val="24"/>
                <w:lang w:val="en-US" w:eastAsia="zh-CN"/>
              </w:rPr>
              <w:t>集气罩+</w:t>
            </w:r>
            <w:r>
              <w:rPr>
                <w:rFonts w:hint="eastAsia" w:cs="Times New Roman"/>
                <w:b w:val="0"/>
                <w:bCs w:val="0"/>
                <w:color w:val="000000"/>
                <w:sz w:val="24"/>
                <w:szCs w:val="24"/>
                <w:lang w:val="en-US" w:eastAsia="zh-CN"/>
              </w:rPr>
              <w:t>二级</w:t>
            </w:r>
            <w:r>
              <w:rPr>
                <w:rFonts w:hint="default" w:ascii="Times New Roman" w:hAnsi="Times New Roman" w:eastAsia="宋体" w:cs="Times New Roman"/>
                <w:b w:val="0"/>
                <w:bCs w:val="0"/>
                <w:color w:val="000000"/>
                <w:sz w:val="24"/>
                <w:szCs w:val="24"/>
                <w:lang w:val="en-US" w:eastAsia="zh-CN"/>
              </w:rPr>
              <w:t>活性炭吸附</w:t>
            </w:r>
            <w:r>
              <w:rPr>
                <w:rFonts w:hint="default" w:ascii="Times New Roman" w:hAnsi="Times New Roman" w:cs="Times New Roman"/>
                <w:b w:val="0"/>
                <w:bCs w:val="0"/>
                <w:sz w:val="24"/>
                <w:szCs w:val="24"/>
                <w:lang w:val="en-US" w:eastAsia="zh-CN"/>
              </w:rPr>
              <w:t>工艺</w:t>
            </w:r>
            <w:r>
              <w:rPr>
                <w:rFonts w:hint="eastAsia" w:cs="Times New Roman"/>
                <w:b w:val="0"/>
                <w:bCs w:val="0"/>
                <w:sz w:val="24"/>
                <w:szCs w:val="24"/>
                <w:lang w:val="en-US" w:eastAsia="zh-CN"/>
              </w:rPr>
              <w:t>”</w:t>
            </w:r>
            <w:r>
              <w:rPr>
                <w:rFonts w:hint="default" w:ascii="Times New Roman" w:hAnsi="Times New Roman" w:cs="Times New Roman"/>
                <w:b w:val="0"/>
                <w:bCs w:val="0"/>
                <w:sz w:val="24"/>
                <w:szCs w:val="24"/>
                <w:lang w:val="en-US" w:eastAsia="zh-CN"/>
              </w:rPr>
              <w:t>故障，引起的废气事故排放，以DA00</w:t>
            </w:r>
            <w:r>
              <w:rPr>
                <w:rFonts w:hint="eastAsia" w:cs="Times New Roman"/>
                <w:b w:val="0"/>
                <w:bCs w:val="0"/>
                <w:sz w:val="24"/>
                <w:szCs w:val="24"/>
                <w:lang w:val="en-US" w:eastAsia="zh-CN"/>
              </w:rPr>
              <w:t>3</w:t>
            </w:r>
            <w:r>
              <w:rPr>
                <w:rFonts w:hint="default" w:ascii="Times New Roman" w:hAnsi="Times New Roman" w:cs="Times New Roman"/>
                <w:b w:val="0"/>
                <w:bCs w:val="0"/>
                <w:sz w:val="24"/>
                <w:szCs w:val="24"/>
                <w:lang w:val="en-US" w:eastAsia="zh-CN"/>
              </w:rPr>
              <w:t>排气筒非正常工况按去除率下降至0考虑事故持续时间在</w:t>
            </w:r>
            <w:r>
              <w:rPr>
                <w:rFonts w:hint="eastAsia" w:cs="Times New Roman"/>
                <w:b w:val="0"/>
                <w:bCs w:val="0"/>
                <w:sz w:val="24"/>
                <w:szCs w:val="24"/>
                <w:lang w:val="en-US" w:eastAsia="zh-CN"/>
              </w:rPr>
              <w:t>1</w:t>
            </w:r>
            <w:r>
              <w:rPr>
                <w:rFonts w:hint="default" w:ascii="Times New Roman" w:hAnsi="Times New Roman" w:cs="Times New Roman"/>
                <w:b w:val="0"/>
                <w:bCs w:val="0"/>
                <w:sz w:val="24"/>
                <w:szCs w:val="24"/>
                <w:lang w:val="en-US" w:eastAsia="zh-CN"/>
              </w:rPr>
              <w:t>小时之内，非正常工况条件下废气排放源强及排放情况见下表：</w:t>
            </w:r>
          </w:p>
          <w:p>
            <w:pPr>
              <w:pStyle w:val="11"/>
              <w:keepNext w:val="0"/>
              <w:keepLines w:val="0"/>
              <w:suppressLineNumbers w:val="0"/>
              <w:bidi w:val="0"/>
              <w:spacing w:before="0" w:after="0" w:afterAutospacing="0"/>
              <w:ind w:right="0"/>
              <w:rPr>
                <w:rFonts w:hint="default"/>
                <w:lang w:eastAsia="zh-CN"/>
              </w:rPr>
            </w:pPr>
            <w:r>
              <w:rPr>
                <w:rFonts w:hint="default"/>
              </w:rPr>
              <w:t>表</w:t>
            </w:r>
            <w:r>
              <w:rPr>
                <w:rFonts w:hint="default"/>
                <w:lang w:val="en-US" w:eastAsia="zh-CN"/>
              </w:rPr>
              <w:t>4-</w:t>
            </w:r>
            <w:r>
              <w:rPr>
                <w:rFonts w:hint="eastAsia"/>
                <w:lang w:val="en-US" w:eastAsia="zh-CN"/>
              </w:rPr>
              <w:t>4</w:t>
            </w:r>
            <w:r>
              <w:rPr>
                <w:rFonts w:hint="default"/>
              </w:rPr>
              <w:t xml:space="preserve"> </w:t>
            </w:r>
            <w:r>
              <w:rPr>
                <w:rFonts w:hint="eastAsia"/>
                <w:lang w:val="en-US" w:eastAsia="zh-CN"/>
              </w:rPr>
              <w:t xml:space="preserve"> </w:t>
            </w:r>
            <w:r>
              <w:rPr>
                <w:rFonts w:hint="default"/>
                <w:lang w:eastAsia="zh-CN"/>
              </w:rPr>
              <w:t>非正常工况下污染物排放一览表</w:t>
            </w:r>
          </w:p>
          <w:tbl>
            <w:tblPr>
              <w:tblStyle w:val="19"/>
              <w:tblW w:w="857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776"/>
              <w:gridCol w:w="1360"/>
              <w:gridCol w:w="771"/>
              <w:gridCol w:w="1095"/>
              <w:gridCol w:w="933"/>
              <w:gridCol w:w="1150"/>
              <w:gridCol w:w="1013"/>
              <w:gridCol w:w="844"/>
              <w:gridCol w:w="63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776" w:type="dxa"/>
                  <w:vMerge w:val="restart"/>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污染源</w:t>
                  </w:r>
                </w:p>
              </w:tc>
              <w:tc>
                <w:tcPr>
                  <w:tcW w:w="1360" w:type="dxa"/>
                  <w:vMerge w:val="restart"/>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非正常排放原因</w:t>
                  </w:r>
                </w:p>
              </w:tc>
              <w:tc>
                <w:tcPr>
                  <w:tcW w:w="771" w:type="dxa"/>
                  <w:vMerge w:val="restart"/>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污染物</w:t>
                  </w:r>
                </w:p>
              </w:tc>
              <w:tc>
                <w:tcPr>
                  <w:tcW w:w="3178" w:type="dxa"/>
                  <w:gridSpan w:val="3"/>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eastAsia="zh-CN"/>
                    </w:rPr>
                  </w:pPr>
                  <w:r>
                    <w:rPr>
                      <w:rFonts w:hint="eastAsia"/>
                      <w:b w:val="0"/>
                      <w:bCs w:val="0"/>
                      <w:sz w:val="21"/>
                      <w:szCs w:val="21"/>
                      <w:lang w:val="en-US" w:eastAsia="zh-CN"/>
                    </w:rPr>
                    <w:t>非正常排放状况</w:t>
                  </w:r>
                </w:p>
              </w:tc>
              <w:tc>
                <w:tcPr>
                  <w:tcW w:w="1857" w:type="dxa"/>
                  <w:gridSpan w:val="2"/>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eastAsia="zh-CN"/>
                    </w:rPr>
                  </w:pPr>
                  <w:r>
                    <w:rPr>
                      <w:rFonts w:hint="eastAsia"/>
                      <w:b w:val="0"/>
                      <w:bCs w:val="0"/>
                      <w:sz w:val="21"/>
                      <w:szCs w:val="21"/>
                      <w:lang w:val="en-US" w:eastAsia="zh-CN"/>
                    </w:rPr>
                    <w:t>排放标准</w:t>
                  </w:r>
                </w:p>
              </w:tc>
              <w:tc>
                <w:tcPr>
                  <w:tcW w:w="636" w:type="dxa"/>
                  <w:vMerge w:val="restart"/>
                  <w:vAlign w:val="center"/>
                </w:tcPr>
                <w:p>
                  <w:pPr>
                    <w:keepNext w:val="0"/>
                    <w:keepLines w:val="0"/>
                    <w:suppressLineNumbers w:val="0"/>
                    <w:bidi w:val="0"/>
                    <w:spacing w:before="0" w:beforeAutospacing="0" w:after="0" w:afterAutospacing="0"/>
                    <w:ind w:left="0" w:right="0"/>
                    <w:jc w:val="center"/>
                    <w:rPr>
                      <w:rFonts w:hint="eastAsia"/>
                      <w:b w:val="0"/>
                      <w:bCs w:val="0"/>
                      <w:sz w:val="21"/>
                      <w:szCs w:val="21"/>
                      <w:lang w:val="en-US" w:eastAsia="zh-CN"/>
                    </w:rPr>
                  </w:pPr>
                  <w:r>
                    <w:rPr>
                      <w:rFonts w:hint="eastAsia"/>
                      <w:b w:val="0"/>
                      <w:bCs w:val="0"/>
                      <w:sz w:val="21"/>
                      <w:szCs w:val="21"/>
                      <w:lang w:val="en-US" w:eastAsia="zh-CN"/>
                    </w:rPr>
                    <w:t>达标</w:t>
                  </w:r>
                </w:p>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jc w:val="center"/>
              </w:trPr>
              <w:tc>
                <w:tcPr>
                  <w:tcW w:w="776" w:type="dxa"/>
                  <w:vMerge w:val="continue"/>
                </w:tcPr>
                <w:p>
                  <w:pPr>
                    <w:keepNext w:val="0"/>
                    <w:keepLines w:val="0"/>
                    <w:suppressLineNumbers w:val="0"/>
                    <w:bidi w:val="0"/>
                    <w:spacing w:before="0" w:beforeAutospacing="0" w:after="0" w:afterAutospacing="0"/>
                    <w:ind w:left="0" w:right="0"/>
                    <w:rPr>
                      <w:rFonts w:hint="default"/>
                      <w:b w:val="0"/>
                      <w:bCs w:val="0"/>
                      <w:sz w:val="21"/>
                      <w:szCs w:val="21"/>
                      <w:lang w:val="en-US" w:eastAsia="zh-CN"/>
                    </w:rPr>
                  </w:pPr>
                </w:p>
              </w:tc>
              <w:tc>
                <w:tcPr>
                  <w:tcW w:w="1360" w:type="dxa"/>
                  <w:vMerge w:val="continue"/>
                </w:tcPr>
                <w:p>
                  <w:pPr>
                    <w:keepNext w:val="0"/>
                    <w:keepLines w:val="0"/>
                    <w:suppressLineNumbers w:val="0"/>
                    <w:bidi w:val="0"/>
                    <w:spacing w:before="0" w:beforeAutospacing="0" w:after="0" w:afterAutospacing="0"/>
                    <w:ind w:left="0" w:right="0"/>
                    <w:rPr>
                      <w:rFonts w:hint="default"/>
                      <w:b w:val="0"/>
                      <w:bCs w:val="0"/>
                      <w:sz w:val="21"/>
                      <w:szCs w:val="21"/>
                      <w:lang w:eastAsia="zh-CN"/>
                    </w:rPr>
                  </w:pPr>
                </w:p>
              </w:tc>
              <w:tc>
                <w:tcPr>
                  <w:tcW w:w="771" w:type="dxa"/>
                  <w:vMerge w:val="continue"/>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p>
              </w:tc>
              <w:tc>
                <w:tcPr>
                  <w:tcW w:w="1095"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浓度（mg/m</w:t>
                  </w:r>
                  <w:r>
                    <w:rPr>
                      <w:rFonts w:hint="eastAsia"/>
                      <w:b w:val="0"/>
                      <w:bCs w:val="0"/>
                      <w:sz w:val="21"/>
                      <w:szCs w:val="21"/>
                      <w:vertAlign w:val="superscript"/>
                      <w:lang w:val="en-US" w:eastAsia="zh-CN"/>
                    </w:rPr>
                    <w:t>3</w:t>
                  </w:r>
                  <w:r>
                    <w:rPr>
                      <w:rFonts w:hint="eastAsia"/>
                      <w:b w:val="0"/>
                      <w:bCs w:val="0"/>
                      <w:sz w:val="21"/>
                      <w:szCs w:val="21"/>
                      <w:lang w:val="en-US" w:eastAsia="zh-CN"/>
                    </w:rPr>
                    <w:t>）</w:t>
                  </w:r>
                </w:p>
              </w:tc>
              <w:tc>
                <w:tcPr>
                  <w:tcW w:w="933"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速率（kg/h）</w:t>
                  </w:r>
                </w:p>
              </w:tc>
              <w:tc>
                <w:tcPr>
                  <w:tcW w:w="1150"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频次及持续时间</w:t>
                  </w:r>
                </w:p>
              </w:tc>
              <w:tc>
                <w:tcPr>
                  <w:tcW w:w="1013"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浓度（mg/m</w:t>
                  </w:r>
                  <w:r>
                    <w:rPr>
                      <w:rFonts w:hint="eastAsia"/>
                      <w:b w:val="0"/>
                      <w:bCs w:val="0"/>
                      <w:sz w:val="21"/>
                      <w:szCs w:val="21"/>
                      <w:vertAlign w:val="superscript"/>
                      <w:lang w:val="en-US" w:eastAsia="zh-CN"/>
                    </w:rPr>
                    <w:t>3</w:t>
                  </w:r>
                  <w:r>
                    <w:rPr>
                      <w:rFonts w:hint="eastAsia"/>
                      <w:b w:val="0"/>
                      <w:bCs w:val="0"/>
                      <w:sz w:val="21"/>
                      <w:szCs w:val="21"/>
                      <w:lang w:val="en-US" w:eastAsia="zh-CN"/>
                    </w:rPr>
                    <w:t>）</w:t>
                  </w:r>
                </w:p>
              </w:tc>
              <w:tc>
                <w:tcPr>
                  <w:tcW w:w="844"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速率（kg/h）</w:t>
                  </w:r>
                </w:p>
              </w:tc>
              <w:tc>
                <w:tcPr>
                  <w:tcW w:w="636" w:type="dxa"/>
                  <w:vMerge w:val="continue"/>
                </w:tcPr>
                <w:p>
                  <w:pPr>
                    <w:keepNext w:val="0"/>
                    <w:keepLines w:val="0"/>
                    <w:suppressLineNumbers w:val="0"/>
                    <w:bidi w:val="0"/>
                    <w:spacing w:before="0" w:beforeAutospacing="0" w:after="0" w:afterAutospacing="0"/>
                    <w:ind w:left="0" w:right="0"/>
                    <w:rPr>
                      <w:rFonts w:hint="default"/>
                      <w:b w:val="0"/>
                      <w:bCs w:val="0"/>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jc w:val="center"/>
              </w:trPr>
              <w:tc>
                <w:tcPr>
                  <w:tcW w:w="776"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eastAsia="zh-CN"/>
                    </w:rPr>
                  </w:pPr>
                  <w:r>
                    <w:rPr>
                      <w:rFonts w:hint="eastAsia"/>
                      <w:b w:val="0"/>
                      <w:bCs w:val="0"/>
                      <w:sz w:val="21"/>
                      <w:szCs w:val="21"/>
                      <w:lang w:val="en-US" w:eastAsia="zh-CN"/>
                    </w:rPr>
                    <w:t>塑封</w:t>
                  </w:r>
                </w:p>
              </w:tc>
              <w:tc>
                <w:tcPr>
                  <w:tcW w:w="1360"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eastAsia="zh-CN"/>
                    </w:rPr>
                  </w:pPr>
                  <w:r>
                    <w:rPr>
                      <w:rFonts w:hint="default" w:ascii="Times New Roman" w:hAnsi="Times New Roman" w:eastAsia="宋体" w:cs="Times New Roman"/>
                      <w:b w:val="0"/>
                      <w:bCs w:val="0"/>
                      <w:color w:val="000000"/>
                      <w:sz w:val="21"/>
                      <w:szCs w:val="21"/>
                      <w:lang w:val="en-US" w:eastAsia="zh-CN"/>
                    </w:rPr>
                    <w:t>塑封废气处理的</w:t>
                  </w:r>
                  <w:r>
                    <w:rPr>
                      <w:rFonts w:hint="eastAsia" w:cs="Times New Roman"/>
                      <w:b w:val="0"/>
                      <w:bCs w:val="0"/>
                      <w:color w:val="000000"/>
                      <w:sz w:val="21"/>
                      <w:szCs w:val="21"/>
                      <w:lang w:val="en-US" w:eastAsia="zh-CN"/>
                    </w:rPr>
                    <w:t>“</w:t>
                  </w:r>
                  <w:r>
                    <w:rPr>
                      <w:rFonts w:hint="default" w:ascii="Times New Roman" w:hAnsi="Times New Roman" w:eastAsia="宋体" w:cs="Times New Roman"/>
                      <w:b w:val="0"/>
                      <w:bCs w:val="0"/>
                      <w:color w:val="000000"/>
                      <w:sz w:val="21"/>
                      <w:szCs w:val="21"/>
                      <w:lang w:val="en-US" w:eastAsia="zh-CN"/>
                    </w:rPr>
                    <w:t>集气罩+</w:t>
                  </w:r>
                  <w:r>
                    <w:rPr>
                      <w:rFonts w:hint="eastAsia" w:cs="Times New Roman"/>
                      <w:b w:val="0"/>
                      <w:bCs w:val="0"/>
                      <w:color w:val="000000"/>
                      <w:sz w:val="21"/>
                      <w:szCs w:val="21"/>
                      <w:lang w:val="en-US" w:eastAsia="zh-CN"/>
                    </w:rPr>
                    <w:t>二级</w:t>
                  </w:r>
                  <w:r>
                    <w:rPr>
                      <w:rFonts w:hint="default" w:ascii="Times New Roman" w:hAnsi="Times New Roman" w:eastAsia="宋体" w:cs="Times New Roman"/>
                      <w:b w:val="0"/>
                      <w:bCs w:val="0"/>
                      <w:color w:val="000000"/>
                      <w:sz w:val="21"/>
                      <w:szCs w:val="21"/>
                      <w:lang w:val="en-US" w:eastAsia="zh-CN"/>
                    </w:rPr>
                    <w:t>活性炭吸附</w:t>
                  </w:r>
                  <w:r>
                    <w:rPr>
                      <w:rFonts w:hint="default" w:ascii="Times New Roman" w:hAnsi="Times New Roman" w:cs="Times New Roman"/>
                      <w:b w:val="0"/>
                      <w:bCs w:val="0"/>
                      <w:sz w:val="21"/>
                      <w:szCs w:val="21"/>
                      <w:lang w:val="en-US" w:eastAsia="zh-CN"/>
                    </w:rPr>
                    <w:t>工艺</w:t>
                  </w:r>
                  <w:r>
                    <w:rPr>
                      <w:rFonts w:hint="eastAsia" w:cs="Times New Roman"/>
                      <w:b w:val="0"/>
                      <w:bCs w:val="0"/>
                      <w:sz w:val="21"/>
                      <w:szCs w:val="21"/>
                      <w:lang w:val="en-US" w:eastAsia="zh-CN"/>
                    </w:rPr>
                    <w:t>”</w:t>
                  </w:r>
                  <w:r>
                    <w:rPr>
                      <w:rFonts w:hint="default" w:ascii="Times New Roman" w:hAnsi="Times New Roman" w:eastAsia="宋体" w:cs="Times New Roman"/>
                      <w:b w:val="0"/>
                      <w:bCs w:val="0"/>
                      <w:color w:val="000000"/>
                      <w:sz w:val="21"/>
                      <w:szCs w:val="21"/>
                      <w:lang w:val="en-US" w:eastAsia="zh-CN"/>
                    </w:rPr>
                    <w:t>故障，处理效率为0</w:t>
                  </w:r>
                </w:p>
              </w:tc>
              <w:tc>
                <w:tcPr>
                  <w:tcW w:w="771"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eastAsia="zh-CN"/>
                    </w:rPr>
                  </w:pPr>
                  <w:r>
                    <w:rPr>
                      <w:rFonts w:hint="eastAsia"/>
                      <w:b w:val="0"/>
                      <w:bCs w:val="0"/>
                      <w:sz w:val="21"/>
                      <w:szCs w:val="21"/>
                      <w:lang w:val="en-US" w:eastAsia="zh-CN"/>
                    </w:rPr>
                    <w:t>挥发性有机物</w:t>
                  </w:r>
                </w:p>
              </w:tc>
              <w:tc>
                <w:tcPr>
                  <w:tcW w:w="1095"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cs="Times New Roman"/>
                      <w:b w:val="0"/>
                      <w:bCs w:val="0"/>
                      <w:color w:val="000000"/>
                      <w:sz w:val="21"/>
                      <w:szCs w:val="21"/>
                      <w:lang w:val="en-US" w:eastAsia="zh-CN"/>
                    </w:rPr>
                    <w:t>0.09</w:t>
                  </w:r>
                </w:p>
              </w:tc>
              <w:tc>
                <w:tcPr>
                  <w:tcW w:w="933"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0.0007</w:t>
                  </w:r>
                </w:p>
              </w:tc>
              <w:tc>
                <w:tcPr>
                  <w:tcW w:w="1150"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1h</w:t>
                  </w:r>
                </w:p>
              </w:tc>
              <w:tc>
                <w:tcPr>
                  <w:tcW w:w="1013"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120</w:t>
                  </w:r>
                </w:p>
              </w:tc>
              <w:tc>
                <w:tcPr>
                  <w:tcW w:w="844"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10</w:t>
                  </w:r>
                </w:p>
              </w:tc>
              <w:tc>
                <w:tcPr>
                  <w:tcW w:w="636" w:type="dxa"/>
                  <w:vAlign w:val="center"/>
                </w:tcPr>
                <w:p>
                  <w:pPr>
                    <w:keepNext w:val="0"/>
                    <w:keepLines w:val="0"/>
                    <w:suppressLineNumbers w:val="0"/>
                    <w:bidi w:val="0"/>
                    <w:spacing w:before="0" w:beforeAutospacing="0" w:after="0" w:afterAutospacing="0"/>
                    <w:ind w:left="0" w:right="0"/>
                    <w:jc w:val="center"/>
                    <w:rPr>
                      <w:rFonts w:hint="default"/>
                      <w:b w:val="0"/>
                      <w:bCs w:val="0"/>
                      <w:sz w:val="21"/>
                      <w:szCs w:val="21"/>
                      <w:lang w:eastAsia="zh-CN"/>
                    </w:rPr>
                  </w:pPr>
                  <w:r>
                    <w:rPr>
                      <w:rFonts w:hint="eastAsia"/>
                      <w:b w:val="0"/>
                      <w:bCs w:val="0"/>
                      <w:sz w:val="21"/>
                      <w:szCs w:val="21"/>
                      <w:lang w:val="en-US" w:eastAsia="zh-CN"/>
                    </w:rPr>
                    <w:t>达标</w:t>
                  </w:r>
                </w:p>
              </w:tc>
            </w:tr>
          </w:tbl>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sz w:val="24"/>
                <w:szCs w:val="24"/>
              </w:rPr>
            </w:pPr>
            <w:r>
              <w:rPr>
                <w:rFonts w:hint="eastAsia" w:cs="Times New Roman"/>
                <w:b w:val="0"/>
                <w:bCs w:val="0"/>
                <w:sz w:val="24"/>
                <w:szCs w:val="24"/>
                <w:lang w:val="en-US" w:eastAsia="zh-CN"/>
              </w:rPr>
              <w:t>5</w:t>
            </w:r>
            <w:r>
              <w:rPr>
                <w:rFonts w:hint="default" w:ascii="Times New Roman" w:hAnsi="Times New Roman" w:cs="Times New Roman"/>
                <w:b w:val="0"/>
                <w:bCs w:val="0"/>
                <w:sz w:val="24"/>
                <w:szCs w:val="24"/>
              </w:rPr>
              <w:t>、环境监测计划</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项目废气监测频次按照《排污单位自行监测技术指南</w:t>
            </w:r>
            <w:r>
              <w:rPr>
                <w:rFonts w:hint="eastAsia" w:cs="Times New Roman"/>
                <w:b w:val="0"/>
                <w:bCs w:val="0"/>
                <w:sz w:val="24"/>
                <w:szCs w:val="24"/>
                <w:lang w:val="en-US" w:eastAsia="zh-CN"/>
              </w:rPr>
              <w:t xml:space="preserve"> </w:t>
            </w:r>
            <w:r>
              <w:rPr>
                <w:rFonts w:hint="default" w:ascii="Times New Roman" w:hAnsi="Times New Roman" w:cs="Times New Roman"/>
                <w:b w:val="0"/>
                <w:bCs w:val="0"/>
                <w:sz w:val="24"/>
                <w:szCs w:val="24"/>
              </w:rPr>
              <w:t>电子工业》（HJ1253-2022）、《排污许可证申请与核发技术规范电子工业》（HJ1031-2019）规定执行。</w:t>
            </w:r>
          </w:p>
          <w:p>
            <w:pPr>
              <w:pStyle w:val="11"/>
              <w:keepNext w:val="0"/>
              <w:keepLines w:val="0"/>
              <w:suppressLineNumbers w:val="0"/>
              <w:bidi w:val="0"/>
              <w:spacing w:before="0" w:after="0" w:afterAutospacing="0"/>
              <w:ind w:right="0"/>
              <w:rPr>
                <w:rFonts w:hint="default"/>
              </w:rPr>
            </w:pPr>
            <w:r>
              <w:rPr>
                <w:rFonts w:hint="default"/>
              </w:rPr>
              <w:t>表4-</w:t>
            </w:r>
            <w:r>
              <w:rPr>
                <w:rFonts w:hint="eastAsia"/>
                <w:lang w:val="en-US" w:eastAsia="zh-CN"/>
              </w:rPr>
              <w:t>4</w:t>
            </w:r>
            <w:r>
              <w:rPr>
                <w:rFonts w:hint="default"/>
              </w:rPr>
              <w:t>大气污染物自行监测计划一览表</w:t>
            </w:r>
          </w:p>
          <w:tbl>
            <w:tblPr>
              <w:tblStyle w:val="19"/>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809"/>
              <w:gridCol w:w="2372"/>
              <w:gridCol w:w="1485"/>
              <w:gridCol w:w="1308"/>
              <w:gridCol w:w="26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c>
                <w:tcPr>
                  <w:tcW w:w="809" w:type="dxa"/>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类别</w:t>
                  </w:r>
                </w:p>
              </w:tc>
              <w:tc>
                <w:tcPr>
                  <w:tcW w:w="2372" w:type="dxa"/>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监测点位</w:t>
                  </w:r>
                </w:p>
              </w:tc>
              <w:tc>
                <w:tcPr>
                  <w:tcW w:w="1485" w:type="dxa"/>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监测因子</w:t>
                  </w:r>
                </w:p>
              </w:tc>
              <w:tc>
                <w:tcPr>
                  <w:tcW w:w="1308" w:type="dxa"/>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监测频次</w:t>
                  </w:r>
                </w:p>
              </w:tc>
              <w:tc>
                <w:tcPr>
                  <w:tcW w:w="2623" w:type="dxa"/>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执行排放标准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c>
                <w:tcPr>
                  <w:tcW w:w="809"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有组织</w:t>
                  </w:r>
                </w:p>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废气</w:t>
                  </w:r>
                </w:p>
              </w:tc>
              <w:tc>
                <w:tcPr>
                  <w:tcW w:w="237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rPr>
                    <w:t>DA00</w:t>
                  </w:r>
                  <w:r>
                    <w:rPr>
                      <w:rFonts w:hint="eastAsia" w:cs="Times New Roman"/>
                      <w:b w:val="0"/>
                      <w:bCs w:val="0"/>
                      <w:sz w:val="21"/>
                      <w:szCs w:val="21"/>
                      <w:lang w:val="en-US" w:eastAsia="zh-CN"/>
                    </w:rPr>
                    <w:t>1</w:t>
                  </w:r>
                </w:p>
              </w:tc>
              <w:tc>
                <w:tcPr>
                  <w:tcW w:w="1485" w:type="dxa"/>
                  <w:vMerge w:val="restart"/>
                  <w:vAlign w:val="center"/>
                </w:tcPr>
                <w:p>
                  <w:pPr>
                    <w:keepNext w:val="0"/>
                    <w:keepLines w:val="0"/>
                    <w:suppressLineNumbers w:val="0"/>
                    <w:spacing w:before="0" w:beforeAutospacing="0" w:after="0" w:afterAutospacing="0"/>
                    <w:ind w:left="0" w:right="0"/>
                    <w:jc w:val="center"/>
                    <w:rPr>
                      <w:rFonts w:hint="eastAsia" w:cs="Times New Roman"/>
                      <w:b w:val="0"/>
                      <w:bCs w:val="0"/>
                      <w:sz w:val="21"/>
                      <w:szCs w:val="21"/>
                      <w:lang w:val="en-US" w:eastAsia="zh-CN"/>
                    </w:rPr>
                  </w:pPr>
                  <w:r>
                    <w:rPr>
                      <w:rFonts w:hint="eastAsia" w:cs="Times New Roman"/>
                      <w:b w:val="0"/>
                      <w:bCs w:val="0"/>
                      <w:sz w:val="21"/>
                      <w:szCs w:val="21"/>
                      <w:lang w:val="en-US" w:eastAsia="zh-CN"/>
                    </w:rPr>
                    <w:t>氯化氢、</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eastAsia" w:cs="Times New Roman"/>
                      <w:b w:val="0"/>
                      <w:bCs w:val="0"/>
                      <w:sz w:val="21"/>
                      <w:szCs w:val="21"/>
                      <w:lang w:val="en-US" w:eastAsia="zh-CN"/>
                    </w:rPr>
                    <w:t>硫酸雾</w:t>
                  </w:r>
                </w:p>
              </w:tc>
              <w:tc>
                <w:tcPr>
                  <w:tcW w:w="1308"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1次/年</w:t>
                  </w:r>
                </w:p>
              </w:tc>
              <w:tc>
                <w:tcPr>
                  <w:tcW w:w="2623"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《大气污染物综合排放标准》（GB16297-1996）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c>
                <w:tcPr>
                  <w:tcW w:w="80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c>
                <w:tcPr>
                  <w:tcW w:w="237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rPr>
                    <w:t>DA00</w:t>
                  </w:r>
                  <w:r>
                    <w:rPr>
                      <w:rFonts w:hint="eastAsia" w:cs="Times New Roman"/>
                      <w:b w:val="0"/>
                      <w:bCs w:val="0"/>
                      <w:sz w:val="21"/>
                      <w:szCs w:val="21"/>
                      <w:lang w:val="en-US" w:eastAsia="zh-CN"/>
                    </w:rPr>
                    <w:t>2</w:t>
                  </w:r>
                </w:p>
              </w:tc>
              <w:tc>
                <w:tcPr>
                  <w:tcW w:w="148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c>
                <w:tcPr>
                  <w:tcW w:w="1308"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c>
                <w:tcPr>
                  <w:tcW w:w="262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c>
                <w:tcPr>
                  <w:tcW w:w="80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c>
                <w:tcPr>
                  <w:tcW w:w="237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rPr>
                    <w:t>DA00</w:t>
                  </w:r>
                  <w:r>
                    <w:rPr>
                      <w:rFonts w:hint="eastAsia" w:cs="Times New Roman"/>
                      <w:b w:val="0"/>
                      <w:bCs w:val="0"/>
                      <w:sz w:val="21"/>
                      <w:szCs w:val="21"/>
                      <w:lang w:val="en-US" w:eastAsia="zh-CN"/>
                    </w:rPr>
                    <w:t>3</w:t>
                  </w:r>
                </w:p>
              </w:tc>
              <w:tc>
                <w:tcPr>
                  <w:tcW w:w="14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非甲烷总烃</w:t>
                  </w:r>
                </w:p>
              </w:tc>
              <w:tc>
                <w:tcPr>
                  <w:tcW w:w="130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1次/年</w:t>
                  </w:r>
                </w:p>
              </w:tc>
              <w:tc>
                <w:tcPr>
                  <w:tcW w:w="2623"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c>
                <w:tcPr>
                  <w:tcW w:w="809" w:type="dxa"/>
                  <w:vMerge w:val="restart"/>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无组织</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废气</w:t>
                  </w:r>
                </w:p>
              </w:tc>
              <w:tc>
                <w:tcPr>
                  <w:tcW w:w="2372" w:type="dxa"/>
                  <w:vAlign w:val="center"/>
                </w:tcPr>
                <w:p>
                  <w:pPr>
                    <w:keepNext w:val="0"/>
                    <w:keepLines w:val="0"/>
                    <w:suppressLineNumbers w:val="0"/>
                    <w:spacing w:before="0" w:beforeAutospacing="0" w:after="0" w:afterAutospacing="0"/>
                    <w:ind w:left="0" w:right="0"/>
                    <w:jc w:val="both"/>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厂界上风向设置1个监测点，下风向设置3个监测点</w:t>
                  </w:r>
                </w:p>
              </w:tc>
              <w:tc>
                <w:tcPr>
                  <w:tcW w:w="1485"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val="0"/>
                      <w:bCs w:val="0"/>
                      <w:sz w:val="21"/>
                      <w:szCs w:val="21"/>
                      <w:lang w:eastAsia="zh-CN"/>
                    </w:rPr>
                  </w:pPr>
                  <w:r>
                    <w:rPr>
                      <w:rFonts w:hint="default" w:ascii="Times New Roman" w:hAnsi="Times New Roman" w:cs="Times New Roman"/>
                      <w:b w:val="0"/>
                      <w:bCs w:val="0"/>
                      <w:sz w:val="21"/>
                      <w:szCs w:val="21"/>
                    </w:rPr>
                    <w:t>非甲烷总烃</w:t>
                  </w:r>
                  <w:r>
                    <w:rPr>
                      <w:rFonts w:hint="eastAsia" w:cs="Times New Roman"/>
                      <w:b w:val="0"/>
                      <w:bCs w:val="0"/>
                      <w:sz w:val="21"/>
                      <w:szCs w:val="21"/>
                      <w:lang w:eastAsia="zh-CN"/>
                    </w:rPr>
                    <w:t>、</w:t>
                  </w:r>
                  <w:r>
                    <w:rPr>
                      <w:rFonts w:hint="eastAsia" w:cs="Times New Roman"/>
                      <w:b w:val="0"/>
                      <w:bCs w:val="0"/>
                      <w:sz w:val="21"/>
                      <w:szCs w:val="21"/>
                      <w:lang w:val="en-US" w:eastAsia="zh-CN"/>
                    </w:rPr>
                    <w:t>氯化氢、硫酸雾</w:t>
                  </w:r>
                </w:p>
              </w:tc>
              <w:tc>
                <w:tcPr>
                  <w:tcW w:w="130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1次/年</w:t>
                  </w:r>
                </w:p>
              </w:tc>
              <w:tc>
                <w:tcPr>
                  <w:tcW w:w="262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rPr>
                    <w:t>《大气污染物综合排放标准》（GB16297-1996）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c>
                <w:tcPr>
                  <w:tcW w:w="80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p>
              </w:tc>
              <w:tc>
                <w:tcPr>
                  <w:tcW w:w="2372"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项目区门窗处1个</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监测点</w:t>
                  </w:r>
                </w:p>
              </w:tc>
              <w:tc>
                <w:tcPr>
                  <w:tcW w:w="148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非甲烷总烃</w:t>
                  </w:r>
                </w:p>
              </w:tc>
              <w:tc>
                <w:tcPr>
                  <w:tcW w:w="130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1次/年</w:t>
                  </w:r>
                </w:p>
              </w:tc>
              <w:tc>
                <w:tcPr>
                  <w:tcW w:w="262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挥发性有机物无组织排放控制标准</w:t>
                  </w:r>
                  <w:r>
                    <w:rPr>
                      <w:rFonts w:hint="eastAsia" w:ascii="Times New Roman" w:hAnsi="Times New Roman" w:cs="Times New Roman"/>
                      <w:b w:val="0"/>
                      <w:bCs w:val="0"/>
                      <w:sz w:val="21"/>
                      <w:szCs w:val="21"/>
                      <w:lang w:eastAsia="zh-CN"/>
                    </w:rPr>
                    <w:t>》（</w:t>
                  </w:r>
                  <w:r>
                    <w:rPr>
                      <w:rFonts w:hint="eastAsia" w:ascii="Times New Roman" w:hAnsi="Times New Roman" w:cs="Times New Roman"/>
                      <w:b w:val="0"/>
                      <w:bCs w:val="0"/>
                      <w:sz w:val="21"/>
                      <w:szCs w:val="21"/>
                      <w:lang w:val="en-US" w:eastAsia="zh-CN"/>
                    </w:rPr>
                    <w:t>GB37822-2019</w:t>
                  </w:r>
                  <w:r>
                    <w:rPr>
                      <w:rFonts w:hint="eastAsia" w:ascii="Times New Roman" w:hAnsi="Times New Roman" w:cs="Times New Roman"/>
                      <w:b w:val="0"/>
                      <w:bCs w:val="0"/>
                      <w:sz w:val="21"/>
                      <w:szCs w:val="21"/>
                      <w:lang w:eastAsia="zh-CN"/>
                    </w:rPr>
                    <w:t>）</w:t>
                  </w:r>
                </w:p>
              </w:tc>
            </w:tr>
          </w:tbl>
          <w:p>
            <w:pPr>
              <w:pStyle w:val="23"/>
              <w:keepNext w:val="0"/>
              <w:keepLines w:val="0"/>
              <w:suppressLineNumbers w:val="0"/>
              <w:spacing w:before="0" w:beforeAutospacing="0" w:after="0" w:afterAutospacing="0"/>
              <w:ind w:left="0" w:right="0" w:firstLine="0" w:firstLineChars="0"/>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二、废水污染源强及环境影响和保护措施</w:t>
            </w:r>
          </w:p>
          <w:p>
            <w:pPr>
              <w:pStyle w:val="23"/>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b w:val="0"/>
                <w:bCs w:val="0"/>
                <w:sz w:val="24"/>
                <w:szCs w:val="24"/>
                <w:lang w:val="en-US" w:eastAsia="zh-CN"/>
              </w:rPr>
            </w:pPr>
            <w:r>
              <w:rPr>
                <w:rFonts w:hint="eastAsia" w:cs="Times New Roman"/>
                <w:b w:val="0"/>
                <w:bCs w:val="0"/>
                <w:sz w:val="24"/>
                <w:szCs w:val="24"/>
                <w:lang w:val="en-US" w:eastAsia="zh-CN"/>
              </w:rPr>
              <w:t>1、废水源强分析</w:t>
            </w:r>
          </w:p>
          <w:p>
            <w:pPr>
              <w:pStyle w:val="23"/>
              <w:keepNext w:val="0"/>
              <w:keepLines w:val="0"/>
              <w:suppressLineNumbers w:val="0"/>
              <w:spacing w:before="0" w:beforeAutospacing="0" w:after="0" w:afterAutospacing="0"/>
              <w:ind w:left="0" w:right="0" w:firstLine="420"/>
              <w:rPr>
                <w:rFonts w:hint="eastAsia" w:ascii="Times New Roman" w:hAnsi="Times New Roman" w:eastAsia="宋体" w:cs="Times New Roman"/>
                <w:b w:val="0"/>
                <w:bCs w:val="0"/>
                <w:sz w:val="24"/>
                <w:szCs w:val="24"/>
                <w:lang w:eastAsia="zh-CN"/>
              </w:rPr>
            </w:pPr>
            <w:r>
              <w:rPr>
                <w:rFonts w:hint="default" w:ascii="Times New Roman" w:hAnsi="Times New Roman" w:cs="Times New Roman"/>
                <w:b w:val="0"/>
                <w:bCs w:val="0"/>
                <w:sz w:val="24"/>
                <w:szCs w:val="24"/>
              </w:rPr>
              <w:t>根据水平衡分析，项目产生的废水主要为清洗废水、纯水制备浓水及生活污水。清洗废水</w:t>
            </w:r>
            <w:r>
              <w:rPr>
                <w:rFonts w:hint="eastAsia" w:cs="Times New Roman"/>
                <w:b w:val="0"/>
                <w:bCs w:val="0"/>
                <w:sz w:val="24"/>
                <w:szCs w:val="24"/>
                <w:lang w:val="en-US" w:eastAsia="zh-CN"/>
              </w:rPr>
              <w:t>经沉淀处理后与</w:t>
            </w:r>
            <w:r>
              <w:rPr>
                <w:rFonts w:hint="default" w:ascii="Times New Roman" w:hAnsi="Times New Roman" w:cs="Times New Roman"/>
                <w:b w:val="0"/>
                <w:bCs w:val="0"/>
                <w:sz w:val="24"/>
                <w:szCs w:val="24"/>
              </w:rPr>
              <w:t>纯水制备浓水</w:t>
            </w:r>
            <w:r>
              <w:rPr>
                <w:rFonts w:hint="eastAsia" w:cs="Times New Roman"/>
                <w:b w:val="0"/>
                <w:bCs w:val="0"/>
                <w:sz w:val="24"/>
                <w:szCs w:val="24"/>
                <w:lang w:val="en-US" w:eastAsia="zh-CN"/>
              </w:rPr>
              <w:t>一并</w:t>
            </w:r>
            <w:r>
              <w:rPr>
                <w:rFonts w:hint="eastAsia"/>
                <w:b w:val="0"/>
                <w:bCs w:val="0"/>
                <w:sz w:val="24"/>
                <w:szCs w:val="24"/>
                <w:lang w:val="en-US" w:eastAsia="zh-CN"/>
              </w:rPr>
              <w:t>排</w:t>
            </w:r>
            <w:r>
              <w:rPr>
                <w:rFonts w:hint="default"/>
                <w:b w:val="0"/>
                <w:bCs w:val="0"/>
                <w:sz w:val="24"/>
                <w:szCs w:val="24"/>
              </w:rPr>
              <w:t>入</w:t>
            </w:r>
            <w:r>
              <w:rPr>
                <w:rFonts w:hint="eastAsia"/>
                <w:b w:val="0"/>
                <w:bCs w:val="0"/>
                <w:sz w:val="24"/>
                <w:szCs w:val="24"/>
                <w:lang w:val="en-US" w:eastAsia="zh-CN"/>
              </w:rPr>
              <w:t>园区</w:t>
            </w:r>
            <w:r>
              <w:rPr>
                <w:rFonts w:hint="default"/>
                <w:b w:val="0"/>
                <w:bCs w:val="0"/>
                <w:sz w:val="24"/>
                <w:szCs w:val="24"/>
              </w:rPr>
              <w:t>污水管网</w:t>
            </w:r>
            <w:r>
              <w:rPr>
                <w:rFonts w:hint="eastAsia"/>
                <w:b w:val="0"/>
                <w:bCs w:val="0"/>
                <w:sz w:val="24"/>
                <w:szCs w:val="24"/>
                <w:lang w:eastAsia="zh-CN"/>
              </w:rPr>
              <w:t>。</w:t>
            </w:r>
            <w:r>
              <w:rPr>
                <w:rFonts w:hint="eastAsia"/>
                <w:b w:val="0"/>
                <w:bCs w:val="0"/>
                <w:sz w:val="24"/>
                <w:szCs w:val="24"/>
              </w:rPr>
              <w:t>生活污</w:t>
            </w:r>
            <w:r>
              <w:rPr>
                <w:rFonts w:hint="eastAsia" w:ascii="Times New Roman" w:hAnsi="Times New Roman" w:eastAsia="宋体" w:cs="Times New Roman"/>
                <w:b w:val="0"/>
                <w:bCs w:val="0"/>
                <w:sz w:val="24"/>
                <w:szCs w:val="24"/>
              </w:rPr>
              <w:t>水经化粪池</w:t>
            </w:r>
            <w:r>
              <w:rPr>
                <w:rFonts w:hint="eastAsia"/>
                <w:b w:val="0"/>
                <w:bCs w:val="0"/>
                <w:sz w:val="24"/>
                <w:szCs w:val="24"/>
              </w:rPr>
              <w:t>处理后达山南污水处理厂接管限值后由公司污水排口排入</w:t>
            </w:r>
            <w:r>
              <w:rPr>
                <w:rFonts w:hint="eastAsia"/>
                <w:b w:val="0"/>
                <w:bCs w:val="0"/>
                <w:sz w:val="24"/>
                <w:szCs w:val="24"/>
                <w:lang w:val="en-US" w:eastAsia="zh-CN"/>
              </w:rPr>
              <w:t>园区</w:t>
            </w:r>
            <w:r>
              <w:rPr>
                <w:rFonts w:hint="eastAsia"/>
                <w:b w:val="0"/>
                <w:bCs w:val="0"/>
                <w:sz w:val="24"/>
                <w:szCs w:val="24"/>
              </w:rPr>
              <w:t>管网，进入山南新区污水处理厂处理。</w:t>
            </w:r>
          </w:p>
          <w:p>
            <w:pPr>
              <w:pStyle w:val="23"/>
              <w:keepNext w:val="0"/>
              <w:keepLines w:val="0"/>
              <w:suppressLineNumbers w:val="0"/>
              <w:spacing w:before="0" w:beforeAutospacing="0" w:after="0" w:afterAutospacing="0"/>
              <w:ind w:left="0" w:right="0" w:firstLine="420"/>
              <w:rPr>
                <w:rFonts w:hint="default"/>
                <w:lang w:val="en-US" w:eastAsia="zh-CN"/>
              </w:rPr>
            </w:pPr>
            <w:r>
              <w:rPr>
                <w:rFonts w:hint="default" w:ascii="Times New Roman" w:hAnsi="Times New Roman" w:cs="Times New Roman"/>
                <w:b w:val="0"/>
                <w:bCs w:val="0"/>
                <w:sz w:val="24"/>
                <w:szCs w:val="24"/>
                <w:lang w:val="en-US" w:eastAsia="zh-CN"/>
              </w:rPr>
              <w:t>项目废水的产生及处理情况见下表4-</w:t>
            </w:r>
            <w:r>
              <w:rPr>
                <w:rFonts w:hint="eastAsia" w:ascii="Times New Roman" w:hAnsi="Times New Roman" w:cs="Times New Roman"/>
                <w:b w:val="0"/>
                <w:bCs w:val="0"/>
                <w:sz w:val="24"/>
                <w:szCs w:val="24"/>
                <w:lang w:val="en-US" w:eastAsia="zh-CN"/>
              </w:rPr>
              <w:t>5。</w:t>
            </w:r>
          </w:p>
          <w:p>
            <w:pPr>
              <w:pStyle w:val="11"/>
              <w:keepNext w:val="0"/>
              <w:keepLines w:val="0"/>
              <w:suppressLineNumbers w:val="0"/>
              <w:bidi w:val="0"/>
              <w:spacing w:before="0" w:after="0" w:afterAutospacing="0"/>
              <w:ind w:right="0"/>
              <w:rPr>
                <w:rFonts w:hint="default"/>
                <w:lang w:val="en-US" w:eastAsia="zh-CN"/>
              </w:rPr>
            </w:pPr>
            <w:r>
              <w:rPr>
                <w:rFonts w:hint="default"/>
                <w:lang w:val="en-US" w:eastAsia="zh-CN"/>
              </w:rPr>
              <w:t>表4-</w:t>
            </w:r>
            <w:r>
              <w:rPr>
                <w:rFonts w:hint="eastAsia"/>
                <w:lang w:val="en-US" w:eastAsia="zh-CN"/>
              </w:rPr>
              <w:t>5</w:t>
            </w:r>
            <w:r>
              <w:rPr>
                <w:rFonts w:hint="default"/>
                <w:lang w:val="en-US" w:eastAsia="zh-CN"/>
              </w:rPr>
              <w:t xml:space="preserve"> 项目废水排放情况表</w:t>
            </w:r>
          </w:p>
          <w:tbl>
            <w:tblPr>
              <w:tblStyle w:val="19"/>
              <w:tblW w:w="8677"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068"/>
              <w:gridCol w:w="1045"/>
              <w:gridCol w:w="1152"/>
              <w:gridCol w:w="1044"/>
              <w:gridCol w:w="1363"/>
              <w:gridCol w:w="1296"/>
              <w:gridCol w:w="170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restart"/>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类别</w:t>
                  </w:r>
                </w:p>
              </w:tc>
              <w:tc>
                <w:tcPr>
                  <w:tcW w:w="1045" w:type="dxa"/>
                  <w:vMerge w:val="restart"/>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污染物</w:t>
                  </w:r>
                </w:p>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名称</w:t>
                  </w:r>
                </w:p>
              </w:tc>
              <w:tc>
                <w:tcPr>
                  <w:tcW w:w="2196" w:type="dxa"/>
                  <w:gridSpan w:val="2"/>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产生情况</w:t>
                  </w:r>
                </w:p>
              </w:tc>
              <w:tc>
                <w:tcPr>
                  <w:tcW w:w="1363" w:type="dxa"/>
                  <w:vMerge w:val="restart"/>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处理设施</w:t>
                  </w:r>
                </w:p>
              </w:tc>
              <w:tc>
                <w:tcPr>
                  <w:tcW w:w="3005" w:type="dxa"/>
                  <w:gridSpan w:val="2"/>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排放情况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152"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产生浓度</w:t>
                  </w:r>
                </w:p>
              </w:tc>
              <w:tc>
                <w:tcPr>
                  <w:tcW w:w="1044"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产生量</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排放浓度</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排放量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restart"/>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清洗</w:t>
                  </w:r>
                </w:p>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废水</w:t>
                  </w: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pH</w:t>
                  </w:r>
                </w:p>
              </w:tc>
              <w:tc>
                <w:tcPr>
                  <w:tcW w:w="1152"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rPr>
                    <w:t>6-9</w:t>
                  </w:r>
                </w:p>
              </w:tc>
              <w:tc>
                <w:tcPr>
                  <w:tcW w:w="1044"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w:t>
                  </w:r>
                </w:p>
              </w:tc>
              <w:tc>
                <w:tcPr>
                  <w:tcW w:w="1363" w:type="dxa"/>
                  <w:vMerge w:val="restart"/>
                  <w:vAlign w:val="center"/>
                </w:tcPr>
                <w:p>
                  <w:pPr>
                    <w:keepNext w:val="0"/>
                    <w:keepLines w:val="0"/>
                    <w:widowControl/>
                    <w:suppressLineNumbers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经沉淀后</w:t>
                  </w:r>
                  <w:r>
                    <w:rPr>
                      <w:rFonts w:hint="default"/>
                      <w:b w:val="0"/>
                      <w:bCs w:val="0"/>
                      <w:sz w:val="21"/>
                      <w:szCs w:val="21"/>
                    </w:rPr>
                    <w:t>进入</w:t>
                  </w:r>
                  <w:r>
                    <w:rPr>
                      <w:rFonts w:hint="eastAsia"/>
                      <w:b w:val="0"/>
                      <w:bCs w:val="0"/>
                      <w:sz w:val="21"/>
                      <w:szCs w:val="21"/>
                      <w:lang w:val="en-US" w:eastAsia="zh-CN"/>
                    </w:rPr>
                    <w:t>园区</w:t>
                  </w:r>
                  <w:r>
                    <w:rPr>
                      <w:rFonts w:hint="default"/>
                      <w:b w:val="0"/>
                      <w:bCs w:val="0"/>
                      <w:sz w:val="21"/>
                      <w:szCs w:val="21"/>
                    </w:rPr>
                    <w:t>污水管网</w:t>
                  </w:r>
                </w:p>
              </w:tc>
              <w:tc>
                <w:tcPr>
                  <w:tcW w:w="1296"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6-9</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COD</w:t>
                  </w:r>
                </w:p>
              </w:tc>
              <w:tc>
                <w:tcPr>
                  <w:tcW w:w="1152"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rPr>
                    <w:t>280</w:t>
                  </w:r>
                </w:p>
              </w:tc>
              <w:tc>
                <w:tcPr>
                  <w:tcW w:w="1044"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lang w:val="en-US" w:eastAsia="zh-CN"/>
                    </w:rPr>
                    <w:t>1.57304</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eastAsia="宋体"/>
                      <w:b w:val="0"/>
                      <w:bCs w:val="0"/>
                      <w:sz w:val="21"/>
                      <w:szCs w:val="21"/>
                      <w:lang w:val="en-US" w:eastAsia="zh-CN"/>
                    </w:rPr>
                  </w:pPr>
                  <w:r>
                    <w:rPr>
                      <w:rFonts w:hint="eastAsia"/>
                      <w:b w:val="0"/>
                      <w:bCs w:val="0"/>
                      <w:sz w:val="21"/>
                      <w:szCs w:val="21"/>
                      <w:lang w:val="en-US" w:eastAsia="zh-CN"/>
                    </w:rPr>
                    <w:t>220</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1.2342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SS</w:t>
                  </w:r>
                </w:p>
              </w:tc>
              <w:tc>
                <w:tcPr>
                  <w:tcW w:w="1152"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rPr>
                    <w:t>120</w:t>
                  </w:r>
                </w:p>
              </w:tc>
              <w:tc>
                <w:tcPr>
                  <w:tcW w:w="1044"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lang w:val="en-US" w:eastAsia="zh-CN"/>
                    </w:rPr>
                    <w:t>0.67416</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eastAsia="宋体"/>
                      <w:b w:val="0"/>
                      <w:bCs w:val="0"/>
                      <w:sz w:val="21"/>
                      <w:szCs w:val="21"/>
                      <w:lang w:val="en-US" w:eastAsia="zh-CN"/>
                    </w:rPr>
                  </w:pPr>
                  <w:r>
                    <w:rPr>
                      <w:rFonts w:hint="eastAsia"/>
                      <w:b w:val="0"/>
                      <w:bCs w:val="0"/>
                      <w:sz w:val="21"/>
                      <w:szCs w:val="21"/>
                      <w:lang w:val="en-US" w:eastAsia="zh-CN"/>
                    </w:rPr>
                    <w:t>60</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0.33666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NH</w:t>
                  </w:r>
                  <w:r>
                    <w:rPr>
                      <w:rFonts w:hint="default"/>
                      <w:b w:val="0"/>
                      <w:bCs w:val="0"/>
                      <w:sz w:val="21"/>
                      <w:szCs w:val="21"/>
                      <w:vertAlign w:val="subscript"/>
                    </w:rPr>
                    <w:t>3</w:t>
                  </w:r>
                  <w:r>
                    <w:rPr>
                      <w:rFonts w:hint="default"/>
                      <w:b w:val="0"/>
                      <w:bCs w:val="0"/>
                      <w:sz w:val="21"/>
                      <w:szCs w:val="21"/>
                    </w:rPr>
                    <w:t>-N</w:t>
                  </w:r>
                </w:p>
              </w:tc>
              <w:tc>
                <w:tcPr>
                  <w:tcW w:w="1152"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rPr>
                    <w:t>15</w:t>
                  </w:r>
                </w:p>
              </w:tc>
              <w:tc>
                <w:tcPr>
                  <w:tcW w:w="1044"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lang w:val="en-US" w:eastAsia="zh-CN"/>
                    </w:rPr>
                    <w:t>0.08427</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eastAsia="宋体"/>
                      <w:b w:val="0"/>
                      <w:bCs w:val="0"/>
                      <w:sz w:val="21"/>
                      <w:szCs w:val="21"/>
                      <w:lang w:val="en-US" w:eastAsia="zh-CN"/>
                    </w:rPr>
                  </w:pPr>
                  <w:r>
                    <w:rPr>
                      <w:rFonts w:hint="eastAsia"/>
                      <w:b w:val="0"/>
                      <w:bCs w:val="0"/>
                      <w:sz w:val="21"/>
                      <w:szCs w:val="21"/>
                      <w:lang w:val="en-US" w:eastAsia="zh-CN"/>
                    </w:rPr>
                    <w:t>14</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0.07854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TN</w:t>
                  </w:r>
                </w:p>
              </w:tc>
              <w:tc>
                <w:tcPr>
                  <w:tcW w:w="1152"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rPr>
                    <w:t>40</w:t>
                  </w:r>
                </w:p>
              </w:tc>
              <w:tc>
                <w:tcPr>
                  <w:tcW w:w="1044"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lang w:val="en-US" w:eastAsia="zh-CN"/>
                    </w:rPr>
                    <w:t>0.22472</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eastAsia="宋体"/>
                      <w:b w:val="0"/>
                      <w:bCs w:val="0"/>
                      <w:sz w:val="21"/>
                      <w:szCs w:val="21"/>
                      <w:lang w:val="en-US" w:eastAsia="zh-CN"/>
                    </w:rPr>
                  </w:pPr>
                  <w:r>
                    <w:rPr>
                      <w:rFonts w:hint="eastAsia"/>
                      <w:b w:val="0"/>
                      <w:bCs w:val="0"/>
                      <w:sz w:val="21"/>
                      <w:szCs w:val="21"/>
                      <w:lang w:val="en-US" w:eastAsia="zh-CN"/>
                    </w:rPr>
                    <w:t>38</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0.21318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restart"/>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生活</w:t>
                  </w:r>
                </w:p>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污水</w:t>
                  </w: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COD</w:t>
                  </w:r>
                </w:p>
              </w:tc>
              <w:tc>
                <w:tcPr>
                  <w:tcW w:w="1152"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300</w:t>
                  </w:r>
                </w:p>
              </w:tc>
              <w:tc>
                <w:tcPr>
                  <w:tcW w:w="1044"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0.768</w:t>
                  </w:r>
                </w:p>
              </w:tc>
              <w:tc>
                <w:tcPr>
                  <w:tcW w:w="1363" w:type="dxa"/>
                  <w:vMerge w:val="restart"/>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化粪池预处理后进入</w:t>
                  </w:r>
                  <w:r>
                    <w:rPr>
                      <w:rFonts w:hint="eastAsia"/>
                      <w:b w:val="0"/>
                      <w:bCs w:val="0"/>
                      <w:sz w:val="21"/>
                      <w:szCs w:val="21"/>
                      <w:lang w:val="en-US" w:eastAsia="zh-CN"/>
                    </w:rPr>
                    <w:t>园区</w:t>
                  </w:r>
                  <w:r>
                    <w:rPr>
                      <w:rFonts w:hint="default"/>
                      <w:b w:val="0"/>
                      <w:bCs w:val="0"/>
                      <w:sz w:val="21"/>
                      <w:szCs w:val="21"/>
                    </w:rPr>
                    <w:t>污水管网</w:t>
                  </w:r>
                </w:p>
              </w:tc>
              <w:tc>
                <w:tcPr>
                  <w:tcW w:w="1296"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255</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0.6528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BOD</w:t>
                  </w:r>
                  <w:r>
                    <w:rPr>
                      <w:rFonts w:hint="default"/>
                      <w:b w:val="0"/>
                      <w:bCs w:val="0"/>
                      <w:sz w:val="21"/>
                      <w:szCs w:val="21"/>
                      <w:vertAlign w:val="subscript"/>
                    </w:rPr>
                    <w:t>5</w:t>
                  </w:r>
                </w:p>
              </w:tc>
              <w:tc>
                <w:tcPr>
                  <w:tcW w:w="1152"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180</w:t>
                  </w:r>
                </w:p>
              </w:tc>
              <w:tc>
                <w:tcPr>
                  <w:tcW w:w="1044"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0.4608</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162</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0.41472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NH</w:t>
                  </w:r>
                  <w:r>
                    <w:rPr>
                      <w:rFonts w:hint="default"/>
                      <w:b w:val="0"/>
                      <w:bCs w:val="0"/>
                      <w:sz w:val="21"/>
                      <w:szCs w:val="21"/>
                      <w:vertAlign w:val="subscript"/>
                    </w:rPr>
                    <w:t>3</w:t>
                  </w:r>
                  <w:r>
                    <w:rPr>
                      <w:rFonts w:hint="default"/>
                      <w:b w:val="0"/>
                      <w:bCs w:val="0"/>
                      <w:sz w:val="21"/>
                      <w:szCs w:val="21"/>
                    </w:rPr>
                    <w:t>-N</w:t>
                  </w:r>
                </w:p>
              </w:tc>
              <w:tc>
                <w:tcPr>
                  <w:tcW w:w="1152"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20</w:t>
                  </w:r>
                </w:p>
              </w:tc>
              <w:tc>
                <w:tcPr>
                  <w:tcW w:w="1044"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0.0512</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20</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0.0512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SS</w:t>
                  </w:r>
                </w:p>
              </w:tc>
              <w:tc>
                <w:tcPr>
                  <w:tcW w:w="1152"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150</w:t>
                  </w:r>
                </w:p>
              </w:tc>
              <w:tc>
                <w:tcPr>
                  <w:tcW w:w="1044"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0.384</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105</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0.2688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restart"/>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纯水制备浓水</w:t>
                  </w: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COD</w:t>
                  </w:r>
                </w:p>
              </w:tc>
              <w:tc>
                <w:tcPr>
                  <w:tcW w:w="1152"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50</w:t>
                  </w:r>
                </w:p>
              </w:tc>
              <w:tc>
                <w:tcPr>
                  <w:tcW w:w="1044"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0.0778</w:t>
                  </w:r>
                </w:p>
              </w:tc>
              <w:tc>
                <w:tcPr>
                  <w:tcW w:w="1363" w:type="dxa"/>
                  <w:vMerge w:val="restart"/>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进入</w:t>
                  </w:r>
                  <w:r>
                    <w:rPr>
                      <w:rFonts w:hint="eastAsia"/>
                      <w:b w:val="0"/>
                      <w:bCs w:val="0"/>
                      <w:sz w:val="21"/>
                      <w:szCs w:val="21"/>
                      <w:lang w:val="en-US" w:eastAsia="zh-CN"/>
                    </w:rPr>
                    <w:t>园区</w:t>
                  </w:r>
                  <w:r>
                    <w:rPr>
                      <w:rFonts w:hint="default"/>
                      <w:b w:val="0"/>
                      <w:bCs w:val="0"/>
                      <w:sz w:val="21"/>
                      <w:szCs w:val="21"/>
                    </w:rPr>
                    <w:t>污水管网</w:t>
                  </w:r>
                </w:p>
              </w:tc>
              <w:tc>
                <w:tcPr>
                  <w:tcW w:w="1296"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50</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0.0778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SS</w:t>
                  </w:r>
                </w:p>
              </w:tc>
              <w:tc>
                <w:tcPr>
                  <w:tcW w:w="1152"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40</w:t>
                  </w:r>
                </w:p>
              </w:tc>
              <w:tc>
                <w:tcPr>
                  <w:tcW w:w="1044"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0.06224</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40</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0.06224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NH</w:t>
                  </w:r>
                  <w:r>
                    <w:rPr>
                      <w:rFonts w:hint="default"/>
                      <w:b w:val="0"/>
                      <w:bCs w:val="0"/>
                      <w:sz w:val="21"/>
                      <w:szCs w:val="21"/>
                      <w:vertAlign w:val="subscript"/>
                    </w:rPr>
                    <w:t>3</w:t>
                  </w:r>
                  <w:r>
                    <w:rPr>
                      <w:rFonts w:hint="default"/>
                      <w:b w:val="0"/>
                      <w:bCs w:val="0"/>
                      <w:sz w:val="21"/>
                      <w:szCs w:val="21"/>
                    </w:rPr>
                    <w:t>-N</w:t>
                  </w:r>
                </w:p>
              </w:tc>
              <w:tc>
                <w:tcPr>
                  <w:tcW w:w="1152"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10</w:t>
                  </w:r>
                </w:p>
              </w:tc>
              <w:tc>
                <w:tcPr>
                  <w:tcW w:w="1044"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0.01556</w:t>
                  </w:r>
                </w:p>
              </w:tc>
              <w:tc>
                <w:tcPr>
                  <w:tcW w:w="1363" w:type="dxa"/>
                  <w:vMerge w:val="continue"/>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p>
              </w:tc>
              <w:tc>
                <w:tcPr>
                  <w:tcW w:w="1296"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10</w:t>
                  </w:r>
                </w:p>
              </w:tc>
              <w:tc>
                <w:tcPr>
                  <w:tcW w:w="1709"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lang w:val="en-US" w:eastAsia="zh-CN"/>
                    </w:rPr>
                    <w:t>0.01556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1068"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eastAsia"/>
                      <w:b w:val="0"/>
                      <w:bCs w:val="0"/>
                      <w:sz w:val="21"/>
                      <w:szCs w:val="21"/>
                      <w:lang w:val="en-US" w:eastAsia="zh-CN"/>
                    </w:rPr>
                    <w:t>碱液喷淋塔废水</w:t>
                  </w:r>
                </w:p>
              </w:tc>
              <w:tc>
                <w:tcPr>
                  <w:tcW w:w="1045" w:type="dxa"/>
                  <w:vAlign w:val="center"/>
                </w:tcPr>
                <w:p>
                  <w:pPr>
                    <w:keepNext w:val="0"/>
                    <w:keepLines w:val="0"/>
                    <w:suppressLineNumbers w:val="0"/>
                    <w:spacing w:before="0" w:beforeAutospacing="0" w:after="0" w:afterAutospacing="0"/>
                    <w:ind w:left="0" w:right="0"/>
                    <w:jc w:val="center"/>
                    <w:rPr>
                      <w:rFonts w:hint="default"/>
                      <w:b w:val="0"/>
                      <w:bCs w:val="0"/>
                      <w:sz w:val="21"/>
                      <w:szCs w:val="21"/>
                    </w:rPr>
                  </w:pPr>
                  <w:r>
                    <w:rPr>
                      <w:rFonts w:hint="default"/>
                      <w:b w:val="0"/>
                      <w:bCs w:val="0"/>
                      <w:sz w:val="21"/>
                      <w:szCs w:val="21"/>
                    </w:rPr>
                    <w:t>pH</w:t>
                  </w:r>
                </w:p>
              </w:tc>
              <w:tc>
                <w:tcPr>
                  <w:tcW w:w="1152"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rPr>
                  </w:pPr>
                  <w:r>
                    <w:rPr>
                      <w:rFonts w:hint="default"/>
                      <w:b w:val="0"/>
                      <w:bCs w:val="0"/>
                      <w:sz w:val="21"/>
                      <w:szCs w:val="21"/>
                    </w:rPr>
                    <w:t>6-9</w:t>
                  </w:r>
                </w:p>
              </w:tc>
              <w:tc>
                <w:tcPr>
                  <w:tcW w:w="1044"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rPr>
                    <w:t>/</w:t>
                  </w:r>
                </w:p>
              </w:tc>
              <w:tc>
                <w:tcPr>
                  <w:tcW w:w="1363" w:type="dxa"/>
                  <w:vAlign w:val="center"/>
                </w:tcPr>
                <w:p>
                  <w:pPr>
                    <w:keepNext w:val="0"/>
                    <w:keepLines w:val="0"/>
                    <w:suppressLineNumbers w:val="0"/>
                    <w:spacing w:before="0" w:beforeAutospacing="0" w:after="0" w:afterAutospacing="0"/>
                    <w:ind w:left="0" w:right="0"/>
                    <w:jc w:val="center"/>
                    <w:rPr>
                      <w:rFonts w:hint="default"/>
                      <w:b w:val="0"/>
                      <w:bCs w:val="0"/>
                      <w:sz w:val="21"/>
                      <w:szCs w:val="21"/>
                      <w:lang w:val="en-US" w:eastAsia="zh-CN"/>
                    </w:rPr>
                  </w:pPr>
                  <w:r>
                    <w:rPr>
                      <w:rFonts w:hint="default"/>
                      <w:b w:val="0"/>
                      <w:bCs w:val="0"/>
                      <w:sz w:val="21"/>
                      <w:szCs w:val="21"/>
                    </w:rPr>
                    <w:t>进入</w:t>
                  </w:r>
                  <w:r>
                    <w:rPr>
                      <w:rFonts w:hint="eastAsia"/>
                      <w:b w:val="0"/>
                      <w:bCs w:val="0"/>
                      <w:sz w:val="21"/>
                      <w:szCs w:val="21"/>
                      <w:lang w:val="en-US" w:eastAsia="zh-CN"/>
                    </w:rPr>
                    <w:t>园区</w:t>
                  </w:r>
                  <w:r>
                    <w:rPr>
                      <w:rFonts w:hint="default"/>
                      <w:b w:val="0"/>
                      <w:bCs w:val="0"/>
                      <w:sz w:val="21"/>
                      <w:szCs w:val="21"/>
                    </w:rPr>
                    <w:t>污水管网</w:t>
                  </w:r>
                </w:p>
              </w:tc>
              <w:tc>
                <w:tcPr>
                  <w:tcW w:w="1296"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rPr>
                  </w:pPr>
                  <w:r>
                    <w:rPr>
                      <w:rFonts w:hint="default"/>
                      <w:b w:val="0"/>
                      <w:bCs w:val="0"/>
                      <w:sz w:val="21"/>
                      <w:szCs w:val="21"/>
                    </w:rPr>
                    <w:t>6-9</w:t>
                  </w:r>
                </w:p>
              </w:tc>
              <w:tc>
                <w:tcPr>
                  <w:tcW w:w="1709" w:type="dxa"/>
                  <w:vAlign w:val="center"/>
                </w:tcPr>
                <w:p>
                  <w:pPr>
                    <w:keepNext w:val="0"/>
                    <w:keepLines w:val="0"/>
                    <w:suppressLineNumbers w:val="0"/>
                    <w:spacing w:before="0" w:beforeAutospacing="0" w:after="0" w:afterAutospacing="0"/>
                    <w:ind w:left="0" w:leftChars="0" w:right="0" w:rightChars="0"/>
                    <w:jc w:val="center"/>
                    <w:rPr>
                      <w:rFonts w:hint="default"/>
                      <w:b w:val="0"/>
                      <w:bCs w:val="0"/>
                      <w:sz w:val="21"/>
                      <w:szCs w:val="21"/>
                      <w:lang w:val="en-US" w:eastAsia="zh-CN"/>
                    </w:rPr>
                  </w:pPr>
                  <w:r>
                    <w:rPr>
                      <w:rFonts w:hint="default"/>
                      <w:b w:val="0"/>
                      <w:bCs w:val="0"/>
                      <w:sz w:val="21"/>
                      <w:szCs w:val="21"/>
                    </w:rPr>
                    <w:t>/</w:t>
                  </w:r>
                </w:p>
              </w:tc>
            </w:tr>
          </w:tbl>
          <w:p>
            <w:pPr>
              <w:keepNext w:val="0"/>
              <w:keepLines w:val="0"/>
              <w:suppressLineNumbers w:val="0"/>
              <w:tabs>
                <w:tab w:val="left" w:pos="15"/>
              </w:tabs>
              <w:spacing w:before="0" w:beforeAutospacing="0" w:after="0" w:afterAutospacing="0"/>
              <w:ind w:left="0" w:right="0"/>
              <w:jc w:val="left"/>
              <w:rPr>
                <w:rFonts w:hint="default" w:ascii="Times New Roman" w:hAnsi="Times New Roman" w:cs="Times New Roman"/>
                <w:b w:val="0"/>
                <w:bCs w:val="0"/>
                <w:sz w:val="24"/>
                <w:szCs w:val="24"/>
              </w:rPr>
            </w:pPr>
          </w:p>
        </w:tc>
      </w:tr>
    </w:tbl>
    <w:p>
      <w:p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18" w:charSpace="0"/>
        </w:sectPr>
      </w:pPr>
    </w:p>
    <w:tbl>
      <w:tblPr>
        <w:tblStyle w:val="19"/>
        <w:tblW w:w="15112" w:type="dxa"/>
        <w:tblInd w:w="-4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14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keepNext w:val="0"/>
              <w:keepLines w:val="0"/>
              <w:suppressLineNumbers w:val="0"/>
              <w:spacing w:before="94" w:beforeAutospacing="0" w:after="0" w:afterAutospacing="0" w:line="241" w:lineRule="auto"/>
              <w:ind w:left="0" w:right="0"/>
              <w:jc w:val="center"/>
              <w:outlineLvl w:val="2"/>
              <w:rPr>
                <w:rFonts w:hint="default"/>
                <w:b w:val="0"/>
                <w:bCs/>
                <w:spacing w:val="16"/>
                <w:sz w:val="21"/>
                <w:szCs w:val="21"/>
                <w:vertAlign w:val="baseline"/>
              </w:rPr>
            </w:pPr>
            <w:r>
              <w:rPr>
                <w:rFonts w:hint="default" w:ascii="Times New Roman" w:hAnsi="Times New Roman" w:cs="Times New Roman"/>
                <w:b w:val="0"/>
                <w:bCs w:val="0"/>
                <w:sz w:val="24"/>
                <w:szCs w:val="24"/>
              </w:rPr>
              <w:t>运营期环境影响和保护措施</w:t>
            </w:r>
          </w:p>
        </w:tc>
        <w:tc>
          <w:tcPr>
            <w:tcW w:w="14262" w:type="dxa"/>
          </w:tcPr>
          <w:p>
            <w:pPr>
              <w:keepNext w:val="0"/>
              <w:keepLines w:val="0"/>
              <w:suppressLineNumbers w:val="0"/>
              <w:spacing w:before="94" w:beforeAutospacing="0" w:after="0" w:afterAutospacing="0" w:line="241" w:lineRule="auto"/>
              <w:ind w:left="0" w:right="0" w:firstLine="480" w:firstLineChars="200"/>
              <w:outlineLvl w:val="2"/>
              <w:rPr>
                <w:rFonts w:hint="default"/>
                <w:b w:val="0"/>
                <w:bCs/>
                <w:sz w:val="24"/>
                <w:szCs w:val="24"/>
                <w:lang w:val="en-US" w:eastAsia="zh-CN"/>
              </w:rPr>
            </w:pPr>
            <w:r>
              <w:rPr>
                <w:rFonts w:hint="eastAsia"/>
                <w:b w:val="0"/>
                <w:bCs/>
                <w:sz w:val="24"/>
                <w:szCs w:val="24"/>
                <w:lang w:val="en-US" w:eastAsia="zh-CN"/>
              </w:rPr>
              <w:t>本项目废水污染源源强核算结果汇总如下表所示。</w:t>
            </w: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表4-6 本项目废水污染源源强核算结果汇总表</w:t>
            </w:r>
          </w:p>
          <w:tbl>
            <w:tblPr>
              <w:tblStyle w:val="26"/>
              <w:tblW w:w="14023" w:type="dxa"/>
              <w:jc w:val="center"/>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589"/>
              <w:gridCol w:w="990"/>
              <w:gridCol w:w="904"/>
              <w:gridCol w:w="952"/>
              <w:gridCol w:w="937"/>
              <w:gridCol w:w="1011"/>
              <w:gridCol w:w="611"/>
              <w:gridCol w:w="868"/>
              <w:gridCol w:w="1080"/>
              <w:gridCol w:w="1028"/>
              <w:gridCol w:w="1009"/>
              <w:gridCol w:w="900"/>
              <w:gridCol w:w="2144"/>
            </w:tblGrid>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类别</w:t>
                  </w:r>
                </w:p>
              </w:tc>
              <w:tc>
                <w:tcPr>
                  <w:tcW w:w="990"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污染物</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种类</w:t>
                  </w:r>
                </w:p>
              </w:tc>
              <w:tc>
                <w:tcPr>
                  <w:tcW w:w="2793"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污染物产生情况</w:t>
                  </w:r>
                </w:p>
              </w:tc>
              <w:tc>
                <w:tcPr>
                  <w:tcW w:w="3570" w:type="dxa"/>
                  <w:gridSpan w:val="4"/>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治理设施</w:t>
                  </w:r>
                </w:p>
              </w:tc>
              <w:tc>
                <w:tcPr>
                  <w:tcW w:w="5081" w:type="dxa"/>
                  <w:gridSpan w:val="4"/>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污染物排放情况</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p>
              </w:tc>
              <w:tc>
                <w:tcPr>
                  <w:tcW w:w="990"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p>
              </w:tc>
              <w:tc>
                <w:tcPr>
                  <w:tcW w:w="90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产生水量 t/a</w:t>
                  </w:r>
                </w:p>
              </w:tc>
              <w:tc>
                <w:tcPr>
                  <w:tcW w:w="95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浓</w:t>
                  </w:r>
                  <w:r>
                    <w:rPr>
                      <w:rFonts w:hint="default" w:ascii="Times New Roman" w:hAnsi="Times New Roman" w:eastAsia="宋体" w:cs="Times New Roman"/>
                      <w:b w:val="0"/>
                      <w:bCs/>
                      <w:lang w:val="en-US" w:eastAsia="zh-CN"/>
                    </w:rPr>
                    <w:t>度</w:t>
                  </w:r>
                  <w:r>
                    <w:rPr>
                      <w:rFonts w:hint="default" w:ascii="Times New Roman" w:hAnsi="Times New Roman" w:eastAsia="宋体" w:cs="Times New Roman"/>
                      <w:b w:val="0"/>
                      <w:bCs/>
                    </w:rPr>
                    <w:t>mg/m</w:t>
                  </w:r>
                  <w:r>
                    <w:rPr>
                      <w:rFonts w:hint="default" w:ascii="Times New Roman" w:hAnsi="Times New Roman" w:eastAsia="宋体" w:cs="Times New Roman"/>
                      <w:b w:val="0"/>
                      <w:bCs/>
                      <w:vertAlign w:val="superscript"/>
                    </w:rPr>
                    <w:t>3</w:t>
                  </w:r>
                </w:p>
              </w:tc>
              <w:tc>
                <w:tcPr>
                  <w:tcW w:w="93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lang w:val="en-US" w:eastAsia="zh-CN"/>
                    </w:rPr>
                    <w:t>产生量</w:t>
                  </w:r>
                  <w:r>
                    <w:rPr>
                      <w:rFonts w:hint="default" w:ascii="Times New Roman" w:hAnsi="Times New Roman" w:eastAsia="宋体" w:cs="Times New Roman"/>
                      <w:b w:val="0"/>
                      <w:bCs/>
                    </w:rPr>
                    <w:t>t/a</w:t>
                  </w:r>
                </w:p>
              </w:tc>
              <w:tc>
                <w:tcPr>
                  <w:tcW w:w="101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治理工艺</w:t>
                  </w:r>
                </w:p>
              </w:tc>
              <w:tc>
                <w:tcPr>
                  <w:tcW w:w="61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处理</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能力</w:t>
                  </w:r>
                </w:p>
              </w:tc>
              <w:tc>
                <w:tcPr>
                  <w:tcW w:w="86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治理效 率%</w:t>
                  </w:r>
                </w:p>
              </w:tc>
              <w:tc>
                <w:tcPr>
                  <w:tcW w:w="108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是否为可 行技术</w:t>
                  </w:r>
                </w:p>
              </w:tc>
              <w:tc>
                <w:tcPr>
                  <w:tcW w:w="1028"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废水排放量 t/a</w:t>
                  </w:r>
                </w:p>
              </w:tc>
              <w:tc>
                <w:tcPr>
                  <w:tcW w:w="100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排放</w:t>
                  </w:r>
                  <w:r>
                    <w:rPr>
                      <w:rFonts w:hint="default" w:ascii="Times New Roman" w:hAnsi="Times New Roman" w:eastAsia="宋体" w:cs="Times New Roman"/>
                      <w:b w:val="0"/>
                      <w:bCs/>
                      <w:lang w:val="en-US" w:eastAsia="zh-CN"/>
                    </w:rPr>
                    <w:t>浓度</w:t>
                  </w:r>
                  <w:r>
                    <w:rPr>
                      <w:rFonts w:hint="default" w:ascii="Times New Roman" w:hAnsi="Times New Roman" w:eastAsia="宋体" w:cs="Times New Roman"/>
                      <w:b w:val="0"/>
                      <w:bCs/>
                    </w:rPr>
                    <w:t xml:space="preserve"> mg/m</w:t>
                  </w:r>
                  <w:r>
                    <w:rPr>
                      <w:rFonts w:hint="default" w:ascii="Times New Roman" w:hAnsi="Times New Roman" w:eastAsia="宋体" w:cs="Times New Roman"/>
                      <w:b w:val="0"/>
                      <w:bCs/>
                      <w:vertAlign w:val="superscript"/>
                    </w:rPr>
                    <w:t>3</w:t>
                  </w:r>
                </w:p>
              </w:tc>
              <w:tc>
                <w:tcPr>
                  <w:tcW w:w="90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排放量 t/a</w:t>
                  </w:r>
                </w:p>
              </w:tc>
              <w:tc>
                <w:tcPr>
                  <w:tcW w:w="214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rPr>
                  </w:pPr>
                  <w:r>
                    <w:rPr>
                      <w:rFonts w:hint="default" w:ascii="Times New Roman" w:hAnsi="Times New Roman" w:eastAsia="宋体" w:cs="Times New Roman"/>
                      <w:b w:val="0"/>
                      <w:bCs/>
                    </w:rPr>
                    <w:t>排放时间 h</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生</w:t>
                  </w:r>
                  <w:r>
                    <w:rPr>
                      <w:rFonts w:hint="default"/>
                      <w:b w:val="0"/>
                      <w:bCs/>
                    </w:rPr>
                    <w:t>活</w:t>
                  </w:r>
                </w:p>
                <w:p>
                  <w:pPr>
                    <w:keepNext w:val="0"/>
                    <w:keepLines w:val="0"/>
                    <w:suppressLineNumbers w:val="0"/>
                    <w:spacing w:before="0" w:beforeAutospacing="0" w:after="0" w:afterAutospacing="0"/>
                    <w:ind w:left="0" w:right="0"/>
                    <w:jc w:val="center"/>
                    <w:rPr>
                      <w:rFonts w:hint="default"/>
                      <w:b w:val="0"/>
                      <w:bCs/>
                    </w:rPr>
                  </w:pPr>
                  <w:r>
                    <w:rPr>
                      <w:rFonts w:hint="default"/>
                      <w:b w:val="0"/>
                      <w:bCs/>
                    </w:rPr>
                    <w:t>污水</w:t>
                  </w: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COD</w:t>
                  </w:r>
                </w:p>
              </w:tc>
              <w:tc>
                <w:tcPr>
                  <w:tcW w:w="904"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eastAsia="zh-CN"/>
                    </w:rPr>
                  </w:pPr>
                  <w:r>
                    <w:rPr>
                      <w:rFonts w:hint="eastAsia"/>
                      <w:b w:val="0"/>
                      <w:bCs/>
                      <w:lang w:val="en-US" w:eastAsia="zh-CN"/>
                    </w:rPr>
                    <w:t>2568</w:t>
                  </w: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300</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0.768</w:t>
                  </w:r>
                </w:p>
              </w:tc>
              <w:tc>
                <w:tcPr>
                  <w:tcW w:w="1011"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化粪池</w:t>
                  </w:r>
                </w:p>
              </w:tc>
              <w:tc>
                <w:tcPr>
                  <w:tcW w:w="611"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3t/d</w:t>
                  </w:r>
                </w:p>
              </w:tc>
              <w:tc>
                <w:tcPr>
                  <w:tcW w:w="868"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15</w:t>
                  </w:r>
                </w:p>
              </w:tc>
              <w:tc>
                <w:tcPr>
                  <w:tcW w:w="1080"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是</w:t>
                  </w:r>
                </w:p>
              </w:tc>
              <w:tc>
                <w:tcPr>
                  <w:tcW w:w="1028"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eastAsia="zh-CN"/>
                    </w:rPr>
                  </w:pPr>
                  <w:r>
                    <w:rPr>
                      <w:rFonts w:hint="eastAsia"/>
                      <w:b w:val="0"/>
                      <w:bCs/>
                      <w:lang w:val="en-US" w:eastAsia="zh-CN"/>
                    </w:rPr>
                    <w:t>2568</w:t>
                  </w:r>
                </w:p>
              </w:tc>
              <w:tc>
                <w:tcPr>
                  <w:tcW w:w="1009"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255</w:t>
                  </w:r>
                </w:p>
              </w:tc>
              <w:tc>
                <w:tcPr>
                  <w:tcW w:w="900"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0.6528</w:t>
                  </w:r>
                </w:p>
              </w:tc>
              <w:tc>
                <w:tcPr>
                  <w:tcW w:w="2144"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eastAsia="zh-CN"/>
                    </w:rPr>
                  </w:pPr>
                  <w:r>
                    <w:rPr>
                      <w:rFonts w:hint="eastAsia"/>
                      <w:b w:val="0"/>
                      <w:bCs/>
                      <w:lang w:val="en-US" w:eastAsia="zh-CN"/>
                    </w:rPr>
                    <w:t>7704</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BOD5</w:t>
                  </w:r>
                </w:p>
              </w:tc>
              <w:tc>
                <w:tcPr>
                  <w:tcW w:w="90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180</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0.4608</w:t>
                  </w:r>
                </w:p>
              </w:tc>
              <w:tc>
                <w:tcPr>
                  <w:tcW w:w="10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6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868"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10</w:t>
                  </w:r>
                </w:p>
              </w:tc>
              <w:tc>
                <w:tcPr>
                  <w:tcW w:w="1080"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28"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09"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162</w:t>
                  </w:r>
                </w:p>
              </w:tc>
              <w:tc>
                <w:tcPr>
                  <w:tcW w:w="900"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0.41472</w:t>
                  </w:r>
                </w:p>
              </w:tc>
              <w:tc>
                <w:tcPr>
                  <w:tcW w:w="214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NH3-N</w:t>
                  </w:r>
                </w:p>
              </w:tc>
              <w:tc>
                <w:tcPr>
                  <w:tcW w:w="90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20</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0.0512</w:t>
                  </w:r>
                </w:p>
              </w:tc>
              <w:tc>
                <w:tcPr>
                  <w:tcW w:w="10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6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868"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30</w:t>
                  </w:r>
                </w:p>
              </w:tc>
              <w:tc>
                <w:tcPr>
                  <w:tcW w:w="1080"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28"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09"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20</w:t>
                  </w:r>
                </w:p>
              </w:tc>
              <w:tc>
                <w:tcPr>
                  <w:tcW w:w="900"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0.0512</w:t>
                  </w:r>
                </w:p>
              </w:tc>
              <w:tc>
                <w:tcPr>
                  <w:tcW w:w="214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SS</w:t>
                  </w:r>
                </w:p>
              </w:tc>
              <w:tc>
                <w:tcPr>
                  <w:tcW w:w="904"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150</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0.384</w:t>
                  </w:r>
                </w:p>
              </w:tc>
              <w:tc>
                <w:tcPr>
                  <w:tcW w:w="1011"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611"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868"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0</w:t>
                  </w:r>
                </w:p>
              </w:tc>
              <w:tc>
                <w:tcPr>
                  <w:tcW w:w="1080"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28"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09"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105</w:t>
                  </w:r>
                </w:p>
              </w:tc>
              <w:tc>
                <w:tcPr>
                  <w:tcW w:w="900"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0.2688</w:t>
                  </w:r>
                </w:p>
              </w:tc>
              <w:tc>
                <w:tcPr>
                  <w:tcW w:w="2144"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清洗</w:t>
                  </w:r>
                </w:p>
                <w:p>
                  <w:pPr>
                    <w:keepNext w:val="0"/>
                    <w:keepLines w:val="0"/>
                    <w:suppressLineNumbers w:val="0"/>
                    <w:spacing w:before="0" w:beforeAutospacing="0" w:after="0" w:afterAutospacing="0"/>
                    <w:ind w:left="0" w:right="0"/>
                    <w:jc w:val="center"/>
                    <w:rPr>
                      <w:rFonts w:hint="default"/>
                      <w:b w:val="0"/>
                      <w:bCs/>
                    </w:rPr>
                  </w:pPr>
                  <w:r>
                    <w:rPr>
                      <w:rFonts w:hint="default"/>
                      <w:b w:val="0"/>
                      <w:bCs/>
                    </w:rPr>
                    <w:t>废水</w:t>
                  </w: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pH</w:t>
                  </w:r>
                </w:p>
              </w:tc>
              <w:tc>
                <w:tcPr>
                  <w:tcW w:w="904"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rPr>
                  </w:pPr>
                  <w:r>
                    <w:rPr>
                      <w:rFonts w:hint="eastAsia"/>
                      <w:b w:val="0"/>
                      <w:bCs/>
                      <w:lang w:val="en-US" w:eastAsia="zh-CN"/>
                    </w:rPr>
                    <w:t>5610</w:t>
                  </w:r>
                </w:p>
              </w:tc>
              <w:tc>
                <w:tcPr>
                  <w:tcW w:w="952" w:type="dxa"/>
                  <w:vAlign w:val="center"/>
                </w:tcPr>
                <w:p>
                  <w:pPr>
                    <w:keepNext w:val="0"/>
                    <w:keepLines w:val="0"/>
                    <w:suppressLineNumbers w:val="0"/>
                    <w:spacing w:before="0" w:beforeAutospacing="0" w:after="0" w:afterAutospacing="0"/>
                    <w:ind w:left="0" w:right="0"/>
                    <w:jc w:val="center"/>
                    <w:rPr>
                      <w:rFonts w:hint="default"/>
                      <w:b w:val="0"/>
                      <w:bCs/>
                      <w:lang w:val="en-US" w:eastAsia="zh-CN"/>
                    </w:rPr>
                  </w:pPr>
                  <w:r>
                    <w:rPr>
                      <w:rFonts w:hint="eastAsia"/>
                      <w:b w:val="0"/>
                      <w:bCs/>
                      <w:lang w:val="en-US" w:eastAsia="zh-CN"/>
                    </w:rPr>
                    <w:t>6-9</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w:t>
                  </w:r>
                </w:p>
              </w:tc>
              <w:tc>
                <w:tcPr>
                  <w:tcW w:w="1011" w:type="dxa"/>
                  <w:vMerge w:val="restart"/>
                  <w:tcBorders>
                    <w:bottom w:val="nil"/>
                  </w:tcBorders>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eastAsia"/>
                      <w:b w:val="0"/>
                      <w:bCs/>
                      <w:lang w:val="en-US" w:eastAsia="zh-CN"/>
                    </w:rPr>
                    <w:t>沉淀池</w:t>
                  </w:r>
                </w:p>
              </w:tc>
              <w:tc>
                <w:tcPr>
                  <w:tcW w:w="611"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eastAsia="zh-CN"/>
                    </w:rPr>
                  </w:pPr>
                  <w:r>
                    <w:rPr>
                      <w:rFonts w:hint="eastAsia"/>
                      <w:b w:val="0"/>
                      <w:bCs/>
                      <w:lang w:val="en-US" w:eastAsia="zh-CN"/>
                    </w:rPr>
                    <w:t>10t/d</w:t>
                  </w:r>
                </w:p>
              </w:tc>
              <w:tc>
                <w:tcPr>
                  <w:tcW w:w="868"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w:t>
                  </w:r>
                </w:p>
              </w:tc>
              <w:tc>
                <w:tcPr>
                  <w:tcW w:w="1080" w:type="dxa"/>
                  <w:vMerge w:val="restart"/>
                  <w:tcBorders>
                    <w:bottom w:val="nil"/>
                  </w:tcBorders>
                  <w:vAlign w:val="center"/>
                </w:tcPr>
                <w:p>
                  <w:pPr>
                    <w:keepNext w:val="0"/>
                    <w:keepLines w:val="0"/>
                    <w:suppressLineNumbers w:val="0"/>
                    <w:spacing w:before="0" w:beforeAutospacing="0" w:after="0" w:afterAutospacing="0"/>
                    <w:ind w:left="0" w:right="0"/>
                    <w:jc w:val="center"/>
                    <w:rPr>
                      <w:rFonts w:hint="eastAsia"/>
                      <w:b w:val="0"/>
                      <w:bCs/>
                      <w:lang w:eastAsia="zh-CN"/>
                    </w:rPr>
                  </w:pPr>
                  <w:r>
                    <w:rPr>
                      <w:rFonts w:hint="eastAsia"/>
                      <w:b w:val="0"/>
                      <w:bCs/>
                      <w:lang w:val="en-US" w:eastAsia="zh-CN"/>
                    </w:rPr>
                    <w:t>是</w:t>
                  </w:r>
                </w:p>
              </w:tc>
              <w:tc>
                <w:tcPr>
                  <w:tcW w:w="1028"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rPr>
                  </w:pPr>
                  <w:r>
                    <w:rPr>
                      <w:rFonts w:hint="eastAsia"/>
                      <w:b w:val="0"/>
                      <w:bCs/>
                      <w:lang w:val="en-US" w:eastAsia="zh-CN"/>
                    </w:rPr>
                    <w:t>5610</w:t>
                  </w:r>
                </w:p>
              </w:tc>
              <w:tc>
                <w:tcPr>
                  <w:tcW w:w="1009"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default"/>
                      <w:b w:val="0"/>
                      <w:bCs w:val="0"/>
                      <w:sz w:val="21"/>
                      <w:szCs w:val="21"/>
                    </w:rPr>
                    <w:t>6-9</w:t>
                  </w:r>
                </w:p>
              </w:tc>
              <w:tc>
                <w:tcPr>
                  <w:tcW w:w="900"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default"/>
                      <w:b w:val="0"/>
                      <w:bCs w:val="0"/>
                      <w:sz w:val="21"/>
                      <w:szCs w:val="21"/>
                    </w:rPr>
                    <w:t>/</w:t>
                  </w:r>
                </w:p>
              </w:tc>
              <w:tc>
                <w:tcPr>
                  <w:tcW w:w="2144"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eastAsia="zh-CN"/>
                    </w:rPr>
                  </w:pPr>
                  <w:r>
                    <w:rPr>
                      <w:rFonts w:hint="eastAsia"/>
                      <w:b w:val="0"/>
                      <w:bCs/>
                      <w:lang w:val="en-US" w:eastAsia="zh-CN"/>
                    </w:rPr>
                    <w:t>7704</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COD</w:t>
                  </w:r>
                </w:p>
              </w:tc>
              <w:tc>
                <w:tcPr>
                  <w:tcW w:w="90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280</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1.57304</w:t>
                  </w:r>
                </w:p>
              </w:tc>
              <w:tc>
                <w:tcPr>
                  <w:tcW w:w="10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6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868" w:type="dxa"/>
                  <w:vAlign w:val="center"/>
                </w:tcPr>
                <w:p>
                  <w:pPr>
                    <w:keepNext w:val="0"/>
                    <w:keepLines w:val="0"/>
                    <w:suppressLineNumbers w:val="0"/>
                    <w:spacing w:before="0" w:beforeAutospacing="0" w:after="0" w:afterAutospacing="0"/>
                    <w:ind w:left="0" w:right="0"/>
                    <w:jc w:val="center"/>
                    <w:rPr>
                      <w:rFonts w:hint="default"/>
                      <w:b w:val="0"/>
                      <w:bCs/>
                      <w:lang w:val="en-US"/>
                    </w:rPr>
                  </w:pPr>
                  <w:r>
                    <w:rPr>
                      <w:rFonts w:hint="eastAsia"/>
                      <w:b w:val="0"/>
                      <w:bCs/>
                      <w:lang w:val="en-US" w:eastAsia="zh-CN"/>
                    </w:rPr>
                    <w:t>21</w:t>
                  </w:r>
                </w:p>
              </w:tc>
              <w:tc>
                <w:tcPr>
                  <w:tcW w:w="1080"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28"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09"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eastAsia"/>
                      <w:b w:val="0"/>
                      <w:bCs w:val="0"/>
                      <w:sz w:val="21"/>
                      <w:szCs w:val="21"/>
                      <w:lang w:val="en-US" w:eastAsia="zh-CN"/>
                    </w:rPr>
                    <w:t>220</w:t>
                  </w:r>
                </w:p>
              </w:tc>
              <w:tc>
                <w:tcPr>
                  <w:tcW w:w="900"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eastAsia"/>
                      <w:b w:val="0"/>
                      <w:bCs w:val="0"/>
                      <w:sz w:val="21"/>
                      <w:szCs w:val="21"/>
                      <w:lang w:val="en-US" w:eastAsia="zh-CN"/>
                    </w:rPr>
                    <w:t>1.2342</w:t>
                  </w:r>
                </w:p>
              </w:tc>
              <w:tc>
                <w:tcPr>
                  <w:tcW w:w="214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SS</w:t>
                  </w:r>
                </w:p>
              </w:tc>
              <w:tc>
                <w:tcPr>
                  <w:tcW w:w="90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120</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0.67416</w:t>
                  </w:r>
                </w:p>
              </w:tc>
              <w:tc>
                <w:tcPr>
                  <w:tcW w:w="10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6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868" w:type="dxa"/>
                  <w:vAlign w:val="center"/>
                </w:tcPr>
                <w:p>
                  <w:pPr>
                    <w:keepNext w:val="0"/>
                    <w:keepLines w:val="0"/>
                    <w:suppressLineNumbers w:val="0"/>
                    <w:spacing w:before="0" w:beforeAutospacing="0" w:after="0" w:afterAutospacing="0"/>
                    <w:ind w:left="0" w:right="0"/>
                    <w:jc w:val="center"/>
                    <w:rPr>
                      <w:rFonts w:hint="default"/>
                      <w:b w:val="0"/>
                      <w:bCs/>
                      <w:lang w:val="en-US"/>
                    </w:rPr>
                  </w:pPr>
                  <w:r>
                    <w:rPr>
                      <w:rFonts w:hint="eastAsia"/>
                      <w:b w:val="0"/>
                      <w:bCs/>
                      <w:lang w:val="en-US" w:eastAsia="zh-CN"/>
                    </w:rPr>
                    <w:t>50</w:t>
                  </w:r>
                </w:p>
              </w:tc>
              <w:tc>
                <w:tcPr>
                  <w:tcW w:w="1080"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28"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09"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eastAsia"/>
                      <w:b w:val="0"/>
                      <w:bCs w:val="0"/>
                      <w:sz w:val="21"/>
                      <w:szCs w:val="21"/>
                      <w:lang w:val="en-US" w:eastAsia="zh-CN"/>
                    </w:rPr>
                    <w:t>60</w:t>
                  </w:r>
                </w:p>
              </w:tc>
              <w:tc>
                <w:tcPr>
                  <w:tcW w:w="900"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eastAsia"/>
                      <w:b w:val="0"/>
                      <w:bCs w:val="0"/>
                      <w:sz w:val="21"/>
                      <w:szCs w:val="21"/>
                      <w:lang w:val="en-US" w:eastAsia="zh-CN"/>
                    </w:rPr>
                    <w:t>0.33666</w:t>
                  </w:r>
                </w:p>
              </w:tc>
              <w:tc>
                <w:tcPr>
                  <w:tcW w:w="214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NH3-N</w:t>
                  </w:r>
                </w:p>
              </w:tc>
              <w:tc>
                <w:tcPr>
                  <w:tcW w:w="90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15</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0.08427</w:t>
                  </w:r>
                </w:p>
              </w:tc>
              <w:tc>
                <w:tcPr>
                  <w:tcW w:w="10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6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868"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7</w:t>
                  </w:r>
                </w:p>
              </w:tc>
              <w:tc>
                <w:tcPr>
                  <w:tcW w:w="1080"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28"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09"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eastAsia"/>
                      <w:b w:val="0"/>
                      <w:bCs w:val="0"/>
                      <w:sz w:val="21"/>
                      <w:szCs w:val="21"/>
                      <w:lang w:val="en-US" w:eastAsia="zh-CN"/>
                    </w:rPr>
                    <w:t>14</w:t>
                  </w:r>
                </w:p>
              </w:tc>
              <w:tc>
                <w:tcPr>
                  <w:tcW w:w="900"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eastAsia"/>
                      <w:b w:val="0"/>
                      <w:bCs w:val="0"/>
                      <w:sz w:val="21"/>
                      <w:szCs w:val="21"/>
                      <w:lang w:val="en-US" w:eastAsia="zh-CN"/>
                    </w:rPr>
                    <w:t>0.07854</w:t>
                  </w:r>
                </w:p>
              </w:tc>
              <w:tc>
                <w:tcPr>
                  <w:tcW w:w="214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TN</w:t>
                  </w:r>
                </w:p>
              </w:tc>
              <w:tc>
                <w:tcPr>
                  <w:tcW w:w="904"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40</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0.22472</w:t>
                  </w:r>
                </w:p>
              </w:tc>
              <w:tc>
                <w:tcPr>
                  <w:tcW w:w="1011"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611"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868"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5</w:t>
                  </w:r>
                </w:p>
              </w:tc>
              <w:tc>
                <w:tcPr>
                  <w:tcW w:w="1080"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28"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09"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eastAsia"/>
                      <w:b w:val="0"/>
                      <w:bCs w:val="0"/>
                      <w:sz w:val="21"/>
                      <w:szCs w:val="21"/>
                      <w:lang w:val="en-US" w:eastAsia="zh-CN"/>
                    </w:rPr>
                    <w:t>38</w:t>
                  </w:r>
                </w:p>
              </w:tc>
              <w:tc>
                <w:tcPr>
                  <w:tcW w:w="900" w:type="dxa"/>
                  <w:vAlign w:val="center"/>
                </w:tcPr>
                <w:p>
                  <w:pPr>
                    <w:keepNext w:val="0"/>
                    <w:keepLines w:val="0"/>
                    <w:suppressLineNumbers w:val="0"/>
                    <w:spacing w:before="0" w:beforeAutospacing="0" w:after="0" w:afterAutospacing="0"/>
                    <w:ind w:left="0" w:leftChars="0" w:right="0" w:rightChars="0"/>
                    <w:jc w:val="center"/>
                    <w:rPr>
                      <w:rFonts w:hint="default"/>
                      <w:b w:val="0"/>
                      <w:bCs/>
                    </w:rPr>
                  </w:pPr>
                  <w:r>
                    <w:rPr>
                      <w:rFonts w:hint="eastAsia"/>
                      <w:b w:val="0"/>
                      <w:bCs w:val="0"/>
                      <w:sz w:val="21"/>
                      <w:szCs w:val="21"/>
                      <w:lang w:val="en-US" w:eastAsia="zh-CN"/>
                    </w:rPr>
                    <w:t>0.21318</w:t>
                  </w:r>
                </w:p>
              </w:tc>
              <w:tc>
                <w:tcPr>
                  <w:tcW w:w="2144" w:type="dxa"/>
                  <w:vMerge w:val="continue"/>
                  <w:tcBorders>
                    <w:top w:val="nil"/>
                  </w:tcBorders>
                  <w:vAlign w:val="center"/>
                </w:tcPr>
                <w:p>
                  <w:pPr>
                    <w:keepNext w:val="0"/>
                    <w:keepLines w:val="0"/>
                    <w:suppressLineNumbers w:val="0"/>
                    <w:spacing w:before="0" w:beforeAutospacing="0" w:after="0" w:afterAutospacing="0"/>
                    <w:ind w:left="0" w:right="0"/>
                    <w:jc w:val="center"/>
                    <w:rPr>
                      <w:rFonts w:hint="default"/>
                      <w:b w:val="0"/>
                      <w:bCs/>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纯水制备浓水</w:t>
                  </w: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COD</w:t>
                  </w:r>
                </w:p>
              </w:tc>
              <w:tc>
                <w:tcPr>
                  <w:tcW w:w="904"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eastAsia="zh-CN"/>
                    </w:rPr>
                  </w:pPr>
                  <w:r>
                    <w:rPr>
                      <w:rFonts w:hint="eastAsia"/>
                      <w:b w:val="0"/>
                      <w:bCs/>
                      <w:lang w:val="en-US" w:eastAsia="zh-CN"/>
                    </w:rPr>
                    <w:t>1558</w:t>
                  </w: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50</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0.0778</w:t>
                  </w:r>
                </w:p>
              </w:tc>
              <w:tc>
                <w:tcPr>
                  <w:tcW w:w="1011"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进入园区污水管网</w:t>
                  </w:r>
                </w:p>
              </w:tc>
              <w:tc>
                <w:tcPr>
                  <w:tcW w:w="611"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rPr>
                  </w:pPr>
                </w:p>
                <w:p>
                  <w:pPr>
                    <w:keepNext w:val="0"/>
                    <w:keepLines w:val="0"/>
                    <w:suppressLineNumbers w:val="0"/>
                    <w:spacing w:before="0" w:beforeAutospacing="0" w:after="0" w:afterAutospacing="0"/>
                    <w:ind w:left="0" w:right="0"/>
                    <w:jc w:val="center"/>
                    <w:rPr>
                      <w:rFonts w:hint="default"/>
                      <w:b w:val="0"/>
                      <w:bCs/>
                    </w:rPr>
                  </w:pPr>
                  <w:r>
                    <w:rPr>
                      <w:rFonts w:hint="default"/>
                      <w:b w:val="0"/>
                      <w:bCs/>
                    </w:rPr>
                    <w:t>/</w:t>
                  </w:r>
                </w:p>
              </w:tc>
              <w:tc>
                <w:tcPr>
                  <w:tcW w:w="868"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w:t>
                  </w:r>
                </w:p>
              </w:tc>
              <w:tc>
                <w:tcPr>
                  <w:tcW w:w="1080"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rPr>
                  </w:pPr>
                </w:p>
                <w:p>
                  <w:pPr>
                    <w:keepNext w:val="0"/>
                    <w:keepLines w:val="0"/>
                    <w:suppressLineNumbers w:val="0"/>
                    <w:spacing w:before="0" w:beforeAutospacing="0" w:after="0" w:afterAutospacing="0"/>
                    <w:ind w:left="0" w:right="0"/>
                    <w:jc w:val="center"/>
                    <w:rPr>
                      <w:rFonts w:hint="default"/>
                      <w:b w:val="0"/>
                      <w:bCs/>
                    </w:rPr>
                  </w:pPr>
                  <w:r>
                    <w:rPr>
                      <w:rFonts w:hint="default"/>
                      <w:b w:val="0"/>
                      <w:bCs/>
                    </w:rPr>
                    <w:t>/</w:t>
                  </w:r>
                </w:p>
              </w:tc>
              <w:tc>
                <w:tcPr>
                  <w:tcW w:w="1028"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rPr>
                  </w:pPr>
                  <w:r>
                    <w:rPr>
                      <w:rFonts w:hint="eastAsia"/>
                      <w:b w:val="0"/>
                      <w:bCs/>
                      <w:lang w:val="en-US" w:eastAsia="zh-CN"/>
                    </w:rPr>
                    <w:t>1558</w:t>
                  </w:r>
                </w:p>
              </w:tc>
              <w:tc>
                <w:tcPr>
                  <w:tcW w:w="1009"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50</w:t>
                  </w:r>
                </w:p>
              </w:tc>
              <w:tc>
                <w:tcPr>
                  <w:tcW w:w="900"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0.0778</w:t>
                  </w:r>
                </w:p>
              </w:tc>
              <w:tc>
                <w:tcPr>
                  <w:tcW w:w="2144" w:type="dxa"/>
                  <w:vMerge w:val="restart"/>
                  <w:tcBorders>
                    <w:bottom w:val="nil"/>
                  </w:tcBorders>
                  <w:vAlign w:val="center"/>
                </w:tcPr>
                <w:p>
                  <w:pPr>
                    <w:keepNext w:val="0"/>
                    <w:keepLines w:val="0"/>
                    <w:suppressLineNumbers w:val="0"/>
                    <w:spacing w:before="0" w:beforeAutospacing="0" w:after="0" w:afterAutospacing="0"/>
                    <w:ind w:left="0" w:right="0"/>
                    <w:jc w:val="center"/>
                    <w:rPr>
                      <w:rFonts w:hint="default"/>
                      <w:b w:val="0"/>
                      <w:bCs/>
                      <w:lang w:val="en-US" w:eastAsia="zh-CN"/>
                    </w:rPr>
                  </w:pPr>
                  <w:r>
                    <w:rPr>
                      <w:rFonts w:hint="eastAsia"/>
                      <w:b w:val="0"/>
                      <w:bCs/>
                      <w:lang w:val="en-US" w:eastAsia="zh-CN"/>
                    </w:rPr>
                    <w:t>7704</w:t>
                  </w: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90"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SS</w:t>
                  </w:r>
                </w:p>
              </w:tc>
              <w:tc>
                <w:tcPr>
                  <w:tcW w:w="90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52"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40</w:t>
                  </w:r>
                </w:p>
              </w:tc>
              <w:tc>
                <w:tcPr>
                  <w:tcW w:w="937"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0.06224</w:t>
                  </w:r>
                </w:p>
              </w:tc>
              <w:tc>
                <w:tcPr>
                  <w:tcW w:w="10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611"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868"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w:t>
                  </w:r>
                </w:p>
              </w:tc>
              <w:tc>
                <w:tcPr>
                  <w:tcW w:w="1080"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28"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09" w:type="dxa"/>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40</w:t>
                  </w:r>
                </w:p>
              </w:tc>
              <w:tc>
                <w:tcPr>
                  <w:tcW w:w="900" w:type="dxa"/>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0.06224</w:t>
                  </w:r>
                </w:p>
              </w:tc>
              <w:tc>
                <w:tcPr>
                  <w:tcW w:w="2144" w:type="dxa"/>
                  <w:vMerge w:val="continue"/>
                  <w:tcBorders>
                    <w:top w:val="nil"/>
                    <w:bottom w:val="nil"/>
                  </w:tcBorders>
                  <w:vAlign w:val="center"/>
                </w:tcPr>
                <w:p>
                  <w:pPr>
                    <w:keepNext w:val="0"/>
                    <w:keepLines w:val="0"/>
                    <w:suppressLineNumbers w:val="0"/>
                    <w:spacing w:before="0" w:beforeAutospacing="0" w:after="0" w:afterAutospacing="0"/>
                    <w:ind w:left="0" w:right="0"/>
                    <w:jc w:val="center"/>
                    <w:rPr>
                      <w:rFonts w:hint="default"/>
                      <w:b w:val="0"/>
                      <w:bCs/>
                    </w:rPr>
                  </w:pPr>
                </w:p>
              </w:tc>
            </w:tr>
            <w:tr>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589" w:type="dxa"/>
                  <w:vMerge w:val="continue"/>
                  <w:tcBorders>
                    <w:top w:val="nil"/>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90" w:type="dxa"/>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NH3-N</w:t>
                  </w:r>
                </w:p>
              </w:tc>
              <w:tc>
                <w:tcPr>
                  <w:tcW w:w="904" w:type="dxa"/>
                  <w:vMerge w:val="continue"/>
                  <w:tcBorders>
                    <w:top w:val="nil"/>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p>
              </w:tc>
              <w:tc>
                <w:tcPr>
                  <w:tcW w:w="952" w:type="dxa"/>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10</w:t>
                  </w:r>
                </w:p>
              </w:tc>
              <w:tc>
                <w:tcPr>
                  <w:tcW w:w="937" w:type="dxa"/>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0.01556</w:t>
                  </w:r>
                </w:p>
              </w:tc>
              <w:tc>
                <w:tcPr>
                  <w:tcW w:w="1011" w:type="dxa"/>
                  <w:vMerge w:val="continue"/>
                  <w:tcBorders>
                    <w:top w:val="nil"/>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p>
              </w:tc>
              <w:tc>
                <w:tcPr>
                  <w:tcW w:w="611" w:type="dxa"/>
                  <w:vMerge w:val="continue"/>
                  <w:tcBorders>
                    <w:top w:val="nil"/>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p>
              </w:tc>
              <w:tc>
                <w:tcPr>
                  <w:tcW w:w="868" w:type="dxa"/>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w:t>
                  </w:r>
                </w:p>
              </w:tc>
              <w:tc>
                <w:tcPr>
                  <w:tcW w:w="1080" w:type="dxa"/>
                  <w:vMerge w:val="continue"/>
                  <w:tcBorders>
                    <w:top w:val="nil"/>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28" w:type="dxa"/>
                  <w:vMerge w:val="continue"/>
                  <w:tcBorders>
                    <w:top w:val="nil"/>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p>
              </w:tc>
              <w:tc>
                <w:tcPr>
                  <w:tcW w:w="1009" w:type="dxa"/>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10</w:t>
                  </w:r>
                </w:p>
              </w:tc>
              <w:tc>
                <w:tcPr>
                  <w:tcW w:w="900" w:type="dxa"/>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r>
                    <w:rPr>
                      <w:rFonts w:hint="eastAsia"/>
                      <w:b w:val="0"/>
                      <w:bCs/>
                      <w:lang w:val="en-US" w:eastAsia="zh-CN"/>
                    </w:rPr>
                    <w:t>0.01556</w:t>
                  </w:r>
                </w:p>
              </w:tc>
              <w:tc>
                <w:tcPr>
                  <w:tcW w:w="2144" w:type="dxa"/>
                  <w:vMerge w:val="continue"/>
                  <w:tcBorders>
                    <w:top w:val="nil"/>
                    <w:bottom w:val="single" w:color="auto" w:sz="4" w:space="0"/>
                  </w:tcBorders>
                  <w:vAlign w:val="center"/>
                </w:tcPr>
                <w:p>
                  <w:pPr>
                    <w:keepNext w:val="0"/>
                    <w:keepLines w:val="0"/>
                    <w:suppressLineNumbers w:val="0"/>
                    <w:spacing w:before="0" w:beforeAutospacing="0" w:after="0" w:afterAutospacing="0"/>
                    <w:ind w:left="0" w:right="0"/>
                    <w:jc w:val="center"/>
                    <w:rPr>
                      <w:rFonts w:hint="default"/>
                      <w:b w:val="0"/>
                      <w:bCs/>
                    </w:rPr>
                  </w:pPr>
                </w:p>
              </w:tc>
            </w:tr>
          </w:tbl>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本项目废水排放信息汇总如下表所示：</w:t>
            </w: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表4-7 本项目废水排放信息汇总表</w:t>
            </w:r>
          </w:p>
          <w:tbl>
            <w:tblPr>
              <w:tblStyle w:val="19"/>
              <w:tblW w:w="0" w:type="auto"/>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1" w:type="dxa"/>
                <w:bottom w:w="0" w:type="dxa"/>
                <w:right w:w="51" w:type="dxa"/>
              </w:tblCellMar>
            </w:tblPr>
            <w:tblGrid>
              <w:gridCol w:w="920"/>
              <w:gridCol w:w="1503"/>
              <w:gridCol w:w="1014"/>
              <w:gridCol w:w="1021"/>
              <w:gridCol w:w="1938"/>
              <w:gridCol w:w="1074"/>
              <w:gridCol w:w="925"/>
              <w:gridCol w:w="1150"/>
              <w:gridCol w:w="44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920" w:type="dxa"/>
                  <w:vMerge w:val="restart"/>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类别</w:t>
                  </w:r>
                </w:p>
              </w:tc>
              <w:tc>
                <w:tcPr>
                  <w:tcW w:w="1503" w:type="dxa"/>
                  <w:vMerge w:val="restart"/>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污染物种类</w:t>
                  </w:r>
                </w:p>
              </w:tc>
              <w:tc>
                <w:tcPr>
                  <w:tcW w:w="1014" w:type="dxa"/>
                  <w:vMerge w:val="restart"/>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排放方式</w:t>
                  </w:r>
                </w:p>
              </w:tc>
              <w:tc>
                <w:tcPr>
                  <w:tcW w:w="1021" w:type="dxa"/>
                  <w:vMerge w:val="restart"/>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排放去向</w:t>
                  </w:r>
                </w:p>
              </w:tc>
              <w:tc>
                <w:tcPr>
                  <w:tcW w:w="1938" w:type="dxa"/>
                  <w:vMerge w:val="restart"/>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排放规律</w:t>
                  </w:r>
                </w:p>
              </w:tc>
              <w:tc>
                <w:tcPr>
                  <w:tcW w:w="3149" w:type="dxa"/>
                  <w:gridSpan w:val="3"/>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排放口基本情况</w:t>
                  </w:r>
                </w:p>
              </w:tc>
              <w:tc>
                <w:tcPr>
                  <w:tcW w:w="4429" w:type="dxa"/>
                  <w:vMerge w:val="restart"/>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排放标准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92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503"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1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21"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938"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74" w:type="dxa"/>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编号</w:t>
                  </w:r>
                </w:p>
              </w:tc>
              <w:tc>
                <w:tcPr>
                  <w:tcW w:w="925" w:type="dxa"/>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名称</w:t>
                  </w:r>
                </w:p>
              </w:tc>
              <w:tc>
                <w:tcPr>
                  <w:tcW w:w="1150" w:type="dxa"/>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类型</w:t>
                  </w:r>
                </w:p>
              </w:tc>
              <w:tc>
                <w:tcPr>
                  <w:tcW w:w="4429"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920" w:type="dxa"/>
                  <w:vMerge w:val="restart"/>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混合</w:t>
                  </w:r>
                </w:p>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污水</w:t>
                  </w:r>
                </w:p>
              </w:tc>
              <w:tc>
                <w:tcPr>
                  <w:tcW w:w="1503" w:type="dxa"/>
                  <w:vAlign w:val="center"/>
                </w:tcPr>
                <w:p>
                  <w:pPr>
                    <w:keepNext w:val="0"/>
                    <w:keepLines w:val="0"/>
                    <w:suppressLineNumbers w:val="0"/>
                    <w:spacing w:before="0" w:beforeAutospacing="0" w:after="0" w:afterAutospacing="0"/>
                    <w:ind w:left="0" w:right="0"/>
                    <w:jc w:val="center"/>
                    <w:rPr>
                      <w:rFonts w:hint="eastAsia" w:eastAsia="宋体"/>
                      <w:b w:val="0"/>
                      <w:bCs/>
                      <w:lang w:val="en-US" w:eastAsia="zh-CN"/>
                    </w:rPr>
                  </w:pPr>
                  <w:r>
                    <w:rPr>
                      <w:rFonts w:hint="default"/>
                      <w:b w:val="0"/>
                      <w:bCs/>
                    </w:rPr>
                    <w:t xml:space="preserve">pH </w:t>
                  </w:r>
                  <w:r>
                    <w:rPr>
                      <w:rFonts w:hint="eastAsia"/>
                      <w:b w:val="0"/>
                      <w:bCs/>
                      <w:lang w:eastAsia="zh-CN"/>
                    </w:rPr>
                    <w:t>（</w:t>
                  </w:r>
                  <w:r>
                    <w:rPr>
                      <w:rFonts w:hint="default"/>
                      <w:b w:val="0"/>
                      <w:bCs/>
                    </w:rPr>
                    <w:t>无量纲</w:t>
                  </w:r>
                  <w:r>
                    <w:rPr>
                      <w:rFonts w:hint="eastAsia"/>
                      <w:b w:val="0"/>
                      <w:bCs/>
                      <w:lang w:eastAsia="zh-CN"/>
                    </w:rPr>
                    <w:t>）</w:t>
                  </w:r>
                </w:p>
              </w:tc>
              <w:tc>
                <w:tcPr>
                  <w:tcW w:w="1014" w:type="dxa"/>
                  <w:vMerge w:val="restart"/>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间接</w:t>
                  </w:r>
                </w:p>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排</w:t>
                  </w:r>
                  <w:r>
                    <w:rPr>
                      <w:rFonts w:hint="eastAsia"/>
                      <w:b w:val="0"/>
                      <w:bCs/>
                      <w:lang w:val="en-US" w:eastAsia="zh-CN"/>
                    </w:rPr>
                    <w:t>放</w:t>
                  </w:r>
                </w:p>
              </w:tc>
              <w:tc>
                <w:tcPr>
                  <w:tcW w:w="1021" w:type="dxa"/>
                  <w:vMerge w:val="restart"/>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eastAsia"/>
                      <w:b w:val="0"/>
                      <w:bCs/>
                      <w:lang w:val="en-US" w:eastAsia="zh-CN"/>
                    </w:rPr>
                    <w:t>进</w:t>
                  </w:r>
                  <w:r>
                    <w:rPr>
                      <w:rFonts w:hint="default"/>
                      <w:b w:val="0"/>
                      <w:bCs/>
                    </w:rPr>
                    <w:t>入淮南市山南新区污水处理厂</w:t>
                  </w:r>
                </w:p>
              </w:tc>
              <w:tc>
                <w:tcPr>
                  <w:tcW w:w="1938" w:type="dxa"/>
                  <w:vMerge w:val="restart"/>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废水间断排放，排放期间流量不稳定，但有周期性规律</w:t>
                  </w:r>
                </w:p>
              </w:tc>
              <w:tc>
                <w:tcPr>
                  <w:tcW w:w="1074" w:type="dxa"/>
                  <w:vMerge w:val="restart"/>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DW001</w:t>
                  </w:r>
                </w:p>
              </w:tc>
              <w:tc>
                <w:tcPr>
                  <w:tcW w:w="925" w:type="dxa"/>
                  <w:vMerge w:val="restart"/>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废水</w:t>
                  </w:r>
                </w:p>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总排口</w:t>
                  </w:r>
                </w:p>
              </w:tc>
              <w:tc>
                <w:tcPr>
                  <w:tcW w:w="1150" w:type="dxa"/>
                  <w:vMerge w:val="restart"/>
                  <w:vAlign w:val="center"/>
                </w:tcPr>
                <w:p>
                  <w:pPr>
                    <w:keepNext w:val="0"/>
                    <w:keepLines w:val="0"/>
                    <w:suppressLineNumbers w:val="0"/>
                    <w:spacing w:before="0" w:beforeAutospacing="0" w:after="0" w:afterAutospacing="0"/>
                    <w:ind w:left="0" w:right="0"/>
                    <w:jc w:val="center"/>
                    <w:rPr>
                      <w:rFonts w:hint="default"/>
                      <w:b w:val="0"/>
                      <w:bCs/>
                    </w:rPr>
                  </w:pPr>
                  <w:r>
                    <w:rPr>
                      <w:rFonts w:hint="default"/>
                      <w:b w:val="0"/>
                      <w:bCs/>
                    </w:rPr>
                    <w:t>一般</w:t>
                  </w:r>
                </w:p>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排放口</w:t>
                  </w:r>
                </w:p>
              </w:tc>
              <w:tc>
                <w:tcPr>
                  <w:tcW w:w="4429" w:type="dxa"/>
                  <w:vMerge w:val="restart"/>
                  <w:vAlign w:val="center"/>
                </w:tcPr>
                <w:p>
                  <w:pPr>
                    <w:keepNext w:val="0"/>
                    <w:keepLines w:val="0"/>
                    <w:suppressLineNumbers w:val="0"/>
                    <w:spacing w:before="0" w:beforeAutospacing="0" w:after="0" w:afterAutospacing="0"/>
                    <w:ind w:left="0" w:right="0"/>
                    <w:jc w:val="both"/>
                    <w:rPr>
                      <w:rFonts w:hint="eastAsia"/>
                      <w:b w:val="0"/>
                      <w:bCs/>
                      <w:lang w:val="en-US" w:eastAsia="zh-CN"/>
                    </w:rPr>
                  </w:pPr>
                  <w:r>
                    <w:rPr>
                      <w:rFonts w:hint="default"/>
                      <w:b w:val="0"/>
                      <w:bCs/>
                    </w:rPr>
                    <w:t>《电子工业水污染物排放标准》</w:t>
                  </w:r>
                  <w:r>
                    <w:rPr>
                      <w:rFonts w:hint="eastAsia"/>
                      <w:b w:val="0"/>
                      <w:bCs/>
                      <w:lang w:eastAsia="zh-CN"/>
                    </w:rPr>
                    <w:t>（</w:t>
                  </w:r>
                  <w:r>
                    <w:rPr>
                      <w:rFonts w:hint="default"/>
                      <w:b w:val="0"/>
                      <w:bCs/>
                    </w:rPr>
                    <w:t>GB 39731-2020</w:t>
                  </w:r>
                  <w:r>
                    <w:rPr>
                      <w:rFonts w:hint="eastAsia"/>
                      <w:b w:val="0"/>
                      <w:bCs/>
                      <w:lang w:eastAsia="zh-CN"/>
                    </w:rPr>
                    <w:t>）</w:t>
                  </w:r>
                  <w:r>
                    <w:rPr>
                      <w:rFonts w:hint="default"/>
                      <w:b w:val="0"/>
                      <w:bCs/>
                    </w:rPr>
                    <w:t>中间接排放标准要求同时满足淮南市山南新区污水处理厂接管标准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92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503" w:type="dxa"/>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COD</w:t>
                  </w:r>
                </w:p>
              </w:tc>
              <w:tc>
                <w:tcPr>
                  <w:tcW w:w="101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21"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938"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7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925"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15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4429"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92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503" w:type="dxa"/>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SS</w:t>
                  </w:r>
                </w:p>
              </w:tc>
              <w:tc>
                <w:tcPr>
                  <w:tcW w:w="101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21"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938"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7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925"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15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4429"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92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503" w:type="dxa"/>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NH</w:t>
                  </w:r>
                  <w:r>
                    <w:rPr>
                      <w:rFonts w:hint="default"/>
                      <w:b w:val="0"/>
                      <w:bCs/>
                      <w:vertAlign w:val="subscript"/>
                    </w:rPr>
                    <w:t>3</w:t>
                  </w:r>
                  <w:r>
                    <w:rPr>
                      <w:rFonts w:hint="default"/>
                      <w:b w:val="0"/>
                      <w:bCs/>
                    </w:rPr>
                    <w:t>-N</w:t>
                  </w:r>
                </w:p>
              </w:tc>
              <w:tc>
                <w:tcPr>
                  <w:tcW w:w="101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21"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938"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7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925"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15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4429"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92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503" w:type="dxa"/>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TN</w:t>
                  </w:r>
                </w:p>
              </w:tc>
              <w:tc>
                <w:tcPr>
                  <w:tcW w:w="101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21"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938"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7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925"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15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4429"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trPr>
              <w:tc>
                <w:tcPr>
                  <w:tcW w:w="92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503" w:type="dxa"/>
                  <w:vAlign w:val="center"/>
                </w:tcPr>
                <w:p>
                  <w:pPr>
                    <w:keepNext w:val="0"/>
                    <w:keepLines w:val="0"/>
                    <w:suppressLineNumbers w:val="0"/>
                    <w:spacing w:before="0" w:beforeAutospacing="0" w:after="0" w:afterAutospacing="0"/>
                    <w:ind w:left="0" w:right="0"/>
                    <w:jc w:val="center"/>
                    <w:rPr>
                      <w:rFonts w:hint="eastAsia"/>
                      <w:b w:val="0"/>
                      <w:bCs/>
                      <w:lang w:val="en-US" w:eastAsia="zh-CN"/>
                    </w:rPr>
                  </w:pPr>
                  <w:r>
                    <w:rPr>
                      <w:rFonts w:hint="default"/>
                      <w:b w:val="0"/>
                      <w:bCs/>
                    </w:rPr>
                    <w:t>BOD</w:t>
                  </w:r>
                  <w:r>
                    <w:rPr>
                      <w:rFonts w:hint="default"/>
                      <w:b w:val="0"/>
                      <w:bCs/>
                      <w:vertAlign w:val="subscript"/>
                    </w:rPr>
                    <w:t>5</w:t>
                  </w:r>
                </w:p>
              </w:tc>
              <w:tc>
                <w:tcPr>
                  <w:tcW w:w="101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21"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938"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074"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925"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1150"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c>
                <w:tcPr>
                  <w:tcW w:w="4429" w:type="dxa"/>
                  <w:vMerge w:val="continue"/>
                  <w:vAlign w:val="center"/>
                </w:tcPr>
                <w:p>
                  <w:pPr>
                    <w:keepNext w:val="0"/>
                    <w:keepLines w:val="0"/>
                    <w:suppressLineNumbers w:val="0"/>
                    <w:spacing w:before="0" w:beforeAutospacing="0" w:after="0" w:afterAutospacing="0"/>
                    <w:ind w:left="0" w:right="0"/>
                    <w:jc w:val="center"/>
                    <w:rPr>
                      <w:rFonts w:hint="eastAsia"/>
                      <w:b w:val="0"/>
                      <w:bCs/>
                      <w:lang w:val="en-US" w:eastAsia="zh-CN"/>
                    </w:rPr>
                  </w:pPr>
                </w:p>
              </w:tc>
            </w:tr>
          </w:tbl>
          <w:p>
            <w:pPr>
              <w:pStyle w:val="23"/>
              <w:keepNext w:val="0"/>
              <w:keepLines w:val="0"/>
              <w:suppressLineNumbers w:val="0"/>
              <w:bidi w:val="0"/>
              <w:spacing w:before="0" w:beforeAutospacing="0" w:after="0" w:afterAutospacing="0" w:line="240" w:lineRule="auto"/>
              <w:ind w:left="0" w:leftChars="0" w:right="0" w:firstLine="0" w:firstLineChars="0"/>
              <w:jc w:val="both"/>
              <w:rPr>
                <w:rFonts w:hint="default"/>
                <w:b w:val="0"/>
                <w:bCs/>
                <w:lang w:val="en-US" w:eastAsia="zh-CN"/>
              </w:rPr>
            </w:pPr>
          </w:p>
        </w:tc>
      </w:tr>
    </w:tbl>
    <w:p>
      <w:pPr>
        <w:spacing w:before="94" w:line="241" w:lineRule="auto"/>
        <w:ind w:left="2331"/>
        <w:outlineLvl w:val="2"/>
        <w:rPr>
          <w:b/>
          <w:spacing w:val="16"/>
          <w:sz w:val="30"/>
          <w:szCs w:val="30"/>
        </w:rPr>
        <w:sectPr>
          <w:pgSz w:w="16838" w:h="11906" w:orient="landscape"/>
          <w:pgMar w:top="934" w:right="1440" w:bottom="995" w:left="1440" w:header="851" w:footer="680"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
        <w:gridCol w:w="8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 w:type="dxa"/>
            <w:vAlign w:val="center"/>
          </w:tcPr>
          <w:p>
            <w:pPr>
              <w:pStyle w:val="23"/>
              <w:keepNext w:val="0"/>
              <w:keepLines w:val="0"/>
              <w:suppressLineNumbers w:val="0"/>
              <w:bidi w:val="0"/>
              <w:spacing w:before="0" w:beforeAutospacing="0" w:after="0" w:afterAutospacing="0"/>
              <w:ind w:left="0" w:right="0"/>
              <w:rPr>
                <w:rFonts w:hint="default"/>
              </w:rPr>
            </w:pPr>
            <w:r>
              <w:rPr>
                <w:rFonts w:hint="default"/>
              </w:rPr>
              <w:t>运营期环境影响和保护措施</w:t>
            </w:r>
          </w:p>
        </w:tc>
        <w:tc>
          <w:tcPr>
            <w:tcW w:w="8663" w:type="dxa"/>
          </w:tcPr>
          <w:p>
            <w:pPr>
              <w:pStyle w:val="23"/>
              <w:keepNext w:val="0"/>
              <w:keepLines w:val="0"/>
              <w:suppressLineNumbers w:val="0"/>
              <w:bidi w:val="0"/>
              <w:spacing w:before="0" w:beforeAutospacing="0" w:after="0" w:afterAutospacing="0"/>
              <w:ind w:left="0" w:right="0"/>
              <w:rPr>
                <w:rFonts w:hint="default"/>
              </w:rPr>
            </w:pPr>
            <w:r>
              <w:rPr>
                <w:rFonts w:hint="default"/>
              </w:rPr>
              <w:t>2、废水环保措施可行性分析</w:t>
            </w:r>
          </w:p>
          <w:p>
            <w:pPr>
              <w:pStyle w:val="23"/>
              <w:keepNext w:val="0"/>
              <w:keepLines w:val="0"/>
              <w:suppressLineNumbers w:val="0"/>
              <w:bidi w:val="0"/>
              <w:spacing w:before="0" w:beforeAutospacing="0" w:after="0" w:afterAutospacing="0"/>
              <w:ind w:left="0" w:right="0"/>
              <w:rPr>
                <w:rFonts w:hint="default"/>
              </w:rPr>
            </w:pPr>
            <w:r>
              <w:rPr>
                <w:rFonts w:hint="default"/>
              </w:rPr>
              <w:t>（1）水环境控制和水环境影响减缓措施有效性分析</w:t>
            </w:r>
          </w:p>
          <w:p>
            <w:pPr>
              <w:pStyle w:val="23"/>
              <w:keepNext w:val="0"/>
              <w:keepLines w:val="0"/>
              <w:suppressLineNumbers w:val="0"/>
              <w:bidi w:val="0"/>
              <w:spacing w:before="0" w:beforeAutospacing="0" w:after="0" w:afterAutospacing="0"/>
              <w:ind w:left="0" w:right="0"/>
              <w:rPr>
                <w:rFonts w:hint="default"/>
              </w:rPr>
            </w:pPr>
            <w:r>
              <w:rPr>
                <w:rFonts w:hint="default"/>
              </w:rPr>
              <w:t>厂区废水主要为</w:t>
            </w:r>
            <w:r>
              <w:rPr>
                <w:rFonts w:hint="default"/>
                <w:lang w:val="en-US" w:eastAsia="zh-CN"/>
              </w:rPr>
              <w:t>清洗</w:t>
            </w:r>
            <w:r>
              <w:rPr>
                <w:rFonts w:hint="default"/>
              </w:rPr>
              <w:t>废水、纯水制备浓水</w:t>
            </w:r>
            <w:r>
              <w:rPr>
                <w:rFonts w:hint="default"/>
                <w:lang w:eastAsia="zh-CN"/>
              </w:rPr>
              <w:t>、</w:t>
            </w:r>
            <w:r>
              <w:rPr>
                <w:rFonts w:hint="default"/>
              </w:rPr>
              <w:t>生活污水，产生量为</w:t>
            </w:r>
            <w:r>
              <w:rPr>
                <w:rFonts w:hint="eastAsia"/>
                <w:lang w:val="en-US" w:eastAsia="zh-CN"/>
              </w:rPr>
              <w:t>32.45</w:t>
            </w:r>
            <w:r>
              <w:rPr>
                <w:rFonts w:hint="default"/>
                <w:lang w:val="en-US" w:eastAsia="zh-CN"/>
              </w:rPr>
              <w:t>t/d</w:t>
            </w:r>
            <w:r>
              <w:rPr>
                <w:rFonts w:hint="eastAsia"/>
                <w:lang w:eastAsia="zh-CN"/>
              </w:rPr>
              <w:t>。</w:t>
            </w:r>
            <w:r>
              <w:rPr>
                <w:rFonts w:hint="default"/>
              </w:rPr>
              <w:t>生活污水经化粪池处理达标后接入市政污水管网，化粪池是利用沉淀和厌氧发酵的原理，可以去</w:t>
            </w:r>
            <w:r>
              <w:rPr>
                <w:rFonts w:hint="default" w:ascii="Times New Roman" w:hAnsi="Times New Roman" w:eastAsia="宋体" w:cs="Times New Roman"/>
              </w:rPr>
              <w:t>除生活污水中一定的悬浮性有机物；</w:t>
            </w:r>
            <w:r>
              <w:rPr>
                <w:rFonts w:hint="default" w:ascii="Times New Roman" w:hAnsi="Times New Roman" w:cs="Times New Roman"/>
                <w:b w:val="0"/>
                <w:bCs w:val="0"/>
                <w:sz w:val="24"/>
                <w:szCs w:val="24"/>
              </w:rPr>
              <w:t>清洗废水</w:t>
            </w:r>
            <w:r>
              <w:rPr>
                <w:rFonts w:hint="eastAsia" w:cs="Times New Roman"/>
                <w:b w:val="0"/>
                <w:bCs w:val="0"/>
                <w:sz w:val="24"/>
                <w:szCs w:val="24"/>
                <w:lang w:val="en-US" w:eastAsia="zh-CN"/>
              </w:rPr>
              <w:t>经沉淀处理后与</w:t>
            </w:r>
            <w:r>
              <w:rPr>
                <w:rFonts w:hint="default" w:ascii="Times New Roman" w:hAnsi="Times New Roman" w:cs="Times New Roman"/>
                <w:b w:val="0"/>
                <w:bCs w:val="0"/>
                <w:sz w:val="24"/>
                <w:szCs w:val="24"/>
              </w:rPr>
              <w:t>纯水制备浓水</w:t>
            </w:r>
            <w:r>
              <w:rPr>
                <w:rFonts w:hint="eastAsia" w:cs="Times New Roman"/>
                <w:b w:val="0"/>
                <w:bCs w:val="0"/>
                <w:sz w:val="24"/>
                <w:szCs w:val="24"/>
                <w:lang w:val="en-US" w:eastAsia="zh-CN"/>
              </w:rPr>
              <w:t>一并</w:t>
            </w:r>
            <w:r>
              <w:rPr>
                <w:rFonts w:hint="eastAsia"/>
                <w:b w:val="0"/>
                <w:bCs w:val="0"/>
                <w:sz w:val="24"/>
                <w:szCs w:val="24"/>
                <w:lang w:val="en-US" w:eastAsia="zh-CN"/>
              </w:rPr>
              <w:t>排</w:t>
            </w:r>
            <w:r>
              <w:rPr>
                <w:rFonts w:hint="default"/>
                <w:b w:val="0"/>
                <w:bCs w:val="0"/>
                <w:sz w:val="24"/>
                <w:szCs w:val="24"/>
              </w:rPr>
              <w:t>入</w:t>
            </w:r>
            <w:r>
              <w:rPr>
                <w:rFonts w:hint="eastAsia"/>
                <w:b w:val="0"/>
                <w:bCs w:val="0"/>
                <w:sz w:val="24"/>
                <w:szCs w:val="24"/>
                <w:lang w:val="en-US" w:eastAsia="zh-CN"/>
              </w:rPr>
              <w:t>园区</w:t>
            </w:r>
            <w:r>
              <w:rPr>
                <w:rFonts w:hint="default"/>
                <w:b w:val="0"/>
                <w:bCs w:val="0"/>
                <w:sz w:val="24"/>
                <w:szCs w:val="24"/>
              </w:rPr>
              <w:t>污水管网</w:t>
            </w:r>
            <w:r>
              <w:rPr>
                <w:rFonts w:hint="eastAsia" w:ascii="Times New Roman" w:hAnsi="Times New Roman" w:eastAsia="宋体" w:cs="Times New Roman"/>
                <w:lang w:val="en-US" w:eastAsia="zh-CN"/>
              </w:rPr>
              <w:t>，</w:t>
            </w:r>
            <w:r>
              <w:rPr>
                <w:rFonts w:hint="eastAsia"/>
                <w:lang w:val="en-US" w:eastAsia="zh-CN"/>
              </w:rPr>
              <w:t>污水</w:t>
            </w:r>
            <w:r>
              <w:rPr>
                <w:rFonts w:hint="default"/>
              </w:rPr>
              <w:t>能够满足《电子工业水污染物排放标准》（GB39731-2020）表1中间接排放限值和山南污水处理厂接管限值，</w:t>
            </w:r>
            <w:r>
              <w:rPr>
                <w:rFonts w:hint="eastAsia"/>
                <w:lang w:val="en-US" w:eastAsia="zh-CN"/>
              </w:rPr>
              <w:t>同时安装在线监测装置，</w:t>
            </w:r>
            <w:r>
              <w:rPr>
                <w:rFonts w:hint="default"/>
              </w:rPr>
              <w:t>水污染控制和水环境影响减缓措施有效。</w:t>
            </w:r>
          </w:p>
          <w:p>
            <w:pPr>
              <w:pStyle w:val="23"/>
              <w:keepNext w:val="0"/>
              <w:keepLines w:val="0"/>
              <w:suppressLineNumbers w:val="0"/>
              <w:bidi w:val="0"/>
              <w:spacing w:before="0" w:beforeAutospacing="0" w:after="0" w:afterAutospacing="0"/>
              <w:ind w:left="0" w:right="0"/>
              <w:rPr>
                <w:rFonts w:hint="default"/>
              </w:rPr>
            </w:pPr>
            <w:r>
              <w:rPr>
                <w:rFonts w:hint="default"/>
              </w:rPr>
              <w:t>（2）废水处理可行性</w:t>
            </w:r>
          </w:p>
          <w:p>
            <w:pPr>
              <w:pStyle w:val="23"/>
              <w:keepNext w:val="0"/>
              <w:keepLines w:val="0"/>
              <w:suppressLineNumbers w:val="0"/>
              <w:bidi w:val="0"/>
              <w:spacing w:before="0" w:beforeAutospacing="0" w:after="0" w:afterAutospacing="0"/>
              <w:ind w:left="0" w:right="0"/>
              <w:rPr>
                <w:rFonts w:hint="default"/>
              </w:rPr>
            </w:pPr>
            <w:r>
              <w:rPr>
                <w:rFonts w:hint="default"/>
              </w:rPr>
              <w:t>厂区废水主要为</w:t>
            </w:r>
            <w:r>
              <w:rPr>
                <w:rFonts w:hint="default"/>
                <w:lang w:val="en-US" w:eastAsia="zh-CN"/>
              </w:rPr>
              <w:t>清洗</w:t>
            </w:r>
            <w:r>
              <w:rPr>
                <w:rFonts w:hint="default"/>
              </w:rPr>
              <w:t>废水、纯水制备浓水</w:t>
            </w:r>
            <w:r>
              <w:rPr>
                <w:rFonts w:hint="default"/>
                <w:lang w:eastAsia="zh-CN"/>
              </w:rPr>
              <w:t>、</w:t>
            </w:r>
            <w:r>
              <w:rPr>
                <w:rFonts w:hint="default"/>
              </w:rPr>
              <w:t>生活污水，根据《排污许可证申请与核发技术规范</w:t>
            </w:r>
            <w:r>
              <w:rPr>
                <w:rFonts w:hint="eastAsia"/>
                <w:lang w:val="en-US" w:eastAsia="zh-CN"/>
              </w:rPr>
              <w:t xml:space="preserve"> </w:t>
            </w:r>
            <w:r>
              <w:rPr>
                <w:rFonts w:hint="default"/>
              </w:rPr>
              <w:t>电子工业》（HJ1031-2019）附表B</w:t>
            </w:r>
            <w:r>
              <w:rPr>
                <w:rFonts w:hint="eastAsia"/>
                <w:lang w:eastAsia="zh-CN"/>
              </w:rPr>
              <w:t>“</w:t>
            </w:r>
            <w:r>
              <w:rPr>
                <w:rFonts w:hint="default"/>
              </w:rPr>
              <w:t>电子工业排污单位废水防治可行技术参考表</w:t>
            </w:r>
            <w:r>
              <w:rPr>
                <w:rFonts w:hint="eastAsia"/>
                <w:lang w:eastAsia="zh-CN"/>
              </w:rPr>
              <w:t>”</w:t>
            </w:r>
            <w:r>
              <w:rPr>
                <w:rFonts w:hint="default"/>
              </w:rPr>
              <w:t xml:space="preserve">中对生活污水出列的可行技术有化粪池。本项目生活污水设置化粪池处理，为上述污染防治可行技术。因此本项目采用的废水处理措施为可行技术。 </w:t>
            </w:r>
          </w:p>
          <w:p>
            <w:pPr>
              <w:pStyle w:val="23"/>
              <w:keepNext w:val="0"/>
              <w:keepLines w:val="0"/>
              <w:suppressLineNumbers w:val="0"/>
              <w:bidi w:val="0"/>
              <w:spacing w:before="0" w:beforeAutospacing="0" w:after="0" w:afterAutospacing="0"/>
              <w:ind w:left="0" w:right="0"/>
              <w:rPr>
                <w:rFonts w:hint="default"/>
              </w:rPr>
            </w:pPr>
            <w:r>
              <w:rPr>
                <w:rFonts w:hint="default"/>
              </w:rPr>
              <w:t>（3）接管可行性分析</w:t>
            </w:r>
          </w:p>
          <w:p>
            <w:pPr>
              <w:pStyle w:val="23"/>
              <w:keepNext w:val="0"/>
              <w:keepLines w:val="0"/>
              <w:suppressLineNumbers w:val="0"/>
              <w:bidi w:val="0"/>
              <w:spacing w:before="0" w:beforeAutospacing="0" w:after="0" w:afterAutospacing="0"/>
              <w:ind w:left="0" w:right="0"/>
              <w:rPr>
                <w:rFonts w:hint="default"/>
              </w:rPr>
            </w:pPr>
            <w:r>
              <w:rPr>
                <w:rFonts w:hint="default"/>
              </w:rPr>
              <w:t>1）山南新区污水处理厂简介</w:t>
            </w:r>
          </w:p>
          <w:p>
            <w:pPr>
              <w:pStyle w:val="23"/>
              <w:keepNext w:val="0"/>
              <w:keepLines w:val="0"/>
              <w:suppressLineNumbers w:val="0"/>
              <w:bidi w:val="0"/>
              <w:spacing w:before="0" w:beforeAutospacing="0" w:after="0" w:afterAutospacing="0"/>
              <w:ind w:left="0" w:right="0"/>
              <w:rPr>
                <w:rFonts w:hint="default"/>
              </w:rPr>
            </w:pPr>
            <w:r>
              <w:rPr>
                <w:rFonts w:hint="default"/>
              </w:rPr>
              <w:t>山南新区污水处理厂位于淮南市山南新区孔店乡马厂村，南纬十路以南，南经十八路以东区域，占地面积约3.68公顷，配套污水管网51.53公里。服务范围包括：南经六路以东、南纬十路以北、南经十四路以西、南纬一路以南的范围，服务面积约十八平方千米，服务人口约 18 万人。污水处理采用预处理+A</w:t>
            </w:r>
            <w:r>
              <w:rPr>
                <w:rFonts w:hint="default"/>
                <w:vertAlign w:val="superscript"/>
              </w:rPr>
              <w:t>2</w:t>
            </w:r>
            <w:r>
              <w:rPr>
                <w:rFonts w:hint="default"/>
              </w:rPr>
              <w:t>/O氧化沟二级生化+深度处理+消毒处理工艺，污泥处理采用机械浓缩脱水处理工艺，处理后的尾水达到 《城镇污水处理厂污染物排放标准》（GB18918-2002）一级 A 排放标准。本项目位置在收水范围内。</w:t>
            </w:r>
          </w:p>
          <w:p>
            <w:pPr>
              <w:pStyle w:val="23"/>
              <w:keepNext w:val="0"/>
              <w:keepLines w:val="0"/>
              <w:suppressLineNumbers w:val="0"/>
              <w:bidi w:val="0"/>
              <w:spacing w:before="0" w:beforeAutospacing="0" w:after="0" w:afterAutospacing="0"/>
              <w:ind w:left="0" w:right="0"/>
              <w:rPr>
                <w:rFonts w:hint="default"/>
              </w:rPr>
            </w:pPr>
            <w:r>
              <w:rPr>
                <w:rFonts w:hint="default"/>
              </w:rPr>
              <w:t>2）建设项目规模的可行性</w:t>
            </w:r>
          </w:p>
          <w:p>
            <w:pPr>
              <w:pStyle w:val="23"/>
              <w:keepNext w:val="0"/>
              <w:keepLines w:val="0"/>
              <w:suppressLineNumbers w:val="0"/>
              <w:bidi w:val="0"/>
              <w:spacing w:before="0" w:beforeAutospacing="0" w:after="0" w:afterAutospacing="0"/>
              <w:ind w:left="0" w:right="0"/>
              <w:rPr>
                <w:rFonts w:hint="default"/>
              </w:rPr>
            </w:pPr>
            <w:r>
              <w:rPr>
                <w:rFonts w:hint="default"/>
              </w:rPr>
              <w:t>处理规模的可行性</w:t>
            </w:r>
          </w:p>
          <w:p>
            <w:pPr>
              <w:pStyle w:val="23"/>
              <w:keepNext w:val="0"/>
              <w:keepLines w:val="0"/>
              <w:suppressLineNumbers w:val="0"/>
              <w:bidi w:val="0"/>
              <w:spacing w:before="0" w:beforeAutospacing="0" w:after="0" w:afterAutospacing="0"/>
              <w:ind w:left="0" w:right="0"/>
              <w:rPr>
                <w:rFonts w:hint="default"/>
              </w:rPr>
            </w:pPr>
            <w:r>
              <w:rPr>
                <w:rFonts w:hint="default"/>
              </w:rPr>
              <w:t>山南新区污水处理厂近期设计处理规模5万t/d，远期设计处理规模10万t/d，山南新区污水处理厂近期工程已于2016年建成运营。本项目所在区域在山南新区污水处理厂服务范围内，参考《山南新区污水处理厂一期工程（5万吨/日）项目竣工环境保护验收报告》给出的工况数据，2021年7月7日至8日的平均进水量为29084.5m</w:t>
            </w:r>
            <w:r>
              <w:rPr>
                <w:rFonts w:hint="default"/>
                <w:vertAlign w:val="superscript"/>
              </w:rPr>
              <w:t>3</w:t>
            </w:r>
            <w:r>
              <w:rPr>
                <w:rFonts w:hint="default"/>
              </w:rPr>
              <w:t>/d，据此计算出山南新区污水处理厂剩余处理能力为20915.5m</w:t>
            </w:r>
            <w:r>
              <w:rPr>
                <w:rFonts w:hint="default"/>
                <w:vertAlign w:val="superscript"/>
              </w:rPr>
              <w:t>3</w:t>
            </w:r>
            <w:r>
              <w:rPr>
                <w:rFonts w:hint="default"/>
              </w:rPr>
              <w:t>/d。项目废水项目运营期新增污水量为</w:t>
            </w:r>
            <w:r>
              <w:rPr>
                <w:rFonts w:hint="eastAsia"/>
                <w:lang w:val="en-US" w:eastAsia="zh-CN"/>
              </w:rPr>
              <w:t>30.332</w:t>
            </w:r>
            <w:r>
              <w:rPr>
                <w:rFonts w:hint="default"/>
              </w:rPr>
              <w:t>m</w:t>
            </w:r>
            <w:r>
              <w:rPr>
                <w:rFonts w:hint="default"/>
                <w:vertAlign w:val="superscript"/>
              </w:rPr>
              <w:t>3</w:t>
            </w:r>
            <w:r>
              <w:rPr>
                <w:rFonts w:hint="default"/>
              </w:rPr>
              <w:t>/d，占山南新区污水处理厂剩余处理能力的0.</w:t>
            </w:r>
            <w:r>
              <w:rPr>
                <w:rFonts w:hint="eastAsia"/>
                <w:lang w:val="en-US" w:eastAsia="zh-CN"/>
              </w:rPr>
              <w:t>15</w:t>
            </w:r>
            <w:r>
              <w:rPr>
                <w:rFonts w:hint="default"/>
              </w:rPr>
              <w:t>%，从水量上来讲，项目废水接管进入山南新区污水处理厂可行。</w:t>
            </w:r>
          </w:p>
          <w:p>
            <w:pPr>
              <w:pStyle w:val="23"/>
              <w:keepNext w:val="0"/>
              <w:keepLines w:val="0"/>
              <w:suppressLineNumbers w:val="0"/>
              <w:bidi w:val="0"/>
              <w:spacing w:before="0" w:beforeAutospacing="0" w:after="0" w:afterAutospacing="0"/>
              <w:ind w:left="0" w:right="0"/>
              <w:rPr>
                <w:rFonts w:hint="default"/>
              </w:rPr>
            </w:pPr>
            <w:r>
              <w:rPr>
                <w:rFonts w:hint="default"/>
              </w:rPr>
              <w:t>工艺可行性分析</w:t>
            </w:r>
          </w:p>
          <w:p>
            <w:pPr>
              <w:pStyle w:val="23"/>
              <w:keepNext w:val="0"/>
              <w:keepLines w:val="0"/>
              <w:suppressLineNumbers w:val="0"/>
              <w:bidi w:val="0"/>
              <w:spacing w:before="0" w:beforeAutospacing="0" w:after="0" w:afterAutospacing="0"/>
              <w:ind w:left="0" w:right="0"/>
              <w:rPr>
                <w:rFonts w:hint="default"/>
              </w:rPr>
            </w:pPr>
            <w:r>
              <w:rPr>
                <w:rFonts w:hint="default"/>
              </w:rPr>
              <w:t>建设项目产生的生活污水和生产废水，经预处理后污染物浓度均达到《电子工业水污染物排放标准》（GB39731-2020）表1中水污染物间接排放限值和山南新区污水处理厂接管限值要求，且项目水质简单，污水中不含有对污水处理工艺造成不良影响的污染物，不会对山南新区污水处理厂的处理造成冲击，因此项目废水接管排入山南新区污水处理厂集中处理可行。</w:t>
            </w:r>
          </w:p>
          <w:p>
            <w:pPr>
              <w:pStyle w:val="23"/>
              <w:keepNext w:val="0"/>
              <w:keepLines w:val="0"/>
              <w:suppressLineNumbers w:val="0"/>
              <w:bidi w:val="0"/>
              <w:spacing w:before="0" w:beforeAutospacing="0" w:after="0" w:afterAutospacing="0"/>
              <w:ind w:left="0" w:right="0"/>
              <w:rPr>
                <w:rFonts w:hint="default"/>
              </w:rPr>
            </w:pPr>
            <w:r>
              <w:rPr>
                <w:rFonts w:hint="default"/>
              </w:rPr>
              <w:t>3）管线、位置落实情况及时间对接情况分析</w:t>
            </w:r>
          </w:p>
          <w:p>
            <w:pPr>
              <w:pStyle w:val="23"/>
              <w:keepNext w:val="0"/>
              <w:keepLines w:val="0"/>
              <w:suppressLineNumbers w:val="0"/>
              <w:bidi w:val="0"/>
              <w:spacing w:before="0" w:beforeAutospacing="0" w:after="0" w:afterAutospacing="0"/>
              <w:ind w:left="0" w:right="0"/>
              <w:rPr>
                <w:rFonts w:hint="default"/>
              </w:rPr>
            </w:pPr>
            <w:r>
              <w:rPr>
                <w:rFonts w:hint="default"/>
              </w:rPr>
              <w:t>项目所在地管网已经完成建设，因此，从时间、管线、位置落实情况上分析项目污水接管排入山南新区污水处理厂是可行的。</w:t>
            </w:r>
          </w:p>
          <w:p>
            <w:pPr>
              <w:pStyle w:val="23"/>
              <w:keepNext w:val="0"/>
              <w:keepLines w:val="0"/>
              <w:suppressLineNumbers w:val="0"/>
              <w:bidi w:val="0"/>
              <w:spacing w:before="0" w:beforeAutospacing="0" w:after="0" w:afterAutospacing="0"/>
              <w:ind w:left="0" w:right="0"/>
              <w:rPr>
                <w:rFonts w:hint="default"/>
              </w:rPr>
            </w:pPr>
            <w:r>
              <w:rPr>
                <w:rFonts w:hint="default"/>
              </w:rPr>
              <w:t>从以上的分析可知，山南新区污水处理厂有能力接纳本项目废水，污水处理工艺能够实现建设项目废水达标排放，污水处理方案可行。</w:t>
            </w:r>
          </w:p>
          <w:p>
            <w:pPr>
              <w:pStyle w:val="23"/>
              <w:keepNext w:val="0"/>
              <w:keepLines w:val="0"/>
              <w:suppressLineNumbers w:val="0"/>
              <w:bidi w:val="0"/>
              <w:spacing w:before="0" w:beforeAutospacing="0" w:after="0" w:afterAutospacing="0"/>
              <w:ind w:left="0" w:right="0"/>
              <w:rPr>
                <w:rFonts w:hint="default"/>
              </w:rPr>
            </w:pPr>
            <w:r>
              <w:rPr>
                <w:rFonts w:hint="default"/>
              </w:rPr>
              <w:t>3、环境监测计划</w:t>
            </w:r>
          </w:p>
          <w:p>
            <w:pPr>
              <w:pStyle w:val="23"/>
              <w:keepNext w:val="0"/>
              <w:keepLines w:val="0"/>
              <w:suppressLineNumbers w:val="0"/>
              <w:bidi w:val="0"/>
              <w:spacing w:before="0" w:beforeAutospacing="0" w:after="0" w:afterAutospacing="0"/>
              <w:ind w:left="0" w:right="0"/>
              <w:rPr>
                <w:rFonts w:hint="default"/>
              </w:rPr>
            </w:pPr>
            <w:r>
              <w:rPr>
                <w:rFonts w:hint="default"/>
              </w:rPr>
              <w:t>按照</w:t>
            </w:r>
            <w:r>
              <w:rPr>
                <w:rFonts w:hint="default" w:ascii="Times New Roman" w:hAnsi="Times New Roman" w:cs="Times New Roman"/>
                <w:b w:val="0"/>
                <w:bCs w:val="0"/>
                <w:sz w:val="24"/>
                <w:szCs w:val="24"/>
              </w:rPr>
              <w:t>《排污单位自行监测技术指南</w:t>
            </w:r>
            <w:r>
              <w:rPr>
                <w:rFonts w:hint="eastAsia" w:cs="Times New Roman"/>
                <w:b w:val="0"/>
                <w:bCs w:val="0"/>
                <w:sz w:val="24"/>
                <w:szCs w:val="24"/>
                <w:lang w:val="en-US" w:eastAsia="zh-CN"/>
              </w:rPr>
              <w:t xml:space="preserve"> </w:t>
            </w:r>
            <w:r>
              <w:rPr>
                <w:rFonts w:hint="default" w:ascii="Times New Roman" w:hAnsi="Times New Roman" w:cs="Times New Roman"/>
                <w:b w:val="0"/>
                <w:bCs w:val="0"/>
                <w:sz w:val="24"/>
                <w:szCs w:val="24"/>
              </w:rPr>
              <w:t>电子工业》（HJ1253-2022</w:t>
            </w:r>
            <w:r>
              <w:rPr>
                <w:rFonts w:hint="eastAsia" w:ascii="Times New Roman" w:hAnsi="Times New Roman" w:cs="Times New Roman"/>
                <w:b w:val="0"/>
                <w:bCs w:val="0"/>
                <w:sz w:val="24"/>
                <w:szCs w:val="24"/>
                <w:lang w:eastAsia="zh-CN"/>
              </w:rPr>
              <w:t>）</w:t>
            </w:r>
            <w:r>
              <w:rPr>
                <w:rFonts w:hint="default"/>
                <w:lang w:eastAsia="zh-CN"/>
              </w:rPr>
              <w:t>，</w:t>
            </w:r>
            <w:r>
              <w:rPr>
                <w:rFonts w:hint="default"/>
              </w:rPr>
              <w:t>本项目废水</w:t>
            </w:r>
            <w:r>
              <w:rPr>
                <w:rFonts w:hint="default"/>
                <w:lang w:val="en-US" w:eastAsia="zh-CN"/>
              </w:rPr>
              <w:t>例行</w:t>
            </w:r>
            <w:r>
              <w:rPr>
                <w:rFonts w:hint="default"/>
              </w:rPr>
              <w:t>监测计划表如下：</w:t>
            </w:r>
          </w:p>
          <w:p>
            <w:pPr>
              <w:pStyle w:val="11"/>
              <w:keepNext w:val="0"/>
              <w:keepLines w:val="0"/>
              <w:suppressLineNumbers w:val="0"/>
              <w:bidi w:val="0"/>
              <w:spacing w:before="0" w:after="0" w:afterAutospacing="0"/>
              <w:ind w:right="0"/>
              <w:rPr>
                <w:rFonts w:hint="default"/>
              </w:rPr>
            </w:pPr>
            <w:r>
              <w:rPr>
                <w:rFonts w:hint="default"/>
              </w:rPr>
              <w:t>表4-</w:t>
            </w:r>
            <w:r>
              <w:rPr>
                <w:rFonts w:hint="eastAsia"/>
                <w:lang w:val="en-US" w:eastAsia="zh-CN"/>
              </w:rPr>
              <w:t>8</w:t>
            </w:r>
            <w:r>
              <w:rPr>
                <w:rFonts w:hint="default"/>
              </w:rPr>
              <w:t xml:space="preserve"> 废水监测计划表</w:t>
            </w:r>
          </w:p>
          <w:tbl>
            <w:tblPr>
              <w:tblStyle w:val="19"/>
              <w:tblW w:w="8638" w:type="dxa"/>
              <w:tblInd w:w="-99"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1"/>
              <w:gridCol w:w="3140"/>
              <w:gridCol w:w="1884"/>
              <w:gridCol w:w="1304"/>
              <w:gridCol w:w="131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91"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类型</w:t>
                  </w:r>
                </w:p>
              </w:tc>
              <w:tc>
                <w:tcPr>
                  <w:tcW w:w="3140" w:type="dxa"/>
                  <w:vAlign w:val="center"/>
                </w:tcPr>
                <w:p>
                  <w:pPr>
                    <w:pStyle w:val="23"/>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主要监测因子</w:t>
                  </w:r>
                </w:p>
              </w:tc>
              <w:tc>
                <w:tcPr>
                  <w:tcW w:w="1884"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监测点位</w:t>
                  </w:r>
                </w:p>
              </w:tc>
              <w:tc>
                <w:tcPr>
                  <w:tcW w:w="1304"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监测方式</w:t>
                  </w:r>
                </w:p>
              </w:tc>
              <w:tc>
                <w:tcPr>
                  <w:tcW w:w="1319"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91"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w:t>
                  </w:r>
                </w:p>
              </w:tc>
              <w:tc>
                <w:tcPr>
                  <w:tcW w:w="3140" w:type="dxa"/>
                  <w:vAlign w:val="center"/>
                </w:tcPr>
                <w:p>
                  <w:pPr>
                    <w:pStyle w:val="23"/>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pH、COD、BOD</w:t>
                  </w:r>
                  <w:r>
                    <w:rPr>
                      <w:rFonts w:hint="default" w:ascii="Times New Roman" w:hAnsi="Times New Roman" w:eastAsia="宋体" w:cs="Times New Roman"/>
                      <w:sz w:val="21"/>
                      <w:szCs w:val="21"/>
                      <w:vertAlign w:val="subscript"/>
                    </w:rPr>
                    <w:t>5</w:t>
                  </w:r>
                  <w:r>
                    <w:rPr>
                      <w:rFonts w:hint="default" w:ascii="Times New Roman" w:hAnsi="Times New Roman" w:eastAsia="宋体" w:cs="Times New Roman"/>
                      <w:sz w:val="21"/>
                      <w:szCs w:val="21"/>
                    </w:rPr>
                    <w:t>、</w:t>
                  </w:r>
                </w:p>
                <w:p>
                  <w:pPr>
                    <w:pStyle w:val="23"/>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SS、NH</w:t>
                  </w:r>
                  <w:r>
                    <w:rPr>
                      <w:rFonts w:hint="default" w:ascii="Times New Roman" w:hAnsi="Times New Roman" w:eastAsia="宋体" w:cs="Times New Roman"/>
                      <w:sz w:val="21"/>
                      <w:szCs w:val="21"/>
                      <w:vertAlign w:val="subscript"/>
                    </w:rPr>
                    <w:t>3</w:t>
                  </w:r>
                  <w:r>
                    <w:rPr>
                      <w:rFonts w:hint="default" w:ascii="Times New Roman" w:hAnsi="Times New Roman" w:eastAsia="宋体" w:cs="Times New Roman"/>
                      <w:sz w:val="21"/>
                      <w:szCs w:val="21"/>
                    </w:rPr>
                    <w:t>-N、总氮</w:t>
                  </w:r>
                </w:p>
              </w:tc>
              <w:tc>
                <w:tcPr>
                  <w:tcW w:w="1884"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生产废水总排口</w:t>
                  </w:r>
                </w:p>
              </w:tc>
              <w:tc>
                <w:tcPr>
                  <w:tcW w:w="1304"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手工监测</w:t>
                  </w:r>
                </w:p>
              </w:tc>
              <w:tc>
                <w:tcPr>
                  <w:tcW w:w="1319" w:type="dxa"/>
                  <w:vAlign w:val="center"/>
                </w:tcPr>
                <w:p>
                  <w:pPr>
                    <w:pStyle w:val="2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1次/年</w:t>
                  </w:r>
                </w:p>
              </w:tc>
            </w:tr>
          </w:tbl>
          <w:p>
            <w:pPr>
              <w:pStyle w:val="23"/>
              <w:keepNext w:val="0"/>
              <w:keepLines w:val="0"/>
              <w:suppressLineNumbers w:val="0"/>
              <w:bidi w:val="0"/>
              <w:spacing w:before="0" w:beforeAutospacing="0" w:after="0" w:afterAutospacing="0"/>
              <w:ind w:left="0" w:right="0"/>
              <w:rPr>
                <w:rFonts w:hint="default"/>
              </w:rPr>
            </w:pPr>
            <w:r>
              <w:rPr>
                <w:rFonts w:hint="default"/>
              </w:rPr>
              <w:t>三、噪声</w:t>
            </w:r>
          </w:p>
          <w:p>
            <w:pPr>
              <w:pStyle w:val="23"/>
              <w:keepNext w:val="0"/>
              <w:keepLines w:val="0"/>
              <w:suppressLineNumbers w:val="0"/>
              <w:bidi w:val="0"/>
              <w:spacing w:before="0" w:beforeAutospacing="0" w:after="0" w:afterAutospacing="0"/>
              <w:ind w:left="0" w:right="0"/>
              <w:rPr>
                <w:rFonts w:hint="default"/>
              </w:rPr>
            </w:pPr>
            <w:r>
              <w:rPr>
                <w:rFonts w:hint="default"/>
              </w:rPr>
              <w:t>1、噪声源强分析</w:t>
            </w:r>
          </w:p>
          <w:p>
            <w:pPr>
              <w:pStyle w:val="23"/>
              <w:keepNext w:val="0"/>
              <w:keepLines w:val="0"/>
              <w:suppressLineNumbers w:val="0"/>
              <w:bidi w:val="0"/>
              <w:spacing w:before="0" w:beforeAutospacing="0" w:after="0" w:afterAutospacing="0"/>
              <w:ind w:left="0" w:right="0"/>
              <w:rPr>
                <w:rFonts w:hint="default"/>
              </w:rPr>
            </w:pPr>
            <w:r>
              <w:rPr>
                <w:rFonts w:hint="default"/>
              </w:rPr>
              <w:t>项目噪声源主要为生产设备运行的机械噪声，源强为75~85</w:t>
            </w:r>
            <w:r>
              <w:rPr>
                <w:rFonts w:hint="eastAsia"/>
                <w:lang w:val="en-US" w:eastAsia="zh-CN"/>
              </w:rPr>
              <w:t>dB</w:t>
            </w:r>
            <w:r>
              <w:rPr>
                <w:rFonts w:hint="default"/>
              </w:rPr>
              <w:t>（A）。</w:t>
            </w:r>
          </w:p>
          <w:p>
            <w:pPr>
              <w:pStyle w:val="23"/>
              <w:keepNext w:val="0"/>
              <w:keepLines w:val="0"/>
              <w:suppressLineNumbers w:val="0"/>
              <w:bidi w:val="0"/>
              <w:spacing w:before="0" w:beforeAutospacing="0" w:after="0" w:afterAutospacing="0"/>
              <w:ind w:left="0" w:right="0"/>
              <w:rPr>
                <w:rFonts w:hint="default"/>
              </w:rPr>
            </w:pPr>
            <w:r>
              <w:rPr>
                <w:rFonts w:hint="default"/>
              </w:rPr>
              <w:t>2、噪声污染防治措施</w:t>
            </w:r>
          </w:p>
          <w:p>
            <w:pPr>
              <w:pStyle w:val="23"/>
              <w:keepNext w:val="0"/>
              <w:keepLines w:val="0"/>
              <w:suppressLineNumbers w:val="0"/>
              <w:bidi w:val="0"/>
              <w:spacing w:before="0" w:beforeAutospacing="0" w:after="0" w:afterAutospacing="0"/>
              <w:ind w:left="0" w:right="0"/>
              <w:rPr>
                <w:rFonts w:hint="default"/>
              </w:rPr>
            </w:pPr>
            <w:r>
              <w:rPr>
                <w:rFonts w:hint="default"/>
              </w:rPr>
              <w:t>本项目的噪声源为生产设备的运行噪声，这些噪声源经相应的降噪措施处理后通过建筑物门窗、墙壁的吸收、屏蔽及阻挡作用，将会大幅度地衰减。具体可采取的治理措施如下：</w:t>
            </w:r>
          </w:p>
          <w:p>
            <w:pPr>
              <w:pStyle w:val="23"/>
              <w:keepNext w:val="0"/>
              <w:keepLines w:val="0"/>
              <w:suppressLineNumbers w:val="0"/>
              <w:bidi w:val="0"/>
              <w:spacing w:before="0" w:beforeAutospacing="0" w:after="0" w:afterAutospacing="0"/>
              <w:ind w:left="0" w:right="0"/>
              <w:rPr>
                <w:rFonts w:hint="default"/>
              </w:rPr>
            </w:pPr>
            <w:r>
              <w:rPr>
                <w:rFonts w:hint="default"/>
              </w:rPr>
              <w:t>（1）合理布局：项目将高噪声设备尽量布置在厂区中部，通过距离衰减减轻噪声对外环境的影响。</w:t>
            </w:r>
          </w:p>
          <w:p>
            <w:pPr>
              <w:pStyle w:val="23"/>
              <w:keepNext w:val="0"/>
              <w:keepLines w:val="0"/>
              <w:suppressLineNumbers w:val="0"/>
              <w:bidi w:val="0"/>
              <w:spacing w:before="0" w:beforeAutospacing="0" w:after="0" w:afterAutospacing="0"/>
              <w:ind w:left="0" w:right="0"/>
              <w:rPr>
                <w:rFonts w:hint="default"/>
              </w:rPr>
            </w:pPr>
            <w:r>
              <w:rPr>
                <w:rFonts w:hint="default"/>
              </w:rPr>
              <w:t>（2）选择低噪声设备：项目在满足工艺设计的前提下，尽量选用满足国际标准的低噪声、低振动型号的设备，降低噪声源强。</w:t>
            </w:r>
          </w:p>
          <w:p>
            <w:pPr>
              <w:pStyle w:val="23"/>
              <w:keepNext w:val="0"/>
              <w:keepLines w:val="0"/>
              <w:suppressLineNumbers w:val="0"/>
              <w:bidi w:val="0"/>
              <w:spacing w:before="0" w:beforeAutospacing="0" w:after="0" w:afterAutospacing="0"/>
              <w:ind w:left="0" w:right="0"/>
              <w:rPr>
                <w:rFonts w:hint="default"/>
              </w:rPr>
            </w:pPr>
            <w:r>
              <w:rPr>
                <w:rFonts w:hint="default"/>
              </w:rPr>
              <w:t>（3）隔声、减震：建设单位根据噪声产生的性质可分为机械运动噪声，根据其产生的性质和机理不同分别采用了隔声、减振等方式进行了降噪处理。通过安装减震垫或者隔声门窗来达到降低噪声的目的。</w:t>
            </w:r>
          </w:p>
          <w:p>
            <w:pPr>
              <w:pStyle w:val="23"/>
              <w:keepNext w:val="0"/>
              <w:keepLines w:val="0"/>
              <w:suppressLineNumbers w:val="0"/>
              <w:bidi w:val="0"/>
              <w:spacing w:before="0" w:beforeAutospacing="0" w:after="0" w:afterAutospacing="0"/>
              <w:ind w:left="0" w:right="0"/>
              <w:rPr>
                <w:rFonts w:hint="default"/>
              </w:rPr>
            </w:pPr>
            <w:r>
              <w:rPr>
                <w:rFonts w:hint="default"/>
              </w:rPr>
              <w:t>（4）强化生产管理：确保降噪设施的有效运行，并加强对生产设备的保养、检修与润滑，保证设备处于良好的运转状态。</w:t>
            </w:r>
          </w:p>
          <w:p>
            <w:pPr>
              <w:pStyle w:val="23"/>
              <w:keepNext w:val="0"/>
              <w:keepLines w:val="0"/>
              <w:suppressLineNumbers w:val="0"/>
              <w:bidi w:val="0"/>
              <w:spacing w:before="0" w:beforeAutospacing="0" w:after="0" w:afterAutospacing="0"/>
              <w:ind w:left="0" w:right="0"/>
              <w:rPr>
                <w:rFonts w:hint="default"/>
              </w:rPr>
            </w:pPr>
            <w:r>
              <w:rPr>
                <w:rFonts w:hint="default"/>
              </w:rPr>
              <w:t>经上述治理措施后，可满足保护操作工人的身心健康需要，加上围墙隔音及距离衰减，能够做到厂界达标。</w:t>
            </w:r>
          </w:p>
          <w:p>
            <w:pPr>
              <w:pStyle w:val="23"/>
              <w:keepNext w:val="0"/>
              <w:keepLines w:val="0"/>
              <w:suppressLineNumbers w:val="0"/>
              <w:bidi w:val="0"/>
              <w:spacing w:before="0" w:beforeAutospacing="0" w:after="0" w:afterAutospacing="0"/>
              <w:ind w:left="0" w:right="0"/>
              <w:rPr>
                <w:rFonts w:hint="default"/>
              </w:rPr>
            </w:pPr>
            <w:r>
              <w:rPr>
                <w:rFonts w:hint="default"/>
              </w:rPr>
              <w:t>采取上述措施后，噪声排放源强具体如下表。</w:t>
            </w:r>
          </w:p>
          <w:p>
            <w:pPr>
              <w:pStyle w:val="11"/>
              <w:keepNext w:val="0"/>
              <w:keepLines w:val="0"/>
              <w:suppressLineNumbers w:val="0"/>
              <w:bidi w:val="0"/>
              <w:spacing w:before="0" w:after="0" w:afterAutospacing="0"/>
              <w:ind w:right="0"/>
              <w:rPr>
                <w:rFonts w:hint="default"/>
              </w:rPr>
            </w:pPr>
            <w:r>
              <w:rPr>
                <w:rFonts w:hint="default"/>
              </w:rPr>
              <w:t>表4-</w:t>
            </w:r>
            <w:r>
              <w:rPr>
                <w:rFonts w:hint="eastAsia"/>
                <w:lang w:val="en-US" w:eastAsia="zh-CN"/>
              </w:rPr>
              <w:t>9</w:t>
            </w:r>
            <w:r>
              <w:rPr>
                <w:rFonts w:hint="default"/>
              </w:rPr>
              <w:t xml:space="preserve"> 项目噪声源的平均声压级</w:t>
            </w:r>
          </w:p>
          <w:tbl>
            <w:tblPr>
              <w:tblStyle w:val="19"/>
              <w:tblW w:w="855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595"/>
              <w:gridCol w:w="2737"/>
              <w:gridCol w:w="748"/>
              <w:gridCol w:w="1567"/>
              <w:gridCol w:w="1342"/>
              <w:gridCol w:w="156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33"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序号</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噪声源名称</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数量（台）</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单台设备声级范围dB（A）</w:t>
                  </w:r>
                </w:p>
              </w:tc>
              <w:tc>
                <w:tcPr>
                  <w:tcW w:w="1342"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治理措施</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降噪效果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1</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智能激光标志机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6</w:t>
                  </w: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75-80</w:t>
                  </w:r>
                </w:p>
              </w:tc>
              <w:tc>
                <w:tcPr>
                  <w:tcW w:w="1342" w:type="dxa"/>
                  <w:vMerge w:val="restart"/>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选用低噪声设备、设置基础减震垫、建筑隔声</w:t>
                  </w: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智能自动封装机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10</w:t>
                  </w: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75-80</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3</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智能自动测试机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18</w:t>
                  </w: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70-75</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4</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电脑工控智能干燥隧道炉</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2</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75-80</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5</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智能CDD测试高速编带机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10</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75-80</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6</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分光编带测试机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5</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75-80</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7</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智能CDD对位点胶机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10</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70-75</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8</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智能CDD对位穿孔机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5</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70-75</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9</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智能CDD印刷锡膏机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2</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70-75</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10</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智能引线切断成型机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6</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75-80</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11</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智能CDD对位双头印刷机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4</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75-80</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12</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智能数控隧道高温烧结炉</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2</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75-80</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13</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智能数控回流焊机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2</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75-80</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3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14</w:t>
                  </w:r>
                </w:p>
              </w:tc>
              <w:tc>
                <w:tcPr>
                  <w:tcW w:w="273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AS双臂M固晶机</w:t>
                  </w:r>
                </w:p>
              </w:tc>
              <w:tc>
                <w:tcPr>
                  <w:tcW w:w="74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5</w:t>
                  </w:r>
                </w:p>
              </w:tc>
              <w:tc>
                <w:tcPr>
                  <w:tcW w:w="1567"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75-80</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32" w:hRule="atLeast"/>
                <w:jc w:val="center"/>
              </w:trPr>
              <w:tc>
                <w:tcPr>
                  <w:tcW w:w="595"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15</w:t>
                  </w:r>
                </w:p>
              </w:tc>
              <w:tc>
                <w:tcPr>
                  <w:tcW w:w="273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风机</w:t>
                  </w:r>
                </w:p>
              </w:tc>
              <w:tc>
                <w:tcPr>
                  <w:tcW w:w="748"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3</w:t>
                  </w: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80~85</w:t>
                  </w:r>
                </w:p>
              </w:tc>
              <w:tc>
                <w:tcPr>
                  <w:tcW w:w="134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567"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20</w:t>
                  </w:r>
                </w:p>
              </w:tc>
            </w:tr>
          </w:tbl>
          <w:p>
            <w:pPr>
              <w:pStyle w:val="23"/>
              <w:keepNext w:val="0"/>
              <w:keepLines w:val="0"/>
              <w:suppressLineNumbers w:val="0"/>
              <w:bidi w:val="0"/>
              <w:spacing w:before="0" w:beforeAutospacing="0" w:after="0" w:afterAutospacing="0" w:line="360" w:lineRule="auto"/>
              <w:ind w:left="0" w:right="0"/>
              <w:rPr>
                <w:rFonts w:hint="default"/>
                <w:sz w:val="24"/>
                <w:szCs w:val="24"/>
              </w:rPr>
            </w:pPr>
            <w:r>
              <w:rPr>
                <w:rFonts w:hint="default"/>
                <w:sz w:val="24"/>
                <w:szCs w:val="24"/>
              </w:rPr>
              <w:t>3、预测模式</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lang w:val="zh-CN" w:eastAsia="zh-CN"/>
              </w:rPr>
            </w:pPr>
            <w:r>
              <w:rPr>
                <w:rFonts w:hint="eastAsia" w:ascii="Times New Roman" w:hAnsi="Times New Roman" w:eastAsia="宋体" w:cs="Times New Roman"/>
                <w:color w:val="auto"/>
                <w:sz w:val="24"/>
                <w:szCs w:val="24"/>
                <w:lang w:val="zh-CN" w:eastAsia="zh-CN"/>
              </w:rPr>
              <w:t>根据《环境影响评价技术导则声</w:t>
            </w:r>
            <w:r>
              <w:rPr>
                <w:rFonts w:hint="default" w:ascii="Times New Roman" w:hAnsi="Times New Roman" w:eastAsia="宋体" w:cs="Times New Roman"/>
                <w:color w:val="auto"/>
                <w:sz w:val="24"/>
                <w:szCs w:val="24"/>
                <w:lang w:val="zh-CN" w:eastAsia="zh-CN"/>
              </w:rPr>
              <w:t>环境》（HJ2.4-20</w:t>
            </w:r>
            <w:r>
              <w:rPr>
                <w:rFonts w:hint="eastAsia" w:ascii="Times New Roman" w:hAnsi="Times New Roman" w:eastAsia="宋体" w:cs="Times New Roman"/>
                <w:color w:val="auto"/>
                <w:sz w:val="24"/>
                <w:szCs w:val="24"/>
                <w:lang w:val="en-US" w:eastAsia="zh-CN"/>
              </w:rPr>
              <w:t>21</w:t>
            </w:r>
            <w:r>
              <w:rPr>
                <w:rFonts w:hint="default" w:ascii="Times New Roman" w:hAnsi="Times New Roman" w:eastAsia="宋体" w:cs="Times New Roman"/>
                <w:color w:val="auto"/>
                <w:sz w:val="24"/>
                <w:szCs w:val="24"/>
                <w:lang w:val="zh-CN" w:eastAsia="zh-CN"/>
              </w:rPr>
              <w:t>）的技</w:t>
            </w:r>
            <w:r>
              <w:rPr>
                <w:rFonts w:hint="eastAsia" w:ascii="Times New Roman" w:hAnsi="Times New Roman" w:eastAsia="宋体" w:cs="Times New Roman"/>
                <w:color w:val="auto"/>
                <w:sz w:val="24"/>
                <w:szCs w:val="24"/>
                <w:lang w:val="zh-CN" w:eastAsia="zh-CN"/>
              </w:rPr>
              <w:t>术要求，本次评价采取导则上推荐模式进行预测。</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3.1室外声源预测模式：</w:t>
            </w:r>
          </w:p>
          <w:p>
            <w:pPr>
              <w:pStyle w:val="8"/>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对已知声源的倍频带声功率级，预测点位置的倍频带声压级L</w:t>
            </w:r>
            <w:r>
              <w:rPr>
                <w:rFonts w:hint="default" w:ascii="Times New Roman" w:hAnsi="Times New Roman" w:eastAsia="宋体" w:cs="Times New Roman"/>
                <w:color w:val="auto"/>
                <w:sz w:val="24"/>
                <w:szCs w:val="24"/>
                <w:highlight w:val="none"/>
                <w:vertAlign w:val="subscript"/>
              </w:rPr>
              <w:t>p</w:t>
            </w:r>
            <w:r>
              <w:rPr>
                <w:rFonts w:hint="default" w:ascii="Times New Roman" w:hAnsi="Times New Roman" w:eastAsia="宋体" w:cs="Times New Roman"/>
                <w:color w:val="auto"/>
                <w:sz w:val="24"/>
                <w:szCs w:val="24"/>
                <w:highlight w:val="none"/>
              </w:rPr>
              <w:t>(r)按以下公式计算：</w:t>
            </w:r>
          </w:p>
          <w:p>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L</w:t>
            </w:r>
            <w:r>
              <w:rPr>
                <w:rFonts w:hint="default" w:ascii="Times New Roman" w:hAnsi="Times New Roman" w:eastAsia="宋体" w:cs="Times New Roman"/>
                <w:color w:val="auto"/>
                <w:sz w:val="24"/>
                <w:szCs w:val="24"/>
                <w:highlight w:val="none"/>
                <w:vertAlign w:val="subscript"/>
              </w:rPr>
              <w:t>p</w:t>
            </w:r>
            <w:r>
              <w:rPr>
                <w:rFonts w:hint="default" w:ascii="Times New Roman" w:hAnsi="Times New Roman" w:eastAsia="宋体" w:cs="Times New Roman"/>
                <w:color w:val="auto"/>
                <w:sz w:val="24"/>
                <w:szCs w:val="24"/>
                <w:highlight w:val="none"/>
              </w:rPr>
              <w:t>(r)=L</w:t>
            </w:r>
            <w:r>
              <w:rPr>
                <w:rFonts w:hint="default" w:ascii="Times New Roman" w:hAnsi="Times New Roman" w:eastAsia="宋体" w:cs="Times New Roman"/>
                <w:color w:val="auto"/>
                <w:sz w:val="24"/>
                <w:szCs w:val="24"/>
                <w:highlight w:val="none"/>
                <w:vertAlign w:val="subscript"/>
              </w:rPr>
              <w:t>w</w:t>
            </w:r>
            <w:r>
              <w:rPr>
                <w:rFonts w:hint="default" w:ascii="Times New Roman" w:hAnsi="Times New Roman" w:eastAsia="宋体" w:cs="Times New Roman"/>
                <w:color w:val="auto"/>
                <w:sz w:val="24"/>
                <w:szCs w:val="24"/>
                <w:highlight w:val="none"/>
              </w:rPr>
              <w:t>+Dc-</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div</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bar</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atm</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gr</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misc</w:t>
            </w:r>
            <w:r>
              <w:rPr>
                <w:rFonts w:hint="default" w:ascii="Times New Roman" w:hAnsi="Times New Roman" w:eastAsia="宋体" w:cs="Times New Roman"/>
                <w:color w:val="auto"/>
                <w:sz w:val="24"/>
                <w:szCs w:val="24"/>
                <w:highlight w:val="none"/>
                <w:vertAlign w:val="baseline"/>
                <w:lang w:eastAsia="zh-CN"/>
              </w:rPr>
              <w:t>）</w:t>
            </w:r>
            <w:r>
              <w:rPr>
                <w:rFonts w:hint="default" w:ascii="Times New Roman" w:hAnsi="Times New Roman" w:eastAsia="宋体" w:cs="Times New Roman"/>
                <w:color w:val="auto"/>
                <w:sz w:val="24"/>
                <w:szCs w:val="24"/>
                <w:highlight w:val="none"/>
              </w:rPr>
              <w:t>式中：</w:t>
            </w:r>
          </w:p>
          <w:p>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L</w:t>
            </w:r>
            <w:r>
              <w:rPr>
                <w:rFonts w:hint="default" w:ascii="Times New Roman" w:hAnsi="Times New Roman" w:eastAsia="宋体" w:cs="Times New Roman"/>
                <w:color w:val="auto"/>
                <w:sz w:val="24"/>
                <w:szCs w:val="24"/>
                <w:highlight w:val="none"/>
                <w:vertAlign w:val="subscript"/>
              </w:rPr>
              <w:t>w</w:t>
            </w:r>
            <w:r>
              <w:rPr>
                <w:rFonts w:hint="default" w:ascii="Times New Roman" w:hAnsi="Times New Roman" w:eastAsia="宋体" w:cs="Times New Roman"/>
                <w:color w:val="auto"/>
                <w:sz w:val="24"/>
                <w:szCs w:val="24"/>
                <w:highlight w:val="none"/>
              </w:rPr>
              <w:t>—倍频带声功率级，dB；</w:t>
            </w:r>
          </w:p>
          <w:p>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Dc—指向性校正，它描述点声源的等效连续声压级与产生声功率级L</w:t>
            </w:r>
            <w:r>
              <w:rPr>
                <w:rFonts w:hint="default" w:ascii="Times New Roman" w:hAnsi="Times New Roman" w:eastAsia="宋体" w:cs="Times New Roman"/>
                <w:color w:val="auto"/>
                <w:sz w:val="24"/>
                <w:szCs w:val="24"/>
                <w:highlight w:val="none"/>
                <w:vertAlign w:val="subscript"/>
              </w:rPr>
              <w:t>w</w:t>
            </w:r>
            <w:r>
              <w:rPr>
                <w:rFonts w:hint="default" w:ascii="Times New Roman" w:hAnsi="Times New Roman" w:eastAsia="宋体" w:cs="Times New Roman"/>
                <w:color w:val="auto"/>
                <w:sz w:val="24"/>
                <w:szCs w:val="24"/>
                <w:highlight w:val="none"/>
              </w:rPr>
              <w:t>的全向点声源在规定方向的级的偏差程度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dB</w:t>
            </w:r>
            <w:r>
              <w:rPr>
                <w:rFonts w:hint="default" w:ascii="Times New Roman" w:hAnsi="Times New Roman" w:eastAsia="宋体" w:cs="Times New Roman"/>
                <w:color w:val="auto"/>
                <w:sz w:val="24"/>
                <w:szCs w:val="24"/>
                <w:highlight w:val="none"/>
                <w:lang w:eastAsia="zh-CN"/>
              </w:rPr>
              <w:t>；</w:t>
            </w:r>
          </w:p>
          <w:p>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div</w:t>
            </w:r>
            <w:r>
              <w:rPr>
                <w:rFonts w:hint="default" w:ascii="Times New Roman" w:hAnsi="Times New Roman" w:eastAsia="宋体" w:cs="Times New Roman"/>
                <w:color w:val="auto"/>
                <w:sz w:val="24"/>
                <w:szCs w:val="24"/>
                <w:highlight w:val="none"/>
              </w:rPr>
              <w:t>—几何发散引起的衰减，dB；</w:t>
            </w:r>
          </w:p>
          <w:p>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atm</w:t>
            </w:r>
            <w:r>
              <w:rPr>
                <w:rFonts w:hint="default" w:ascii="Times New Roman" w:hAnsi="Times New Roman" w:eastAsia="宋体" w:cs="Times New Roman"/>
                <w:color w:val="auto"/>
                <w:sz w:val="24"/>
                <w:szCs w:val="24"/>
                <w:highlight w:val="none"/>
              </w:rPr>
              <w:t>—大气吸收引起的衰减，dB；</w:t>
            </w:r>
          </w:p>
          <w:p>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gr</w:t>
            </w:r>
            <w:r>
              <w:rPr>
                <w:rFonts w:hint="default" w:ascii="Times New Roman" w:hAnsi="Times New Roman" w:eastAsia="宋体" w:cs="Times New Roman"/>
                <w:color w:val="auto"/>
                <w:sz w:val="24"/>
                <w:szCs w:val="24"/>
                <w:highlight w:val="none"/>
              </w:rPr>
              <w:t>—地面效应引起的衰减，dB；</w:t>
            </w:r>
          </w:p>
          <w:p>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bar</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障碍物</w:t>
            </w:r>
            <w:r>
              <w:rPr>
                <w:rFonts w:hint="default" w:ascii="Times New Roman" w:hAnsi="Times New Roman" w:eastAsia="宋体" w:cs="Times New Roman"/>
                <w:color w:val="auto"/>
                <w:sz w:val="24"/>
                <w:szCs w:val="24"/>
                <w:highlight w:val="none"/>
              </w:rPr>
              <w:t>引起的衰减，dB；</w:t>
            </w:r>
          </w:p>
          <w:p>
            <w:pPr>
              <w:keepNext w:val="0"/>
              <w:keepLines w:val="0"/>
              <w:pageBreakBefore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misc</w:t>
            </w:r>
            <w:r>
              <w:rPr>
                <w:rFonts w:hint="default" w:ascii="Times New Roman" w:hAnsi="Times New Roman" w:eastAsia="宋体" w:cs="Times New Roman"/>
                <w:color w:val="auto"/>
                <w:sz w:val="24"/>
                <w:szCs w:val="24"/>
                <w:highlight w:val="none"/>
              </w:rPr>
              <w:t>—其他多方面效应引起的，dB。</w:t>
            </w:r>
          </w:p>
          <w:p>
            <w:pPr>
              <w:keepNext w:val="0"/>
              <w:keepLines w:val="0"/>
              <w:pageBreakBefore w:val="0"/>
              <w:suppressLineNumbers w:val="0"/>
              <w:kinsoku/>
              <w:wordWrap/>
              <w:overflowPunct/>
              <w:topLinePunct w:val="0"/>
              <w:autoSpaceDE w:val="0"/>
              <w:autoSpaceDN w:val="0"/>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3</w:t>
            </w:r>
            <w:r>
              <w:rPr>
                <w:rFonts w:hint="default" w:ascii="Times New Roman" w:hAnsi="Times New Roman" w:cs="Times New Roman"/>
                <w:color w:val="auto"/>
                <w:kern w:val="0"/>
                <w:sz w:val="24"/>
                <w:szCs w:val="24"/>
                <w:lang w:val="en-US" w:eastAsia="zh-CN"/>
              </w:rPr>
              <w:t>.2</w:t>
            </w:r>
            <w:r>
              <w:rPr>
                <w:rFonts w:hint="eastAsia" w:ascii="Times New Roman" w:hAnsi="Times New Roman" w:cs="Times New Roman"/>
                <w:color w:val="auto"/>
                <w:kern w:val="0"/>
                <w:sz w:val="24"/>
                <w:szCs w:val="24"/>
                <w:lang w:val="en-US" w:eastAsia="zh-CN"/>
              </w:rPr>
              <w:t xml:space="preserve"> </w:t>
            </w:r>
            <w:r>
              <w:rPr>
                <w:rFonts w:hint="default" w:ascii="Times New Roman" w:hAnsi="Times New Roman" w:cs="Times New Roman"/>
                <w:color w:val="auto"/>
                <w:kern w:val="0"/>
                <w:sz w:val="24"/>
                <w:szCs w:val="24"/>
                <w:lang w:val="en-US" w:eastAsia="zh-CN"/>
              </w:rPr>
              <w:t>室内声源预测模式：</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rPr>
              <w:t>对声源位于室内的，可采用等效室外声源声功率级法进行计算，</w:t>
            </w:r>
            <w:r>
              <w:rPr>
                <w:rFonts w:hint="default" w:ascii="Times New Roman" w:hAnsi="Times New Roman" w:eastAsia="宋体" w:cs="Times New Roman"/>
                <w:bCs/>
                <w:color w:val="auto"/>
                <w:sz w:val="24"/>
                <w:szCs w:val="24"/>
                <w:lang w:val="en-US" w:eastAsia="zh-CN"/>
              </w:rPr>
              <w:t>设靠近开口处（或窗户）室内、室外某倍频带的声压级分别为L</w:t>
            </w:r>
            <w:r>
              <w:rPr>
                <w:rFonts w:hint="default" w:ascii="Times New Roman" w:hAnsi="Times New Roman" w:eastAsia="宋体" w:cs="Times New Roman"/>
                <w:bCs/>
                <w:color w:val="auto"/>
                <w:sz w:val="24"/>
                <w:szCs w:val="24"/>
                <w:vertAlign w:val="subscript"/>
                <w:lang w:val="en-US" w:eastAsia="zh-CN"/>
              </w:rPr>
              <w:t>p1</w:t>
            </w:r>
            <w:r>
              <w:rPr>
                <w:rFonts w:hint="default" w:ascii="Times New Roman" w:hAnsi="Times New Roman" w:eastAsia="宋体" w:cs="Times New Roman"/>
                <w:bCs/>
                <w:color w:val="auto"/>
                <w:sz w:val="24"/>
                <w:szCs w:val="24"/>
                <w:lang w:val="en-US" w:eastAsia="zh-CN"/>
              </w:rPr>
              <w:t>和L</w:t>
            </w:r>
            <w:r>
              <w:rPr>
                <w:rFonts w:hint="default" w:ascii="Times New Roman" w:hAnsi="Times New Roman" w:eastAsia="宋体" w:cs="Times New Roman"/>
                <w:bCs/>
                <w:color w:val="auto"/>
                <w:sz w:val="24"/>
                <w:szCs w:val="24"/>
                <w:vertAlign w:val="subscript"/>
                <w:lang w:val="en-US" w:eastAsia="zh-CN"/>
              </w:rPr>
              <w:t>p2</w:t>
            </w:r>
            <w:r>
              <w:rPr>
                <w:rFonts w:hint="default" w:ascii="Times New Roman" w:hAnsi="Times New Roman" w:eastAsia="宋体" w:cs="Times New Roman"/>
                <w:bCs/>
                <w:color w:val="auto"/>
                <w:sz w:val="24"/>
                <w:szCs w:val="24"/>
                <w:lang w:val="en-US" w:eastAsia="zh-CN"/>
              </w:rPr>
              <w:t>。</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lang w:val="en-US" w:eastAsia="zh-CN"/>
              </w:rPr>
              <w:t>①若声源所在室内声场为近似扩散声场，则室外的倍频带声压级可按下式近似求出：</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L</w:t>
            </w:r>
            <w:r>
              <w:rPr>
                <w:rFonts w:hint="default" w:ascii="Times New Roman" w:hAnsi="Times New Roman" w:eastAsia="宋体" w:cs="Times New Roman"/>
                <w:bCs/>
                <w:color w:val="auto"/>
                <w:sz w:val="24"/>
                <w:szCs w:val="24"/>
                <w:vertAlign w:val="subscript"/>
                <w:lang w:val="en-US" w:eastAsia="zh-CN"/>
              </w:rPr>
              <w:t>p2</w:t>
            </w:r>
            <w:r>
              <w:rPr>
                <w:rFonts w:hint="default" w:ascii="Times New Roman" w:hAnsi="Times New Roman" w:eastAsia="宋体" w:cs="Times New Roman"/>
                <w:bCs/>
                <w:color w:val="auto"/>
                <w:sz w:val="24"/>
                <w:szCs w:val="24"/>
                <w:lang w:val="en-US" w:eastAsia="zh-CN"/>
              </w:rPr>
              <w:t>=L</w:t>
            </w:r>
            <w:r>
              <w:rPr>
                <w:rFonts w:hint="default" w:ascii="Times New Roman" w:hAnsi="Times New Roman" w:eastAsia="宋体" w:cs="Times New Roman"/>
                <w:bCs/>
                <w:color w:val="auto"/>
                <w:sz w:val="24"/>
                <w:szCs w:val="24"/>
                <w:vertAlign w:val="subscript"/>
                <w:lang w:val="en-US" w:eastAsia="zh-CN"/>
              </w:rPr>
              <w:t>p1</w:t>
            </w:r>
            <w:r>
              <w:rPr>
                <w:rFonts w:hint="default" w:ascii="Times New Roman" w:hAnsi="Times New Roman" w:eastAsia="宋体" w:cs="Times New Roman"/>
                <w:bCs/>
                <w:color w:val="auto"/>
                <w:sz w:val="24"/>
                <w:szCs w:val="24"/>
                <w:lang w:val="en-US" w:eastAsia="zh-CN"/>
              </w:rPr>
              <w:t>-(TL+6)式中：</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L</w:t>
            </w:r>
            <w:r>
              <w:rPr>
                <w:rFonts w:hint="default" w:ascii="Times New Roman" w:hAnsi="Times New Roman" w:eastAsia="宋体" w:cs="Times New Roman"/>
                <w:bCs/>
                <w:color w:val="auto"/>
                <w:sz w:val="24"/>
                <w:szCs w:val="24"/>
                <w:vertAlign w:val="subscript"/>
                <w:lang w:val="en-US" w:eastAsia="zh-CN"/>
              </w:rPr>
              <w:t>p2</w:t>
            </w:r>
            <w:r>
              <w:rPr>
                <w:rFonts w:hint="default" w:ascii="Times New Roman" w:hAnsi="Times New Roman" w:cs="Times New Roman"/>
                <w:color w:val="auto"/>
                <w:kern w:val="0"/>
                <w:sz w:val="24"/>
                <w:szCs w:val="24"/>
              </w:rPr>
              <w:t>—</w:t>
            </w:r>
            <w:r>
              <w:rPr>
                <w:rFonts w:hint="default" w:ascii="Times New Roman" w:hAnsi="Times New Roman" w:cs="Times New Roman"/>
                <w:color w:val="auto"/>
                <w:kern w:val="0"/>
                <w:sz w:val="24"/>
                <w:szCs w:val="24"/>
                <w:lang w:val="en-US" w:eastAsia="zh-CN"/>
              </w:rPr>
              <w:t>靠近开口处（或窗户）室内某倍频带的声压级，</w:t>
            </w:r>
            <w:r>
              <w:rPr>
                <w:rFonts w:hint="default" w:ascii="Times New Roman" w:hAnsi="Times New Roman" w:cs="Times New Roman"/>
                <w:color w:val="auto"/>
                <w:kern w:val="0"/>
                <w:sz w:val="24"/>
                <w:szCs w:val="24"/>
              </w:rPr>
              <w:t>dB；</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L</w:t>
            </w:r>
            <w:r>
              <w:rPr>
                <w:rFonts w:hint="default" w:ascii="Times New Roman" w:hAnsi="Times New Roman" w:eastAsia="宋体" w:cs="Times New Roman"/>
                <w:bCs/>
                <w:color w:val="auto"/>
                <w:sz w:val="24"/>
                <w:szCs w:val="24"/>
                <w:vertAlign w:val="subscript"/>
                <w:lang w:val="en-US" w:eastAsia="zh-CN"/>
              </w:rPr>
              <w:t>p1</w:t>
            </w:r>
            <w:r>
              <w:rPr>
                <w:rFonts w:hint="default" w:ascii="Times New Roman" w:hAnsi="Times New Roman" w:cs="Times New Roman"/>
                <w:color w:val="auto"/>
                <w:kern w:val="0"/>
                <w:sz w:val="24"/>
                <w:szCs w:val="24"/>
              </w:rPr>
              <w:t>—</w:t>
            </w:r>
            <w:r>
              <w:rPr>
                <w:rFonts w:hint="default" w:ascii="Times New Roman" w:hAnsi="Times New Roman" w:cs="Times New Roman"/>
                <w:color w:val="auto"/>
                <w:kern w:val="0"/>
                <w:sz w:val="24"/>
                <w:szCs w:val="24"/>
                <w:lang w:val="en-US" w:eastAsia="zh-CN"/>
              </w:rPr>
              <w:t>靠近开口处（或窗户）室外某倍频带的声压级，</w:t>
            </w:r>
            <w:r>
              <w:rPr>
                <w:rFonts w:hint="default" w:ascii="Times New Roman" w:hAnsi="Times New Roman" w:cs="Times New Roman"/>
                <w:color w:val="auto"/>
                <w:kern w:val="0"/>
                <w:sz w:val="24"/>
                <w:szCs w:val="24"/>
              </w:rPr>
              <w:t>dB；</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TL</w:t>
            </w:r>
            <w:r>
              <w:rPr>
                <w:rFonts w:hint="default" w:ascii="Times New Roman" w:hAnsi="Times New Roman" w:cs="Times New Roman"/>
                <w:color w:val="auto"/>
                <w:kern w:val="0"/>
                <w:sz w:val="24"/>
                <w:szCs w:val="24"/>
              </w:rPr>
              <w:t>—</w:t>
            </w:r>
            <w:r>
              <w:rPr>
                <w:rFonts w:hint="default" w:ascii="Times New Roman" w:hAnsi="Times New Roman" w:cs="Times New Roman"/>
                <w:color w:val="auto"/>
                <w:kern w:val="0"/>
                <w:sz w:val="24"/>
                <w:szCs w:val="24"/>
                <w:lang w:val="en-US" w:eastAsia="zh-CN"/>
              </w:rPr>
              <w:t>隔墙（或窗户）倍频带A声级的隔声量，</w:t>
            </w:r>
            <w:r>
              <w:rPr>
                <w:rFonts w:hint="default" w:ascii="Times New Roman" w:hAnsi="Times New Roman" w:cs="Times New Roman"/>
                <w:color w:val="auto"/>
                <w:kern w:val="0"/>
                <w:sz w:val="24"/>
                <w:szCs w:val="24"/>
              </w:rPr>
              <w:t>dB</w:t>
            </w:r>
            <w:r>
              <w:rPr>
                <w:rFonts w:hint="default" w:ascii="Times New Roman" w:hAnsi="Times New Roman" w:cs="Times New Roman"/>
                <w:color w:val="auto"/>
                <w:kern w:val="0"/>
                <w:sz w:val="24"/>
                <w:szCs w:val="24"/>
                <w:lang w:eastAsia="zh-CN"/>
              </w:rPr>
              <w:t>。</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②某一室内声源靠近围护结构处产生的倍频带声压级公式：</w:t>
            </w:r>
          </w:p>
          <w:p>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color w:val="FF0000"/>
                <w:sz w:val="24"/>
                <w:szCs w:val="24"/>
              </w:rPr>
              <w:drawing>
                <wp:inline distT="0" distB="0" distL="114300" distR="114300">
                  <wp:extent cx="1603375" cy="456565"/>
                  <wp:effectExtent l="0" t="0" r="15875" b="63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1"/>
                          <a:stretch>
                            <a:fillRect/>
                          </a:stretch>
                        </pic:blipFill>
                        <pic:spPr>
                          <a:xfrm>
                            <a:off x="0" y="0"/>
                            <a:ext cx="1603375" cy="45656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default"/>
                <w:color w:val="auto"/>
                <w:sz w:val="24"/>
                <w:szCs w:val="24"/>
              </w:rPr>
            </w:pPr>
            <w:r>
              <w:rPr>
                <w:rFonts w:hint="default" w:ascii="Times New Roman" w:hAnsi="Times New Roman" w:eastAsia="宋体" w:cs="Times New Roman"/>
                <w:color w:val="auto"/>
                <w:sz w:val="24"/>
                <w:szCs w:val="24"/>
                <w:highlight w:val="none"/>
              </w:rPr>
              <w:t>式中：</w:t>
            </w:r>
            <w:r>
              <w:rPr>
                <w:rFonts w:hint="default"/>
                <w:i/>
                <w:iCs/>
                <w:color w:val="auto"/>
                <w:kern w:val="0"/>
                <w:sz w:val="24"/>
                <w:szCs w:val="24"/>
              </w:rPr>
              <w:t>L</w:t>
            </w:r>
            <w:r>
              <w:rPr>
                <w:rFonts w:hint="default"/>
                <w:i/>
                <w:iCs/>
                <w:color w:val="auto"/>
                <w:kern w:val="0"/>
                <w:sz w:val="24"/>
                <w:szCs w:val="24"/>
                <w:vertAlign w:val="subscript"/>
              </w:rPr>
              <w:t>p1</w:t>
            </w:r>
            <w:r>
              <w:rPr>
                <w:rFonts w:hint="default"/>
                <w:color w:val="auto"/>
                <w:kern w:val="0"/>
                <w:sz w:val="24"/>
                <w:szCs w:val="24"/>
              </w:rPr>
              <w:t>—室内某倍频带的声压级，dB；</w:t>
            </w:r>
          </w:p>
          <w:p>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default"/>
                <w:color w:val="auto"/>
                <w:sz w:val="24"/>
                <w:szCs w:val="24"/>
              </w:rPr>
            </w:pPr>
            <w:r>
              <w:rPr>
                <w:rFonts w:hint="default"/>
                <w:i/>
                <w:iCs/>
                <w:color w:val="auto"/>
                <w:kern w:val="0"/>
                <w:sz w:val="24"/>
                <w:szCs w:val="24"/>
              </w:rPr>
              <w:t>L</w:t>
            </w:r>
            <w:r>
              <w:rPr>
                <w:rFonts w:hint="default"/>
                <w:i/>
                <w:iCs/>
                <w:color w:val="auto"/>
                <w:kern w:val="0"/>
                <w:sz w:val="24"/>
                <w:szCs w:val="24"/>
                <w:vertAlign w:val="subscript"/>
              </w:rPr>
              <w:t>w</w:t>
            </w:r>
            <w:r>
              <w:rPr>
                <w:rFonts w:hint="default"/>
                <w:color w:val="auto"/>
                <w:kern w:val="0"/>
                <w:sz w:val="24"/>
                <w:szCs w:val="24"/>
              </w:rPr>
              <w:t>—</w:t>
            </w:r>
            <w:r>
              <w:rPr>
                <w:rFonts w:hint="eastAsia"/>
                <w:color w:val="auto"/>
                <w:kern w:val="0"/>
                <w:sz w:val="24"/>
                <w:szCs w:val="24"/>
                <w:lang w:val="en-US" w:eastAsia="zh-CN"/>
              </w:rPr>
              <w:t>点声</w:t>
            </w:r>
            <w:r>
              <w:rPr>
                <w:rFonts w:hint="default"/>
                <w:color w:val="auto"/>
                <w:kern w:val="0"/>
                <w:sz w:val="24"/>
                <w:szCs w:val="24"/>
              </w:rPr>
              <w:t>声源的声功率级，dB；</w:t>
            </w:r>
          </w:p>
          <w:p>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default"/>
                <w:color w:val="auto"/>
                <w:sz w:val="24"/>
                <w:szCs w:val="24"/>
              </w:rPr>
            </w:pPr>
            <w:r>
              <w:rPr>
                <w:rFonts w:hint="default"/>
                <w:i/>
                <w:iCs/>
                <w:color w:val="auto"/>
                <w:kern w:val="0"/>
                <w:sz w:val="24"/>
                <w:szCs w:val="24"/>
              </w:rPr>
              <w:t>Q</w:t>
            </w:r>
            <w:r>
              <w:rPr>
                <w:rFonts w:hint="default"/>
                <w:color w:val="auto"/>
                <w:kern w:val="0"/>
                <w:sz w:val="24"/>
                <w:szCs w:val="24"/>
              </w:rPr>
              <w:t>—指向性因数；通常对无指向性声源，当声源放在房间中心时，Q=1；当放在一面墙的中心时，Q=2；当放在两面墙夹角处时，Q=4；当放在三面墙夹角处时，Q=8；</w:t>
            </w:r>
          </w:p>
          <w:p>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default"/>
                <w:color w:val="auto"/>
                <w:sz w:val="24"/>
                <w:szCs w:val="24"/>
              </w:rPr>
            </w:pPr>
            <w:r>
              <w:rPr>
                <w:rFonts w:hint="default"/>
                <w:i/>
                <w:iCs/>
                <w:color w:val="auto"/>
                <w:kern w:val="0"/>
                <w:sz w:val="24"/>
                <w:szCs w:val="24"/>
              </w:rPr>
              <w:t>R</w:t>
            </w:r>
            <w:r>
              <w:rPr>
                <w:rFonts w:hint="default"/>
                <w:color w:val="auto"/>
                <w:kern w:val="0"/>
                <w:sz w:val="24"/>
                <w:szCs w:val="24"/>
              </w:rPr>
              <w:t>—房间常数；R=Sα/（1－α），S为房间内表面面积，m</w:t>
            </w:r>
            <w:r>
              <w:rPr>
                <w:rFonts w:hint="default"/>
                <w:color w:val="auto"/>
                <w:kern w:val="0"/>
                <w:sz w:val="24"/>
                <w:szCs w:val="24"/>
                <w:vertAlign w:val="superscript"/>
              </w:rPr>
              <w:t>2</w:t>
            </w:r>
            <w:r>
              <w:rPr>
                <w:rFonts w:hint="default"/>
                <w:color w:val="auto"/>
                <w:kern w:val="0"/>
                <w:sz w:val="24"/>
                <w:szCs w:val="24"/>
              </w:rPr>
              <w:t>；α为平均吸声系数；</w:t>
            </w:r>
          </w:p>
          <w:p>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default"/>
                <w:color w:val="auto"/>
                <w:kern w:val="0"/>
                <w:sz w:val="24"/>
                <w:szCs w:val="24"/>
              </w:rPr>
            </w:pPr>
            <w:r>
              <w:rPr>
                <w:rFonts w:hint="default"/>
                <w:i/>
                <w:iCs/>
                <w:color w:val="auto"/>
                <w:kern w:val="0"/>
                <w:sz w:val="24"/>
                <w:szCs w:val="24"/>
              </w:rPr>
              <w:t>r</w:t>
            </w:r>
            <w:r>
              <w:rPr>
                <w:rFonts w:hint="default"/>
                <w:color w:val="auto"/>
                <w:kern w:val="0"/>
                <w:sz w:val="24"/>
                <w:szCs w:val="24"/>
              </w:rPr>
              <w:t>—声源到靠近围护结构某点处的距离，m。</w:t>
            </w:r>
          </w:p>
          <w:p>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然后按下式计算出所有室内声源在围护结构处产生的i倍频带叠加声压级：</w:t>
            </w:r>
          </w:p>
          <w:p>
            <w:pPr>
              <w:keepNext w:val="0"/>
              <w:keepLines w:val="0"/>
              <w:pageBreakBefore w:val="0"/>
              <w:suppressLineNumbers w:val="0"/>
              <w:kinsoku/>
              <w:wordWrap/>
              <w:overflowPunct/>
              <w:topLinePunct w:val="0"/>
              <w:autoSpaceDE w:val="0"/>
              <w:autoSpaceDN w:val="0"/>
              <w:bidi w:val="0"/>
              <w:adjustRightIn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color w:val="FF0000"/>
                <w:sz w:val="24"/>
                <w:szCs w:val="24"/>
              </w:rPr>
              <w:drawing>
                <wp:inline distT="0" distB="0" distL="114300" distR="114300">
                  <wp:extent cx="1537970" cy="492125"/>
                  <wp:effectExtent l="0" t="0" r="5080" b="317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2"/>
                          <a:stretch>
                            <a:fillRect/>
                          </a:stretch>
                        </pic:blipFill>
                        <pic:spPr>
                          <a:xfrm>
                            <a:off x="0" y="0"/>
                            <a:ext cx="1537970" cy="492125"/>
                          </a:xfrm>
                          <a:prstGeom prst="rect">
                            <a:avLst/>
                          </a:prstGeom>
                          <a:noFill/>
                          <a:ln>
                            <a:noFill/>
                          </a:ln>
                        </pic:spPr>
                      </pic:pic>
                    </a:graphicData>
                  </a:graphic>
                </wp:inline>
              </w:drawing>
            </w:r>
          </w:p>
          <w:p>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default"/>
                <w:color w:val="auto"/>
                <w:kern w:val="0"/>
                <w:sz w:val="24"/>
                <w:szCs w:val="24"/>
              </w:rPr>
            </w:pPr>
            <w:r>
              <w:rPr>
                <w:rFonts w:hint="default"/>
                <w:color w:val="auto"/>
                <w:kern w:val="0"/>
                <w:sz w:val="24"/>
                <w:szCs w:val="24"/>
              </w:rPr>
              <w:t>式中：</w:t>
            </w:r>
            <w:r>
              <w:rPr>
                <w:rFonts w:hint="default"/>
                <w:i/>
                <w:iCs/>
                <w:color w:val="auto"/>
                <w:kern w:val="0"/>
                <w:sz w:val="24"/>
                <w:szCs w:val="24"/>
              </w:rPr>
              <w:t>L</w:t>
            </w:r>
            <w:r>
              <w:rPr>
                <w:rFonts w:hint="default"/>
                <w:i/>
                <w:iCs/>
                <w:color w:val="auto"/>
                <w:kern w:val="0"/>
                <w:sz w:val="24"/>
                <w:szCs w:val="24"/>
                <w:vertAlign w:val="subscript"/>
              </w:rPr>
              <w:t>Pli</w:t>
            </w:r>
            <w:r>
              <w:rPr>
                <w:rFonts w:hint="default"/>
                <w:i/>
                <w:iCs/>
                <w:color w:val="auto"/>
                <w:kern w:val="0"/>
                <w:sz w:val="24"/>
                <w:szCs w:val="24"/>
              </w:rPr>
              <w:t>（T）</w:t>
            </w:r>
            <w:r>
              <w:rPr>
                <w:rFonts w:hint="default"/>
                <w:color w:val="auto"/>
                <w:kern w:val="0"/>
                <w:sz w:val="24"/>
                <w:szCs w:val="24"/>
              </w:rPr>
              <w:t>—靠近围护结构处室内N个声源i倍频带叠加声压级，dB；</w:t>
            </w:r>
          </w:p>
          <w:p>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default"/>
                <w:color w:val="auto"/>
                <w:kern w:val="0"/>
                <w:sz w:val="24"/>
                <w:szCs w:val="24"/>
              </w:rPr>
            </w:pPr>
            <w:r>
              <w:rPr>
                <w:rFonts w:hint="default"/>
                <w:i/>
                <w:iCs/>
                <w:color w:val="auto"/>
                <w:kern w:val="0"/>
                <w:sz w:val="24"/>
                <w:szCs w:val="24"/>
              </w:rPr>
              <w:t>L</w:t>
            </w:r>
            <w:r>
              <w:rPr>
                <w:rFonts w:hint="default"/>
                <w:i/>
                <w:iCs/>
                <w:color w:val="auto"/>
                <w:kern w:val="0"/>
                <w:sz w:val="24"/>
                <w:szCs w:val="24"/>
                <w:vertAlign w:val="subscript"/>
              </w:rPr>
              <w:t>Plij</w:t>
            </w:r>
            <w:r>
              <w:rPr>
                <w:rFonts w:hint="default"/>
                <w:color w:val="auto"/>
                <w:kern w:val="0"/>
                <w:sz w:val="24"/>
                <w:szCs w:val="24"/>
              </w:rPr>
              <w:t>—室内j声源i倍频带的声压级，dB；</w:t>
            </w:r>
          </w:p>
          <w:p>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default"/>
                <w:color w:val="auto"/>
                <w:kern w:val="0"/>
                <w:sz w:val="24"/>
                <w:szCs w:val="24"/>
              </w:rPr>
            </w:pPr>
            <w:r>
              <w:rPr>
                <w:rFonts w:hint="default"/>
                <w:i/>
                <w:iCs/>
                <w:color w:val="auto"/>
                <w:kern w:val="0"/>
                <w:sz w:val="24"/>
                <w:szCs w:val="24"/>
              </w:rPr>
              <w:t>N</w:t>
            </w:r>
            <w:r>
              <w:rPr>
                <w:rFonts w:hint="default"/>
                <w:color w:val="auto"/>
                <w:kern w:val="0"/>
                <w:sz w:val="24"/>
                <w:szCs w:val="24"/>
              </w:rPr>
              <w:t>——室内声源总数。</w:t>
            </w:r>
          </w:p>
          <w:p>
            <w:pPr>
              <w:keepNext w:val="0"/>
              <w:keepLines w:val="0"/>
              <w:pageBreakBefore w:val="0"/>
              <w:suppressLineNumbers w:val="0"/>
              <w:kinsoku/>
              <w:wordWrap/>
              <w:overflowPunct/>
              <w:topLinePunct w:val="0"/>
              <w:bidi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宋体" w:hAnsi="宋体" w:eastAsia="宋体" w:cs="宋体"/>
                <w:bCs/>
                <w:color w:val="auto"/>
                <w:sz w:val="24"/>
                <w:szCs w:val="24"/>
              </w:rPr>
              <w:t>②</w:t>
            </w:r>
            <w:r>
              <w:rPr>
                <w:rFonts w:hint="eastAsia" w:ascii="宋体" w:hAnsi="宋体" w:eastAsia="宋体" w:cs="宋体"/>
                <w:bCs/>
                <w:color w:val="auto"/>
                <w:sz w:val="24"/>
                <w:szCs w:val="24"/>
                <w:lang w:val="en-US" w:eastAsia="zh-CN"/>
              </w:rPr>
              <w:t>在室内近似为扩散声场时，按下式计算出靠近室外围护结构处的声压级；</w:t>
            </w:r>
          </w:p>
          <w:p>
            <w:pPr>
              <w:keepNext w:val="0"/>
              <w:keepLines w:val="0"/>
              <w:pageBreakBefore w:val="0"/>
              <w:suppressLineNumbers w:val="0"/>
              <w:kinsoku/>
              <w:wordWrap/>
              <w:overflowPunct/>
              <w:topLinePunct w:val="0"/>
              <w:bidi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default"/>
                <w:color w:val="auto"/>
                <w:sz w:val="24"/>
                <w:szCs w:val="24"/>
              </w:rPr>
              <w:object>
                <v:shape id="_x0000_i1025" o:spt="75" type="#_x0000_t75" style="height:20.4pt;width:136.8pt;" o:ole="t" filled="f" stroked="f" coordsize="21600,21600">
                  <v:path/>
                  <v:fill on="f" focussize="0,0"/>
                  <v:stroke on="f"/>
                  <v:imagedata r:id="rId14" o:title=""/>
                  <o:lock v:ext="edit" grouping="f" rotation="f" text="f" aspectratio="t"/>
                  <w10:wrap type="none"/>
                  <w10:anchorlock/>
                </v:shape>
                <o:OLEObject Type="Embed" ProgID="Equation.DSMT4" ShapeID="_x0000_i1025" DrawAspect="Content" ObjectID="_1468075726" r:id="rId13">
                  <o:LockedField>false</o:LockedField>
                </o:OLEObject>
              </w:objec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L</w:t>
            </w:r>
            <w:r>
              <w:rPr>
                <w:rFonts w:hint="default" w:ascii="Times New Roman" w:hAnsi="Times New Roman" w:eastAsia="宋体" w:cs="Times New Roman"/>
                <w:bCs/>
                <w:color w:val="auto"/>
                <w:sz w:val="24"/>
                <w:szCs w:val="24"/>
                <w:vertAlign w:val="subscript"/>
                <w:lang w:val="en-US" w:eastAsia="zh-CN"/>
              </w:rPr>
              <w:t>p2</w:t>
            </w:r>
            <w:r>
              <w:rPr>
                <w:rFonts w:hint="eastAsia" w:ascii="Times New Roman" w:hAnsi="Times New Roman" w:eastAsia="宋体" w:cs="Times New Roman"/>
                <w:bCs/>
                <w:color w:val="auto"/>
                <w:sz w:val="24"/>
                <w:szCs w:val="24"/>
                <w:vertAlign w:val="subscript"/>
                <w:lang w:val="en-US" w:eastAsia="zh-CN"/>
              </w:rPr>
              <w:t>i</w:t>
            </w:r>
            <w:r>
              <w:rPr>
                <w:rFonts w:hint="eastAsia" w:ascii="Times New Roman" w:hAnsi="Times New Roman" w:eastAsia="宋体" w:cs="Times New Roman"/>
                <w:bCs/>
                <w:color w:val="auto"/>
                <w:sz w:val="24"/>
                <w:szCs w:val="24"/>
                <w:vertAlign w:val="baseline"/>
                <w:lang w:val="en-US" w:eastAsia="zh-CN"/>
              </w:rPr>
              <w:t>（T）</w:t>
            </w:r>
            <w:r>
              <w:rPr>
                <w:rFonts w:hint="default"/>
                <w:color w:val="auto"/>
                <w:kern w:val="0"/>
                <w:sz w:val="24"/>
                <w:szCs w:val="24"/>
              </w:rPr>
              <w:t>—</w:t>
            </w:r>
            <w:r>
              <w:rPr>
                <w:rFonts w:hint="eastAsia"/>
                <w:color w:val="auto"/>
                <w:kern w:val="0"/>
                <w:sz w:val="24"/>
                <w:szCs w:val="24"/>
                <w:lang w:val="en-US" w:eastAsia="zh-CN"/>
              </w:rPr>
              <w:t>靠近围护结构处室外N个声源i倍频带的叠加声压级，</w:t>
            </w:r>
            <w:r>
              <w:rPr>
                <w:rFonts w:hint="default"/>
                <w:color w:val="auto"/>
                <w:kern w:val="0"/>
                <w:sz w:val="24"/>
                <w:szCs w:val="24"/>
              </w:rPr>
              <w:t>dB；</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L</w:t>
            </w:r>
            <w:r>
              <w:rPr>
                <w:rFonts w:hint="default" w:ascii="Times New Roman" w:hAnsi="Times New Roman" w:eastAsia="宋体" w:cs="Times New Roman"/>
                <w:bCs/>
                <w:color w:val="auto"/>
                <w:sz w:val="24"/>
                <w:szCs w:val="24"/>
                <w:vertAlign w:val="subscript"/>
                <w:lang w:val="en-US" w:eastAsia="zh-CN"/>
              </w:rPr>
              <w:t>p1</w:t>
            </w:r>
            <w:r>
              <w:rPr>
                <w:rFonts w:hint="eastAsia" w:ascii="Times New Roman" w:hAnsi="Times New Roman" w:eastAsia="宋体" w:cs="Times New Roman"/>
                <w:bCs/>
                <w:color w:val="auto"/>
                <w:sz w:val="24"/>
                <w:szCs w:val="24"/>
                <w:vertAlign w:val="subscript"/>
                <w:lang w:val="en-US" w:eastAsia="zh-CN"/>
              </w:rPr>
              <w:t>i</w:t>
            </w:r>
            <w:r>
              <w:rPr>
                <w:rFonts w:hint="eastAsia" w:ascii="Times New Roman" w:hAnsi="Times New Roman" w:eastAsia="宋体" w:cs="Times New Roman"/>
                <w:bCs/>
                <w:color w:val="auto"/>
                <w:sz w:val="24"/>
                <w:szCs w:val="24"/>
                <w:vertAlign w:val="baseline"/>
                <w:lang w:val="en-US" w:eastAsia="zh-CN"/>
              </w:rPr>
              <w:t>（T）</w:t>
            </w:r>
            <w:r>
              <w:rPr>
                <w:rFonts w:hint="default"/>
                <w:color w:val="auto"/>
                <w:kern w:val="0"/>
                <w:sz w:val="24"/>
                <w:szCs w:val="24"/>
              </w:rPr>
              <w:t>—</w:t>
            </w:r>
            <w:r>
              <w:rPr>
                <w:rFonts w:hint="eastAsia"/>
                <w:color w:val="auto"/>
                <w:kern w:val="0"/>
                <w:sz w:val="24"/>
                <w:szCs w:val="24"/>
                <w:lang w:val="en-US" w:eastAsia="zh-CN"/>
              </w:rPr>
              <w:t>靠近围护结构处室内N个声源i倍频带的叠加声压级，</w:t>
            </w:r>
            <w:r>
              <w:rPr>
                <w:rFonts w:hint="default"/>
                <w:color w:val="auto"/>
                <w:kern w:val="0"/>
                <w:sz w:val="24"/>
                <w:szCs w:val="24"/>
              </w:rPr>
              <w:t>dB；</w:t>
            </w:r>
          </w:p>
          <w:p>
            <w:pPr>
              <w:keepNext w:val="0"/>
              <w:keepLines w:val="0"/>
              <w:pageBreakBefore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TL</w:t>
            </w:r>
            <w:r>
              <w:rPr>
                <w:rFonts w:hint="default"/>
                <w:color w:val="auto"/>
                <w:kern w:val="0"/>
                <w:sz w:val="24"/>
                <w:szCs w:val="24"/>
              </w:rPr>
              <w:t>—</w:t>
            </w:r>
            <w:r>
              <w:rPr>
                <w:rFonts w:hint="eastAsia"/>
                <w:color w:val="auto"/>
                <w:kern w:val="0"/>
                <w:sz w:val="24"/>
                <w:szCs w:val="24"/>
                <w:lang w:val="en-US" w:eastAsia="zh-CN"/>
              </w:rPr>
              <w:t>围护结构i倍频带的隔声量，</w:t>
            </w:r>
            <w:r>
              <w:rPr>
                <w:rFonts w:hint="default"/>
                <w:color w:val="auto"/>
                <w:kern w:val="0"/>
                <w:sz w:val="24"/>
                <w:szCs w:val="24"/>
              </w:rPr>
              <w:t>dB</w:t>
            </w:r>
            <w:r>
              <w:rPr>
                <w:rFonts w:hint="eastAsia"/>
                <w:color w:val="auto"/>
                <w:kern w:val="0"/>
                <w:sz w:val="24"/>
                <w:szCs w:val="24"/>
                <w:lang w:eastAsia="zh-CN"/>
              </w:rPr>
              <w:t>。</w:t>
            </w:r>
          </w:p>
          <w:p>
            <w:pPr>
              <w:keepNext w:val="0"/>
              <w:keepLines w:val="0"/>
              <w:pageBreakBefore w:val="0"/>
              <w:suppressLineNumbers w:val="0"/>
              <w:kinsoku/>
              <w:wordWrap/>
              <w:overflowPunct/>
              <w:topLinePunct w:val="0"/>
              <w:bidi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然后按下式将室外声源的声压级和透过面积换算成等效的室外声源，计算出中心位置位于透声面积（S）处的等效声源的倍频带声功率级。</w:t>
            </w:r>
          </w:p>
          <w:p>
            <w:pPr>
              <w:keepNext w:val="0"/>
              <w:keepLines w:val="0"/>
              <w:pageBreakBefore w:val="0"/>
              <w:suppressLineNumbers w:val="0"/>
              <w:kinsoku/>
              <w:wordWrap/>
              <w:overflowPunct/>
              <w:topLinePunct w:val="0"/>
              <w:bidi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szCs w:val="24"/>
                <w:lang w:val="en-US" w:eastAsia="zh-CN"/>
              </w:rPr>
              <w:t>L</w:t>
            </w:r>
            <w:r>
              <w:rPr>
                <w:rFonts w:hint="eastAsia" w:ascii="Times New Roman" w:hAnsi="Times New Roman" w:eastAsia="宋体" w:cs="Times New Roman"/>
                <w:bCs/>
                <w:color w:val="auto"/>
                <w:sz w:val="24"/>
                <w:szCs w:val="24"/>
                <w:vertAlign w:val="subscript"/>
                <w:lang w:val="en-US" w:eastAsia="zh-CN"/>
              </w:rPr>
              <w:t>w</w:t>
            </w:r>
            <w:r>
              <w:rPr>
                <w:rFonts w:hint="default" w:ascii="Times New Roman" w:hAnsi="Times New Roman" w:eastAsia="宋体" w:cs="Times New Roman"/>
                <w:bCs/>
                <w:color w:val="auto"/>
                <w:sz w:val="24"/>
                <w:szCs w:val="24"/>
                <w:vertAlign w:val="baseline"/>
                <w:lang w:val="en-US" w:eastAsia="zh-CN"/>
              </w:rPr>
              <w:t>=</w:t>
            </w:r>
            <w:r>
              <w:rPr>
                <w:rFonts w:hint="default" w:ascii="Times New Roman" w:hAnsi="Times New Roman" w:eastAsia="宋体" w:cs="Times New Roman"/>
                <w:bCs/>
                <w:color w:val="auto"/>
                <w:sz w:val="24"/>
                <w:szCs w:val="24"/>
                <w:lang w:val="en-US" w:eastAsia="zh-CN"/>
              </w:rPr>
              <w:t>L</w:t>
            </w:r>
            <w:r>
              <w:rPr>
                <w:rFonts w:hint="default" w:ascii="Times New Roman" w:hAnsi="Times New Roman" w:eastAsia="宋体" w:cs="Times New Roman"/>
                <w:bCs/>
                <w:color w:val="auto"/>
                <w:sz w:val="24"/>
                <w:szCs w:val="24"/>
                <w:vertAlign w:val="subscript"/>
                <w:lang w:val="en-US" w:eastAsia="zh-CN"/>
              </w:rPr>
              <w:t>p2</w:t>
            </w:r>
            <w:r>
              <w:rPr>
                <w:rFonts w:hint="eastAsia" w:ascii="Times New Roman" w:hAnsi="Times New Roman" w:eastAsia="宋体" w:cs="Times New Roman"/>
                <w:bCs/>
                <w:color w:val="auto"/>
                <w:sz w:val="24"/>
                <w:szCs w:val="24"/>
                <w:vertAlign w:val="baseline"/>
                <w:lang w:val="en-US" w:eastAsia="zh-CN"/>
              </w:rPr>
              <w:t>（T）+10lgS式中：</w:t>
            </w:r>
          </w:p>
          <w:p>
            <w:pPr>
              <w:keepNext w:val="0"/>
              <w:keepLines w:val="0"/>
              <w:pageBreakBefore w:val="0"/>
              <w:suppressLineNumbers w:val="0"/>
              <w:kinsoku/>
              <w:wordWrap/>
              <w:overflowPunct/>
              <w:topLinePunct w:val="0"/>
              <w:bidi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szCs w:val="24"/>
                <w:lang w:val="en-US" w:eastAsia="zh-CN"/>
              </w:rPr>
              <w:t>L</w:t>
            </w:r>
            <w:r>
              <w:rPr>
                <w:rFonts w:hint="eastAsia" w:ascii="Times New Roman" w:hAnsi="Times New Roman" w:eastAsia="宋体" w:cs="Times New Roman"/>
                <w:bCs/>
                <w:color w:val="auto"/>
                <w:sz w:val="24"/>
                <w:szCs w:val="24"/>
                <w:vertAlign w:val="subscript"/>
                <w:lang w:val="en-US" w:eastAsia="zh-CN"/>
              </w:rPr>
              <w:t>w</w:t>
            </w:r>
            <w:r>
              <w:rPr>
                <w:rFonts w:hint="default"/>
                <w:color w:val="auto"/>
                <w:kern w:val="0"/>
                <w:sz w:val="24"/>
                <w:szCs w:val="24"/>
              </w:rPr>
              <w:t>—</w:t>
            </w:r>
            <w:r>
              <w:rPr>
                <w:rFonts w:hint="eastAsia"/>
                <w:color w:val="auto"/>
                <w:kern w:val="0"/>
                <w:sz w:val="24"/>
                <w:szCs w:val="24"/>
                <w:lang w:val="en-US" w:eastAsia="zh-CN"/>
              </w:rPr>
              <w:t>中心位置位于透声面积（S）处的等效声源的倍频带声功率级，</w:t>
            </w:r>
            <w:r>
              <w:rPr>
                <w:rFonts w:hint="default"/>
                <w:color w:val="auto"/>
                <w:kern w:val="0"/>
                <w:sz w:val="24"/>
                <w:szCs w:val="24"/>
              </w:rPr>
              <w:t>dB；</w:t>
            </w:r>
          </w:p>
          <w:p>
            <w:pPr>
              <w:keepNext w:val="0"/>
              <w:keepLines w:val="0"/>
              <w:pageBreakBefore w:val="0"/>
              <w:suppressLineNumbers w:val="0"/>
              <w:kinsoku/>
              <w:wordWrap/>
              <w:overflowPunct/>
              <w:topLinePunct w:val="0"/>
              <w:bidi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szCs w:val="24"/>
                <w:lang w:val="en-US" w:eastAsia="zh-CN"/>
              </w:rPr>
              <w:t>L</w:t>
            </w:r>
            <w:r>
              <w:rPr>
                <w:rFonts w:hint="default" w:ascii="Times New Roman" w:hAnsi="Times New Roman" w:eastAsia="宋体" w:cs="Times New Roman"/>
                <w:bCs/>
                <w:color w:val="auto"/>
                <w:sz w:val="24"/>
                <w:szCs w:val="24"/>
                <w:vertAlign w:val="subscript"/>
                <w:lang w:val="en-US" w:eastAsia="zh-CN"/>
              </w:rPr>
              <w:t>p2</w:t>
            </w:r>
            <w:r>
              <w:rPr>
                <w:rFonts w:hint="eastAsia" w:ascii="Times New Roman" w:hAnsi="Times New Roman" w:eastAsia="宋体" w:cs="Times New Roman"/>
                <w:bCs/>
                <w:color w:val="auto"/>
                <w:sz w:val="24"/>
                <w:szCs w:val="24"/>
                <w:vertAlign w:val="baseline"/>
                <w:lang w:val="en-US" w:eastAsia="zh-CN"/>
              </w:rPr>
              <w:t>（T）</w:t>
            </w:r>
            <w:r>
              <w:rPr>
                <w:rFonts w:hint="default"/>
                <w:color w:val="auto"/>
                <w:kern w:val="0"/>
                <w:sz w:val="24"/>
                <w:szCs w:val="24"/>
              </w:rPr>
              <w:t>—</w:t>
            </w:r>
            <w:r>
              <w:rPr>
                <w:rFonts w:hint="eastAsia"/>
                <w:color w:val="auto"/>
                <w:kern w:val="0"/>
                <w:sz w:val="24"/>
                <w:szCs w:val="24"/>
                <w:lang w:val="en-US" w:eastAsia="zh-CN"/>
              </w:rPr>
              <w:t>靠近围护结构处室外声源的声压级，</w:t>
            </w:r>
            <w:r>
              <w:rPr>
                <w:rFonts w:hint="default"/>
                <w:color w:val="auto"/>
                <w:kern w:val="0"/>
                <w:sz w:val="24"/>
                <w:szCs w:val="24"/>
              </w:rPr>
              <w:t>dB；</w:t>
            </w:r>
          </w:p>
          <w:p>
            <w:pPr>
              <w:keepNext w:val="0"/>
              <w:keepLines w:val="0"/>
              <w:pageBreakBefore w:val="0"/>
              <w:suppressLineNumbers w:val="0"/>
              <w:kinsoku/>
              <w:wordWrap/>
              <w:overflowPunct/>
              <w:topLinePunct w:val="0"/>
              <w:bidi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Cs/>
                <w:color w:val="auto"/>
                <w:sz w:val="24"/>
                <w:szCs w:val="24"/>
                <w:vertAlign w:val="baseline"/>
                <w:lang w:val="en-US" w:eastAsia="zh-CN"/>
              </w:rPr>
              <w:t>S</w:t>
            </w:r>
            <w:r>
              <w:rPr>
                <w:rFonts w:hint="default"/>
                <w:color w:val="auto"/>
                <w:kern w:val="0"/>
                <w:sz w:val="24"/>
                <w:szCs w:val="24"/>
              </w:rPr>
              <w:t>—</w:t>
            </w:r>
            <w:r>
              <w:rPr>
                <w:rFonts w:hint="eastAsia"/>
                <w:color w:val="auto"/>
                <w:kern w:val="0"/>
                <w:sz w:val="24"/>
                <w:szCs w:val="24"/>
                <w:lang w:val="en-US" w:eastAsia="zh-CN"/>
              </w:rPr>
              <w:t>透声面积，m</w:t>
            </w:r>
            <w:r>
              <w:rPr>
                <w:rFonts w:hint="eastAsia"/>
                <w:color w:val="auto"/>
                <w:kern w:val="0"/>
                <w:sz w:val="24"/>
                <w:szCs w:val="24"/>
                <w:vertAlign w:val="superscript"/>
                <w:lang w:val="en-US" w:eastAsia="zh-CN"/>
              </w:rPr>
              <w:t>2</w:t>
            </w:r>
            <w:r>
              <w:rPr>
                <w:rFonts w:hint="default"/>
                <w:color w:val="auto"/>
                <w:kern w:val="0"/>
                <w:sz w:val="24"/>
                <w:szCs w:val="24"/>
              </w:rPr>
              <w:t>；</w:t>
            </w:r>
          </w:p>
          <w:p>
            <w:pPr>
              <w:keepNext w:val="0"/>
              <w:keepLines w:val="0"/>
              <w:pageBreakBefore w:val="0"/>
              <w:suppressLineNumbers w:val="0"/>
              <w:kinsoku/>
              <w:wordWrap/>
              <w:overflowPunct/>
              <w:topLinePunct w:val="0"/>
              <w:bidi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3.3预测点的等效</w:t>
            </w:r>
            <w:r>
              <w:rPr>
                <w:rFonts w:hint="default" w:ascii="Times New Roman" w:hAnsi="Times New Roman" w:eastAsia="宋体" w:cs="Times New Roman"/>
                <w:color w:val="auto"/>
                <w:sz w:val="24"/>
                <w:szCs w:val="24"/>
                <w:highlight w:val="none"/>
              </w:rPr>
              <w:t>贡献值预测公式如下：</w:t>
            </w: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color w:val="auto"/>
                <w:sz w:val="24"/>
                <w:szCs w:val="24"/>
                <w:lang w:val="en-US" w:eastAsia="zh-CN"/>
              </w:rPr>
              <w:t>第i个室外声源在预测点产生的A声级为L</w:t>
            </w:r>
            <w:r>
              <w:rPr>
                <w:rFonts w:hint="default"/>
                <w:color w:val="auto"/>
                <w:sz w:val="24"/>
                <w:szCs w:val="24"/>
                <w:vertAlign w:val="subscript"/>
                <w:lang w:val="en-US" w:eastAsia="zh-CN"/>
              </w:rPr>
              <w:t>Ai</w:t>
            </w:r>
            <w:r>
              <w:rPr>
                <w:rFonts w:hint="default"/>
                <w:color w:val="auto"/>
                <w:sz w:val="24"/>
                <w:szCs w:val="24"/>
                <w:lang w:val="en-US" w:eastAsia="zh-CN"/>
              </w:rPr>
              <w:t>，在T时间内该声源工作时间为t</w:t>
            </w:r>
            <w:r>
              <w:rPr>
                <w:rFonts w:hint="default"/>
                <w:color w:val="auto"/>
                <w:sz w:val="24"/>
                <w:szCs w:val="24"/>
                <w:vertAlign w:val="subscript"/>
                <w:lang w:val="en-US" w:eastAsia="zh-CN"/>
              </w:rPr>
              <w:t>i</w:t>
            </w:r>
            <w:r>
              <w:rPr>
                <w:rFonts w:hint="default"/>
                <w:color w:val="auto"/>
                <w:sz w:val="24"/>
                <w:szCs w:val="24"/>
                <w:lang w:val="en-US" w:eastAsia="zh-CN"/>
              </w:rPr>
              <w:t>；第j个等效室外声源在预测点产生的A声级为L</w:t>
            </w:r>
            <w:r>
              <w:rPr>
                <w:rFonts w:hint="default"/>
                <w:color w:val="auto"/>
                <w:sz w:val="24"/>
                <w:szCs w:val="24"/>
                <w:vertAlign w:val="subscript"/>
                <w:lang w:val="en-US" w:eastAsia="zh-CN"/>
              </w:rPr>
              <w:t>Aj</w:t>
            </w:r>
            <w:r>
              <w:rPr>
                <w:rFonts w:hint="default"/>
                <w:color w:val="auto"/>
                <w:sz w:val="24"/>
                <w:szCs w:val="24"/>
                <w:lang w:val="en-US" w:eastAsia="zh-CN"/>
              </w:rPr>
              <w:t>，在T时间内该声源工作时间为t</w:t>
            </w:r>
            <w:r>
              <w:rPr>
                <w:rFonts w:hint="default"/>
                <w:color w:val="auto"/>
                <w:sz w:val="24"/>
                <w:szCs w:val="24"/>
                <w:vertAlign w:val="subscript"/>
                <w:lang w:val="en-US" w:eastAsia="zh-CN"/>
              </w:rPr>
              <w:t>j</w:t>
            </w:r>
            <w:r>
              <w:rPr>
                <w:rFonts w:hint="default"/>
                <w:color w:val="auto"/>
                <w:sz w:val="24"/>
                <w:szCs w:val="24"/>
                <w:lang w:val="en-US" w:eastAsia="zh-CN"/>
              </w:rPr>
              <w:t>，则预测点的总等效声级为</w:t>
            </w: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anchor distT="0" distB="0" distL="114300" distR="114300" simplePos="0" relativeHeight="251660288" behindDoc="0" locked="0" layoutInCell="1" allowOverlap="1">
                  <wp:simplePos x="0" y="0"/>
                  <wp:positionH relativeFrom="column">
                    <wp:posOffset>990600</wp:posOffset>
                  </wp:positionH>
                  <wp:positionV relativeFrom="paragraph">
                    <wp:posOffset>-104140</wp:posOffset>
                  </wp:positionV>
                  <wp:extent cx="2675255" cy="445770"/>
                  <wp:effectExtent l="0" t="0" r="10795" b="12065"/>
                  <wp:wrapNone/>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5"/>
                          <a:stretch>
                            <a:fillRect/>
                          </a:stretch>
                        </pic:blipFill>
                        <pic:spPr>
                          <a:xfrm>
                            <a:off x="0" y="0"/>
                            <a:ext cx="2675255" cy="445770"/>
                          </a:xfrm>
                          <a:prstGeom prst="rect">
                            <a:avLst/>
                          </a:prstGeom>
                          <a:noFill/>
                          <a:ln>
                            <a:noFill/>
                          </a:ln>
                        </pic:spPr>
                      </pic:pic>
                    </a:graphicData>
                  </a:graphic>
                </wp:anchor>
              </w:drawing>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式中：</w:t>
            </w:r>
            <w:r>
              <w:rPr>
                <w:rFonts w:hint="eastAsia" w:ascii="Times New Roman" w:hAnsi="Times New Roman" w:eastAsia="宋体" w:cs="Times New Roman"/>
                <w:color w:val="auto"/>
                <w:sz w:val="24"/>
                <w:szCs w:val="24"/>
                <w:highlight w:val="none"/>
                <w:lang w:val="en-US" w:eastAsia="zh-CN"/>
              </w:rPr>
              <w:t>Leqg</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声源在预测点产生的噪声贡献值，</w:t>
            </w:r>
            <w:r>
              <w:rPr>
                <w:rFonts w:hint="default"/>
                <w:color w:val="auto"/>
                <w:kern w:val="0"/>
                <w:sz w:val="24"/>
                <w:szCs w:val="24"/>
              </w:rPr>
              <w:t>dB；</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t</w:t>
            </w:r>
            <w:r>
              <w:rPr>
                <w:rFonts w:hint="default" w:ascii="Times New Roman" w:hAnsi="Times New Roman" w:eastAsia="宋体" w:cs="Times New Roman"/>
                <w:color w:val="auto"/>
                <w:sz w:val="24"/>
                <w:szCs w:val="24"/>
                <w:highlight w:val="none"/>
                <w:vertAlign w:val="subscript"/>
              </w:rPr>
              <w:t>j</w:t>
            </w:r>
            <w:r>
              <w:rPr>
                <w:rFonts w:hint="default" w:ascii="Times New Roman" w:hAnsi="Times New Roman" w:eastAsia="宋体" w:cs="Times New Roman"/>
                <w:color w:val="auto"/>
                <w:sz w:val="24"/>
                <w:szCs w:val="24"/>
                <w:highlight w:val="none"/>
              </w:rPr>
              <w:t>—在T时间内j声源工作时间</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s；</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t</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—在T时间内i声源工作时间，s；</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T—用于计算等效声级的时间，s；</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N—室外声源个数；</w:t>
            </w:r>
          </w:p>
          <w:p>
            <w:pPr>
              <w:keepNext w:val="0"/>
              <w:keepLines w:val="0"/>
              <w:suppressLineNumbers w:val="0"/>
              <w:spacing w:before="0" w:beforeAutospacing="0" w:after="0" w:afterAutospacing="0" w:line="360" w:lineRule="auto"/>
              <w:ind w:left="0" w:right="0" w:firstLine="480" w:firstLineChars="200"/>
              <w:rPr>
                <w:rFonts w:hint="default"/>
                <w:color w:val="auto"/>
                <w:sz w:val="24"/>
                <w:szCs w:val="24"/>
                <w:lang w:val="en-US" w:eastAsia="zh-CN"/>
              </w:rPr>
            </w:pPr>
            <w:r>
              <w:rPr>
                <w:rFonts w:hint="default" w:ascii="Times New Roman" w:hAnsi="Times New Roman" w:eastAsia="宋体" w:cs="Times New Roman"/>
                <w:color w:val="auto"/>
                <w:sz w:val="24"/>
                <w:szCs w:val="24"/>
                <w:highlight w:val="none"/>
              </w:rPr>
              <w:t>M—等效室外声源个数。</w:t>
            </w:r>
          </w:p>
          <w:p>
            <w:pPr>
              <w:pStyle w:val="23"/>
              <w:keepNext w:val="0"/>
              <w:keepLines w:val="0"/>
              <w:suppressLineNumbers w:val="0"/>
              <w:bidi w:val="0"/>
              <w:spacing w:before="0" w:beforeAutospacing="0" w:after="0" w:afterAutospacing="0" w:line="360" w:lineRule="auto"/>
              <w:ind w:left="0" w:right="0"/>
              <w:rPr>
                <w:rFonts w:hint="default"/>
                <w:sz w:val="24"/>
                <w:szCs w:val="24"/>
                <w:lang w:val="en-US"/>
              </w:rPr>
            </w:pPr>
            <w:r>
              <w:rPr>
                <w:rFonts w:hint="default"/>
                <w:sz w:val="24"/>
                <w:szCs w:val="24"/>
                <w:lang w:val="en-US" w:eastAsia="zh-CN"/>
              </w:rPr>
              <w:t>噪声环境影响预测结果</w:t>
            </w:r>
          </w:p>
          <w:p>
            <w:pPr>
              <w:pStyle w:val="23"/>
              <w:keepNext w:val="0"/>
              <w:keepLines w:val="0"/>
              <w:suppressLineNumbers w:val="0"/>
              <w:bidi w:val="0"/>
              <w:spacing w:before="0" w:beforeAutospacing="0" w:after="0" w:afterAutospacing="0" w:line="360" w:lineRule="auto"/>
              <w:ind w:left="0" w:right="0"/>
              <w:rPr>
                <w:rFonts w:hint="default"/>
                <w:sz w:val="24"/>
                <w:szCs w:val="24"/>
                <w:lang w:val="en-US"/>
              </w:rPr>
            </w:pPr>
            <w:r>
              <w:rPr>
                <w:rFonts w:hint="default"/>
                <w:sz w:val="24"/>
                <w:szCs w:val="24"/>
                <w:lang w:val="en-US" w:eastAsia="zh-CN"/>
              </w:rPr>
              <w:t>根据噪声源衰减计算程序，预测结果详见下表。</w:t>
            </w:r>
          </w:p>
          <w:p>
            <w:pPr>
              <w:pStyle w:val="11"/>
              <w:keepNext w:val="0"/>
              <w:keepLines w:val="0"/>
              <w:suppressLineNumbers w:val="0"/>
              <w:bidi w:val="0"/>
              <w:spacing w:before="0" w:after="0" w:afterAutospacing="0"/>
              <w:ind w:right="0"/>
              <w:rPr>
                <w:rFonts w:hint="default"/>
                <w:lang w:val="en-US"/>
              </w:rPr>
            </w:pPr>
            <w:r>
              <w:rPr>
                <w:rFonts w:hint="default"/>
                <w:lang w:val="en-US" w:eastAsia="zh-CN"/>
              </w:rPr>
              <w:t>表4</w:t>
            </w:r>
            <w:r>
              <w:rPr>
                <w:rFonts w:hint="eastAsia"/>
                <w:lang w:val="en-US" w:eastAsia="zh-CN"/>
              </w:rPr>
              <w:t>-10</w:t>
            </w:r>
            <w:r>
              <w:rPr>
                <w:rFonts w:hint="default"/>
                <w:lang w:val="en-US" w:eastAsia="zh-CN"/>
              </w:rPr>
              <w:t xml:space="preserve"> 厂界噪声预测结果一览表</w:t>
            </w:r>
          </w:p>
          <w:tbl>
            <w:tblPr>
              <w:tblStyle w:val="18"/>
              <w:tblW w:w="8438" w:type="dxa"/>
              <w:jc w:val="center"/>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478"/>
              <w:gridCol w:w="1477"/>
              <w:gridCol w:w="1479"/>
              <w:gridCol w:w="1477"/>
              <w:gridCol w:w="1308"/>
              <w:gridCol w:w="1219"/>
            </w:tblGrid>
            <w:tr>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478" w:type="dxa"/>
                  <w:vMerge w:val="restar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厂界</w:t>
                  </w:r>
                </w:p>
              </w:tc>
              <w:tc>
                <w:tcPr>
                  <w:tcW w:w="29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贡献值</w:t>
                  </w:r>
                </w:p>
              </w:tc>
              <w:tc>
                <w:tcPr>
                  <w:tcW w:w="278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评价标准</w:t>
                  </w:r>
                </w:p>
              </w:tc>
              <w:tc>
                <w:tcPr>
                  <w:tcW w:w="1219" w:type="dxa"/>
                  <w:vMerge w:val="restart"/>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达标情况</w:t>
                  </w:r>
                </w:p>
              </w:tc>
            </w:tr>
            <w:tr>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78" w:type="dxa"/>
                  <w:vMerge w:val="continue"/>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昼间</w:t>
                  </w:r>
                </w:p>
              </w:tc>
              <w:tc>
                <w:tcPr>
                  <w:tcW w:w="14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夜间</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昼间</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夜间</w:t>
                  </w:r>
                </w:p>
              </w:tc>
              <w:tc>
                <w:tcPr>
                  <w:tcW w:w="1219" w:type="dxa"/>
                  <w:vMerge w:val="continue"/>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p>
              </w:tc>
            </w:tr>
            <w:tr>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478" w:type="dxa"/>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厂界东侧</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4</w:t>
                  </w:r>
                  <w:r>
                    <w:rPr>
                      <w:rFonts w:hint="eastAsia"/>
                      <w:lang w:val="en-US" w:eastAsia="zh-CN"/>
                    </w:rPr>
                    <w:t>8.1</w:t>
                  </w:r>
                  <w:r>
                    <w:rPr>
                      <w:rFonts w:hint="default"/>
                      <w:lang w:val="en-US" w:eastAsia="zh-CN"/>
                    </w:rPr>
                    <w:t>dB</w:t>
                  </w:r>
                  <w:r>
                    <w:rPr>
                      <w:rFonts w:hint="default"/>
                      <w:lang w:val="zh-CN" w:eastAsia="zh-CN"/>
                    </w:rPr>
                    <w:t>（A）</w:t>
                  </w:r>
                </w:p>
              </w:tc>
              <w:tc>
                <w:tcPr>
                  <w:tcW w:w="14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48.1</w:t>
                  </w:r>
                  <w:r>
                    <w:rPr>
                      <w:rFonts w:hint="default"/>
                      <w:lang w:val="en-US" w:eastAsia="zh-CN"/>
                    </w:rPr>
                    <w:t>dB</w:t>
                  </w:r>
                  <w:r>
                    <w:rPr>
                      <w:rFonts w:hint="default"/>
                      <w:lang w:val="zh-CN" w:eastAsia="zh-CN"/>
                    </w:rPr>
                    <w:t>（A）</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65B</w:t>
                  </w:r>
                  <w:r>
                    <w:rPr>
                      <w:rFonts w:hint="default"/>
                      <w:lang w:val="zh-CN" w:eastAsia="zh-CN"/>
                    </w:rPr>
                    <w:t>（A）</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55B</w:t>
                  </w:r>
                  <w:r>
                    <w:rPr>
                      <w:rFonts w:hint="default"/>
                      <w:lang w:val="zh-CN" w:eastAsia="zh-CN"/>
                    </w:rPr>
                    <w:t>（A）</w:t>
                  </w:r>
                </w:p>
              </w:tc>
              <w:tc>
                <w:tcPr>
                  <w:tcW w:w="1219"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达标</w:t>
                  </w:r>
                </w:p>
              </w:tc>
            </w:tr>
            <w:tr>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478" w:type="dxa"/>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厂界南侧</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49.45</w:t>
                  </w:r>
                  <w:r>
                    <w:rPr>
                      <w:rFonts w:hint="default"/>
                      <w:lang w:val="en-US" w:eastAsia="zh-CN"/>
                    </w:rPr>
                    <w:t>dB</w:t>
                  </w:r>
                  <w:r>
                    <w:rPr>
                      <w:rFonts w:hint="default"/>
                      <w:lang w:val="zh-CN" w:eastAsia="zh-CN"/>
                    </w:rPr>
                    <w:t>（A）</w:t>
                  </w:r>
                </w:p>
              </w:tc>
              <w:tc>
                <w:tcPr>
                  <w:tcW w:w="14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49.</w:t>
                  </w:r>
                  <w:r>
                    <w:rPr>
                      <w:rFonts w:hint="eastAsia"/>
                      <w:lang w:val="en-US" w:eastAsia="zh-CN"/>
                    </w:rPr>
                    <w:t>45</w:t>
                  </w:r>
                  <w:r>
                    <w:rPr>
                      <w:rFonts w:hint="default"/>
                      <w:lang w:val="en-US" w:eastAsia="zh-CN"/>
                    </w:rPr>
                    <w:t>dB</w:t>
                  </w:r>
                  <w:r>
                    <w:rPr>
                      <w:rFonts w:hint="default"/>
                      <w:lang w:val="zh-CN" w:eastAsia="zh-CN"/>
                    </w:rPr>
                    <w:t>（A）</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65B</w:t>
                  </w:r>
                  <w:r>
                    <w:rPr>
                      <w:rFonts w:hint="default"/>
                      <w:lang w:val="zh-CN" w:eastAsia="zh-CN"/>
                    </w:rPr>
                    <w:t>（A）</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55B</w:t>
                  </w:r>
                  <w:r>
                    <w:rPr>
                      <w:rFonts w:hint="default"/>
                      <w:lang w:val="zh-CN" w:eastAsia="zh-CN"/>
                    </w:rPr>
                    <w:t>（A）</w:t>
                  </w:r>
                </w:p>
              </w:tc>
              <w:tc>
                <w:tcPr>
                  <w:tcW w:w="1219"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达标</w:t>
                  </w:r>
                </w:p>
              </w:tc>
            </w:tr>
            <w:tr>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78" w:type="dxa"/>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厂界西侧</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47.32</w:t>
                  </w:r>
                  <w:r>
                    <w:rPr>
                      <w:rFonts w:hint="default"/>
                      <w:lang w:val="en-US" w:eastAsia="zh-CN"/>
                    </w:rPr>
                    <w:t>dB</w:t>
                  </w:r>
                  <w:r>
                    <w:rPr>
                      <w:rFonts w:hint="default"/>
                      <w:lang w:val="zh-CN" w:eastAsia="zh-CN"/>
                    </w:rPr>
                    <w:t>（A）</w:t>
                  </w:r>
                </w:p>
              </w:tc>
              <w:tc>
                <w:tcPr>
                  <w:tcW w:w="14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47.</w:t>
                  </w:r>
                  <w:r>
                    <w:rPr>
                      <w:rFonts w:hint="eastAsia"/>
                      <w:lang w:val="en-US" w:eastAsia="zh-CN"/>
                    </w:rPr>
                    <w:t>32</w:t>
                  </w:r>
                  <w:r>
                    <w:rPr>
                      <w:rFonts w:hint="default"/>
                      <w:lang w:val="en-US" w:eastAsia="zh-CN"/>
                    </w:rPr>
                    <w:t>dB</w:t>
                  </w:r>
                  <w:r>
                    <w:rPr>
                      <w:rFonts w:hint="default"/>
                      <w:lang w:val="zh-CN" w:eastAsia="zh-CN"/>
                    </w:rPr>
                    <w:t>（A）</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65B</w:t>
                  </w:r>
                  <w:r>
                    <w:rPr>
                      <w:rFonts w:hint="default"/>
                      <w:lang w:val="zh-CN" w:eastAsia="zh-CN"/>
                    </w:rPr>
                    <w:t>（A）</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55B</w:t>
                  </w:r>
                  <w:r>
                    <w:rPr>
                      <w:rFonts w:hint="default"/>
                      <w:lang w:val="zh-CN" w:eastAsia="zh-CN"/>
                    </w:rPr>
                    <w:t>（A）</w:t>
                  </w:r>
                </w:p>
              </w:tc>
              <w:tc>
                <w:tcPr>
                  <w:tcW w:w="1219"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达标</w:t>
                  </w:r>
                </w:p>
              </w:tc>
            </w:tr>
            <w:tr>
              <w:tblPrEx>
                <w:tblBorders>
                  <w:top w:val="single" w:color="auto" w:sz="4" w:space="0"/>
                  <w:left w:val="none" w:color="auto" w:sz="6" w:space="0"/>
                  <w:bottom w:val="single" w:color="auto" w:sz="4" w:space="0"/>
                  <w:right w:val="none" w:color="auto" w:sz="6"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1478" w:type="dxa"/>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厂界北侧</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40.2</w:t>
                  </w:r>
                  <w:r>
                    <w:rPr>
                      <w:rFonts w:hint="eastAsia"/>
                      <w:lang w:val="en-US" w:eastAsia="zh-CN"/>
                    </w:rPr>
                    <w:t>1</w:t>
                  </w:r>
                  <w:r>
                    <w:rPr>
                      <w:rFonts w:hint="default"/>
                      <w:lang w:val="en-US" w:eastAsia="zh-CN"/>
                    </w:rPr>
                    <w:t>dB</w:t>
                  </w:r>
                  <w:r>
                    <w:rPr>
                      <w:rFonts w:hint="default"/>
                      <w:lang w:val="zh-CN" w:eastAsia="zh-CN"/>
                    </w:rPr>
                    <w:t>（A）</w:t>
                  </w:r>
                </w:p>
              </w:tc>
              <w:tc>
                <w:tcPr>
                  <w:tcW w:w="147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40.2</w:t>
                  </w:r>
                  <w:r>
                    <w:rPr>
                      <w:rFonts w:hint="eastAsia"/>
                      <w:lang w:val="en-US" w:eastAsia="zh-CN"/>
                    </w:rPr>
                    <w:t>1</w:t>
                  </w:r>
                  <w:r>
                    <w:rPr>
                      <w:rFonts w:hint="default"/>
                      <w:lang w:val="en-US" w:eastAsia="zh-CN"/>
                    </w:rPr>
                    <w:t>dB</w:t>
                  </w:r>
                  <w:r>
                    <w:rPr>
                      <w:rFonts w:hint="default"/>
                      <w:lang w:val="zh-CN" w:eastAsia="zh-CN"/>
                    </w:rPr>
                    <w:t>（A）</w:t>
                  </w:r>
                </w:p>
              </w:tc>
              <w:tc>
                <w:tcPr>
                  <w:tcW w:w="14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65B</w:t>
                  </w:r>
                  <w:r>
                    <w:rPr>
                      <w:rFonts w:hint="default"/>
                      <w:lang w:val="zh-CN" w:eastAsia="zh-CN"/>
                    </w:rPr>
                    <w:t>（A）</w:t>
                  </w:r>
                </w:p>
              </w:tc>
              <w:tc>
                <w:tcPr>
                  <w:tcW w:w="130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55B</w:t>
                  </w:r>
                  <w:r>
                    <w:rPr>
                      <w:rFonts w:hint="default"/>
                      <w:lang w:val="zh-CN" w:eastAsia="zh-CN"/>
                    </w:rPr>
                    <w:t>（A）</w:t>
                  </w:r>
                </w:p>
              </w:tc>
              <w:tc>
                <w:tcPr>
                  <w:tcW w:w="1219"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达标</w:t>
                  </w:r>
                </w:p>
              </w:tc>
            </w:tr>
          </w:tbl>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由上表可见，厂界噪声排放达到《工业企业厂界环境噪声排放标准》（GB12348-2008）中3类标准要求（昼间：65dB（A）；夜间55dB（A）），对外环境的影响不大。因此，本项目噪声源噪声值经隔声、消声、减振、设备定期保养等降噪措施后，可保证厂界噪声达标排放，对区域环境的影响较小。</w:t>
            </w:r>
          </w:p>
          <w:p>
            <w:pPr>
              <w:pStyle w:val="23"/>
              <w:keepNext w:val="0"/>
              <w:keepLines w:val="0"/>
              <w:suppressLineNumbers w:val="0"/>
              <w:bidi w:val="0"/>
              <w:spacing w:before="0" w:beforeAutospacing="0" w:after="0" w:afterAutospacing="0"/>
              <w:ind w:left="0" w:right="0"/>
              <w:rPr>
                <w:rFonts w:hint="default"/>
              </w:rPr>
            </w:pPr>
            <w:r>
              <w:rPr>
                <w:rFonts w:hint="default"/>
                <w:lang w:val="en-US" w:eastAsia="zh-CN"/>
              </w:rPr>
              <w:t>4</w:t>
            </w:r>
            <w:r>
              <w:rPr>
                <w:rFonts w:hint="default"/>
              </w:rPr>
              <w:t>、声环境保护措施</w:t>
            </w:r>
          </w:p>
          <w:p>
            <w:pPr>
              <w:pStyle w:val="23"/>
              <w:keepNext w:val="0"/>
              <w:keepLines w:val="0"/>
              <w:suppressLineNumbers w:val="0"/>
              <w:bidi w:val="0"/>
              <w:spacing w:before="0" w:beforeAutospacing="0" w:after="0" w:afterAutospacing="0"/>
              <w:ind w:left="0" w:right="0"/>
              <w:rPr>
                <w:rFonts w:hint="default"/>
              </w:rPr>
            </w:pPr>
            <w:r>
              <w:rPr>
                <w:rFonts w:hint="default"/>
              </w:rPr>
              <w:t>根据建设单位提供资料，各类生产设施均置于室内，主要噪声源距离厂界较远，但为了进一步降低噪声对周围环境的影响，建议企业应采取以下措施：</w:t>
            </w:r>
          </w:p>
          <w:p>
            <w:pPr>
              <w:pStyle w:val="23"/>
              <w:keepNext w:val="0"/>
              <w:keepLines w:val="0"/>
              <w:suppressLineNumbers w:val="0"/>
              <w:bidi w:val="0"/>
              <w:spacing w:before="0" w:beforeAutospacing="0" w:after="0" w:afterAutospacing="0"/>
              <w:ind w:left="0" w:right="0"/>
              <w:rPr>
                <w:rFonts w:hint="default"/>
              </w:rPr>
            </w:pPr>
            <w:r>
              <w:rPr>
                <w:rFonts w:hint="default"/>
              </w:rPr>
              <w:t>（1）在高噪声设备机器底面安装垫木或者橡胶减振垫，用地脚螺栓固定，减小了设备运行时的振动和振动引起的噪声；</w:t>
            </w:r>
          </w:p>
          <w:p>
            <w:pPr>
              <w:pStyle w:val="23"/>
              <w:keepNext w:val="0"/>
              <w:keepLines w:val="0"/>
              <w:suppressLineNumbers w:val="0"/>
              <w:bidi w:val="0"/>
              <w:spacing w:before="0" w:beforeAutospacing="0" w:after="0" w:afterAutospacing="0"/>
              <w:ind w:left="0" w:right="0"/>
              <w:rPr>
                <w:rFonts w:hint="default"/>
              </w:rPr>
            </w:pPr>
            <w:r>
              <w:rPr>
                <w:rFonts w:hint="default"/>
              </w:rPr>
              <w:t>（2）合理布局，将生产设备集中布置在厂房中部；</w:t>
            </w:r>
          </w:p>
          <w:p>
            <w:pPr>
              <w:pStyle w:val="23"/>
              <w:keepNext w:val="0"/>
              <w:keepLines w:val="0"/>
              <w:suppressLineNumbers w:val="0"/>
              <w:bidi w:val="0"/>
              <w:spacing w:before="0" w:beforeAutospacing="0" w:after="0" w:afterAutospacing="0"/>
              <w:ind w:left="0" w:right="0"/>
              <w:rPr>
                <w:rFonts w:hint="default"/>
              </w:rPr>
            </w:pPr>
            <w:r>
              <w:rPr>
                <w:rFonts w:hint="default"/>
              </w:rPr>
              <w:t>（3）加强噪声设备的维修管理，避免因不正常运行所导致的噪声增大；</w:t>
            </w:r>
          </w:p>
          <w:p>
            <w:pPr>
              <w:pStyle w:val="23"/>
              <w:keepNext w:val="0"/>
              <w:keepLines w:val="0"/>
              <w:suppressLineNumbers w:val="0"/>
              <w:bidi w:val="0"/>
              <w:spacing w:before="0" w:beforeAutospacing="0" w:after="0" w:afterAutospacing="0"/>
              <w:ind w:left="0" w:right="0"/>
              <w:rPr>
                <w:rFonts w:hint="default"/>
              </w:rPr>
            </w:pPr>
            <w:r>
              <w:rPr>
                <w:rFonts w:hint="default"/>
              </w:rPr>
              <w:t>（4）在风机出风口位置安装消音器。</w:t>
            </w:r>
          </w:p>
          <w:p>
            <w:pPr>
              <w:pStyle w:val="23"/>
              <w:keepNext w:val="0"/>
              <w:keepLines w:val="0"/>
              <w:suppressLineNumbers w:val="0"/>
              <w:bidi w:val="0"/>
              <w:spacing w:before="0" w:beforeAutospacing="0" w:after="0" w:afterAutospacing="0"/>
              <w:ind w:left="0" w:right="0"/>
              <w:rPr>
                <w:rFonts w:hint="default"/>
              </w:rPr>
            </w:pPr>
            <w:r>
              <w:rPr>
                <w:rFonts w:hint="default"/>
                <w:lang w:val="en-US" w:eastAsia="zh-CN"/>
              </w:rPr>
              <w:t>5</w:t>
            </w:r>
            <w:r>
              <w:rPr>
                <w:rFonts w:hint="default"/>
              </w:rPr>
              <w:t>、环境监测计划</w:t>
            </w:r>
          </w:p>
          <w:p>
            <w:pPr>
              <w:pStyle w:val="23"/>
              <w:keepNext w:val="0"/>
              <w:keepLines w:val="0"/>
              <w:suppressLineNumbers w:val="0"/>
              <w:bidi w:val="0"/>
              <w:spacing w:before="0" w:beforeAutospacing="0" w:after="0" w:afterAutospacing="0"/>
              <w:ind w:left="0" w:right="0"/>
              <w:rPr>
                <w:rFonts w:hint="default"/>
              </w:rPr>
            </w:pPr>
            <w:r>
              <w:rPr>
                <w:rFonts w:hint="default"/>
              </w:rPr>
              <w:t>本次评价对本项目完成后的排污情况制定了详细的监测计划，对运营过程中产生的噪声进行监测，具体监测参照执行《排污单位自行监测技术指南</w:t>
            </w:r>
            <w:r>
              <w:rPr>
                <w:rFonts w:hint="eastAsia"/>
                <w:lang w:val="en-US" w:eastAsia="zh-CN"/>
              </w:rPr>
              <w:t xml:space="preserve"> </w:t>
            </w:r>
            <w:r>
              <w:rPr>
                <w:rFonts w:hint="default"/>
              </w:rPr>
              <w:t>电子工业》</w:t>
            </w:r>
            <w:r>
              <w:rPr>
                <w:rFonts w:hint="eastAsia"/>
                <w:lang w:eastAsia="zh-CN"/>
              </w:rPr>
              <w:t>（</w:t>
            </w:r>
            <w:r>
              <w:rPr>
                <w:rFonts w:hint="default"/>
              </w:rPr>
              <w:t>HJ1253-2022</w:t>
            </w:r>
            <w:r>
              <w:rPr>
                <w:rFonts w:hint="eastAsia"/>
                <w:lang w:eastAsia="zh-CN"/>
              </w:rPr>
              <w:t>）</w:t>
            </w:r>
            <w:r>
              <w:rPr>
                <w:rFonts w:hint="default"/>
              </w:rPr>
              <w:t>，本项目运行后，噪声监测计划如下。</w:t>
            </w:r>
          </w:p>
          <w:p>
            <w:pPr>
              <w:pStyle w:val="11"/>
              <w:keepNext w:val="0"/>
              <w:keepLines w:val="0"/>
              <w:suppressLineNumbers w:val="0"/>
              <w:bidi w:val="0"/>
              <w:spacing w:before="0" w:after="0" w:afterAutospacing="0"/>
              <w:ind w:right="0"/>
              <w:rPr>
                <w:rFonts w:hint="default"/>
              </w:rPr>
            </w:pPr>
            <w:r>
              <w:rPr>
                <w:rFonts w:hint="default"/>
              </w:rPr>
              <w:t>表4-</w:t>
            </w:r>
            <w:r>
              <w:rPr>
                <w:rFonts w:hint="eastAsia"/>
                <w:lang w:val="en-US" w:eastAsia="zh-CN"/>
              </w:rPr>
              <w:t xml:space="preserve">11 </w:t>
            </w:r>
            <w:r>
              <w:rPr>
                <w:rFonts w:hint="default"/>
              </w:rPr>
              <w:t>运营期噪声监测计划一览表</w:t>
            </w:r>
          </w:p>
          <w:tbl>
            <w:tblPr>
              <w:tblStyle w:val="19"/>
              <w:tblW w:w="855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294"/>
              <w:gridCol w:w="1078"/>
              <w:gridCol w:w="2240"/>
              <w:gridCol w:w="394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27" w:hRule="atLeast"/>
                <w:jc w:val="center"/>
              </w:trPr>
              <w:tc>
                <w:tcPr>
                  <w:tcW w:w="1294"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监测点位</w:t>
                  </w:r>
                </w:p>
              </w:tc>
              <w:tc>
                <w:tcPr>
                  <w:tcW w:w="107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监测指标</w:t>
                  </w:r>
                </w:p>
              </w:tc>
              <w:tc>
                <w:tcPr>
                  <w:tcW w:w="2240"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监测频次</w:t>
                  </w:r>
                </w:p>
              </w:tc>
              <w:tc>
                <w:tcPr>
                  <w:tcW w:w="3945"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执行排放标准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654" w:hRule="atLeast"/>
                <w:jc w:val="center"/>
              </w:trPr>
              <w:tc>
                <w:tcPr>
                  <w:tcW w:w="1294"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厂界外1m</w:t>
                  </w:r>
                </w:p>
              </w:tc>
              <w:tc>
                <w:tcPr>
                  <w:tcW w:w="1078"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噪声</w:t>
                  </w:r>
                </w:p>
              </w:tc>
              <w:tc>
                <w:tcPr>
                  <w:tcW w:w="2240"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1次/季，昼</w:t>
                  </w:r>
                  <w:r>
                    <w:rPr>
                      <w:rFonts w:hint="default"/>
                      <w:lang w:val="en-US" w:eastAsia="zh-CN"/>
                    </w:rPr>
                    <w:t>夜各</w:t>
                  </w:r>
                  <w:r>
                    <w:rPr>
                      <w:rFonts w:hint="default"/>
                    </w:rPr>
                    <w:t>1次</w:t>
                  </w:r>
                </w:p>
              </w:tc>
              <w:tc>
                <w:tcPr>
                  <w:tcW w:w="3945"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《工业企业厂界环境噪声排放标准》（GB12348-2008）中3类标准</w:t>
                  </w:r>
                </w:p>
              </w:tc>
            </w:tr>
          </w:tbl>
          <w:p>
            <w:pPr>
              <w:pStyle w:val="23"/>
              <w:keepNext w:val="0"/>
              <w:keepLines w:val="0"/>
              <w:suppressLineNumbers w:val="0"/>
              <w:bidi w:val="0"/>
              <w:spacing w:before="0" w:beforeAutospacing="0" w:after="0" w:afterAutospacing="0"/>
              <w:ind w:left="0" w:right="0"/>
              <w:rPr>
                <w:rFonts w:hint="default"/>
              </w:rPr>
            </w:pPr>
            <w:r>
              <w:rPr>
                <w:rFonts w:hint="default"/>
              </w:rPr>
              <w:t>四、固体废物处置措施</w:t>
            </w:r>
          </w:p>
          <w:p>
            <w:pPr>
              <w:pStyle w:val="23"/>
              <w:keepNext w:val="0"/>
              <w:keepLines w:val="0"/>
              <w:suppressLineNumbers w:val="0"/>
              <w:bidi w:val="0"/>
              <w:spacing w:before="0" w:beforeAutospacing="0" w:after="0" w:afterAutospacing="0"/>
              <w:ind w:left="0" w:right="0"/>
              <w:rPr>
                <w:rFonts w:hint="default"/>
                <w:lang w:val="en-US"/>
              </w:rPr>
            </w:pPr>
            <w:r>
              <w:rPr>
                <w:rFonts w:hint="default"/>
                <w:lang w:val="en-US" w:eastAsia="zh-CN"/>
              </w:rPr>
              <w:t>本项目建成后产生的固体废物主要为生活垃圾</w:t>
            </w:r>
            <w:r>
              <w:rPr>
                <w:rFonts w:hint="eastAsia"/>
                <w:lang w:val="en-US" w:eastAsia="zh-CN"/>
              </w:rPr>
              <w:t>、边角料、废包装、废试剂瓶、废过滤介质、废活性炭、废环氧树脂等</w:t>
            </w:r>
            <w:r>
              <w:rPr>
                <w:rFonts w:hint="default"/>
                <w:lang w:val="en-US" w:eastAsia="zh-CN"/>
              </w:rPr>
              <w:t>。</w:t>
            </w:r>
          </w:p>
          <w:p>
            <w:pPr>
              <w:pStyle w:val="23"/>
              <w:keepNext w:val="0"/>
              <w:keepLines w:val="0"/>
              <w:suppressLineNumbers w:val="0"/>
              <w:bidi w:val="0"/>
              <w:spacing w:before="0" w:beforeAutospacing="0" w:after="0" w:afterAutospacing="0"/>
              <w:ind w:left="0" w:right="0"/>
              <w:rPr>
                <w:rFonts w:hint="default"/>
                <w:lang w:val="en-US"/>
              </w:rPr>
            </w:pPr>
            <w:r>
              <w:rPr>
                <w:rFonts w:hint="eastAsia"/>
                <w:lang w:val="en-US" w:eastAsia="zh-CN"/>
              </w:rPr>
              <w:t>1、</w:t>
            </w:r>
            <w:r>
              <w:rPr>
                <w:rFonts w:hint="default"/>
                <w:lang w:val="en-US" w:eastAsia="zh-CN"/>
              </w:rPr>
              <w:t>生活垃圾</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项目劳动定员200人，生活垃圾产生系数按0.5kg/人·d计，则生活垃圾产生量为30t/a。集中收集后交由环卫部门统一清运处置。</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2、边角料</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在分切过程中，会产生边角料，产生量约2t/a，属于一般固废，收集后由有资质单位处置。</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3、废包装材料</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在包装过程，会产生废包装材料，产生量约为0.8t/a，收集后定期外售给物资回收部门。</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4、废试剂瓶</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项目使用完试剂后产生空的试剂瓶，产生量约</w:t>
            </w:r>
            <w:r>
              <w:rPr>
                <w:rFonts w:hint="eastAsia"/>
                <w:lang w:val="en-US" w:eastAsia="zh-CN"/>
              </w:rPr>
              <w:t>0.03</w:t>
            </w:r>
            <w:r>
              <w:rPr>
                <w:rFonts w:hint="default"/>
                <w:lang w:val="en-US" w:eastAsia="zh-CN"/>
              </w:rPr>
              <w:t>t/a，暂存于危废间内，委托有危废处置资质单位处置。</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5、废过滤介质</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项目使用的纯水机中的滤芯、反渗透膜等需要定期更换，属于一般固废，产生量约 0.02t/a。由厂家进行回收</w:t>
            </w:r>
            <w:r>
              <w:rPr>
                <w:rFonts w:hint="default"/>
                <w:lang w:val="en-US" w:eastAsia="zh-CN"/>
              </w:rPr>
              <w:t>。</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6、废活性炭</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项目废气治理设施需更换活性炭，根据《国家危险废物名录》，定期更换的废弃活性炭的废物类别为HW49（900-039-49）VOCs治理过程（不包括餐饮行业油烟治理过程）产生的废活性炭。活性炭吸附装置产生的废活性炭（属危险废物HW49 900-039-49），项目产生的废气需使用活性炭吸附，根据环境工程经验估算，1t活性炭吸附0.25t有机废气，本项目收集处理的有机废气量约为0.0015t/a，则预计项目年消耗活性炭量为0.006t，活性炭箱单次填装量为0.006t，每年更换一次，则项目每年产生的废活性炭吸附饱和物量约为0.0075t/a，属于危险废物HW49（900-039-49），委托有资质单位处置。</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7、碱液废水</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碱液喷淋工序产生的废水为5t/a，属于危险废物HW900-047-49，存放于危险废物暂存间，委托有资质单位处理。</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8、废环氧树脂</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塑封过程中产生的废环氧树脂</w:t>
            </w:r>
            <w:r>
              <w:rPr>
                <w:rFonts w:hint="default"/>
                <w:lang w:val="en-US" w:eastAsia="zh-CN"/>
              </w:rPr>
              <w:t>，产生量为0.0</w:t>
            </w:r>
            <w:r>
              <w:rPr>
                <w:rFonts w:hint="eastAsia"/>
                <w:lang w:val="en-US" w:eastAsia="zh-CN"/>
              </w:rPr>
              <w:t>2</w:t>
            </w:r>
            <w:r>
              <w:rPr>
                <w:rFonts w:hint="default"/>
                <w:lang w:val="en-US" w:eastAsia="zh-CN"/>
              </w:rPr>
              <w:t>t/a。属于HW</w:t>
            </w:r>
            <w:r>
              <w:rPr>
                <w:rFonts w:hint="eastAsia"/>
                <w:lang w:val="en-US" w:eastAsia="zh-CN"/>
              </w:rPr>
              <w:t>13</w:t>
            </w:r>
            <w:r>
              <w:rPr>
                <w:rFonts w:hint="default"/>
                <w:lang w:val="en-US" w:eastAsia="zh-CN"/>
              </w:rPr>
              <w:t>，废物代码：900-451-13，暂存于危废间内，委托有危废处置资质单位处置。</w:t>
            </w:r>
          </w:p>
          <w:p>
            <w:pPr>
              <w:pStyle w:val="11"/>
              <w:keepNext w:val="0"/>
              <w:keepLines w:val="0"/>
              <w:suppressLineNumbers w:val="0"/>
              <w:bidi w:val="0"/>
              <w:spacing w:before="0" w:after="0" w:afterAutospacing="0"/>
              <w:ind w:right="0"/>
              <w:rPr>
                <w:rFonts w:hint="default"/>
                <w:lang w:val="en-US"/>
              </w:rPr>
            </w:pPr>
            <w:r>
              <w:rPr>
                <w:rFonts w:hint="default"/>
                <w:lang w:val="en-US" w:eastAsia="zh-CN"/>
              </w:rPr>
              <w:t>表</w:t>
            </w:r>
            <w:r>
              <w:rPr>
                <w:rFonts w:hint="eastAsia"/>
                <w:lang w:val="en-US" w:eastAsia="zh-CN"/>
              </w:rPr>
              <w:t>4-12</w:t>
            </w:r>
            <w:r>
              <w:rPr>
                <w:rFonts w:hint="default"/>
                <w:lang w:val="en-US" w:eastAsia="zh-CN"/>
              </w:rPr>
              <w:t xml:space="preserve"> 项目一般固体废物产排污情况一览表</w:t>
            </w:r>
          </w:p>
          <w:tbl>
            <w:tblPr>
              <w:tblStyle w:val="19"/>
              <w:tblW w:w="5029" w:type="pct"/>
              <w:jc w:val="center"/>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Layout w:type="fixed"/>
              <w:tblCellMar>
                <w:top w:w="0" w:type="dxa"/>
                <w:left w:w="51" w:type="dxa"/>
                <w:bottom w:w="0" w:type="dxa"/>
                <w:right w:w="51" w:type="dxa"/>
              </w:tblCellMar>
            </w:tblPr>
            <w:tblGrid>
              <w:gridCol w:w="561"/>
              <w:gridCol w:w="677"/>
              <w:gridCol w:w="1230"/>
              <w:gridCol w:w="345"/>
              <w:gridCol w:w="690"/>
              <w:gridCol w:w="525"/>
              <w:gridCol w:w="630"/>
              <w:gridCol w:w="848"/>
              <w:gridCol w:w="876"/>
              <w:gridCol w:w="975"/>
              <w:gridCol w:w="1139"/>
            </w:tblGrid>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51" w:type="dxa"/>
                  <w:bottom w:w="0" w:type="dxa"/>
                  <w:right w:w="51" w:type="dxa"/>
                </w:tblCellMar>
              </w:tblPrEx>
              <w:trPr>
                <w:trHeight w:val="1264" w:hRule="atLeast"/>
                <w:jc w:val="center"/>
              </w:trPr>
              <w:tc>
                <w:tcPr>
                  <w:tcW w:w="33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序号</w:t>
                  </w:r>
                </w:p>
              </w:tc>
              <w:tc>
                <w:tcPr>
                  <w:tcW w:w="39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产生环节</w:t>
                  </w:r>
                </w:p>
              </w:tc>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固废名称</w:t>
                  </w:r>
                </w:p>
              </w:tc>
              <w:tc>
                <w:tcPr>
                  <w:tcW w:w="2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属性</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有害成分</w:t>
                  </w:r>
                </w:p>
              </w:tc>
              <w:tc>
                <w:tcPr>
                  <w:tcW w:w="3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物理性状</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环境危险特性</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产生量（t/a）</w:t>
                  </w:r>
                </w:p>
              </w:tc>
              <w:tc>
                <w:tcPr>
                  <w:tcW w:w="5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利用处置方式和去向</w:t>
                  </w:r>
                </w:p>
              </w:tc>
              <w:tc>
                <w:tcPr>
                  <w:tcW w:w="57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利用量或处置量（t/a）</w:t>
                  </w:r>
                </w:p>
              </w:tc>
              <w:tc>
                <w:tcPr>
                  <w:tcW w:w="670" w:type="pct"/>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环境管理要求</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1" w:type="dxa"/>
                  <w:bottom w:w="0" w:type="dxa"/>
                  <w:right w:w="51" w:type="dxa"/>
                </w:tblCellMar>
              </w:tblPrEx>
              <w:trPr>
                <w:trHeight w:val="637" w:hRule="atLeast"/>
                <w:jc w:val="center"/>
              </w:trPr>
              <w:tc>
                <w:tcPr>
                  <w:tcW w:w="33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1</w:t>
                  </w:r>
                </w:p>
              </w:tc>
              <w:tc>
                <w:tcPr>
                  <w:tcW w:w="39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eastAsia"/>
                    </w:rPr>
                  </w:pPr>
                  <w:r>
                    <w:rPr>
                      <w:rFonts w:hint="eastAsia"/>
                    </w:rPr>
                    <w:t>职工生活</w:t>
                  </w:r>
                </w:p>
              </w:tc>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r>
                    <w:rPr>
                      <w:rFonts w:hint="default"/>
                    </w:rPr>
                    <w:t>生活垃圾</w:t>
                  </w:r>
                </w:p>
              </w:tc>
              <w:tc>
                <w:tcPr>
                  <w:tcW w:w="203" w:type="pct"/>
                  <w:vMerge w:val="restart"/>
                  <w:tcBorders>
                    <w:top w:val="single" w:color="auto" w:sz="4" w:space="0"/>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一般</w:t>
                  </w:r>
                </w:p>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固废</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w:t>
                  </w:r>
                </w:p>
              </w:tc>
              <w:tc>
                <w:tcPr>
                  <w:tcW w:w="3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固</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30</w:t>
                  </w:r>
                </w:p>
              </w:tc>
              <w:tc>
                <w:tcPr>
                  <w:tcW w:w="5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环卫</w:t>
                  </w:r>
                </w:p>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部门</w:t>
                  </w:r>
                </w:p>
              </w:tc>
              <w:tc>
                <w:tcPr>
                  <w:tcW w:w="57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30</w:t>
                  </w:r>
                </w:p>
              </w:tc>
              <w:tc>
                <w:tcPr>
                  <w:tcW w:w="670" w:type="pct"/>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垃圾桶</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1" w:type="dxa"/>
                  <w:bottom w:w="0" w:type="dxa"/>
                  <w:right w:w="51" w:type="dxa"/>
                </w:tblCellMar>
              </w:tblPrEx>
              <w:trPr>
                <w:trHeight w:val="950" w:hRule="atLeast"/>
                <w:jc w:val="center"/>
              </w:trPr>
              <w:tc>
                <w:tcPr>
                  <w:tcW w:w="33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2</w:t>
                  </w:r>
                </w:p>
              </w:tc>
              <w:tc>
                <w:tcPr>
                  <w:tcW w:w="39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eastAsia"/>
                      <w:lang w:val="en-US" w:eastAsia="zh-CN"/>
                    </w:rPr>
                  </w:pPr>
                  <w:r>
                    <w:rPr>
                      <w:rFonts w:hint="eastAsia"/>
                      <w:lang w:val="en-US" w:eastAsia="zh-CN"/>
                    </w:rPr>
                    <w:t>分切</w:t>
                  </w:r>
                </w:p>
              </w:tc>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r>
                    <w:rPr>
                      <w:rFonts w:hint="default"/>
                      <w:lang w:val="en-US" w:eastAsia="zh-CN"/>
                    </w:rPr>
                    <w:t>分切下来的边角料及设备擦布</w:t>
                  </w:r>
                </w:p>
              </w:tc>
              <w:tc>
                <w:tcPr>
                  <w:tcW w:w="203" w:type="pct"/>
                  <w:vMerge w:val="continue"/>
                  <w:tcBorders>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w:t>
                  </w:r>
                </w:p>
              </w:tc>
              <w:tc>
                <w:tcPr>
                  <w:tcW w:w="3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固</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2</w:t>
                  </w:r>
                </w:p>
              </w:tc>
              <w:tc>
                <w:tcPr>
                  <w:tcW w:w="515" w:type="pct"/>
                  <w:tcBorders>
                    <w:top w:val="single" w:color="auto" w:sz="4" w:space="0"/>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rPr>
                    <w:t>外售回收利用</w:t>
                  </w:r>
                </w:p>
              </w:tc>
              <w:tc>
                <w:tcPr>
                  <w:tcW w:w="57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2</w:t>
                  </w:r>
                </w:p>
              </w:tc>
              <w:tc>
                <w:tcPr>
                  <w:tcW w:w="670" w:type="pct"/>
                  <w:vMerge w:val="restart"/>
                  <w:tcBorders>
                    <w:top w:val="single" w:color="auto" w:sz="4" w:space="0"/>
                    <w:left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一般固废暂存间</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1" w:type="dxa"/>
                  <w:bottom w:w="0" w:type="dxa"/>
                  <w:right w:w="51" w:type="dxa"/>
                </w:tblCellMar>
              </w:tblPrEx>
              <w:trPr>
                <w:trHeight w:val="950" w:hRule="atLeast"/>
                <w:jc w:val="center"/>
              </w:trPr>
              <w:tc>
                <w:tcPr>
                  <w:tcW w:w="33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3</w:t>
                  </w:r>
                </w:p>
              </w:tc>
              <w:tc>
                <w:tcPr>
                  <w:tcW w:w="39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lang w:val="en-US" w:eastAsia="zh-CN"/>
                    </w:rPr>
                    <w:t>纯水制备</w:t>
                  </w:r>
                </w:p>
              </w:tc>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lang w:val="en-US" w:eastAsia="zh-CN"/>
                    </w:rPr>
                    <w:t>废过滤介质</w:t>
                  </w:r>
                </w:p>
              </w:tc>
              <w:tc>
                <w:tcPr>
                  <w:tcW w:w="2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lang w:val="en-US" w:eastAsia="zh-CN"/>
                    </w:rPr>
                    <w:t>/</w:t>
                  </w:r>
                </w:p>
              </w:tc>
              <w:tc>
                <w:tcPr>
                  <w:tcW w:w="3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leftChars="0" w:right="0" w:rightChars="0"/>
                    <w:jc w:val="center"/>
                    <w:rPr>
                      <w:rFonts w:hint="default"/>
                      <w:lang w:val="en-US" w:eastAsia="zh-CN"/>
                    </w:rPr>
                  </w:pPr>
                  <w:r>
                    <w:rPr>
                      <w:rFonts w:hint="default"/>
                      <w:lang w:val="en-US" w:eastAsia="zh-CN"/>
                    </w:rPr>
                    <w:t>/</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0.02</w:t>
                  </w:r>
                </w:p>
              </w:tc>
              <w:tc>
                <w:tcPr>
                  <w:tcW w:w="515" w:type="pct"/>
                  <w:vMerge w:val="restart"/>
                  <w:tcBorders>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厂家回收</w:t>
                  </w:r>
                </w:p>
              </w:tc>
              <w:tc>
                <w:tcPr>
                  <w:tcW w:w="57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0.02</w:t>
                  </w:r>
                </w:p>
              </w:tc>
              <w:tc>
                <w:tcPr>
                  <w:tcW w:w="670" w:type="pct"/>
                  <w:vMerge w:val="continue"/>
                  <w:tcBorders>
                    <w:left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rPr>
                      <w:rFonts w:hint="default"/>
                      <w:lang w:val="en-US" w:eastAsia="zh-CN"/>
                    </w:rPr>
                  </w:pP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1" w:type="dxa"/>
                  <w:bottom w:w="0" w:type="dxa"/>
                  <w:right w:w="51" w:type="dxa"/>
                </w:tblCellMar>
              </w:tblPrEx>
              <w:trPr>
                <w:trHeight w:val="323" w:hRule="atLeast"/>
                <w:jc w:val="center"/>
              </w:trPr>
              <w:tc>
                <w:tcPr>
                  <w:tcW w:w="33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3</w:t>
                  </w:r>
                </w:p>
              </w:tc>
              <w:tc>
                <w:tcPr>
                  <w:tcW w:w="39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包装</w:t>
                  </w:r>
                </w:p>
              </w:tc>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废包装材料</w:t>
                  </w:r>
                </w:p>
              </w:tc>
              <w:tc>
                <w:tcPr>
                  <w:tcW w:w="203" w:type="pct"/>
                  <w:tcBorders>
                    <w:top w:val="single" w:color="auto" w:sz="4" w:space="0"/>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c>
                <w:tcPr>
                  <w:tcW w:w="3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固</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0.8</w:t>
                  </w:r>
                </w:p>
              </w:tc>
              <w:tc>
                <w:tcPr>
                  <w:tcW w:w="515"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p>
              </w:tc>
              <w:tc>
                <w:tcPr>
                  <w:tcW w:w="57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0.8</w:t>
                  </w:r>
                </w:p>
              </w:tc>
              <w:tc>
                <w:tcPr>
                  <w:tcW w:w="670" w:type="pct"/>
                  <w:vMerge w:val="continue"/>
                  <w:tcBorders>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rPr>
                      <w:rFonts w:hint="default"/>
                      <w:lang w:val="en-US" w:eastAsia="zh-CN"/>
                    </w:rPr>
                  </w:pP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1" w:type="dxa"/>
                  <w:bottom w:w="0" w:type="dxa"/>
                  <w:right w:w="51" w:type="dxa"/>
                </w:tblCellMar>
              </w:tblPrEx>
              <w:trPr>
                <w:trHeight w:val="323" w:hRule="atLeast"/>
                <w:jc w:val="center"/>
              </w:trPr>
              <w:tc>
                <w:tcPr>
                  <w:tcW w:w="33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4</w:t>
                  </w:r>
                </w:p>
              </w:tc>
              <w:tc>
                <w:tcPr>
                  <w:tcW w:w="39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清洗</w:t>
                  </w:r>
                </w:p>
              </w:tc>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废试剂瓶</w:t>
                  </w:r>
                </w:p>
              </w:tc>
              <w:tc>
                <w:tcPr>
                  <w:tcW w:w="203" w:type="pct"/>
                  <w:vMerge w:val="restart"/>
                  <w:tcBorders>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危险废物</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酸</w:t>
                  </w:r>
                </w:p>
              </w:tc>
              <w:tc>
                <w:tcPr>
                  <w:tcW w:w="3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固</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T</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0.03</w:t>
                  </w:r>
                </w:p>
              </w:tc>
              <w:tc>
                <w:tcPr>
                  <w:tcW w:w="515" w:type="pct"/>
                  <w:vMerge w:val="restart"/>
                  <w:tcBorders>
                    <w:top w:val="single" w:color="auto" w:sz="4" w:space="0"/>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委托有资质单位外运处置</w:t>
                  </w:r>
                </w:p>
              </w:tc>
              <w:tc>
                <w:tcPr>
                  <w:tcW w:w="57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0.03</w:t>
                  </w:r>
                </w:p>
              </w:tc>
              <w:tc>
                <w:tcPr>
                  <w:tcW w:w="670" w:type="pct"/>
                  <w:vMerge w:val="restart"/>
                  <w:tcBorders>
                    <w:top w:val="single" w:color="auto" w:sz="4" w:space="0"/>
                    <w:left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暂存于危废库，固体危废贮存在包装袋内。</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1" w:type="dxa"/>
                  <w:bottom w:w="0" w:type="dxa"/>
                  <w:right w:w="51" w:type="dxa"/>
                </w:tblCellMar>
              </w:tblPrEx>
              <w:trPr>
                <w:trHeight w:val="637" w:hRule="atLeast"/>
                <w:jc w:val="center"/>
              </w:trPr>
              <w:tc>
                <w:tcPr>
                  <w:tcW w:w="33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5</w:t>
                  </w:r>
                </w:p>
              </w:tc>
              <w:tc>
                <w:tcPr>
                  <w:tcW w:w="39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碱液喷淋</w:t>
                  </w:r>
                </w:p>
              </w:tc>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碱液废水</w:t>
                  </w:r>
                </w:p>
              </w:tc>
              <w:tc>
                <w:tcPr>
                  <w:tcW w:w="203" w:type="pct"/>
                  <w:vMerge w:val="continue"/>
                  <w:tcBorders>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碱</w:t>
                  </w:r>
                </w:p>
              </w:tc>
              <w:tc>
                <w:tcPr>
                  <w:tcW w:w="3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液</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T/I</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5</w:t>
                  </w:r>
                </w:p>
              </w:tc>
              <w:tc>
                <w:tcPr>
                  <w:tcW w:w="515" w:type="pct"/>
                  <w:vMerge w:val="continue"/>
                  <w:tcBorders>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p>
              </w:tc>
              <w:tc>
                <w:tcPr>
                  <w:tcW w:w="57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5</w:t>
                  </w:r>
                </w:p>
              </w:tc>
              <w:tc>
                <w:tcPr>
                  <w:tcW w:w="670" w:type="pct"/>
                  <w:vMerge w:val="continue"/>
                  <w:tcBorders>
                    <w:left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rPr>
                      <w:rFonts w:hint="default"/>
                      <w:lang w:val="en-US" w:eastAsia="zh-CN"/>
                    </w:rPr>
                  </w:pP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1" w:type="dxa"/>
                  <w:bottom w:w="0" w:type="dxa"/>
                  <w:right w:w="51" w:type="dxa"/>
                </w:tblCellMar>
              </w:tblPrEx>
              <w:trPr>
                <w:trHeight w:val="950" w:hRule="atLeast"/>
                <w:jc w:val="center"/>
              </w:trPr>
              <w:tc>
                <w:tcPr>
                  <w:tcW w:w="33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6</w:t>
                  </w:r>
                </w:p>
              </w:tc>
              <w:tc>
                <w:tcPr>
                  <w:tcW w:w="39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废气处理</w:t>
                  </w:r>
                </w:p>
              </w:tc>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废活性炭</w:t>
                  </w:r>
                </w:p>
              </w:tc>
              <w:tc>
                <w:tcPr>
                  <w:tcW w:w="203" w:type="pct"/>
                  <w:vMerge w:val="continue"/>
                  <w:tcBorders>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非甲烷总烃</w:t>
                  </w:r>
                </w:p>
              </w:tc>
              <w:tc>
                <w:tcPr>
                  <w:tcW w:w="3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固</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T</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0.0075</w:t>
                  </w:r>
                </w:p>
              </w:tc>
              <w:tc>
                <w:tcPr>
                  <w:tcW w:w="515" w:type="pct"/>
                  <w:vMerge w:val="continue"/>
                  <w:tcBorders>
                    <w:left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p>
              </w:tc>
              <w:tc>
                <w:tcPr>
                  <w:tcW w:w="57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0.0075</w:t>
                  </w:r>
                </w:p>
              </w:tc>
              <w:tc>
                <w:tcPr>
                  <w:tcW w:w="670" w:type="pct"/>
                  <w:vMerge w:val="continue"/>
                  <w:tcBorders>
                    <w:left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rPr>
                      <w:rFonts w:hint="default"/>
                      <w:lang w:val="en-US" w:eastAsia="zh-CN"/>
                    </w:rPr>
                  </w:pP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1" w:type="dxa"/>
                  <w:bottom w:w="0" w:type="dxa"/>
                  <w:right w:w="51" w:type="dxa"/>
                </w:tblCellMar>
              </w:tblPrEx>
              <w:trPr>
                <w:trHeight w:val="960" w:hRule="atLeast"/>
                <w:jc w:val="center"/>
              </w:trPr>
              <w:tc>
                <w:tcPr>
                  <w:tcW w:w="33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7</w:t>
                  </w:r>
                </w:p>
              </w:tc>
              <w:tc>
                <w:tcPr>
                  <w:tcW w:w="39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芯片粘贴</w:t>
                  </w:r>
                </w:p>
              </w:tc>
              <w:tc>
                <w:tcPr>
                  <w:tcW w:w="72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废环氧树脂</w:t>
                  </w:r>
                </w:p>
              </w:tc>
              <w:tc>
                <w:tcPr>
                  <w:tcW w:w="2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eastAsia"/>
                      <w:lang w:val="en-US" w:eastAsia="zh-CN"/>
                    </w:rPr>
                  </w:pPr>
                  <w:r>
                    <w:rPr>
                      <w:rFonts w:hint="eastAsia"/>
                      <w:lang w:val="en-US" w:eastAsia="zh-CN"/>
                    </w:rPr>
                    <w:t>非甲烷总烃</w:t>
                  </w:r>
                </w:p>
              </w:tc>
              <w:tc>
                <w:tcPr>
                  <w:tcW w:w="3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固</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T</w:t>
                  </w:r>
                </w:p>
              </w:tc>
              <w:tc>
                <w:tcPr>
                  <w:tcW w:w="4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0.02</w:t>
                  </w:r>
                </w:p>
              </w:tc>
              <w:tc>
                <w:tcPr>
                  <w:tcW w:w="515"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p>
              </w:tc>
              <w:tc>
                <w:tcPr>
                  <w:tcW w:w="57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eastAsia"/>
                      <w:lang w:val="en-US" w:eastAsia="zh-CN"/>
                    </w:rPr>
                  </w:pPr>
                  <w:r>
                    <w:rPr>
                      <w:rFonts w:hint="eastAsia"/>
                      <w:lang w:val="en-US" w:eastAsia="zh-CN"/>
                    </w:rPr>
                    <w:t>0.02</w:t>
                  </w:r>
                </w:p>
              </w:tc>
              <w:tc>
                <w:tcPr>
                  <w:tcW w:w="670" w:type="pct"/>
                  <w:vMerge w:val="continue"/>
                  <w:tcBorders>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rPr>
                      <w:rFonts w:hint="default"/>
                      <w:lang w:val="en-US" w:eastAsia="zh-CN"/>
                    </w:rPr>
                  </w:pPr>
                </w:p>
              </w:tc>
            </w:tr>
          </w:tbl>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环境管理要求：</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（1）一般固体废物</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①要按照《一般工业固体废物贮存和填埋污染控制标准》（GB18599-2020）中规定其贮存过程应满足相应防渗漏、防雨淋、防扬尘等环境保护要求。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②按照《中华人民共和国固体废物污染环境防治法》（2020 年 04 月 30 日）有关规定设置暂存场所，具体处置要求如下：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第十八条 建设项目的环境影响评价文件确定需要配套建设的固体废物污染环境防治设施，应当与主体工程同时设计、同时施工、同时投入使用。建设项目的初步设计，应当按照环境保护设计规范的要求，将固体废物污染环境防治内容纳入环境影响评价文件，落实防治固体废物污染环境和破坏生态的措施以及固体废物污染环境防治设施投资概算。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建设单位应当依照有关法律法规的规定，对配套建设的固体废物污染环境防治设施进行验收，编制验收报告，并向社会公开。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第十九条 收集、贮存、运输、利用、处置固体废物的单位和其他生产经营者，应当加强对相关设施、设备和场所的管理和维护，保证其正常运行和使用。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第二十条 产生、收集、贮存、运输、利用、处置固体废物的单位和其他生产经营者，应当采取防扬散、防流失、防渗漏或者其他防止污染环境的措施，不得擅自倾倒、堆放、丢弃、遗撒固体废物。禁止任何单位或者个人向江河、湖泊、运河、渠道、水库及其最高水位线以 下的滩地和岸坡以及法律法规规定的其他地点倾倒、堆放、贮存固体废物。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第三十六条 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禁止向生活垃圾收集设施中投放工业固体废物</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第三十七条 产生工业固体废物的单位委托他人运输、利用、处置工业固体废物的，应当对受托方的主体资格和技术能力进行核实，依法签订书面合同，在合同中约定污染防治要求。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受托方运输、利用、处置工业固体废物，应当依照有关法律法规的规定和合同约定履行污染防治要求，并将运输、利用、处置情况告知产生工业固体废物的单位。 产生工业固体废物的单位违反本条第一款规定的，除依照有关法律法规的规定予以处罚外，还应当与造成环境污染和生态破坏的受托方承担连带责任。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第三十八条 产生工业固体废物的单位应当依法实施清洁生产审核，合理选择 和利用原材料、能源和其他资源，采用先进的生产工艺和设备，减少工业固体废物的产生量，降低工业固体废物的危害性。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第三十九条 产生工业固体废物的单位应当取得排污许可证。排污许可的具体办法和实施步骤由国务院规定。产生工业固体废物的单位应当向所在地生态环境主管部门提供工业固体废物的种类、数量、流向、贮存、利用、处置等有关资料，以及减少工业固体废物产生、促进综合利用的具体措施，并执行排污许可管理制度的相关规定。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第四十条 产生工业固体废物的单位应当根据经济、技术条件对工业固体废物 加以利用；对暂时不利用或者不能利用的，应当按照国务院生态环境等主管部门的规定建设贮存设施、场所，安全分类存放，或者采取无害化处置措施。贮存工业固体废物应当采取符合国家环境保护标准的防护措施。建设工业固体废物贮存、处置的设施、场所，应当符合国家环境保护标准。第四十一条 产生工业固体废物的单位终止的，应当在终止前对工业固体废物的贮存、处置的设施、场所采取污染防治措施，并对未处置的工业固体废物作出妥善处置，防止污染环境。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（2）生活垃圾：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按照《中华人民共和国固体废物污染环境防治法》（2020 年 04 月 30 日）有 关规定设置暂存场所，具体处置要求如下： </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第四十九条 产生生活垃圾的单位、家庭和个人应当依法履行生活垃圾源头减量和分类投放义务，承担生活垃圾产生者责任。任何单位和个人都应当依法在指定的地点分类投放生活垃圾。禁止随意倾倒、抛撒、堆放或者焚烧生活垃圾。机关、事业单位等应当在生活垃圾分类工作中起示范带头作用。已经分类投放的生活垃圾，应当按照规定分类收集、分类运输、分类处理。</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第五十条 清扫、收集、运输、处理城乡生活垃圾，应当遵守国家有关环境保护和环境卫生管理的规定，防止污染环境。从生活垃圾中分类并集中收集的有害垃圾，属于危险废物的，应当按照危险废物管理。</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（3）危险废物</w:t>
            </w:r>
          </w:p>
          <w:p>
            <w:pPr>
              <w:pStyle w:val="23"/>
              <w:keepNext w:val="0"/>
              <w:keepLines w:val="0"/>
              <w:suppressLineNumbers w:val="0"/>
              <w:bidi w:val="0"/>
              <w:spacing w:before="0" w:beforeAutospacing="0" w:after="0" w:afterAutospacing="0"/>
              <w:ind w:left="0" w:right="0"/>
              <w:rPr>
                <w:rFonts w:hint="default"/>
                <w:sz w:val="24"/>
                <w:szCs w:val="24"/>
                <w:lang w:val="en-US" w:eastAsia="zh-CN"/>
              </w:rPr>
            </w:pPr>
            <w:r>
              <w:rPr>
                <w:rFonts w:hint="default"/>
                <w:sz w:val="24"/>
                <w:szCs w:val="24"/>
                <w:lang w:val="en-US" w:eastAsia="zh-CN"/>
              </w:rPr>
              <w:t>本项目的危险废物暂存于危废暂存间，面积约20m</w:t>
            </w:r>
            <w:r>
              <w:rPr>
                <w:rFonts w:hint="default"/>
                <w:sz w:val="24"/>
                <w:szCs w:val="24"/>
                <w:vertAlign w:val="superscript"/>
                <w:lang w:val="en-US" w:eastAsia="zh-CN"/>
              </w:rPr>
              <w:t>2</w:t>
            </w:r>
            <w:r>
              <w:rPr>
                <w:rFonts w:hint="default"/>
                <w:sz w:val="24"/>
                <w:szCs w:val="24"/>
                <w:lang w:val="en-US" w:eastAsia="zh-CN"/>
              </w:rPr>
              <w:t>，按照《危险废物贮存污染控制标准（</w:t>
            </w:r>
            <w:r>
              <w:rPr>
                <w:rFonts w:hint="eastAsia"/>
                <w:sz w:val="24"/>
                <w:szCs w:val="24"/>
                <w:lang w:val="en-US" w:eastAsia="zh-CN"/>
              </w:rPr>
              <w:t>GB18597-2023</w:t>
            </w:r>
            <w:r>
              <w:rPr>
                <w:rFonts w:hint="default"/>
                <w:sz w:val="24"/>
                <w:szCs w:val="24"/>
                <w:lang w:val="en-US" w:eastAsia="zh-CN"/>
              </w:rPr>
              <w:t xml:space="preserve">）》要求进行临时贮存后，委托危废处理资质单位处置，并对产生的危险废物向当地生态环境局备案。 </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根据《危险废物贮存污染控制标准》（GB18597-20</w:t>
            </w:r>
            <w:r>
              <w:rPr>
                <w:rFonts w:hint="eastAsia" w:ascii="Times New Roman" w:hAnsi="Times New Roman" w:eastAsia="宋体" w:cs="Times New Roman"/>
                <w:b w:val="0"/>
                <w:bCs w:val="0"/>
                <w:color w:val="auto"/>
                <w:kern w:val="2"/>
                <w:sz w:val="24"/>
                <w:szCs w:val="24"/>
                <w:lang w:val="en-US" w:eastAsia="zh-CN" w:bidi="ar-SA"/>
              </w:rPr>
              <w:t>23</w:t>
            </w:r>
            <w:r>
              <w:rPr>
                <w:rFonts w:hint="default" w:ascii="Times New Roman" w:hAnsi="Times New Roman" w:eastAsia="宋体" w:cs="Times New Roman"/>
                <w:b w:val="0"/>
                <w:bCs w:val="0"/>
                <w:color w:val="auto"/>
                <w:kern w:val="2"/>
                <w:sz w:val="24"/>
                <w:szCs w:val="24"/>
                <w:lang w:val="en-US" w:eastAsia="zh-CN" w:bidi="ar-SA"/>
              </w:rPr>
              <w:t>）有关规定，危险废物临时贮存的一般要求、危险废物临时贮存容器的选取、危废临时贮存设施的选址与设计原则、危废临时贮存设施的运行与管理、危废临时贮存设施的安全防护与监测、危废临时贮存设施的关闭等均需严格按照规定执行。一般固废不得与危险废物混合，需分开存放并及时处置，危险固废定期委托有资质单位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①</w:t>
            </w:r>
            <w:r>
              <w:rPr>
                <w:rFonts w:hint="eastAsia" w:ascii="Times New Roman" w:hAnsi="Times New Roman" w:eastAsia="宋体" w:cs="Times New Roman"/>
                <w:b w:val="0"/>
                <w:bCs w:val="0"/>
                <w:color w:val="auto"/>
                <w:kern w:val="2"/>
                <w:sz w:val="24"/>
                <w:szCs w:val="24"/>
                <w:lang w:val="en-US" w:eastAsia="zh-CN" w:bidi="ar-SA"/>
              </w:rPr>
              <w:t xml:space="preserve"> </w:t>
            </w:r>
            <w:r>
              <w:rPr>
                <w:rFonts w:hint="default" w:ascii="Times New Roman" w:hAnsi="Times New Roman" w:eastAsia="宋体" w:cs="Times New Roman"/>
                <w:b w:val="0"/>
                <w:bCs w:val="0"/>
                <w:color w:val="auto"/>
                <w:kern w:val="2"/>
                <w:sz w:val="24"/>
                <w:szCs w:val="24"/>
                <w:lang w:val="en-US" w:eastAsia="zh-CN" w:bidi="ar-SA"/>
              </w:rPr>
              <w:t>危废暂存</w:t>
            </w:r>
            <w:r>
              <w:rPr>
                <w:rFonts w:hint="eastAsia" w:ascii="Times New Roman" w:hAnsi="Times New Roman" w:eastAsia="宋体" w:cs="Times New Roman"/>
                <w:b w:val="0"/>
                <w:bCs w:val="0"/>
                <w:color w:val="auto"/>
                <w:kern w:val="2"/>
                <w:sz w:val="24"/>
                <w:szCs w:val="24"/>
                <w:lang w:val="en-US" w:eastAsia="zh-CN" w:bidi="ar-SA"/>
              </w:rPr>
              <w:t>间</w:t>
            </w:r>
            <w:r>
              <w:rPr>
                <w:rFonts w:hint="default" w:ascii="Times New Roman" w:hAnsi="Times New Roman" w:eastAsia="宋体" w:cs="Times New Roman"/>
                <w:b w:val="0"/>
                <w:bCs w:val="0"/>
                <w:color w:val="auto"/>
                <w:kern w:val="2"/>
                <w:sz w:val="24"/>
                <w:szCs w:val="24"/>
                <w:lang w:val="en-US" w:eastAsia="zh-CN" w:bidi="ar-SA"/>
              </w:rPr>
              <w:t>设计时遵循以下原则：</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1）危废暂存</w:t>
            </w:r>
            <w:r>
              <w:rPr>
                <w:rFonts w:hint="eastAsia" w:ascii="Times New Roman" w:hAnsi="Times New Roman" w:eastAsia="宋体" w:cs="Times New Roman"/>
                <w:b w:val="0"/>
                <w:bCs w:val="0"/>
                <w:color w:val="auto"/>
                <w:kern w:val="2"/>
                <w:sz w:val="24"/>
                <w:szCs w:val="24"/>
                <w:lang w:val="en-US" w:eastAsia="zh-CN" w:bidi="ar-SA"/>
              </w:rPr>
              <w:t>间内不同贮存分区之间应采取隔离措施。隔离措施可根据危险废物特性采用过道、隔板或隔墙等方式。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2）</w:t>
            </w:r>
            <w:r>
              <w:rPr>
                <w:rFonts w:hint="eastAsia" w:ascii="Times New Roman" w:hAnsi="Times New Roman" w:eastAsia="宋体" w:cs="Times New Roman"/>
                <w:b w:val="0"/>
                <w:bCs w:val="0"/>
                <w:color w:val="auto"/>
                <w:kern w:val="2"/>
                <w:sz w:val="24"/>
                <w:szCs w:val="24"/>
                <w:lang w:val="en-US" w:eastAsia="zh-CN" w:bidi="ar-SA"/>
              </w:rPr>
              <w:t>在</w:t>
            </w:r>
            <w:r>
              <w:rPr>
                <w:rFonts w:hint="default" w:ascii="Times New Roman" w:hAnsi="Times New Roman" w:eastAsia="宋体" w:cs="Times New Roman"/>
                <w:b w:val="0"/>
                <w:bCs w:val="0"/>
                <w:color w:val="auto"/>
                <w:kern w:val="2"/>
                <w:sz w:val="24"/>
                <w:szCs w:val="24"/>
                <w:lang w:val="en-US" w:eastAsia="zh-CN" w:bidi="ar-SA"/>
              </w:rPr>
              <w:t>危废暂存</w:t>
            </w:r>
            <w:r>
              <w:rPr>
                <w:rFonts w:hint="eastAsia" w:ascii="Times New Roman" w:hAnsi="Times New Roman" w:eastAsia="宋体" w:cs="Times New Roman"/>
                <w:b w:val="0"/>
                <w:bCs w:val="0"/>
                <w:color w:val="auto"/>
                <w:kern w:val="2"/>
                <w:sz w:val="24"/>
                <w:szCs w:val="24"/>
                <w:lang w:val="en-US" w:eastAsia="zh-CN" w:bidi="ar-SA"/>
              </w:rPr>
              <w:t>间内或通过贮存分区方式贮存液态危险废物的，应具有液体泄漏堵截设施，堵截设施最小容积不应低于对应贮存区域最大液态废物容器容积或液态废物总储量 1/10（二者取较大者）；用于贮存可能产生渗滤液的危险废物的</w:t>
            </w:r>
            <w:r>
              <w:rPr>
                <w:rFonts w:hint="default" w:ascii="Times New Roman" w:hAnsi="Times New Roman" w:eastAsia="宋体" w:cs="Times New Roman"/>
                <w:b w:val="0"/>
                <w:bCs w:val="0"/>
                <w:color w:val="auto"/>
                <w:kern w:val="2"/>
                <w:sz w:val="24"/>
                <w:szCs w:val="24"/>
                <w:lang w:val="en-US" w:eastAsia="zh-CN" w:bidi="ar-SA"/>
              </w:rPr>
              <w:t>危废暂存</w:t>
            </w:r>
            <w:r>
              <w:rPr>
                <w:rFonts w:hint="eastAsia" w:ascii="Times New Roman" w:hAnsi="Times New Roman" w:eastAsia="宋体" w:cs="Times New Roman"/>
                <w:b w:val="0"/>
                <w:bCs w:val="0"/>
                <w:color w:val="auto"/>
                <w:kern w:val="2"/>
                <w:sz w:val="24"/>
                <w:szCs w:val="24"/>
                <w:lang w:val="en-US" w:eastAsia="zh-CN" w:bidi="ar-SA"/>
              </w:rPr>
              <w:t>间或贮存分区应设计渗滤液收集设施，收集设施容积应满足渗滤液的收集要求。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3）</w:t>
            </w:r>
            <w:r>
              <w:rPr>
                <w:rFonts w:hint="eastAsia" w:ascii="Times New Roman" w:hAnsi="Times New Roman" w:eastAsia="宋体" w:cs="Times New Roman"/>
                <w:b w:val="0"/>
                <w:bCs w:val="0"/>
                <w:color w:val="auto"/>
                <w:kern w:val="2"/>
                <w:sz w:val="24"/>
                <w:szCs w:val="24"/>
                <w:lang w:val="en-US" w:eastAsia="zh-CN" w:bidi="ar-SA"/>
              </w:rPr>
              <w:t>贮存易产生粉尘、VOCs、酸雾、有毒有害大气污染物和刺激性气味气体的危险废物贮存库，应设置气体收集装置和气体净化设施；气体净化设施的排气筒高度应符合GB 16297要求。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②</w:t>
            </w:r>
            <w:r>
              <w:rPr>
                <w:rFonts w:hint="eastAsia" w:ascii="Times New Roman" w:hAnsi="Times New Roman" w:eastAsia="宋体" w:cs="Times New Roman"/>
                <w:b w:val="0"/>
                <w:bCs w:val="0"/>
                <w:color w:val="auto"/>
                <w:kern w:val="2"/>
                <w:sz w:val="24"/>
                <w:szCs w:val="24"/>
                <w:lang w:val="en-US" w:eastAsia="zh-CN" w:bidi="ar-SA"/>
              </w:rPr>
              <w:t xml:space="preserve"> </w:t>
            </w:r>
            <w:r>
              <w:rPr>
                <w:rFonts w:hint="default" w:ascii="Times New Roman" w:hAnsi="Times New Roman" w:eastAsia="宋体" w:cs="Times New Roman"/>
                <w:b w:val="0"/>
                <w:bCs w:val="0"/>
                <w:color w:val="auto"/>
                <w:kern w:val="2"/>
                <w:sz w:val="24"/>
                <w:szCs w:val="24"/>
                <w:lang w:val="en-US" w:eastAsia="zh-CN" w:bidi="ar-SA"/>
              </w:rPr>
              <w:t>同时应对危险废物存放设施实施严格的管理：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1）</w:t>
            </w:r>
            <w:r>
              <w:rPr>
                <w:rFonts w:hint="eastAsia" w:ascii="Times New Roman" w:hAnsi="Times New Roman" w:eastAsia="宋体" w:cs="Times New Roman"/>
                <w:b w:val="0"/>
                <w:bCs w:val="0"/>
                <w:color w:val="auto"/>
                <w:kern w:val="2"/>
                <w:sz w:val="24"/>
                <w:szCs w:val="24"/>
                <w:lang w:val="en-US" w:eastAsia="zh-CN" w:bidi="ar-SA"/>
              </w:rPr>
              <w:t>危险废物存入贮存设施前应对危险废物类别和特性与危险废物标签等危险废物识别标志的一致性进行核验，不一致的或类别、特性不明的不应存入。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2）</w:t>
            </w:r>
            <w:r>
              <w:rPr>
                <w:rFonts w:hint="eastAsia" w:ascii="Times New Roman" w:hAnsi="Times New Roman" w:eastAsia="宋体" w:cs="Times New Roman"/>
                <w:b w:val="0"/>
                <w:bCs w:val="0"/>
                <w:color w:val="auto"/>
                <w:kern w:val="2"/>
                <w:sz w:val="24"/>
                <w:szCs w:val="24"/>
                <w:lang w:val="en-US" w:eastAsia="zh-CN" w:bidi="ar-SA"/>
              </w:rPr>
              <w:t>应定期检查危险废物的贮存状况，及时清理贮存设施地面，更换破损泄漏的危险废物贮存容器和包装物，保证堆存危险废物的防雨、防风、防扬尘等设施功能完好。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3）</w:t>
            </w:r>
            <w:r>
              <w:rPr>
                <w:rFonts w:hint="eastAsia" w:ascii="Times New Roman" w:hAnsi="Times New Roman" w:eastAsia="宋体" w:cs="Times New Roman"/>
                <w:b w:val="0"/>
                <w:bCs w:val="0"/>
                <w:color w:val="auto"/>
                <w:kern w:val="2"/>
                <w:sz w:val="24"/>
                <w:szCs w:val="24"/>
                <w:lang w:val="en-US" w:eastAsia="zh-CN" w:bidi="ar-SA"/>
              </w:rPr>
              <w:t>作业设备及车辆等结束作业离开贮存设施时，应对其残留的危险废物进行清理，清理的废物或清洗废水应收集处理。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4）</w:t>
            </w:r>
            <w:r>
              <w:rPr>
                <w:rFonts w:hint="eastAsia" w:ascii="Times New Roman" w:hAnsi="Times New Roman" w:eastAsia="宋体" w:cs="Times New Roman"/>
                <w:b w:val="0"/>
                <w:bCs w:val="0"/>
                <w:color w:val="auto"/>
                <w:kern w:val="2"/>
                <w:sz w:val="24"/>
                <w:szCs w:val="24"/>
                <w:lang w:val="en-US" w:eastAsia="zh-CN" w:bidi="ar-SA"/>
              </w:rPr>
              <w:t>贮存设施运行期间，应按国家有关标准和规定建立危险废物管理台账并保存。</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5）</w:t>
            </w:r>
            <w:r>
              <w:rPr>
                <w:rFonts w:hint="eastAsia" w:ascii="Times New Roman" w:hAnsi="Times New Roman" w:eastAsia="宋体" w:cs="Times New Roman"/>
                <w:b w:val="0"/>
                <w:bCs w:val="0"/>
                <w:color w:val="auto"/>
                <w:kern w:val="2"/>
                <w:sz w:val="24"/>
                <w:szCs w:val="24"/>
                <w:lang w:val="en-US" w:eastAsia="zh-CN" w:bidi="ar-SA"/>
              </w:rPr>
              <w:t>贮存设施所有者或运营者应建立贮存设施环境管理制度、管理人员岗位职责制度、设施运行操作制度、人员岗位培训制度等。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auto"/>
                <w:kern w:val="2"/>
                <w:sz w:val="24"/>
                <w:szCs w:val="24"/>
                <w:lang w:val="en-US" w:eastAsia="zh-CN" w:bidi="ar-SA"/>
              </w:rPr>
            </w:pPr>
            <w:r>
              <w:rPr>
                <w:rFonts w:hint="eastAsia" w:ascii="Times New Roman" w:hAnsi="Times New Roman" w:eastAsia="宋体" w:cs="Times New Roman"/>
                <w:b w:val="0"/>
                <w:bCs w:val="0"/>
                <w:color w:val="auto"/>
                <w:kern w:val="2"/>
                <w:sz w:val="24"/>
                <w:szCs w:val="24"/>
                <w:lang w:val="en-US" w:eastAsia="zh-CN" w:bidi="ar-SA"/>
              </w:rPr>
              <w:t>6）贮存设施所有者或运营者应依据国家土壤和地下水污染防治的有关规定，结合贮存设施特点建立土壤和地下水污染隐患排查制度，并定期开展隐患排查；发现隐患应及时采取措施消除隐患，并建立档案。</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 w:val="0"/>
                <w:bCs w:val="0"/>
                <w:color w:val="auto"/>
                <w:kern w:val="2"/>
                <w:sz w:val="24"/>
                <w:szCs w:val="24"/>
                <w:lang w:val="en-US" w:eastAsia="zh-CN" w:bidi="ar-SA"/>
              </w:rPr>
            </w:pPr>
            <w:r>
              <w:rPr>
                <w:rFonts w:hint="eastAsia" w:ascii="Times New Roman" w:hAnsi="Times New Roman" w:eastAsia="宋体" w:cs="Times New Roman"/>
                <w:b w:val="0"/>
                <w:bCs w:val="0"/>
                <w:color w:val="auto"/>
                <w:kern w:val="2"/>
                <w:sz w:val="24"/>
                <w:szCs w:val="24"/>
                <w:lang w:val="en-US" w:eastAsia="zh-CN" w:bidi="ar-SA"/>
              </w:rPr>
              <w:t>7）贮存设施所有者或运营者应建立贮存设施全部档案，包括设计、施工、验收、运行、监测和环境应急等，应按国家有关档案管理的法律法规进行整理和归档。</w:t>
            </w:r>
          </w:p>
          <w:p>
            <w:pPr>
              <w:pStyle w:val="23"/>
              <w:keepNext w:val="0"/>
              <w:keepLines w:val="0"/>
              <w:suppressLineNumbers w:val="0"/>
              <w:bidi w:val="0"/>
              <w:spacing w:before="0" w:beforeAutospacing="0" w:after="0" w:afterAutospacing="0"/>
              <w:ind w:left="0" w:right="0"/>
              <w:rPr>
                <w:rFonts w:hint="default"/>
                <w:sz w:val="24"/>
                <w:szCs w:val="24"/>
              </w:rPr>
            </w:pPr>
            <w:r>
              <w:rPr>
                <w:rFonts w:hint="default"/>
                <w:sz w:val="24"/>
                <w:szCs w:val="24"/>
              </w:rPr>
              <w:t>五、土壤、地下水环境影响分析</w:t>
            </w:r>
          </w:p>
          <w:p>
            <w:pPr>
              <w:pStyle w:val="23"/>
              <w:keepNext w:val="0"/>
              <w:keepLines w:val="0"/>
              <w:suppressLineNumbers w:val="0"/>
              <w:bidi w:val="0"/>
              <w:spacing w:before="0" w:beforeAutospacing="0" w:after="0" w:afterAutospacing="0"/>
              <w:ind w:left="0" w:right="0"/>
              <w:rPr>
                <w:rFonts w:hint="default"/>
                <w:sz w:val="24"/>
                <w:szCs w:val="24"/>
              </w:rPr>
            </w:pPr>
            <w:r>
              <w:rPr>
                <w:rFonts w:hint="default"/>
                <w:sz w:val="24"/>
                <w:szCs w:val="24"/>
              </w:rPr>
              <w:t>项目正常生产情况下项目厂区实行雨污分流制，雨水通过雨水管网收集后排入市政雨水管网。生活废水经化粪池处理，生产废水达到《电子工业水污染物排放标准》（GB39731-2020）表1中水污染物间接排放限值及淮南市山南新区污水处理厂接管限值后经公司污水总排口接</w:t>
            </w:r>
            <w:r>
              <w:rPr>
                <w:rFonts w:hint="eastAsia"/>
                <w:sz w:val="24"/>
                <w:szCs w:val="24"/>
                <w:lang w:val="en-US" w:eastAsia="zh-CN"/>
              </w:rPr>
              <w:t>入</w:t>
            </w:r>
            <w:r>
              <w:rPr>
                <w:rFonts w:hint="default"/>
                <w:sz w:val="24"/>
                <w:szCs w:val="24"/>
              </w:rPr>
              <w:t>市政污水管网进入山南新区污水处理厂。为更好的保护地下水环境、土壤环境，将本项目对地下水、土壤的影响降至最低，建议采取以下的污染防治措施。</w:t>
            </w:r>
          </w:p>
          <w:p>
            <w:pPr>
              <w:pStyle w:val="23"/>
              <w:keepNext w:val="0"/>
              <w:keepLines w:val="0"/>
              <w:suppressLineNumbers w:val="0"/>
              <w:bidi w:val="0"/>
              <w:spacing w:before="0" w:beforeAutospacing="0" w:after="0" w:afterAutospacing="0"/>
              <w:ind w:left="0" w:right="0"/>
              <w:rPr>
                <w:rFonts w:hint="default"/>
                <w:sz w:val="24"/>
                <w:szCs w:val="24"/>
              </w:rPr>
            </w:pPr>
            <w:r>
              <w:rPr>
                <w:rFonts w:hint="default"/>
                <w:sz w:val="24"/>
                <w:szCs w:val="24"/>
              </w:rPr>
              <w:t>（1）源头控制</w:t>
            </w:r>
          </w:p>
          <w:p>
            <w:pPr>
              <w:pStyle w:val="23"/>
              <w:keepNext w:val="0"/>
              <w:keepLines w:val="0"/>
              <w:suppressLineNumbers w:val="0"/>
              <w:bidi w:val="0"/>
              <w:spacing w:before="0" w:beforeAutospacing="0" w:after="0" w:afterAutospacing="0"/>
              <w:ind w:left="0" w:right="0"/>
              <w:rPr>
                <w:rFonts w:hint="default"/>
              </w:rPr>
            </w:pPr>
            <w:r>
              <w:rPr>
                <w:rFonts w:hint="default"/>
              </w:rPr>
              <w:t>严格按照国家相关规范要求，坚持预防为主，防治结合，综合治理的原则，从源头上减少地下水、土壤污染源的产生，是符合污染防治的基本措施。</w:t>
            </w:r>
          </w:p>
          <w:p>
            <w:pPr>
              <w:pStyle w:val="23"/>
              <w:keepNext w:val="0"/>
              <w:keepLines w:val="0"/>
              <w:suppressLineNumbers w:val="0"/>
              <w:bidi w:val="0"/>
              <w:spacing w:before="0" w:beforeAutospacing="0" w:after="0" w:afterAutospacing="0"/>
              <w:ind w:left="0" w:right="0"/>
              <w:rPr>
                <w:rFonts w:hint="default"/>
              </w:rPr>
            </w:pPr>
            <w:r>
              <w:rPr>
                <w:rFonts w:hint="default"/>
              </w:rPr>
              <w:t>（2）分区防渗</w:t>
            </w:r>
          </w:p>
          <w:p>
            <w:pPr>
              <w:pStyle w:val="23"/>
              <w:keepNext w:val="0"/>
              <w:keepLines w:val="0"/>
              <w:suppressLineNumbers w:val="0"/>
              <w:bidi w:val="0"/>
              <w:spacing w:before="0" w:beforeAutospacing="0" w:after="0" w:afterAutospacing="0"/>
              <w:ind w:left="0" w:right="0"/>
              <w:rPr>
                <w:rFonts w:hint="eastAsia"/>
                <w:lang w:eastAsia="zh-CN"/>
              </w:rPr>
            </w:pPr>
            <w:r>
              <w:rPr>
                <w:rFonts w:hint="default"/>
              </w:rPr>
              <w:t>①重点防渗区：重点防渗区是指对地下水环境隐患大的区域，泄漏污染物可能会对地下水造成污染，泄漏不易及时发现和处理，需要重点防治或者需要重点保护的区域。主要为本项目的原料仓库</w:t>
            </w:r>
            <w:r>
              <w:rPr>
                <w:rFonts w:hint="eastAsia"/>
                <w:lang w:eastAsia="zh-CN"/>
              </w:rPr>
              <w:t>。</w:t>
            </w:r>
          </w:p>
          <w:p>
            <w:pPr>
              <w:pStyle w:val="23"/>
              <w:keepNext w:val="0"/>
              <w:keepLines w:val="0"/>
              <w:suppressLineNumbers w:val="0"/>
              <w:bidi w:val="0"/>
              <w:spacing w:before="0" w:beforeAutospacing="0" w:after="0" w:afterAutospacing="0"/>
              <w:ind w:left="0" w:right="0"/>
              <w:rPr>
                <w:rFonts w:hint="eastAsia"/>
                <w:lang w:eastAsia="zh-CN"/>
              </w:rPr>
            </w:pPr>
            <w:r>
              <w:rPr>
                <w:rFonts w:hint="default"/>
              </w:rPr>
              <w:t>②一般防渗区：一般防渗区是指泄漏污染物可能会对地下水造成污染，但危害性和风险程度较低，或者泄漏容易及时发现和处理的区域，主要为本项目生产车间、一般工业固体废物暂存间等。一般防渗区防渗要求如下：等效黏土防渗层Mb≥1.5m，K≤1×10</w:t>
            </w:r>
            <w:r>
              <w:rPr>
                <w:rFonts w:hint="default"/>
                <w:vertAlign w:val="superscript"/>
              </w:rPr>
              <w:t>-7</w:t>
            </w:r>
            <w:r>
              <w:rPr>
                <w:rFonts w:hint="default"/>
              </w:rPr>
              <w:t>cm/s。</w:t>
            </w:r>
          </w:p>
          <w:p>
            <w:pPr>
              <w:pStyle w:val="11"/>
              <w:keepNext w:val="0"/>
              <w:keepLines w:val="0"/>
              <w:suppressLineNumbers w:val="0"/>
              <w:bidi w:val="0"/>
              <w:spacing w:before="0" w:after="0" w:afterAutospacing="0"/>
              <w:ind w:right="0"/>
              <w:rPr>
                <w:rFonts w:hint="default"/>
              </w:rPr>
            </w:pPr>
          </w:p>
          <w:p>
            <w:pPr>
              <w:pStyle w:val="11"/>
              <w:keepNext w:val="0"/>
              <w:keepLines w:val="0"/>
              <w:suppressLineNumbers w:val="0"/>
              <w:bidi w:val="0"/>
              <w:spacing w:before="0" w:after="0" w:afterAutospacing="0"/>
              <w:ind w:right="0"/>
              <w:rPr>
                <w:rFonts w:hint="default"/>
              </w:rPr>
            </w:pPr>
            <w:r>
              <w:rPr>
                <w:rFonts w:hint="default"/>
              </w:rPr>
              <w:t>表4-1</w:t>
            </w:r>
            <w:r>
              <w:rPr>
                <w:rFonts w:hint="eastAsia"/>
                <w:lang w:val="en-US" w:eastAsia="zh-CN"/>
              </w:rPr>
              <w:t xml:space="preserve">3 </w:t>
            </w:r>
            <w:r>
              <w:rPr>
                <w:rFonts w:hint="default"/>
              </w:rPr>
              <w:t>本项目分区防渗措施要求一览表</w:t>
            </w:r>
          </w:p>
          <w:tbl>
            <w:tblPr>
              <w:tblStyle w:val="19"/>
              <w:tblW w:w="869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099"/>
              <w:gridCol w:w="1382"/>
              <w:gridCol w:w="3319"/>
              <w:gridCol w:w="189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38" w:hRule="atLeast"/>
                <w:jc w:val="center"/>
              </w:trPr>
              <w:tc>
                <w:tcPr>
                  <w:tcW w:w="2099"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单元名称</w:t>
                  </w:r>
                </w:p>
              </w:tc>
              <w:tc>
                <w:tcPr>
                  <w:tcW w:w="1382"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污染防治区类别</w:t>
                  </w:r>
                </w:p>
              </w:tc>
              <w:tc>
                <w:tcPr>
                  <w:tcW w:w="3319"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防渗设计要求</w:t>
                  </w:r>
                </w:p>
              </w:tc>
              <w:tc>
                <w:tcPr>
                  <w:tcW w:w="1899"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企业拟采用的</w:t>
                  </w:r>
                </w:p>
                <w:p>
                  <w:pPr>
                    <w:keepNext w:val="0"/>
                    <w:keepLines w:val="0"/>
                    <w:suppressLineNumbers w:val="0"/>
                    <w:bidi w:val="0"/>
                    <w:spacing w:before="0" w:beforeAutospacing="0" w:after="0" w:afterAutospacing="0"/>
                    <w:ind w:left="0" w:right="0"/>
                    <w:jc w:val="center"/>
                    <w:rPr>
                      <w:rFonts w:hint="default"/>
                    </w:rPr>
                  </w:pPr>
                  <w:r>
                    <w:rPr>
                      <w:rFonts w:hint="default"/>
                    </w:rPr>
                    <w:t>防渗组合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4" w:hRule="atLeast"/>
                <w:jc w:val="center"/>
              </w:trPr>
              <w:tc>
                <w:tcPr>
                  <w:tcW w:w="2099"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原料仓库</w:t>
                  </w:r>
                </w:p>
              </w:tc>
              <w:tc>
                <w:tcPr>
                  <w:tcW w:w="1382"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重点</w:t>
                  </w:r>
                </w:p>
              </w:tc>
              <w:tc>
                <w:tcPr>
                  <w:tcW w:w="3319" w:type="dxa"/>
                  <w:vMerge w:val="restart"/>
                  <w:vAlign w:val="center"/>
                </w:tcPr>
                <w:p>
                  <w:pPr>
                    <w:keepNext w:val="0"/>
                    <w:keepLines w:val="0"/>
                    <w:suppressLineNumbers w:val="0"/>
                    <w:bidi w:val="0"/>
                    <w:spacing w:before="0" w:beforeAutospacing="0" w:after="0" w:afterAutospacing="0"/>
                    <w:ind w:left="0" w:right="0"/>
                    <w:jc w:val="center"/>
                    <w:rPr>
                      <w:rFonts w:hint="default"/>
                    </w:rPr>
                  </w:pPr>
                  <w:r>
                    <w:rPr>
                      <w:rFonts w:hint="default"/>
                    </w:rPr>
                    <w:t>等效黏土防渗层Mb≥6.0m，K≤1×10</w:t>
                  </w:r>
                  <w:r>
                    <w:rPr>
                      <w:rFonts w:hint="default"/>
                      <w:vertAlign w:val="superscript"/>
                    </w:rPr>
                    <w:t>-7</w:t>
                  </w:r>
                  <w:r>
                    <w:rPr>
                      <w:rFonts w:hint="default"/>
                    </w:rPr>
                    <w:t>cm/s；或参照GB18598</w:t>
                  </w:r>
                </w:p>
              </w:tc>
              <w:tc>
                <w:tcPr>
                  <w:tcW w:w="1899" w:type="dxa"/>
                  <w:vMerge w:val="restart"/>
                  <w:vAlign w:val="center"/>
                </w:tcPr>
                <w:p>
                  <w:pPr>
                    <w:keepNext w:val="0"/>
                    <w:keepLines w:val="0"/>
                    <w:suppressLineNumbers w:val="0"/>
                    <w:bidi w:val="0"/>
                    <w:spacing w:before="0" w:beforeAutospacing="0" w:after="0" w:afterAutospacing="0"/>
                    <w:ind w:left="0" w:right="0"/>
                    <w:jc w:val="center"/>
                    <w:rPr>
                      <w:rFonts w:hint="default"/>
                    </w:rPr>
                  </w:pPr>
                  <w:r>
                    <w:rPr>
                      <w:rFonts w:hint="default"/>
                    </w:rPr>
                    <w:t>15cm抗渗混凝土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4" w:hRule="atLeast"/>
                <w:jc w:val="center"/>
              </w:trPr>
              <w:tc>
                <w:tcPr>
                  <w:tcW w:w="2099"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危险废物暂存库</w:t>
                  </w:r>
                </w:p>
              </w:tc>
              <w:tc>
                <w:tcPr>
                  <w:tcW w:w="1382"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重点</w:t>
                  </w:r>
                </w:p>
              </w:tc>
              <w:tc>
                <w:tcPr>
                  <w:tcW w:w="3319"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899"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4" w:hRule="atLeast"/>
                <w:jc w:val="center"/>
              </w:trPr>
              <w:tc>
                <w:tcPr>
                  <w:tcW w:w="2099"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生产车间</w:t>
                  </w:r>
                </w:p>
              </w:tc>
              <w:tc>
                <w:tcPr>
                  <w:tcW w:w="1382" w:type="dxa"/>
                  <w:vMerge w:val="restart"/>
                  <w:vAlign w:val="center"/>
                </w:tcPr>
                <w:p>
                  <w:pPr>
                    <w:keepNext w:val="0"/>
                    <w:keepLines w:val="0"/>
                    <w:suppressLineNumbers w:val="0"/>
                    <w:bidi w:val="0"/>
                    <w:spacing w:before="0" w:beforeAutospacing="0" w:after="0" w:afterAutospacing="0"/>
                    <w:ind w:left="0" w:right="0"/>
                    <w:jc w:val="center"/>
                    <w:rPr>
                      <w:rFonts w:hint="default"/>
                    </w:rPr>
                  </w:pPr>
                  <w:r>
                    <w:rPr>
                      <w:rFonts w:hint="default"/>
                    </w:rPr>
                    <w:t>一般</w:t>
                  </w:r>
                </w:p>
              </w:tc>
              <w:tc>
                <w:tcPr>
                  <w:tcW w:w="3319" w:type="dxa"/>
                  <w:vMerge w:val="restart"/>
                  <w:vAlign w:val="center"/>
                </w:tcPr>
                <w:p>
                  <w:pPr>
                    <w:keepNext w:val="0"/>
                    <w:keepLines w:val="0"/>
                    <w:suppressLineNumbers w:val="0"/>
                    <w:bidi w:val="0"/>
                    <w:spacing w:before="0" w:beforeAutospacing="0" w:after="0" w:afterAutospacing="0"/>
                    <w:ind w:left="0" w:right="0"/>
                    <w:jc w:val="center"/>
                    <w:rPr>
                      <w:rFonts w:hint="default"/>
                    </w:rPr>
                  </w:pPr>
                  <w:r>
                    <w:rPr>
                      <w:rFonts w:hint="default"/>
                    </w:rPr>
                    <w:t>等效黏土防渗层Mb≥1.5m，K≤1×10</w:t>
                  </w:r>
                  <w:r>
                    <w:rPr>
                      <w:rFonts w:hint="default"/>
                      <w:vertAlign w:val="superscript"/>
                    </w:rPr>
                    <w:t>-7</w:t>
                  </w:r>
                  <w:r>
                    <w:rPr>
                      <w:rFonts w:hint="default"/>
                    </w:rPr>
                    <w:t>cm/s</w:t>
                  </w:r>
                </w:p>
              </w:tc>
              <w:tc>
                <w:tcPr>
                  <w:tcW w:w="1899" w:type="dxa"/>
                  <w:vMerge w:val="restart"/>
                  <w:vAlign w:val="center"/>
                </w:tcPr>
                <w:p>
                  <w:pPr>
                    <w:keepNext w:val="0"/>
                    <w:keepLines w:val="0"/>
                    <w:suppressLineNumbers w:val="0"/>
                    <w:bidi w:val="0"/>
                    <w:spacing w:before="0" w:beforeAutospacing="0" w:after="0" w:afterAutospacing="0"/>
                    <w:ind w:left="0" w:right="0"/>
                    <w:jc w:val="center"/>
                    <w:rPr>
                      <w:rFonts w:hint="default"/>
                    </w:rPr>
                  </w:pPr>
                  <w:r>
                    <w:rPr>
                      <w:rFonts w:hint="default"/>
                    </w:rPr>
                    <w:t>15cm抗渗混凝土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38" w:hRule="atLeast"/>
                <w:jc w:val="center"/>
              </w:trPr>
              <w:tc>
                <w:tcPr>
                  <w:tcW w:w="2099"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一般工业固体废物暂存间</w:t>
                  </w:r>
                </w:p>
              </w:tc>
              <w:tc>
                <w:tcPr>
                  <w:tcW w:w="1382"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3319"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c>
                <w:tcPr>
                  <w:tcW w:w="1899" w:type="dxa"/>
                  <w:vMerge w:val="continue"/>
                  <w:vAlign w:val="center"/>
                </w:tcPr>
                <w:p>
                  <w:pPr>
                    <w:keepNext w:val="0"/>
                    <w:keepLines w:val="0"/>
                    <w:suppressLineNumbers w:val="0"/>
                    <w:bidi w:val="0"/>
                    <w:spacing w:before="0" w:beforeAutospacing="0" w:after="0" w:afterAutospacing="0"/>
                    <w:ind w:left="0" w:right="0"/>
                    <w:jc w:val="center"/>
                    <w:rPr>
                      <w:rFonts w:hint="default"/>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0" w:hRule="atLeast"/>
                <w:jc w:val="center"/>
              </w:trPr>
              <w:tc>
                <w:tcPr>
                  <w:tcW w:w="2099"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其他区域（办公区）</w:t>
                  </w:r>
                </w:p>
              </w:tc>
              <w:tc>
                <w:tcPr>
                  <w:tcW w:w="1382"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简单</w:t>
                  </w:r>
                </w:p>
              </w:tc>
              <w:tc>
                <w:tcPr>
                  <w:tcW w:w="3319"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一般地面硬化</w:t>
                  </w:r>
                </w:p>
              </w:tc>
              <w:tc>
                <w:tcPr>
                  <w:tcW w:w="1899" w:type="dxa"/>
                  <w:vAlign w:val="center"/>
                </w:tcPr>
                <w:p>
                  <w:pPr>
                    <w:keepNext w:val="0"/>
                    <w:keepLines w:val="0"/>
                    <w:suppressLineNumbers w:val="0"/>
                    <w:bidi w:val="0"/>
                    <w:spacing w:before="0" w:beforeAutospacing="0" w:after="0" w:afterAutospacing="0"/>
                    <w:ind w:left="0" w:right="0"/>
                    <w:jc w:val="center"/>
                    <w:rPr>
                      <w:rFonts w:hint="default"/>
                    </w:rPr>
                  </w:pPr>
                  <w:r>
                    <w:rPr>
                      <w:rFonts w:hint="default"/>
                    </w:rPr>
                    <w:t>混凝土</w:t>
                  </w:r>
                </w:p>
              </w:tc>
            </w:tr>
          </w:tbl>
          <w:p>
            <w:pPr>
              <w:pStyle w:val="23"/>
              <w:keepNext w:val="0"/>
              <w:keepLines w:val="0"/>
              <w:suppressLineNumbers w:val="0"/>
              <w:bidi w:val="0"/>
              <w:spacing w:before="0" w:beforeAutospacing="0" w:after="0" w:afterAutospacing="0"/>
              <w:ind w:left="0" w:right="0"/>
              <w:rPr>
                <w:rFonts w:hint="default"/>
              </w:rPr>
            </w:pPr>
            <w:r>
              <w:rPr>
                <w:rFonts w:hint="default"/>
              </w:rPr>
              <w:t>因此，在落实各项防渗措施后，可将地下水、土壤污染的风险降至最低。</w:t>
            </w:r>
          </w:p>
          <w:p>
            <w:pPr>
              <w:pStyle w:val="23"/>
              <w:keepNext w:val="0"/>
              <w:keepLines w:val="0"/>
              <w:suppressLineNumbers w:val="0"/>
              <w:bidi w:val="0"/>
              <w:spacing w:before="0" w:beforeAutospacing="0" w:after="0" w:afterAutospacing="0"/>
              <w:ind w:left="0" w:right="0"/>
              <w:rPr>
                <w:rFonts w:hint="default"/>
              </w:rPr>
            </w:pPr>
            <w:r>
              <w:rPr>
                <w:rFonts w:hint="eastAsia"/>
                <w:lang w:val="en-US" w:eastAsia="zh-CN"/>
              </w:rPr>
              <w:t>六、</w:t>
            </w:r>
            <w:r>
              <w:rPr>
                <w:rFonts w:hint="default"/>
              </w:rPr>
              <w:t>环境风险分析</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环境风险评价是对项目建设和运营期间发生的可预测突发事件（一般不包括人为破坏和自然灾害）或事故引起有毒有害、易燃易爆等物质</w:t>
            </w:r>
            <w:r>
              <w:rPr>
                <w:rFonts w:hint="eastAsia"/>
                <w:lang w:val="en-US" w:eastAsia="zh-CN"/>
              </w:rPr>
              <w:t>泄漏</w:t>
            </w:r>
            <w:r>
              <w:rPr>
                <w:rFonts w:hint="default"/>
                <w:lang w:val="en-US" w:eastAsia="zh-CN"/>
              </w:rPr>
              <w:t>，或突发事件产生的新的有毒有害物质，所造成的人身安全和环境的影响进行评估，并提出防范、应急与缓解措施。根据《建设项目环境风险评价技术导则》（HJ 169-2018）的要求，本次环评将着重从风险识别、源项分析、事故后果分析、事故防范措施、事故应急预案等方面对本项目存在的环境风险进行评价；再根据评价结果，对项目提出可行的风险防范措施和建议，达到降低风险性、危害程度，保护环境之目的。</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本次环境风险评价重点主要对项目运营期间可能存在的危险、有害因素进行分析，并对可能发生的突发性事件及事故所造成的人身安全与环境影响、损害程度，提出合理可行的防范、应急与减缓措施。</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评价依据：</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r>
              <w:rPr>
                <w:rFonts w:hint="default"/>
                <w:lang w:val="en-US" w:eastAsia="zh-CN"/>
              </w:rPr>
              <w:t>风险调查</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w:t>
            </w:r>
            <w:r>
              <w:rPr>
                <w:rFonts w:hint="default"/>
                <w:lang w:val="en-US" w:eastAsia="zh-CN"/>
              </w:rPr>
              <w:t>1）物质风险性调查</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本项目涉及到的危险物质主要有硫酸、盐酸、过氧化氢存在原料库内，因此原料库为危险单元。风险单元内的危险物质数量和分布情况分别如下表所示：</w:t>
            </w: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表4-14 危险物质数量和分布情况一览表</w:t>
            </w:r>
          </w:p>
          <w:tbl>
            <w:tblPr>
              <w:tblStyle w:val="19"/>
              <w:tblW w:w="867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45"/>
              <w:gridCol w:w="2144"/>
              <w:gridCol w:w="2144"/>
              <w:gridCol w:w="214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245"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物质名称</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CAS号</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最大储存量（t）</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储存位置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45"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硫酸</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7664-93-9</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0.02</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原料库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245"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盐酸</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7647-01-0</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0.02</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原料库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45"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eastAsia" w:ascii="Times New Roman" w:hAnsi="Times New Roman" w:cs="Times New Roman"/>
                      <w:lang w:val="en-US" w:eastAsia="zh-CN"/>
                    </w:rPr>
                    <w:t>过氧化氢</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eastAsia" w:ascii="Times New Roman" w:hAnsi="Times New Roman" w:cs="Times New Roman"/>
                      <w:lang w:val="en-US" w:eastAsia="zh-CN"/>
                    </w:rPr>
                    <w:t>7722-84-1</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eastAsia" w:ascii="Times New Roman" w:hAnsi="Times New Roman" w:cs="Times New Roman"/>
                      <w:lang w:val="en-US" w:eastAsia="zh-CN"/>
                    </w:rPr>
                    <w:t>0.02</w:t>
                  </w:r>
                </w:p>
              </w:tc>
              <w:tc>
                <w:tcPr>
                  <w:tcW w:w="214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原料库</w:t>
                  </w:r>
                </w:p>
              </w:tc>
            </w:tr>
          </w:tbl>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（2）环境敏感目标调查</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1）大气环境</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根据《建设项目环境风险评价技术导则》（HJ163-2018），确定风险评价的大气环境保护目标见表3-9。</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2）水环境</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水环境保护目标为高塘湖（直线距离为15200m，Ⅲ类水体）。</w:t>
            </w:r>
          </w:p>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2、环境风险潜势初判及评价等级确定</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（1）危险物质数量与临界量的比值</w:t>
            </w:r>
            <w:r>
              <w:rPr>
                <w:rFonts w:hint="eastAsia"/>
                <w:lang w:val="en-US" w:eastAsia="zh-CN"/>
              </w:rPr>
              <w:t>（</w:t>
            </w:r>
            <w:r>
              <w:rPr>
                <w:rFonts w:hint="default"/>
                <w:lang w:val="en-US" w:eastAsia="zh-CN"/>
              </w:rPr>
              <w:t>Q</w:t>
            </w:r>
            <w:r>
              <w:rPr>
                <w:rFonts w:hint="eastAsia"/>
                <w:lang w:val="en-US" w:eastAsia="zh-CN"/>
              </w:rPr>
              <w:t>）</w:t>
            </w:r>
            <w:r>
              <w:rPr>
                <w:rFonts w:hint="default"/>
                <w:lang w:val="en-US" w:eastAsia="zh-CN"/>
              </w:rPr>
              <w:t>确定</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计算所涉及的每种环境风险物质与临界值的比值（Q），计算公式如下：</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Q=q1/Q1+q2/Q2……+qn/Qn</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式中：q1，q2...qn——每种环境风险物质的最大存在总量，t。</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Q1，Q2...Qn——每种环境风险物质相对应的临界量，t。</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当 Q＜1 时，该项目的环境风险潜势为 I；</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当 Q≥时，将 Q 值划分为：（1）1≤Q＜10；（2）10≤Q＜100；（3）Q≥100。</w:t>
            </w:r>
          </w:p>
          <w:p>
            <w:pPr>
              <w:pStyle w:val="23"/>
              <w:keepNext w:val="0"/>
              <w:keepLines w:val="0"/>
              <w:suppressLineNumbers w:val="0"/>
              <w:bidi w:val="0"/>
              <w:spacing w:before="0" w:beforeAutospacing="0" w:after="0" w:afterAutospacing="0"/>
              <w:ind w:left="0" w:right="0"/>
              <w:rPr>
                <w:rFonts w:hint="eastAsia"/>
                <w:lang w:val="en-US" w:eastAsia="zh-CN"/>
              </w:rPr>
            </w:pPr>
            <w:r>
              <w:rPr>
                <w:rFonts w:hint="default"/>
                <w:lang w:val="en-US" w:eastAsia="zh-CN"/>
              </w:rPr>
              <w:t>项目危险物质数量及临界量比值情况如下表所示：</w:t>
            </w: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表4-15 危险物质数量及临界量比值情况一览表</w:t>
            </w:r>
          </w:p>
          <w:tbl>
            <w:tblPr>
              <w:tblStyle w:val="19"/>
              <w:tblW w:w="856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7"/>
              <w:gridCol w:w="2137"/>
              <w:gridCol w:w="2137"/>
              <w:gridCol w:w="215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危险物质名称</w:t>
                  </w:r>
                </w:p>
              </w:tc>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最大存在量</w:t>
                  </w:r>
                </w:p>
              </w:tc>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临界量</w:t>
                  </w:r>
                </w:p>
              </w:tc>
              <w:tc>
                <w:tcPr>
                  <w:tcW w:w="215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qn/Qn</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硫酸</w:t>
                  </w:r>
                </w:p>
              </w:tc>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0.02</w:t>
                  </w:r>
                </w:p>
              </w:tc>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10</w:t>
                  </w:r>
                </w:p>
              </w:tc>
              <w:tc>
                <w:tcPr>
                  <w:tcW w:w="215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0.002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25" w:hRule="atLeast"/>
                <w:jc w:val="center"/>
              </w:trPr>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盐酸</w:t>
                  </w:r>
                </w:p>
              </w:tc>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0.02</w:t>
                  </w:r>
                </w:p>
              </w:tc>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7.5</w:t>
                  </w:r>
                </w:p>
              </w:tc>
              <w:tc>
                <w:tcPr>
                  <w:tcW w:w="215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0.0027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过氧化氢</w:t>
                  </w:r>
                </w:p>
              </w:tc>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eastAsia" w:ascii="Times New Roman" w:hAnsi="Times New Roman" w:cs="Times New Roman"/>
                      <w:lang w:val="en-US" w:eastAsia="zh-CN"/>
                    </w:rPr>
                    <w:t>0.02</w:t>
                  </w:r>
                </w:p>
              </w:tc>
              <w:tc>
                <w:tcPr>
                  <w:tcW w:w="2137"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eastAsia" w:ascii="Times New Roman" w:hAnsi="Times New Roman" w:cs="Times New Roman"/>
                      <w:lang w:val="en-US" w:eastAsia="zh-CN"/>
                    </w:rPr>
                    <w:t>5</w:t>
                  </w:r>
                </w:p>
              </w:tc>
              <w:tc>
                <w:tcPr>
                  <w:tcW w:w="215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eastAsia" w:ascii="Times New Roman" w:hAnsi="Times New Roman" w:cs="Times New Roman"/>
                      <w:lang w:val="en-US" w:eastAsia="zh-CN"/>
                    </w:rPr>
                    <w:t>0.004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6411" w:type="dxa"/>
                  <w:gridSpan w:val="3"/>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Q</w:t>
                  </w:r>
                </w:p>
              </w:tc>
              <w:tc>
                <w:tcPr>
                  <w:tcW w:w="2154" w:type="dxa"/>
                  <w:vAlign w:val="center"/>
                </w:tcPr>
                <w:p>
                  <w:pPr>
                    <w:pStyle w:val="3"/>
                    <w:keepNext w:val="0"/>
                    <w:keepLines w:val="0"/>
                    <w:suppressLineNumbers w:val="0"/>
                    <w:bidi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cs="Times New Roman"/>
                      <w:lang w:val="en-US" w:eastAsia="zh-CN"/>
                    </w:rPr>
                    <w:t>0.00</w:t>
                  </w:r>
                  <w:r>
                    <w:rPr>
                      <w:rFonts w:hint="eastAsia" w:ascii="Times New Roman" w:hAnsi="Times New Roman" w:cs="Times New Roman"/>
                      <w:lang w:val="en-US" w:eastAsia="zh-CN"/>
                    </w:rPr>
                    <w:t>8</w:t>
                  </w:r>
                  <w:r>
                    <w:rPr>
                      <w:rFonts w:hint="default" w:ascii="Times New Roman" w:hAnsi="Times New Roman" w:cs="Times New Roman"/>
                      <w:lang w:val="en-US" w:eastAsia="zh-CN"/>
                    </w:rPr>
                    <w:t>7</w:t>
                  </w:r>
                </w:p>
              </w:tc>
            </w:tr>
          </w:tbl>
          <w:p>
            <w:pPr>
              <w:pStyle w:val="2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由上表可知，本项目危险物质数量与临界值Q=0.0087，根据《建设项目环境风险评价技术导则》附录C可知，当Q＜1时，该项目环境风险潜势为Ⅰ。</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（2）评级等级确定</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根据风险潜势判断，结合《建设项目环境风险评价技术导则》（HJ169-2018）中表1评价工作级别的判别依据和方法，确定本项目风险评价等级为简单分析。</w:t>
            </w: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表4-16 环境风险评价等级划分</w:t>
            </w:r>
          </w:p>
          <w:tbl>
            <w:tblPr>
              <w:tblStyle w:val="19"/>
              <w:tblW w:w="859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1699"/>
              <w:gridCol w:w="1699"/>
              <w:gridCol w:w="1699"/>
              <w:gridCol w:w="169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01"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环境风险潜势</w:t>
                  </w:r>
                </w:p>
              </w:tc>
              <w:tc>
                <w:tcPr>
                  <w:tcW w:w="1699"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Ⅳ、Ⅳ+</w:t>
                  </w:r>
                </w:p>
              </w:tc>
              <w:tc>
                <w:tcPr>
                  <w:tcW w:w="1699"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Ⅲ</w:t>
                  </w:r>
                </w:p>
              </w:tc>
              <w:tc>
                <w:tcPr>
                  <w:tcW w:w="1699"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Ⅱ</w:t>
                  </w:r>
                </w:p>
              </w:tc>
              <w:tc>
                <w:tcPr>
                  <w:tcW w:w="1699"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01"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评价工作等级</w:t>
                  </w:r>
                </w:p>
              </w:tc>
              <w:tc>
                <w:tcPr>
                  <w:tcW w:w="1699"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一</w:t>
                  </w:r>
                </w:p>
              </w:tc>
              <w:tc>
                <w:tcPr>
                  <w:tcW w:w="1699"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二</w:t>
                  </w:r>
                </w:p>
              </w:tc>
              <w:tc>
                <w:tcPr>
                  <w:tcW w:w="1699"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三</w:t>
                  </w:r>
                </w:p>
              </w:tc>
              <w:tc>
                <w:tcPr>
                  <w:tcW w:w="1699" w:type="dxa"/>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简单分析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97" w:type="dxa"/>
                  <w:gridSpan w:val="5"/>
                  <w:vAlign w:val="center"/>
                </w:tcPr>
                <w:p>
                  <w:pPr>
                    <w:keepNext w:val="0"/>
                    <w:keepLines w:val="0"/>
                    <w:suppressLineNumbers w:val="0"/>
                    <w:bidi w:val="0"/>
                    <w:spacing w:before="0" w:beforeAutospacing="0" w:after="0" w:afterAutospacing="0"/>
                    <w:ind w:left="0" w:right="0"/>
                    <w:jc w:val="both"/>
                    <w:rPr>
                      <w:rFonts w:hint="eastAsia"/>
                      <w:lang w:val="en-US" w:eastAsia="zh-CN"/>
                    </w:rPr>
                  </w:pPr>
                  <w:r>
                    <w:rPr>
                      <w:rFonts w:hint="eastAsia"/>
                      <w:lang w:val="en-US" w:eastAsia="zh-CN"/>
                    </w:rPr>
                    <w:t>a是相对于详细评价工作内容而言，在描述危险物质，环境影响途径，环境危害后果，风险防范措施等方面给出定性说明，见附录 A。</w:t>
                  </w:r>
                </w:p>
              </w:tc>
            </w:tr>
          </w:tbl>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（3）环境风险识别及风险分析</w:t>
            </w:r>
          </w:p>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本项目存在的环境风险主要存在于储运设施、主体工程和环保设施。</w:t>
            </w:r>
          </w:p>
          <w:p>
            <w:pPr>
              <w:pStyle w:val="11"/>
              <w:keepNext w:val="0"/>
              <w:keepLines w:val="0"/>
              <w:suppressLineNumbers w:val="0"/>
              <w:bidi w:val="0"/>
              <w:spacing w:before="0" w:after="0" w:afterAutospacing="0"/>
              <w:ind w:right="0"/>
              <w:rPr>
                <w:rFonts w:hint="eastAsia"/>
                <w:lang w:val="en-US" w:eastAsia="zh-CN"/>
              </w:rPr>
            </w:pPr>
          </w:p>
          <w:p>
            <w:pPr>
              <w:pStyle w:val="12"/>
              <w:keepNext w:val="0"/>
              <w:keepLines w:val="0"/>
              <w:suppressLineNumbers w:val="0"/>
              <w:spacing w:before="0" w:beforeAutospacing="0" w:afterAutospacing="0"/>
              <w:ind w:right="0"/>
              <w:rPr>
                <w:rFonts w:hint="eastAsia"/>
                <w:lang w:val="en-US" w:eastAsia="zh-CN"/>
              </w:rPr>
            </w:pPr>
          </w:p>
          <w:p>
            <w:pPr>
              <w:pStyle w:val="11"/>
              <w:keepNext w:val="0"/>
              <w:keepLines w:val="0"/>
              <w:suppressLineNumbers w:val="0"/>
              <w:bidi w:val="0"/>
              <w:spacing w:before="0" w:after="0" w:afterAutospacing="0"/>
              <w:ind w:right="0"/>
              <w:rPr>
                <w:rFonts w:hint="eastAsia"/>
                <w:lang w:val="en-US" w:eastAsia="zh-CN"/>
              </w:rPr>
            </w:pPr>
            <w:r>
              <w:rPr>
                <w:rFonts w:hint="eastAsia"/>
                <w:lang w:val="en-US" w:eastAsia="zh-CN"/>
              </w:rPr>
              <w:t>表4-17 项目存在的环境事故类型</w:t>
            </w:r>
          </w:p>
          <w:tbl>
            <w:tblPr>
              <w:tblStyle w:val="19"/>
              <w:tblW w:w="857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047"/>
              <w:gridCol w:w="1094"/>
              <w:gridCol w:w="1329"/>
              <w:gridCol w:w="1058"/>
              <w:gridCol w:w="2637"/>
              <w:gridCol w:w="141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636" w:hRule="atLeast"/>
                <w:jc w:val="center"/>
              </w:trPr>
              <w:tc>
                <w:tcPr>
                  <w:tcW w:w="1047"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系统名称</w:t>
                  </w:r>
                </w:p>
              </w:tc>
              <w:tc>
                <w:tcPr>
                  <w:tcW w:w="1094"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危险单元</w:t>
                  </w:r>
                </w:p>
              </w:tc>
              <w:tc>
                <w:tcPr>
                  <w:tcW w:w="1329"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主要危险物质</w:t>
                  </w:r>
                </w:p>
              </w:tc>
              <w:tc>
                <w:tcPr>
                  <w:tcW w:w="1058"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环境风险类型</w:t>
                  </w:r>
                </w:p>
              </w:tc>
              <w:tc>
                <w:tcPr>
                  <w:tcW w:w="2637"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环境影响途径</w:t>
                  </w:r>
                </w:p>
              </w:tc>
              <w:tc>
                <w:tcPr>
                  <w:tcW w:w="1411"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可能受影响的环境敏感目标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575" w:hRule="atLeast"/>
                <w:jc w:val="center"/>
              </w:trPr>
              <w:tc>
                <w:tcPr>
                  <w:tcW w:w="1047"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储运工程</w:t>
                  </w:r>
                </w:p>
              </w:tc>
              <w:tc>
                <w:tcPr>
                  <w:tcW w:w="1094"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原料库</w:t>
                  </w:r>
                </w:p>
              </w:tc>
              <w:tc>
                <w:tcPr>
                  <w:tcW w:w="1329"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硫酸、</w:t>
                  </w:r>
                </w:p>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盐酸</w:t>
                  </w:r>
                  <w:r>
                    <w:rPr>
                      <w:rFonts w:hint="eastAsia"/>
                      <w:lang w:val="en-US" w:eastAsia="zh-CN"/>
                    </w:rPr>
                    <w:t>、氢氧化钠</w:t>
                  </w:r>
                </w:p>
              </w:tc>
              <w:tc>
                <w:tcPr>
                  <w:tcW w:w="1058"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试剂瓶破裂损坏导致泄漏</w:t>
                  </w:r>
                </w:p>
              </w:tc>
              <w:tc>
                <w:tcPr>
                  <w:tcW w:w="2637"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泄漏</w:t>
                  </w:r>
                  <w:r>
                    <w:rPr>
                      <w:rFonts w:hint="default"/>
                      <w:lang w:val="en-US" w:eastAsia="zh-CN"/>
                    </w:rPr>
                    <w:t>液体挥发导致</w:t>
                  </w:r>
                  <w:r>
                    <w:rPr>
                      <w:rFonts w:hint="eastAsia"/>
                      <w:lang w:val="en-US" w:eastAsia="zh-CN"/>
                    </w:rPr>
                    <w:t>泄漏</w:t>
                  </w:r>
                  <w:r>
                    <w:rPr>
                      <w:rFonts w:hint="default"/>
                      <w:lang w:val="en-US" w:eastAsia="zh-CN"/>
                    </w:rPr>
                    <w:t>到空气中的硫酸雾、氯化氢等有毒有害气体扩散到大气中，对环境空气产生不利影响。</w:t>
                  </w:r>
                </w:p>
              </w:tc>
              <w:tc>
                <w:tcPr>
                  <w:tcW w:w="1411"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周边居民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949" w:hRule="atLeast"/>
                <w:jc w:val="center"/>
              </w:trPr>
              <w:tc>
                <w:tcPr>
                  <w:tcW w:w="1047" w:type="dxa"/>
                  <w:vMerge w:val="restart"/>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环保工程</w:t>
                  </w:r>
                </w:p>
              </w:tc>
              <w:tc>
                <w:tcPr>
                  <w:tcW w:w="1094"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危险废物暂存库</w:t>
                  </w:r>
                </w:p>
              </w:tc>
              <w:tc>
                <w:tcPr>
                  <w:tcW w:w="1329"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废</w:t>
                  </w:r>
                  <w:r>
                    <w:rPr>
                      <w:rFonts w:hint="default"/>
                      <w:lang w:val="en-US" w:eastAsia="zh-CN"/>
                    </w:rPr>
                    <w:t>试剂瓶、废活性炭</w:t>
                  </w:r>
                  <w:r>
                    <w:rPr>
                      <w:rFonts w:hint="eastAsia"/>
                      <w:lang w:val="en-US" w:eastAsia="zh-CN"/>
                    </w:rPr>
                    <w:t>、碱液</w:t>
                  </w:r>
                  <w:r>
                    <w:rPr>
                      <w:rFonts w:hint="default"/>
                      <w:lang w:val="en-US" w:eastAsia="zh-CN"/>
                    </w:rPr>
                    <w:t>等危险废物</w:t>
                  </w:r>
                </w:p>
              </w:tc>
              <w:tc>
                <w:tcPr>
                  <w:tcW w:w="1058"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盛装容器破损导致</w:t>
                  </w:r>
                  <w:r>
                    <w:rPr>
                      <w:rFonts w:hint="eastAsia"/>
                      <w:lang w:val="en-US" w:eastAsia="zh-CN"/>
                    </w:rPr>
                    <w:t>泄漏</w:t>
                  </w:r>
                </w:p>
              </w:tc>
              <w:tc>
                <w:tcPr>
                  <w:tcW w:w="2637"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泄漏</w:t>
                  </w:r>
                  <w:r>
                    <w:rPr>
                      <w:rFonts w:hint="default"/>
                      <w:lang w:val="en-US" w:eastAsia="zh-CN"/>
                    </w:rPr>
                    <w:t>液体</w:t>
                  </w:r>
                  <w:r>
                    <w:rPr>
                      <w:rFonts w:hint="eastAsia"/>
                      <w:lang w:val="en-US" w:eastAsia="zh-CN"/>
                    </w:rPr>
                    <w:t>对土壤下水、</w:t>
                  </w:r>
                  <w:r>
                    <w:rPr>
                      <w:rFonts w:hint="default"/>
                      <w:lang w:val="en-US" w:eastAsia="zh-CN"/>
                    </w:rPr>
                    <w:t>产生不利影响</w:t>
                  </w:r>
                </w:p>
              </w:tc>
              <w:tc>
                <w:tcPr>
                  <w:tcW w:w="1411"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周边居民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272" w:hRule="atLeast"/>
                <w:jc w:val="center"/>
              </w:trPr>
              <w:tc>
                <w:tcPr>
                  <w:tcW w:w="1047" w:type="dxa"/>
                  <w:vMerge w:val="continue"/>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p>
              </w:tc>
              <w:tc>
                <w:tcPr>
                  <w:tcW w:w="1094"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废气处理</w:t>
                  </w:r>
                </w:p>
              </w:tc>
              <w:tc>
                <w:tcPr>
                  <w:tcW w:w="1329"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硫酸雾、非甲烷总烃</w:t>
                  </w:r>
                </w:p>
              </w:tc>
              <w:tc>
                <w:tcPr>
                  <w:tcW w:w="1058"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废气治理措施出现故障，超标排放</w:t>
                  </w:r>
                </w:p>
              </w:tc>
              <w:tc>
                <w:tcPr>
                  <w:tcW w:w="2637"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未经处理/有效处理的硫酸雾、氯化氢、非甲烷总烃等废气扩散到大气，对环境空气产生不利影响</w:t>
                  </w:r>
                </w:p>
              </w:tc>
              <w:tc>
                <w:tcPr>
                  <w:tcW w:w="1411" w:type="dxa"/>
                  <w:vAlign w:val="center"/>
                </w:tcPr>
                <w:p>
                  <w:pPr>
                    <w:pStyle w:val="3"/>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周边居民</w:t>
                  </w:r>
                </w:p>
              </w:tc>
            </w:tr>
          </w:tbl>
          <w:p>
            <w:pPr>
              <w:pStyle w:val="2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（4）环境风险防范措施</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1）存放危险物品及药品，应当符合下列要求</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①分类、分区存放，且符合国家有关规定。</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②遇火、遇潮容易燃烧、爆炸或产生有毒气体的危险物品，不得在露天、潮湿、漏雨和低洼容易积水的地点存放。</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③受阳光照射容易燃烧、爆炸或产生有毒气体的危险物品和桶装、罐装等易燃液体、气体应当在阴凉通风地点存放。</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④化学性质或防护、灭火方法相互抵触的危险物品，不得在同一仓库或同一储存室内存放。</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⑤地面硬化防渗处理，所有危废溶液必须收集于密闭容器中，确保泄漏的化学试剂不会下渗。</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ascii="Times New Roman" w:hAnsi="Times New Roman" w:eastAsia="宋体" w:cs="Times New Roman"/>
                <w:lang w:val="en-US" w:eastAsia="zh-CN"/>
              </w:rPr>
              <w:t>⑥库房搬运</w:t>
            </w:r>
            <w:r>
              <w:rPr>
                <w:rFonts w:hint="default"/>
                <w:lang w:val="en-US" w:eastAsia="zh-CN"/>
              </w:rPr>
              <w:t>应轻拿、轻放，严防震动、撞击、重压、倾倒和摩擦；</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⑦存放实验药品的房间应设置专门的试剂存放柜，如：酸性试剂，硫酸、盐酸存放在酸柜中；碱性样品，氢氧化钠等存放在木质试剂柜中；</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⑧项目在运营过程中，应加强对危险化学品的管理。对于危险化学品的购买、储存、保管、使用等需按照《危险化学品安全管理条例》之规定管理。危险化学品必须储存在专用仓库、专用场地或者专用储存室内，其储存方式、方法与储存数量必须符合国家标准，并由专人管理，危险化学品出入库，必须进行核查登记，并定期检查库存，确保项目内的危险化学品和各类药品做到妥善管理。</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2）危险废物存放及管理要求</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各类危险废物应分类存放，液体危险废物需由密闭的专用容器收集，固体危险废物需由加盖的储存桶收集，危废暂存间按照《危险废物贮存污染控制标准》（GB18597-20</w:t>
            </w:r>
            <w:r>
              <w:rPr>
                <w:rFonts w:hint="eastAsia"/>
                <w:lang w:val="en-US" w:eastAsia="zh-CN"/>
              </w:rPr>
              <w:t>23</w:t>
            </w:r>
            <w:r>
              <w:rPr>
                <w:rFonts w:hint="default"/>
                <w:lang w:val="en-US" w:eastAsia="zh-CN"/>
              </w:rPr>
              <w:t>）的管理规定，对暂存间做好</w:t>
            </w:r>
            <w:r>
              <w:rPr>
                <w:rFonts w:hint="eastAsia"/>
                <w:lang w:val="en-US" w:eastAsia="zh-CN"/>
              </w:rPr>
              <w:t>六</w:t>
            </w:r>
            <w:r>
              <w:rPr>
                <w:rFonts w:hint="default"/>
                <w:lang w:val="en-US" w:eastAsia="zh-CN"/>
              </w:rPr>
              <w:t>防（防风、防雨、防渗）措施，以防药品泄漏后，造成二次污染等，外运过程要防止抛洒泄漏，扬尘等二次污染，企业内部应建立危险废物产生、外运、处置及最终去向的详细台账，按照《危险废物转移联单管理办法》的要求做好危险废物转移联单填报登记工作，危废必须坚持交由资质单位处理，如资质单位在处理能力不能满足的情况下，企业应提前积极寻找其他资质单位并签订协议，企业不得擅自处理或排放。</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项目应根据《中华人民共和国固体废物污染环境防治法》，对危险废物的容器和包装物以及收集、贮存、运输、处置危险废物的设施、场所，必须设置危险废物识别标志；收集、贮存危险废物，必须按照危险废物特性分类进行，禁止混合收集、贮存、运输、处置性质不相容而未经安全性处置的危险废物，确保危废得到妥善处置。项目危废暂存间应远离易爆、易燃品库，且暂存间内装载液体、半固体危险废物的容器内须留足够空间，容器顶部与液体表面之间保留100毫米以上的空间。</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（5）环境风险应急要求</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①泄漏应急处理</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迅速撤离泄漏污染区人员至上风处，并进行隔离，严格限制出入。切断火源。</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建议应急处理人员戴自给正压式呼吸器，穿消防防护服。尽可能切断泄漏源。用工业覆盖层或吸附/吸收剂盖住泄漏点附近的下水道等地方，防止气体进入。合理通风，加速扩散。喷雾状水稀释、溶解。构筑围堤或挖坑收容产生的大量废水。如有可能，将残余气或漏出气用排风机送至废气治理设施或与设施相连的通风橱内。漏气容器要妥善处理，修复、检验后再用。</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②防护措施</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呼吸系统防护：空气中浓度超标时，佩戴过滤式防毒面具（半面罩）。紧急事态抢救或撤离时，建议佩戴空气呼吸器。</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眼睛防护：戴化学安全防护眼镜。</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身体防护：穿防静电工作服</w:t>
            </w:r>
            <w:r>
              <w:rPr>
                <w:rFonts w:hint="eastAsia"/>
                <w:lang w:val="en-US" w:eastAsia="zh-CN"/>
              </w:rPr>
              <w:t>、</w:t>
            </w:r>
            <w:r>
              <w:rPr>
                <w:rFonts w:hint="default"/>
                <w:lang w:val="en-US" w:eastAsia="zh-CN"/>
              </w:rPr>
              <w:t>戴防化学品手套。</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其它：工作现场严禁吸烟。实行就业前和定期的体检。进入罐、限制性空间或其它高浓度区作业，须有人监护。</w:t>
            </w:r>
          </w:p>
          <w:p>
            <w:pPr>
              <w:pStyle w:val="23"/>
              <w:keepNext w:val="0"/>
              <w:keepLines w:val="0"/>
              <w:suppressLineNumbers w:val="0"/>
              <w:bidi w:val="0"/>
              <w:spacing w:before="0" w:beforeAutospacing="0" w:after="0" w:afterAutospacing="0"/>
              <w:ind w:left="0" w:right="0"/>
              <w:rPr>
                <w:rFonts w:hint="default"/>
                <w:lang w:val="en-US"/>
              </w:rPr>
            </w:pPr>
            <w:r>
              <w:rPr>
                <w:rFonts w:hint="eastAsia"/>
                <w:lang w:val="en-US" w:eastAsia="zh-CN"/>
              </w:rPr>
              <w:t>八、</w:t>
            </w:r>
            <w:r>
              <w:rPr>
                <w:rFonts w:hint="default"/>
                <w:lang w:val="en-US" w:eastAsia="zh-CN"/>
              </w:rPr>
              <w:t>环保投资</w:t>
            </w:r>
          </w:p>
          <w:p>
            <w:pPr>
              <w:pStyle w:val="2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项目总投资20000万元，环保投资</w:t>
            </w:r>
            <w:r>
              <w:rPr>
                <w:rFonts w:hint="eastAsia"/>
                <w:lang w:val="en-US" w:eastAsia="zh-CN"/>
              </w:rPr>
              <w:t>47</w:t>
            </w:r>
            <w:r>
              <w:rPr>
                <w:rFonts w:hint="default"/>
                <w:lang w:val="en-US" w:eastAsia="zh-CN"/>
              </w:rPr>
              <w:t>万元，占总投资的0.</w:t>
            </w:r>
            <w:r>
              <w:rPr>
                <w:rFonts w:hint="eastAsia"/>
                <w:lang w:val="en-US" w:eastAsia="zh-CN"/>
              </w:rPr>
              <w:t>235</w:t>
            </w:r>
            <w:r>
              <w:rPr>
                <w:rFonts w:hint="default"/>
                <w:lang w:val="en-US" w:eastAsia="zh-CN"/>
              </w:rPr>
              <w:t>%.</w:t>
            </w:r>
          </w:p>
          <w:p>
            <w:pPr>
              <w:pStyle w:val="11"/>
              <w:keepNext w:val="0"/>
              <w:keepLines w:val="0"/>
              <w:suppressLineNumbers w:val="0"/>
              <w:bidi w:val="0"/>
              <w:spacing w:before="0" w:after="0" w:afterAutospacing="0"/>
              <w:ind w:right="0"/>
              <w:rPr>
                <w:rFonts w:hint="default"/>
                <w:lang w:val="en-US" w:eastAsia="zh-CN"/>
              </w:rPr>
            </w:pPr>
            <w:r>
              <w:rPr>
                <w:rFonts w:hint="default"/>
                <w:lang w:val="en-US" w:eastAsia="zh-CN"/>
              </w:rPr>
              <w:t>表</w:t>
            </w:r>
            <w:r>
              <w:rPr>
                <w:rFonts w:hint="eastAsia"/>
                <w:lang w:val="en-US" w:eastAsia="zh-CN"/>
              </w:rPr>
              <w:t>4-18</w:t>
            </w:r>
            <w:r>
              <w:rPr>
                <w:rFonts w:hint="default"/>
                <w:lang w:val="en-US" w:eastAsia="zh-CN"/>
              </w:rPr>
              <w:t xml:space="preserve"> 环保投资一览表</w:t>
            </w:r>
          </w:p>
          <w:tbl>
            <w:tblPr>
              <w:tblStyle w:val="19"/>
              <w:tblW w:w="8578" w:type="dxa"/>
              <w:jc w:val="center"/>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Layout w:type="fixed"/>
              <w:tblCellMar>
                <w:top w:w="0" w:type="dxa"/>
                <w:left w:w="57" w:type="dxa"/>
                <w:bottom w:w="0" w:type="dxa"/>
                <w:right w:w="57" w:type="dxa"/>
              </w:tblCellMar>
            </w:tblPr>
            <w:tblGrid>
              <w:gridCol w:w="1307"/>
              <w:gridCol w:w="1851"/>
              <w:gridCol w:w="3663"/>
              <w:gridCol w:w="1757"/>
            </w:tblGrid>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21" w:hRule="atLeast"/>
                <w:jc w:val="center"/>
              </w:trPr>
              <w:tc>
                <w:tcPr>
                  <w:tcW w:w="1307" w:type="dxa"/>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污染类别</w:t>
                  </w:r>
                </w:p>
              </w:tc>
              <w:tc>
                <w:tcPr>
                  <w:tcW w:w="18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污染防治对象</w:t>
                  </w:r>
                </w:p>
              </w:tc>
              <w:tc>
                <w:tcPr>
                  <w:tcW w:w="36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治理措施</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投资费用（万元）</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633" w:hRule="atLeast"/>
                <w:jc w:val="center"/>
              </w:trPr>
              <w:tc>
                <w:tcPr>
                  <w:tcW w:w="1307" w:type="dxa"/>
                  <w:vMerge w:val="restart"/>
                  <w:tcBorders>
                    <w:top w:val="single" w:color="auto" w:sz="4" w:space="0"/>
                    <w:left w:val="nil"/>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废气</w:t>
                  </w:r>
                </w:p>
              </w:tc>
              <w:tc>
                <w:tcPr>
                  <w:tcW w:w="18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塑封废气</w:t>
                  </w:r>
                </w:p>
              </w:tc>
              <w:tc>
                <w:tcPr>
                  <w:tcW w:w="36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rPr>
                    <w:t>采用</w:t>
                  </w:r>
                  <w:r>
                    <w:rPr>
                      <w:rFonts w:hint="default"/>
                      <w:lang w:val="en-US" w:eastAsia="zh-CN"/>
                    </w:rPr>
                    <w:t>集气罩+</w:t>
                  </w:r>
                  <w:r>
                    <w:rPr>
                      <w:rFonts w:hint="eastAsia"/>
                      <w:lang w:val="en-US" w:eastAsia="zh-CN"/>
                    </w:rPr>
                    <w:t>二级</w:t>
                  </w:r>
                  <w:r>
                    <w:rPr>
                      <w:rFonts w:hint="default"/>
                      <w:lang w:val="en-US" w:eastAsia="zh-CN"/>
                    </w:rPr>
                    <w:t>活性炭吸附</w:t>
                  </w:r>
                  <w:r>
                    <w:rPr>
                      <w:rFonts w:hint="default"/>
                      <w:lang w:val="en-US"/>
                    </w:rPr>
                    <w:t>处理工艺</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12</w:t>
                  </w:r>
                  <w:r>
                    <w:rPr>
                      <w:rFonts w:hint="default"/>
                      <w:lang w:val="en-US" w:eastAsia="zh-CN"/>
                    </w:rPr>
                    <w:t>.0</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57" w:type="dxa"/>
                  <w:bottom w:w="0" w:type="dxa"/>
                  <w:right w:w="57" w:type="dxa"/>
                </w:tblCellMar>
              </w:tblPrEx>
              <w:trPr>
                <w:trHeight w:val="321" w:hRule="atLeast"/>
                <w:jc w:val="center"/>
              </w:trPr>
              <w:tc>
                <w:tcPr>
                  <w:tcW w:w="1307" w:type="dxa"/>
                  <w:vMerge w:val="continue"/>
                  <w:tcBorders>
                    <w:left w:val="nil"/>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p>
              </w:tc>
              <w:tc>
                <w:tcPr>
                  <w:tcW w:w="18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清洗废气</w:t>
                  </w:r>
                </w:p>
              </w:tc>
              <w:tc>
                <w:tcPr>
                  <w:tcW w:w="36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采用</w:t>
                  </w:r>
                  <w:r>
                    <w:rPr>
                      <w:rFonts w:hint="default"/>
                      <w:lang w:val="en-US" w:eastAsia="zh-CN"/>
                    </w:rPr>
                    <w:t>负压收集</w:t>
                  </w:r>
                  <w:r>
                    <w:rPr>
                      <w:rFonts w:hint="eastAsia"/>
                      <w:lang w:val="en-US" w:eastAsia="zh-CN"/>
                    </w:rPr>
                    <w:t>+</w:t>
                  </w:r>
                  <w:r>
                    <w:rPr>
                      <w:rFonts w:hint="default"/>
                      <w:lang w:val="en-US" w:eastAsia="zh-CN"/>
                    </w:rPr>
                    <w:t>碱液喷淋塔处理</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10.0</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21" w:hRule="atLeast"/>
                <w:jc w:val="center"/>
              </w:trPr>
              <w:tc>
                <w:tcPr>
                  <w:tcW w:w="1307" w:type="dxa"/>
                  <w:vMerge w:val="continue"/>
                  <w:tcBorders>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p>
              </w:tc>
              <w:tc>
                <w:tcPr>
                  <w:tcW w:w="18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去胶废气</w:t>
                  </w:r>
                </w:p>
              </w:tc>
              <w:tc>
                <w:tcPr>
                  <w:tcW w:w="36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eastAsia"/>
                      <w:lang w:val="en-US" w:eastAsia="zh-CN"/>
                    </w:rPr>
                  </w:pPr>
                  <w:r>
                    <w:rPr>
                      <w:rFonts w:hint="eastAsia"/>
                      <w:lang w:val="en-US" w:eastAsia="zh-CN"/>
                    </w:rPr>
                    <w:t>采用</w:t>
                  </w:r>
                  <w:r>
                    <w:rPr>
                      <w:rFonts w:hint="default"/>
                      <w:lang w:val="en-US" w:eastAsia="zh-CN"/>
                    </w:rPr>
                    <w:t>负压收集</w:t>
                  </w:r>
                  <w:r>
                    <w:rPr>
                      <w:rFonts w:hint="eastAsia"/>
                      <w:lang w:val="en-US" w:eastAsia="zh-CN"/>
                    </w:rPr>
                    <w:t>+</w:t>
                  </w:r>
                  <w:r>
                    <w:rPr>
                      <w:rFonts w:hint="default"/>
                      <w:lang w:val="en-US" w:eastAsia="zh-CN"/>
                    </w:rPr>
                    <w:t>碱液喷淋塔处理</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10.0</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21" w:hRule="atLeast"/>
                <w:jc w:val="center"/>
              </w:trPr>
              <w:tc>
                <w:tcPr>
                  <w:tcW w:w="1307" w:type="dxa"/>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废水</w:t>
                  </w:r>
                </w:p>
              </w:tc>
              <w:tc>
                <w:tcPr>
                  <w:tcW w:w="18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生活污水</w:t>
                  </w:r>
                </w:p>
              </w:tc>
              <w:tc>
                <w:tcPr>
                  <w:tcW w:w="36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化粪池</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2.0</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633" w:hRule="atLeast"/>
                <w:jc w:val="center"/>
              </w:trPr>
              <w:tc>
                <w:tcPr>
                  <w:tcW w:w="1307" w:type="dxa"/>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噪声</w:t>
                  </w:r>
                </w:p>
              </w:tc>
              <w:tc>
                <w:tcPr>
                  <w:tcW w:w="18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生产噪声</w:t>
                  </w:r>
                </w:p>
              </w:tc>
              <w:tc>
                <w:tcPr>
                  <w:tcW w:w="36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选用低噪声设备、车间内布置隔声、吸声</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6.0</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633" w:hRule="atLeast"/>
                <w:jc w:val="center"/>
              </w:trPr>
              <w:tc>
                <w:tcPr>
                  <w:tcW w:w="1307" w:type="dxa"/>
                  <w:vMerge w:val="restart"/>
                  <w:tcBorders>
                    <w:top w:val="single" w:color="auto" w:sz="4" w:space="0"/>
                    <w:left w:val="nil"/>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固废</w:t>
                  </w:r>
                </w:p>
              </w:tc>
              <w:tc>
                <w:tcPr>
                  <w:tcW w:w="18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分切下来的边角料及设备擦布</w:t>
                  </w:r>
                </w:p>
              </w:tc>
              <w:tc>
                <w:tcPr>
                  <w:tcW w:w="36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外售综合利用</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26" w:hRule="atLeast"/>
                <w:jc w:val="center"/>
              </w:trPr>
              <w:tc>
                <w:tcPr>
                  <w:tcW w:w="1307" w:type="dxa"/>
                  <w:vMerge w:val="continue"/>
                  <w:tcBorders>
                    <w:left w:val="nil"/>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p>
              </w:tc>
              <w:tc>
                <w:tcPr>
                  <w:tcW w:w="18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生活垃圾</w:t>
                  </w:r>
                </w:p>
              </w:tc>
              <w:tc>
                <w:tcPr>
                  <w:tcW w:w="36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由市政运走处理</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default"/>
                      <w:lang w:val="en-US" w:eastAsia="zh-CN"/>
                    </w:rPr>
                    <w:t>2.0</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944" w:hRule="atLeast"/>
                <w:jc w:val="center"/>
              </w:trPr>
              <w:tc>
                <w:tcPr>
                  <w:tcW w:w="1307" w:type="dxa"/>
                  <w:vMerge w:val="continue"/>
                  <w:tcBorders>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rPr>
                  </w:pPr>
                </w:p>
              </w:tc>
              <w:tc>
                <w:tcPr>
                  <w:tcW w:w="18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废环氧树脂\废活性炭/废过滤介质/废试剂瓶</w:t>
                  </w:r>
                </w:p>
              </w:tc>
              <w:tc>
                <w:tcPr>
                  <w:tcW w:w="36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委托有资质单位处置</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5.0</w:t>
                  </w:r>
                </w:p>
              </w:tc>
            </w:tr>
            <w:tr>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31" w:hRule="atLeast"/>
                <w:jc w:val="center"/>
              </w:trPr>
              <w:tc>
                <w:tcPr>
                  <w:tcW w:w="6821" w:type="dxa"/>
                  <w:gridSpan w:val="3"/>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eastAsia="zh-CN"/>
                    </w:rPr>
                  </w:pPr>
                  <w:r>
                    <w:rPr>
                      <w:rFonts w:hint="default"/>
                      <w:lang w:val="en-US" w:eastAsia="zh-CN"/>
                    </w:rPr>
                    <w:t>合计</w:t>
                  </w:r>
                </w:p>
              </w:tc>
              <w:tc>
                <w:tcPr>
                  <w:tcW w:w="1757" w:type="dxa"/>
                  <w:tcBorders>
                    <w:top w:val="single" w:color="auto" w:sz="4" w:space="0"/>
                    <w:left w:val="single" w:color="auto" w:sz="4" w:space="0"/>
                    <w:bottom w:val="single" w:color="auto" w:sz="4" w:space="0"/>
                    <w:right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en-US"/>
                    </w:rPr>
                  </w:pPr>
                  <w:r>
                    <w:rPr>
                      <w:rFonts w:hint="eastAsia"/>
                      <w:lang w:val="en-US" w:eastAsia="zh-CN"/>
                    </w:rPr>
                    <w:t>47</w:t>
                  </w:r>
                  <w:r>
                    <w:rPr>
                      <w:rFonts w:hint="default"/>
                      <w:lang w:val="en-US" w:eastAsia="zh-CN"/>
                    </w:rPr>
                    <w:t>.0</w:t>
                  </w:r>
                </w:p>
              </w:tc>
            </w:tr>
          </w:tbl>
          <w:p>
            <w:pPr>
              <w:pStyle w:val="23"/>
              <w:keepNext w:val="0"/>
              <w:keepLines w:val="0"/>
              <w:suppressLineNumbers w:val="0"/>
              <w:bidi w:val="0"/>
              <w:spacing w:before="0" w:beforeAutospacing="0" w:after="0" w:afterAutospacing="0"/>
              <w:ind w:left="0" w:right="0"/>
              <w:rPr>
                <w:rFonts w:hint="default"/>
              </w:rPr>
            </w:pPr>
          </w:p>
        </w:tc>
      </w:tr>
    </w:tbl>
    <w:p>
      <w:pPr>
        <w:spacing w:before="94" w:line="241" w:lineRule="auto"/>
        <w:ind w:left="2331"/>
        <w:outlineLvl w:val="2"/>
        <w:rPr>
          <w:b/>
          <w:spacing w:val="16"/>
          <w:sz w:val="30"/>
          <w:szCs w:val="30"/>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bidi w:val="0"/>
      </w:pPr>
      <w:r>
        <w:t>五、环境保护措施监督检查清单</w:t>
      </w:r>
    </w:p>
    <w:tbl>
      <w:tblPr>
        <w:tblStyle w:val="26"/>
        <w:tblW w:w="91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09"/>
        <w:gridCol w:w="1545"/>
        <w:gridCol w:w="1175"/>
        <w:gridCol w:w="2432"/>
        <w:gridCol w:w="2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4" w:hRule="atLeast"/>
          <w:jc w:val="center"/>
        </w:trPr>
        <w:tc>
          <w:tcPr>
            <w:tcW w:w="1409" w:type="dxa"/>
            <w:tcBorders>
              <w:tl2br w:val="single" w:color="000000"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896" w:firstLineChars="40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pacing w:val="-8"/>
                <w:sz w:val="24"/>
                <w:szCs w:val="24"/>
              </w:rPr>
              <w:t>内容</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default" w:ascii="Times New Roman" w:hAnsi="Times New Roman" w:cs="Times New Roman"/>
                <w:b w:val="0"/>
                <w:bCs/>
                <w:sz w:val="24"/>
                <w:szCs w:val="24"/>
              </w:rPr>
            </w:pPr>
            <w:r>
              <w:rPr>
                <w:rFonts w:hint="default" w:ascii="Times New Roman" w:hAnsi="Times New Roman" w:cs="Times New Roman"/>
                <w:b w:val="0"/>
                <w:bCs/>
                <w:spacing w:val="4"/>
                <w:sz w:val="24"/>
                <w:szCs w:val="24"/>
              </w:rPr>
              <w:t>要素</w:t>
            </w:r>
          </w:p>
        </w:tc>
        <w:tc>
          <w:tcPr>
            <w:tcW w:w="154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pacing w:val="6"/>
                <w:sz w:val="24"/>
                <w:szCs w:val="24"/>
              </w:rPr>
            </w:pPr>
            <w:r>
              <w:rPr>
                <w:rFonts w:hint="default" w:ascii="Times New Roman" w:hAnsi="Times New Roman" w:cs="Times New Roman"/>
                <w:b w:val="0"/>
                <w:bCs/>
                <w:spacing w:val="8"/>
                <w:sz w:val="24"/>
                <w:szCs w:val="24"/>
              </w:rPr>
              <w:t>排</w:t>
            </w:r>
            <w:r>
              <w:rPr>
                <w:rFonts w:hint="default" w:ascii="Times New Roman" w:hAnsi="Times New Roman" w:cs="Times New Roman"/>
                <w:b w:val="0"/>
                <w:bCs/>
                <w:spacing w:val="6"/>
                <w:sz w:val="24"/>
                <w:szCs w:val="24"/>
              </w:rPr>
              <w:t>放口</w:t>
            </w:r>
            <w:r>
              <w:rPr>
                <w:rFonts w:hint="eastAsia" w:cs="Times New Roman"/>
                <w:b w:val="0"/>
                <w:bCs/>
                <w:spacing w:val="6"/>
                <w:sz w:val="24"/>
                <w:szCs w:val="24"/>
                <w:lang w:eastAsia="zh-CN"/>
              </w:rPr>
              <w:t>（</w:t>
            </w:r>
            <w:r>
              <w:rPr>
                <w:rFonts w:hint="default" w:ascii="Times New Roman" w:hAnsi="Times New Roman" w:cs="Times New Roman"/>
                <w:b w:val="0"/>
                <w:bCs/>
                <w:spacing w:val="6"/>
                <w:sz w:val="24"/>
                <w:szCs w:val="24"/>
              </w:rPr>
              <w:t>编号、</w:t>
            </w:r>
            <w:r>
              <w:rPr>
                <w:rFonts w:hint="default" w:ascii="Times New Roman" w:hAnsi="Times New Roman" w:cs="Times New Roman"/>
                <w:b w:val="0"/>
                <w:bCs/>
                <w:spacing w:val="11"/>
                <w:sz w:val="24"/>
                <w:szCs w:val="24"/>
              </w:rPr>
              <w:t>名</w:t>
            </w:r>
            <w:r>
              <w:rPr>
                <w:rFonts w:hint="default" w:ascii="Times New Roman" w:hAnsi="Times New Roman" w:cs="Times New Roman"/>
                <w:b w:val="0"/>
                <w:bCs/>
                <w:spacing w:val="6"/>
                <w:sz w:val="24"/>
                <w:szCs w:val="24"/>
              </w:rPr>
              <w:t>称</w:t>
            </w:r>
            <w:r>
              <w:rPr>
                <w:rFonts w:hint="eastAsia" w:cs="Times New Roman"/>
                <w:b w:val="0"/>
                <w:bCs/>
                <w:spacing w:val="6"/>
                <w:sz w:val="24"/>
                <w:szCs w:val="24"/>
                <w:lang w:eastAsia="zh-CN"/>
              </w:rPr>
              <w:t>）</w:t>
            </w:r>
            <w:r>
              <w:rPr>
                <w:rFonts w:hint="default" w:ascii="Times New Roman" w:hAnsi="Times New Roman" w:cs="Times New Roman"/>
                <w:b w:val="0"/>
                <w:bCs/>
                <w:spacing w:val="6"/>
                <w:sz w:val="24"/>
                <w:szCs w:val="24"/>
              </w:rPr>
              <w:t>/污染源</w:t>
            </w:r>
          </w:p>
        </w:tc>
        <w:tc>
          <w:tcPr>
            <w:tcW w:w="117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pacing w:val="8"/>
                <w:sz w:val="24"/>
                <w:szCs w:val="24"/>
              </w:rPr>
            </w:pPr>
            <w:r>
              <w:rPr>
                <w:rFonts w:hint="default" w:ascii="Times New Roman" w:hAnsi="Times New Roman" w:cs="Times New Roman"/>
                <w:b w:val="0"/>
                <w:bCs/>
                <w:spacing w:val="8"/>
                <w:sz w:val="24"/>
                <w:szCs w:val="24"/>
              </w:rPr>
              <w:t>污染物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pacing w:val="8"/>
                <w:sz w:val="24"/>
                <w:szCs w:val="24"/>
              </w:rPr>
              <w:t>项</w:t>
            </w:r>
            <w:r>
              <w:rPr>
                <w:rFonts w:hint="default" w:ascii="Times New Roman" w:hAnsi="Times New Roman" w:cs="Times New Roman"/>
                <w:b w:val="0"/>
                <w:bCs/>
                <w:spacing w:val="7"/>
                <w:sz w:val="24"/>
                <w:szCs w:val="24"/>
              </w:rPr>
              <w:t>目</w:t>
            </w:r>
          </w:p>
        </w:tc>
        <w:tc>
          <w:tcPr>
            <w:tcW w:w="243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pacing w:val="9"/>
                <w:sz w:val="24"/>
                <w:szCs w:val="24"/>
              </w:rPr>
              <w:t>环</w:t>
            </w:r>
            <w:r>
              <w:rPr>
                <w:rFonts w:hint="default" w:ascii="Times New Roman" w:hAnsi="Times New Roman" w:cs="Times New Roman"/>
                <w:b w:val="0"/>
                <w:bCs/>
                <w:spacing w:val="8"/>
                <w:sz w:val="24"/>
                <w:szCs w:val="24"/>
              </w:rPr>
              <w:t>境保护措施</w:t>
            </w:r>
          </w:p>
        </w:tc>
        <w:tc>
          <w:tcPr>
            <w:tcW w:w="255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pacing w:val="8"/>
                <w:sz w:val="24"/>
                <w:szCs w:val="24"/>
              </w:rPr>
              <w:t>执</w:t>
            </w:r>
            <w:r>
              <w:rPr>
                <w:rFonts w:hint="default" w:ascii="Times New Roman" w:hAnsi="Times New Roman" w:cs="Times New Roman"/>
                <w:b w:val="0"/>
                <w:bCs/>
                <w:spacing w:val="7"/>
                <w:sz w:val="24"/>
                <w:szCs w:val="24"/>
              </w:rPr>
              <w:t>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09"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大气环境</w:t>
            </w:r>
          </w:p>
        </w:tc>
        <w:tc>
          <w:tcPr>
            <w:tcW w:w="154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cs="Times New Roman"/>
                <w:b w:val="0"/>
                <w:bCs/>
                <w:sz w:val="24"/>
                <w:szCs w:val="24"/>
                <w:lang w:val="en-US" w:eastAsia="zh-CN"/>
              </w:rPr>
            </w:pPr>
            <w:r>
              <w:rPr>
                <w:rFonts w:hint="eastAsia" w:cs="Times New Roman"/>
                <w:b w:val="0"/>
                <w:bCs/>
                <w:sz w:val="24"/>
                <w:szCs w:val="24"/>
                <w:lang w:val="en-US" w:eastAsia="zh-CN"/>
              </w:rPr>
              <w:t>清洗废气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lang w:val="en-US" w:eastAsia="zh-CN"/>
              </w:rPr>
            </w:pPr>
            <w:r>
              <w:rPr>
                <w:rFonts w:hint="eastAsia" w:cs="Times New Roman"/>
                <w:b w:val="0"/>
                <w:bCs/>
                <w:sz w:val="24"/>
                <w:szCs w:val="24"/>
                <w:lang w:val="en-US" w:eastAsia="zh-CN"/>
              </w:rPr>
              <w:t>排放口</w:t>
            </w:r>
          </w:p>
        </w:tc>
        <w:tc>
          <w:tcPr>
            <w:tcW w:w="1175"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cs="Times New Roman"/>
                <w:b w:val="0"/>
                <w:bCs/>
                <w:sz w:val="24"/>
                <w:szCs w:val="24"/>
                <w:lang w:val="en-US" w:eastAsia="zh-CN"/>
              </w:rPr>
            </w:pPr>
            <w:r>
              <w:rPr>
                <w:rFonts w:hint="eastAsia" w:cs="Times New Roman"/>
                <w:b w:val="0"/>
                <w:bCs/>
                <w:sz w:val="24"/>
                <w:szCs w:val="24"/>
                <w:lang w:val="en-US" w:eastAsia="zh-CN"/>
              </w:rPr>
              <w:t>氯化氢、</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lang w:val="en-US" w:eastAsia="zh-CN"/>
              </w:rPr>
            </w:pPr>
            <w:r>
              <w:rPr>
                <w:rFonts w:hint="eastAsia" w:cs="Times New Roman"/>
                <w:b w:val="0"/>
                <w:bCs/>
                <w:sz w:val="24"/>
                <w:szCs w:val="24"/>
                <w:lang w:val="en-US" w:eastAsia="zh-CN"/>
              </w:rPr>
              <w:t>硫酸雾</w:t>
            </w:r>
          </w:p>
        </w:tc>
        <w:tc>
          <w:tcPr>
            <w:tcW w:w="243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eastAsia="宋体" w:cs="Times New Roman"/>
                <w:b w:val="0"/>
                <w:bCs/>
                <w:kern w:val="2"/>
                <w:sz w:val="24"/>
                <w:szCs w:val="24"/>
                <w:lang w:val="en-US" w:eastAsia="zh-CN" w:bidi="ar"/>
              </w:rPr>
            </w:pPr>
            <w:r>
              <w:rPr>
                <w:rFonts w:hint="default" w:ascii="Times New Roman" w:hAnsi="Times New Roman" w:eastAsia="宋体" w:cs="Times New Roman"/>
                <w:b w:val="0"/>
                <w:bCs/>
                <w:kern w:val="2"/>
                <w:sz w:val="24"/>
                <w:szCs w:val="24"/>
                <w:lang w:val="en-US" w:eastAsia="zh-CN" w:bidi="ar"/>
              </w:rPr>
              <w:t>负压收集经碱液喷淋塔分别处理后</w:t>
            </w:r>
            <w:r>
              <w:rPr>
                <w:rFonts w:hint="eastAsia" w:cs="Times New Roman"/>
                <w:b w:val="0"/>
                <w:bCs/>
                <w:kern w:val="2"/>
                <w:sz w:val="24"/>
                <w:szCs w:val="24"/>
                <w:lang w:val="en-US" w:eastAsia="zh-CN" w:bidi="ar"/>
              </w:rPr>
              <w:t>，由25m高排气筒DA001</w:t>
            </w:r>
          </w:p>
        </w:tc>
        <w:tc>
          <w:tcPr>
            <w:tcW w:w="2557"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ascii="Times New Roman" w:hAnsi="Times New Roman" w:cs="Times New Roman"/>
                <w:b w:val="0"/>
                <w:bCs/>
                <w:sz w:val="24"/>
                <w:szCs w:val="24"/>
              </w:rPr>
            </w:pPr>
            <w:r>
              <w:rPr>
                <w:rFonts w:hint="eastAsia" w:cs="Times New Roman"/>
                <w:b w:val="0"/>
                <w:bCs/>
                <w:sz w:val="24"/>
                <w:szCs w:val="24"/>
                <w:lang w:val="en-US" w:eastAsia="zh-CN"/>
              </w:rPr>
              <w:t>氯化氢、硫酸雾排放执行</w:t>
            </w:r>
            <w:r>
              <w:rPr>
                <w:rFonts w:hint="default" w:ascii="Times New Roman" w:hAnsi="Times New Roman" w:cs="Times New Roman"/>
                <w:b w:val="0"/>
                <w:bCs/>
                <w:sz w:val="24"/>
                <w:szCs w:val="24"/>
              </w:rPr>
              <w:t>《大气污染物综合排放标准》（GB16297-1996）</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0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p>
        </w:tc>
        <w:tc>
          <w:tcPr>
            <w:tcW w:w="154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eastAsia" w:cs="Times New Roman"/>
                <w:b w:val="0"/>
                <w:bCs/>
                <w:sz w:val="24"/>
                <w:szCs w:val="24"/>
                <w:lang w:val="en-US" w:eastAsia="zh-CN"/>
              </w:rPr>
            </w:pPr>
            <w:r>
              <w:rPr>
                <w:rFonts w:hint="eastAsia" w:cs="Times New Roman"/>
                <w:b w:val="0"/>
                <w:bCs/>
                <w:sz w:val="24"/>
                <w:szCs w:val="24"/>
                <w:lang w:val="en-US" w:eastAsia="zh-CN"/>
              </w:rPr>
              <w:t>去胶废气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lang w:val="en-US" w:eastAsia="zh-CN"/>
              </w:rPr>
            </w:pPr>
            <w:r>
              <w:rPr>
                <w:rFonts w:hint="eastAsia" w:cs="Times New Roman"/>
                <w:b w:val="0"/>
                <w:bCs/>
                <w:sz w:val="24"/>
                <w:szCs w:val="24"/>
                <w:lang w:val="en-US" w:eastAsia="zh-CN"/>
              </w:rPr>
              <w:t>排放口</w:t>
            </w:r>
          </w:p>
        </w:tc>
        <w:tc>
          <w:tcPr>
            <w:tcW w:w="1175"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lang w:val="en-US" w:eastAsia="zh-CN"/>
              </w:rPr>
            </w:pPr>
          </w:p>
        </w:tc>
        <w:tc>
          <w:tcPr>
            <w:tcW w:w="243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eastAsia="宋体" w:cs="Times New Roman"/>
                <w:b w:val="0"/>
                <w:bCs/>
                <w:kern w:val="2"/>
                <w:sz w:val="24"/>
                <w:szCs w:val="24"/>
                <w:lang w:val="en-US" w:eastAsia="zh-CN" w:bidi="ar"/>
              </w:rPr>
            </w:pPr>
            <w:r>
              <w:rPr>
                <w:rFonts w:hint="default" w:ascii="Times New Roman" w:hAnsi="Times New Roman" w:eastAsia="宋体" w:cs="Times New Roman"/>
                <w:b w:val="0"/>
                <w:bCs/>
                <w:kern w:val="2"/>
                <w:sz w:val="24"/>
                <w:szCs w:val="24"/>
                <w:lang w:val="en-US" w:eastAsia="zh-CN" w:bidi="ar"/>
              </w:rPr>
              <w:t>负压收集经碱液喷淋塔分别处理后</w:t>
            </w:r>
            <w:r>
              <w:rPr>
                <w:rFonts w:hint="eastAsia" w:cs="Times New Roman"/>
                <w:b w:val="0"/>
                <w:bCs/>
                <w:kern w:val="2"/>
                <w:sz w:val="24"/>
                <w:szCs w:val="24"/>
                <w:lang w:val="en-US" w:eastAsia="zh-CN" w:bidi="ar"/>
              </w:rPr>
              <w:t>，由25m高排气筒DA002</w:t>
            </w:r>
          </w:p>
        </w:tc>
        <w:tc>
          <w:tcPr>
            <w:tcW w:w="2557"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default" w:ascii="Times New Roman" w:hAnsi="Times New Roman" w:cs="Times New Roman"/>
                <w:b w:val="0"/>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40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p>
        </w:tc>
        <w:tc>
          <w:tcPr>
            <w:tcW w:w="154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塑封废气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cs="Times New Roman"/>
                <w:b w:val="0"/>
                <w:bCs/>
                <w:sz w:val="24"/>
                <w:szCs w:val="24"/>
                <w:lang w:val="en-US" w:eastAsia="zh-CN"/>
              </w:rPr>
              <w:t>排放口</w:t>
            </w:r>
          </w:p>
        </w:tc>
        <w:tc>
          <w:tcPr>
            <w:tcW w:w="1175"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非甲烷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cs="Times New Roman"/>
                <w:b w:val="0"/>
                <w:bCs/>
                <w:sz w:val="24"/>
                <w:szCs w:val="24"/>
                <w:lang w:val="en-US" w:eastAsia="zh-CN"/>
              </w:rPr>
              <w:t>总烃</w:t>
            </w:r>
          </w:p>
        </w:tc>
        <w:tc>
          <w:tcPr>
            <w:tcW w:w="243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eastAsia="宋体" w:cs="Times New Roman"/>
                <w:b w:val="0"/>
                <w:bCs/>
                <w:kern w:val="2"/>
                <w:sz w:val="24"/>
                <w:szCs w:val="24"/>
                <w:lang w:val="en-US" w:eastAsia="zh-CN" w:bidi="ar"/>
              </w:rPr>
              <w:t>采用</w:t>
            </w:r>
            <w:r>
              <w:rPr>
                <w:rFonts w:hint="default" w:ascii="Times New Roman" w:hAnsi="Times New Roman" w:eastAsia="宋体" w:cs="Times New Roman"/>
                <w:b w:val="0"/>
                <w:bCs/>
                <w:color w:val="000000"/>
                <w:sz w:val="24"/>
                <w:szCs w:val="24"/>
                <w:lang w:val="en-US" w:eastAsia="zh-CN"/>
              </w:rPr>
              <w:t>集气罩+</w:t>
            </w:r>
            <w:r>
              <w:rPr>
                <w:rFonts w:hint="eastAsia" w:cs="Times New Roman"/>
                <w:b w:val="0"/>
                <w:bCs/>
                <w:color w:val="000000"/>
                <w:sz w:val="24"/>
                <w:szCs w:val="24"/>
                <w:lang w:val="en-US" w:eastAsia="zh-CN"/>
              </w:rPr>
              <w:t>二级</w:t>
            </w:r>
            <w:r>
              <w:rPr>
                <w:rFonts w:hint="default" w:ascii="Times New Roman" w:hAnsi="Times New Roman" w:eastAsia="宋体" w:cs="Times New Roman"/>
                <w:b w:val="0"/>
                <w:bCs/>
                <w:color w:val="000000"/>
                <w:sz w:val="24"/>
                <w:szCs w:val="24"/>
                <w:lang w:val="en-US" w:eastAsia="zh-CN"/>
              </w:rPr>
              <w:t>活性炭吸附</w:t>
            </w:r>
            <w:r>
              <w:rPr>
                <w:rFonts w:hint="default" w:ascii="Times New Roman" w:hAnsi="Times New Roman" w:eastAsia="宋体" w:cs="Times New Roman"/>
                <w:b w:val="0"/>
                <w:bCs/>
                <w:kern w:val="2"/>
                <w:sz w:val="24"/>
                <w:szCs w:val="24"/>
                <w:lang w:val="en-US" w:eastAsia="zh-CN" w:bidi="ar"/>
              </w:rPr>
              <w:t>处理工艺处理后，经</w:t>
            </w:r>
            <w:r>
              <w:rPr>
                <w:rFonts w:hint="eastAsia" w:cs="Times New Roman"/>
                <w:b w:val="0"/>
                <w:bCs/>
                <w:kern w:val="2"/>
                <w:sz w:val="24"/>
                <w:szCs w:val="24"/>
                <w:lang w:val="en-US" w:eastAsia="zh-CN" w:bidi="ar"/>
              </w:rPr>
              <w:t>25</w:t>
            </w:r>
            <w:r>
              <w:rPr>
                <w:rFonts w:hint="default" w:ascii="Times New Roman" w:hAnsi="Times New Roman" w:eastAsia="宋体" w:cs="Times New Roman"/>
                <w:b w:val="0"/>
                <w:bCs/>
                <w:kern w:val="2"/>
                <w:sz w:val="24"/>
                <w:szCs w:val="24"/>
                <w:lang w:val="en-US" w:eastAsia="zh-CN" w:bidi="ar"/>
              </w:rPr>
              <w:t>米排气筒</w:t>
            </w:r>
            <w:r>
              <w:rPr>
                <w:rFonts w:hint="eastAsia" w:cs="Times New Roman"/>
                <w:b w:val="0"/>
                <w:bCs/>
                <w:kern w:val="2"/>
                <w:sz w:val="24"/>
                <w:szCs w:val="24"/>
                <w:lang w:val="en-US" w:eastAsia="zh-CN" w:bidi="ar"/>
              </w:rPr>
              <w:t>DA003</w:t>
            </w:r>
            <w:r>
              <w:rPr>
                <w:rFonts w:hint="default" w:ascii="Times New Roman" w:hAnsi="Times New Roman" w:eastAsia="宋体" w:cs="Times New Roman"/>
                <w:b w:val="0"/>
                <w:bCs/>
                <w:kern w:val="2"/>
                <w:sz w:val="24"/>
                <w:szCs w:val="24"/>
                <w:lang w:val="en-US" w:eastAsia="zh-CN" w:bidi="ar"/>
              </w:rPr>
              <w:t>排放</w:t>
            </w:r>
          </w:p>
        </w:tc>
        <w:tc>
          <w:tcPr>
            <w:tcW w:w="2557"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非甲烷总烃排放执行《大气污染物综合排放标准》（GB16297-1996）中的二级标准企业厂区内VOCs 无组织排放监控点浓度执行《挥发性有机物无组织排放控制标准》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（GB37822-2019）中表A.1规定的限值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0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p>
        </w:tc>
        <w:tc>
          <w:tcPr>
            <w:tcW w:w="154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生产车间</w:t>
            </w:r>
          </w:p>
        </w:tc>
        <w:tc>
          <w:tcPr>
            <w:tcW w:w="1175"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lang w:val="en-US" w:eastAsia="zh-CN"/>
              </w:rPr>
            </w:pPr>
          </w:p>
        </w:tc>
        <w:tc>
          <w:tcPr>
            <w:tcW w:w="243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eastAsia="宋体" w:cs="Times New Roman"/>
                <w:b w:val="0"/>
                <w:bCs/>
                <w:kern w:val="2"/>
                <w:sz w:val="24"/>
                <w:szCs w:val="24"/>
                <w:lang w:val="en-US" w:eastAsia="zh-CN" w:bidi="ar"/>
              </w:rPr>
            </w:pPr>
            <w:r>
              <w:rPr>
                <w:rFonts w:hint="eastAsia" w:ascii="Times New Roman" w:hAnsi="Times New Roman" w:cs="Times New Roman"/>
                <w:b w:val="0"/>
                <w:bCs/>
                <w:kern w:val="2"/>
                <w:sz w:val="24"/>
                <w:szCs w:val="24"/>
                <w:lang w:val="en-US" w:eastAsia="zh-CN" w:bidi="ar"/>
              </w:rPr>
              <w:t>塑封废气无组织排放，挥发后加强通风</w:t>
            </w:r>
          </w:p>
        </w:tc>
        <w:tc>
          <w:tcPr>
            <w:tcW w:w="2557"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地表水环境</w:t>
            </w:r>
          </w:p>
        </w:tc>
        <w:tc>
          <w:tcPr>
            <w:tcW w:w="154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cs="Times New Roman"/>
                <w:b w:val="0"/>
                <w:bCs/>
                <w:sz w:val="24"/>
                <w:szCs w:val="24"/>
                <w:lang w:val="en-US" w:eastAsia="zh-CN"/>
              </w:rPr>
              <w:t>清洗废水、纯水制备浓水、生活污水</w:t>
            </w:r>
          </w:p>
        </w:tc>
        <w:tc>
          <w:tcPr>
            <w:tcW w:w="117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eastAsia="Times New Roman" w:cs="Times New Roman"/>
                <w:b w:val="0"/>
                <w:bCs/>
                <w:spacing w:val="-1"/>
                <w:sz w:val="24"/>
                <w:szCs w:val="24"/>
              </w:rPr>
              <w:t>pH</w:t>
            </w:r>
            <w:r>
              <w:rPr>
                <w:rFonts w:hint="default" w:ascii="Times New Roman" w:hAnsi="Times New Roman" w:eastAsia="Times New Roman" w:cs="Times New Roman"/>
                <w:b w:val="0"/>
                <w:bCs/>
                <w:spacing w:val="-2"/>
                <w:sz w:val="24"/>
                <w:szCs w:val="24"/>
              </w:rPr>
              <w:t xml:space="preserve"> </w:t>
            </w:r>
            <w:r>
              <w:rPr>
                <w:rFonts w:hint="default" w:ascii="Times New Roman" w:hAnsi="Times New Roman" w:cs="Times New Roman"/>
                <w:b w:val="0"/>
                <w:bCs/>
                <w:kern w:val="2"/>
                <w:sz w:val="24"/>
                <w:szCs w:val="24"/>
                <w:lang w:val="en-US" w:eastAsia="zh-CN" w:bidi="ar"/>
              </w:rPr>
              <w:t>、</w:t>
            </w:r>
            <w:r>
              <w:rPr>
                <w:rFonts w:hint="default" w:ascii="Times New Roman" w:hAnsi="Times New Roman" w:eastAsia="宋体" w:cs="Times New Roman"/>
                <w:b w:val="0"/>
                <w:bCs/>
                <w:kern w:val="2"/>
                <w:sz w:val="24"/>
                <w:szCs w:val="24"/>
                <w:lang w:val="en-US" w:eastAsia="zh-CN" w:bidi="ar"/>
              </w:rPr>
              <w:t>COD、BOD</w:t>
            </w:r>
            <w:r>
              <w:rPr>
                <w:rFonts w:hint="default" w:ascii="Times New Roman" w:hAnsi="Times New Roman" w:eastAsia="宋体" w:cs="Times New Roman"/>
                <w:b w:val="0"/>
                <w:bCs/>
                <w:kern w:val="2"/>
                <w:sz w:val="24"/>
                <w:szCs w:val="24"/>
                <w:vertAlign w:val="subscript"/>
                <w:lang w:val="en-US" w:eastAsia="zh-CN" w:bidi="ar"/>
              </w:rPr>
              <w:t>5</w:t>
            </w:r>
            <w:r>
              <w:rPr>
                <w:rFonts w:hint="default" w:ascii="Times New Roman" w:hAnsi="Times New Roman" w:eastAsia="宋体" w:cs="Times New Roman"/>
                <w:b w:val="0"/>
                <w:bCs/>
                <w:kern w:val="2"/>
                <w:sz w:val="24"/>
                <w:szCs w:val="24"/>
                <w:lang w:val="en-US" w:eastAsia="zh-CN" w:bidi="ar"/>
              </w:rPr>
              <w:t>、SS、NH</w:t>
            </w:r>
            <w:r>
              <w:rPr>
                <w:rFonts w:hint="default" w:ascii="Times New Roman" w:hAnsi="Times New Roman" w:eastAsia="宋体" w:cs="Times New Roman"/>
                <w:b w:val="0"/>
                <w:bCs/>
                <w:kern w:val="2"/>
                <w:sz w:val="24"/>
                <w:szCs w:val="24"/>
                <w:vertAlign w:val="subscript"/>
                <w:lang w:val="en-US" w:eastAsia="zh-CN" w:bidi="ar"/>
              </w:rPr>
              <w:t>3</w:t>
            </w:r>
            <w:r>
              <w:rPr>
                <w:rFonts w:hint="default" w:ascii="Times New Roman" w:hAnsi="Times New Roman" w:eastAsia="宋体" w:cs="Times New Roman"/>
                <w:b w:val="0"/>
                <w:bCs/>
                <w:kern w:val="2"/>
                <w:sz w:val="24"/>
                <w:szCs w:val="24"/>
                <w:lang w:val="en-US" w:eastAsia="zh-CN" w:bidi="ar"/>
              </w:rPr>
              <w:t>-N</w:t>
            </w:r>
            <w:r>
              <w:rPr>
                <w:rFonts w:hint="default" w:ascii="Times New Roman" w:hAnsi="Times New Roman" w:cs="Times New Roman"/>
                <w:b w:val="0"/>
                <w:bCs/>
                <w:kern w:val="2"/>
                <w:sz w:val="24"/>
                <w:szCs w:val="24"/>
                <w:lang w:val="en-US" w:eastAsia="zh-CN" w:bidi="ar"/>
              </w:rPr>
              <w:t>、</w:t>
            </w:r>
            <w:r>
              <w:rPr>
                <w:rFonts w:hint="default" w:ascii="Times New Roman" w:hAnsi="Times New Roman" w:eastAsia="Times New Roman" w:cs="Times New Roman"/>
                <w:b w:val="0"/>
                <w:bCs/>
                <w:spacing w:val="-1"/>
                <w:sz w:val="24"/>
                <w:szCs w:val="24"/>
              </w:rPr>
              <w:t>TN</w:t>
            </w:r>
          </w:p>
        </w:tc>
        <w:tc>
          <w:tcPr>
            <w:tcW w:w="243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lang w:val="en-US"/>
              </w:rPr>
            </w:pPr>
            <w:r>
              <w:rPr>
                <w:rFonts w:hint="default" w:ascii="Times New Roman" w:hAnsi="Times New Roman" w:eastAsia="宋体" w:cs="Times New Roman"/>
                <w:b w:val="0"/>
                <w:bCs/>
                <w:kern w:val="2"/>
                <w:sz w:val="24"/>
                <w:szCs w:val="24"/>
                <w:lang w:val="en-US" w:eastAsia="zh-CN" w:bidi="ar"/>
              </w:rPr>
              <w:t>生活污水经化粪池处理后达山南污水处理厂接管限值后由公司污水排口排入</w:t>
            </w:r>
            <w:r>
              <w:rPr>
                <w:rFonts w:hint="eastAsia" w:cs="Times New Roman"/>
                <w:b w:val="0"/>
                <w:bCs/>
                <w:kern w:val="2"/>
                <w:sz w:val="24"/>
                <w:szCs w:val="24"/>
                <w:lang w:val="en-US" w:eastAsia="zh-CN" w:bidi="ar"/>
              </w:rPr>
              <w:t>园区</w:t>
            </w:r>
            <w:r>
              <w:rPr>
                <w:rFonts w:hint="default" w:ascii="Times New Roman" w:hAnsi="Times New Roman" w:eastAsia="宋体" w:cs="Times New Roman"/>
                <w:b w:val="0"/>
                <w:bCs/>
                <w:kern w:val="2"/>
                <w:sz w:val="24"/>
                <w:szCs w:val="24"/>
                <w:lang w:val="en-US" w:eastAsia="zh-CN" w:bidi="ar"/>
              </w:rPr>
              <w:t>管网，进入山南新区污水处理厂处理。</w:t>
            </w:r>
            <w:r>
              <w:rPr>
                <w:rFonts w:hint="eastAsia" w:cs="Times New Roman"/>
                <w:b w:val="0"/>
                <w:bCs/>
                <w:kern w:val="2"/>
                <w:sz w:val="24"/>
                <w:szCs w:val="24"/>
                <w:lang w:val="en-US" w:eastAsia="zh-CN" w:bidi="ar"/>
              </w:rPr>
              <w:t>清洗废水经沉淀后与纯水制备产生的浓水一并进出污水管网；安装在线监测装置</w:t>
            </w:r>
          </w:p>
        </w:tc>
        <w:tc>
          <w:tcPr>
            <w:tcW w:w="255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淮南市山南新区污水处理厂接管标准及《电子工业水污染物排放标准》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eastAsia" w:cs="Times New Roman"/>
                <w:b w:val="0"/>
                <w:bCs/>
                <w:sz w:val="24"/>
                <w:szCs w:val="24"/>
                <w:lang w:eastAsia="zh-CN"/>
              </w:rPr>
              <w:t>（</w:t>
            </w:r>
            <w:r>
              <w:rPr>
                <w:rFonts w:hint="default" w:ascii="Times New Roman" w:hAnsi="Times New Roman" w:cs="Times New Roman"/>
                <w:b w:val="0"/>
                <w:bCs/>
                <w:sz w:val="24"/>
                <w:szCs w:val="24"/>
              </w:rPr>
              <w:t xml:space="preserve">GB </w:t>
            </w:r>
            <w:r>
              <w:rPr>
                <w:rFonts w:hint="default" w:ascii="Times New Roman" w:hAnsi="Times New Roman" w:cs="Times New Roman"/>
                <w:b w:val="0"/>
                <w:bCs/>
                <w:sz w:val="24"/>
                <w:szCs w:val="24"/>
                <w:lang w:val="en-US" w:eastAsia="zh-CN"/>
              </w:rPr>
              <w:t>39731</w:t>
            </w:r>
            <w:r>
              <w:rPr>
                <w:rFonts w:hint="default" w:ascii="Times New Roman" w:hAnsi="Times New Roman" w:cs="Times New Roman"/>
                <w:b w:val="0"/>
                <w:bCs/>
                <w:sz w:val="24"/>
                <w:szCs w:val="24"/>
              </w:rPr>
              <w:t>-2020</w:t>
            </w:r>
            <w:r>
              <w:rPr>
                <w:rFonts w:hint="eastAsia" w:cs="Times New Roman"/>
                <w:b w:val="0"/>
                <w:bCs/>
                <w:sz w:val="24"/>
                <w:szCs w:val="24"/>
                <w:lang w:eastAsia="zh-CN"/>
              </w:rPr>
              <w:t>）</w:t>
            </w:r>
            <w:r>
              <w:rPr>
                <w:rFonts w:hint="default" w:ascii="Times New Roman" w:hAnsi="Times New Roman" w:cs="Times New Roman"/>
                <w:b w:val="0"/>
                <w:bCs/>
                <w:sz w:val="24"/>
                <w:szCs w:val="24"/>
              </w:rPr>
              <w:t>中</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间接排放标准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声环境</w:t>
            </w:r>
          </w:p>
        </w:tc>
        <w:tc>
          <w:tcPr>
            <w:tcW w:w="154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cs="Times New Roman"/>
                <w:b w:val="0"/>
                <w:bCs/>
                <w:sz w:val="24"/>
                <w:szCs w:val="24"/>
                <w:lang w:val="en-US" w:eastAsia="zh-CN"/>
              </w:rPr>
              <w:t>生产设备</w:t>
            </w:r>
          </w:p>
        </w:tc>
        <w:tc>
          <w:tcPr>
            <w:tcW w:w="117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cs="Times New Roman"/>
                <w:b w:val="0"/>
                <w:bCs/>
                <w:sz w:val="24"/>
                <w:szCs w:val="24"/>
                <w:lang w:val="en-US" w:eastAsia="zh-CN"/>
              </w:rPr>
              <w:t>设备噪声</w:t>
            </w:r>
          </w:p>
        </w:tc>
        <w:tc>
          <w:tcPr>
            <w:tcW w:w="243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jc w:val="center"/>
              <w:textAlignment w:val="auto"/>
              <w:rPr>
                <w:rFonts w:hint="default" w:ascii="Times New Roman" w:hAnsi="Times New Roman" w:eastAsia="宋体" w:cs="Times New Roman"/>
                <w:b w:val="0"/>
                <w:bCs/>
                <w:kern w:val="2"/>
                <w:sz w:val="24"/>
                <w:szCs w:val="24"/>
                <w:lang w:val="en-US" w:eastAsia="zh-CN" w:bidi="ar"/>
              </w:rPr>
            </w:pPr>
            <w:r>
              <w:rPr>
                <w:rFonts w:hint="default" w:ascii="Times New Roman" w:hAnsi="Times New Roman" w:eastAsia="宋体" w:cs="Times New Roman"/>
                <w:b w:val="0"/>
                <w:bCs/>
                <w:kern w:val="2"/>
                <w:sz w:val="24"/>
                <w:szCs w:val="24"/>
                <w:lang w:val="en-US" w:eastAsia="zh-CN" w:bidi="ar"/>
              </w:rPr>
              <w:t>隔声、减振、</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jc w:val="center"/>
              <w:textAlignment w:val="auto"/>
              <w:rPr>
                <w:rFonts w:hint="default" w:ascii="Times New Roman" w:hAnsi="Times New Roman" w:cs="Times New Roman"/>
                <w:b w:val="0"/>
                <w:bCs/>
                <w:sz w:val="24"/>
                <w:szCs w:val="24"/>
              </w:rPr>
            </w:pPr>
            <w:r>
              <w:rPr>
                <w:rFonts w:hint="default" w:ascii="Times New Roman" w:hAnsi="Times New Roman" w:eastAsia="宋体" w:cs="Times New Roman"/>
                <w:b w:val="0"/>
                <w:bCs/>
                <w:kern w:val="2"/>
                <w:sz w:val="24"/>
                <w:szCs w:val="24"/>
                <w:lang w:val="en-US" w:eastAsia="zh-CN" w:bidi="ar"/>
              </w:rPr>
              <w:t>距离衰减措施</w:t>
            </w:r>
          </w:p>
        </w:tc>
        <w:tc>
          <w:tcPr>
            <w:tcW w:w="255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jc w:val="center"/>
              <w:textAlignment w:val="auto"/>
              <w:rPr>
                <w:rFonts w:hint="default" w:ascii="Times New Roman" w:hAnsi="Times New Roman" w:cs="Times New Roman"/>
                <w:b w:val="0"/>
                <w:bCs/>
                <w:sz w:val="24"/>
                <w:szCs w:val="24"/>
              </w:rPr>
            </w:pPr>
            <w:r>
              <w:rPr>
                <w:rFonts w:hint="default" w:ascii="Times New Roman" w:hAnsi="Times New Roman" w:eastAsia="宋体" w:cs="Times New Roman"/>
                <w:b w:val="0"/>
                <w:bCs/>
                <w:kern w:val="2"/>
                <w:sz w:val="24"/>
                <w:szCs w:val="24"/>
                <w:lang w:val="en-US" w:eastAsia="zh-CN" w:bidi="ar"/>
              </w:rPr>
              <w:t>《工业企业厂界环境噪声排放标准（GB12348-2008）中3类标准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电磁辐射</w:t>
            </w:r>
          </w:p>
        </w:tc>
        <w:tc>
          <w:tcPr>
            <w:tcW w:w="7709" w:type="dxa"/>
            <w:gridSpan w:val="4"/>
            <w:vAlign w:val="center"/>
          </w:tcPr>
          <w:p>
            <w:pPr>
              <w:keepNext w:val="0"/>
              <w:keepLines w:val="0"/>
              <w:pageBreakBefore w:val="0"/>
              <w:widowControl w:val="0"/>
              <w:suppressLineNumbers w:val="0"/>
              <w:tabs>
                <w:tab w:val="left" w:pos="2755"/>
              </w:tabs>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固体废物</w:t>
            </w:r>
          </w:p>
        </w:tc>
        <w:tc>
          <w:tcPr>
            <w:tcW w:w="7709" w:type="dxa"/>
            <w:gridSpan w:val="4"/>
            <w:vAlign w:val="center"/>
          </w:tcPr>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both"/>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cs="Times New Roman"/>
                <w:b w:val="0"/>
                <w:bCs/>
                <w:sz w:val="24"/>
                <w:szCs w:val="24"/>
              </w:rPr>
              <w:t>本项目运营期产生的一般工业固体废物</w:t>
            </w:r>
            <w:r>
              <w:rPr>
                <w:rFonts w:hint="eastAsia" w:cs="Times New Roman"/>
                <w:b w:val="0"/>
                <w:bCs/>
                <w:sz w:val="24"/>
                <w:szCs w:val="24"/>
                <w:lang w:val="en-US" w:eastAsia="zh-CN"/>
              </w:rPr>
              <w:t>废包装材料</w:t>
            </w:r>
            <w:r>
              <w:rPr>
                <w:rFonts w:hint="eastAsia" w:cs="Times New Roman"/>
                <w:b w:val="0"/>
                <w:bCs/>
                <w:sz w:val="24"/>
                <w:szCs w:val="24"/>
                <w:lang w:eastAsia="zh-CN"/>
              </w:rPr>
              <w:t>、</w:t>
            </w:r>
            <w:r>
              <w:rPr>
                <w:rFonts w:hint="default" w:ascii="Times New Roman" w:hAnsi="Times New Roman" w:cs="Times New Roman"/>
                <w:b w:val="0"/>
                <w:bCs/>
                <w:sz w:val="24"/>
                <w:szCs w:val="24"/>
              </w:rPr>
              <w:t>边角料及设备擦布，</w:t>
            </w:r>
            <w:r>
              <w:rPr>
                <w:rFonts w:hint="eastAsia" w:ascii="Times New Roman" w:hAnsi="Times New Roman" w:cs="Times New Roman"/>
                <w:b w:val="0"/>
                <w:bCs/>
                <w:sz w:val="24"/>
                <w:szCs w:val="24"/>
                <w:lang w:val="en-US" w:eastAsia="zh-CN"/>
              </w:rPr>
              <w:t>外售综合利用</w:t>
            </w:r>
            <w:r>
              <w:rPr>
                <w:rFonts w:hint="default" w:ascii="Times New Roman" w:hAnsi="Times New Roman" w:cs="Times New Roman"/>
                <w:b w:val="0"/>
                <w:bCs/>
                <w:sz w:val="24"/>
                <w:szCs w:val="24"/>
              </w:rPr>
              <w:t>。生活垃圾委托环卫部门统一处理。项目生产过程产生的不合格产品、废环氧树脂、废活性炭等属于危险废物，</w:t>
            </w:r>
            <w:r>
              <w:rPr>
                <w:rFonts w:hint="eastAsia" w:cs="Times New Roman"/>
                <w:b w:val="0"/>
                <w:bCs/>
                <w:sz w:val="24"/>
                <w:szCs w:val="24"/>
                <w:lang w:val="en-US" w:eastAsia="zh-CN"/>
              </w:rPr>
              <w:t>暂存危险废物暂存库，定期委托有资质单位处置。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土壤及地下水污染防治措施</w:t>
            </w:r>
          </w:p>
        </w:tc>
        <w:tc>
          <w:tcPr>
            <w:tcW w:w="7709" w:type="dxa"/>
            <w:gridSpan w:val="4"/>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cs="Times New Roman"/>
                <w:b w:val="0"/>
                <w:bCs/>
                <w:sz w:val="24"/>
                <w:szCs w:val="24"/>
              </w:rPr>
            </w:pPr>
            <w:r>
              <w:rPr>
                <w:rFonts w:hint="default" w:ascii="Times New Roman" w:hAnsi="Times New Roman" w:cs="Times New Roman"/>
                <w:b w:val="0"/>
                <w:bCs/>
                <w:color w:val="auto"/>
                <w:sz w:val="24"/>
                <w:szCs w:val="24"/>
                <w:highlight w:val="none"/>
              </w:rPr>
              <w:t>将原料仓库</w:t>
            </w:r>
            <w:r>
              <w:rPr>
                <w:rFonts w:hint="eastAsia" w:cs="Times New Roman"/>
                <w:b w:val="0"/>
                <w:bCs/>
                <w:color w:val="auto"/>
                <w:sz w:val="24"/>
                <w:szCs w:val="24"/>
                <w:highlight w:val="none"/>
                <w:lang w:eastAsia="zh-CN"/>
              </w:rPr>
              <w:t>、</w:t>
            </w:r>
            <w:r>
              <w:rPr>
                <w:rFonts w:hint="eastAsia" w:cs="Times New Roman"/>
                <w:b w:val="0"/>
                <w:bCs/>
                <w:color w:val="auto"/>
                <w:sz w:val="24"/>
                <w:szCs w:val="24"/>
                <w:highlight w:val="none"/>
                <w:lang w:val="en-US" w:eastAsia="zh-CN"/>
              </w:rPr>
              <w:t>危废暂存库</w:t>
            </w:r>
            <w:r>
              <w:rPr>
                <w:rFonts w:hint="default" w:ascii="Times New Roman" w:hAnsi="Times New Roman" w:cs="Times New Roman"/>
                <w:b w:val="0"/>
                <w:bCs/>
                <w:color w:val="auto"/>
                <w:sz w:val="24"/>
                <w:szCs w:val="24"/>
                <w:highlight w:val="none"/>
              </w:rPr>
              <w:t>设为重点防渗区，原料仓库基础防渗层为至少1m厚粘土层（渗透系数≤10</w:t>
            </w:r>
            <w:r>
              <w:rPr>
                <w:rFonts w:hint="default" w:ascii="Times New Roman" w:hAnsi="Times New Roman" w:cs="Times New Roman"/>
                <w:b w:val="0"/>
                <w:bCs/>
                <w:color w:val="auto"/>
                <w:sz w:val="24"/>
                <w:szCs w:val="24"/>
                <w:highlight w:val="none"/>
                <w:vertAlign w:val="superscript"/>
              </w:rPr>
              <w:t>-7</w:t>
            </w:r>
            <w:r>
              <w:rPr>
                <w:rFonts w:hint="default" w:ascii="Times New Roman" w:hAnsi="Times New Roman" w:cs="Times New Roman"/>
                <w:b w:val="0"/>
                <w:bCs/>
                <w:color w:val="auto"/>
                <w:sz w:val="24"/>
                <w:szCs w:val="24"/>
                <w:highlight w:val="none"/>
              </w:rPr>
              <w:t>cm/s），或2mm厚高密度聚乙烯，或至少2mm厚的其它人工材料（渗透系数≤10</w:t>
            </w:r>
            <w:r>
              <w:rPr>
                <w:rFonts w:hint="default" w:ascii="Times New Roman" w:hAnsi="Times New Roman" w:cs="Times New Roman"/>
                <w:b w:val="0"/>
                <w:bCs/>
                <w:color w:val="auto"/>
                <w:sz w:val="24"/>
                <w:szCs w:val="24"/>
                <w:highlight w:val="none"/>
                <w:vertAlign w:val="superscript"/>
              </w:rPr>
              <w:t>-10</w:t>
            </w:r>
            <w:r>
              <w:rPr>
                <w:rFonts w:hint="default" w:ascii="Times New Roman" w:hAnsi="Times New Roman" w:cs="Times New Roman"/>
                <w:b w:val="0"/>
                <w:bCs/>
                <w:color w:val="auto"/>
                <w:sz w:val="24"/>
                <w:szCs w:val="24"/>
                <w:highlight w:val="none"/>
              </w:rPr>
              <w:t>cm/s）。将一般工业固体废物暂存间设置为一般防渗区，需要设置等效黏土防渗层Mb≥1.5m，K≤1×10</w:t>
            </w:r>
            <w:r>
              <w:rPr>
                <w:rFonts w:hint="default" w:ascii="Times New Roman" w:hAnsi="Times New Roman" w:cs="Times New Roman"/>
                <w:b w:val="0"/>
                <w:bCs/>
                <w:color w:val="auto"/>
                <w:sz w:val="24"/>
                <w:szCs w:val="24"/>
                <w:highlight w:val="none"/>
                <w:vertAlign w:val="superscript"/>
              </w:rPr>
              <w:t>-7</w:t>
            </w:r>
            <w:r>
              <w:rPr>
                <w:rFonts w:hint="default" w:ascii="Times New Roman" w:hAnsi="Times New Roman" w:cs="Times New Roman"/>
                <w:b w:val="0"/>
                <w:bCs/>
                <w:color w:val="auto"/>
                <w:sz w:val="24"/>
                <w:szCs w:val="24"/>
                <w:highlight w:val="none"/>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生态保护</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措施</w:t>
            </w:r>
          </w:p>
        </w:tc>
        <w:tc>
          <w:tcPr>
            <w:tcW w:w="7709" w:type="dxa"/>
            <w:gridSpan w:val="4"/>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b w:val="0"/>
                <w:bCs/>
                <w:sz w:val="24"/>
                <w:szCs w:val="24"/>
                <w:lang w:eastAsia="zh-CN"/>
              </w:rPr>
            </w:pPr>
            <w:r>
              <w:rPr>
                <w:rFonts w:hint="default" w:ascii="Times New Roman" w:hAnsi="Times New Roman" w:cs="Times New Roman"/>
                <w:b w:val="0"/>
                <w:bCs/>
                <w:sz w:val="24"/>
                <w:szCs w:val="24"/>
              </w:rPr>
              <w:t>本项目位于淮南市高新区新型显示产业园7号楼，根据淮南市生态红线图，项目不在自然保护区、风景名胜区、文化自然遗产地等生态红线内，不属于生态保护红线管控的区域</w:t>
            </w:r>
            <w:r>
              <w:rPr>
                <w:rFonts w:hint="eastAsia" w:ascii="Times New Roman" w:hAnsi="Times New Roman" w:cs="Times New Roman"/>
                <w:b w:val="0"/>
                <w:bCs/>
                <w:sz w:val="24"/>
                <w:szCs w:val="24"/>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80" w:hRule="atLeast"/>
          <w:jc w:val="center"/>
        </w:trPr>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环境风险防范措施</w:t>
            </w:r>
          </w:p>
        </w:tc>
        <w:tc>
          <w:tcPr>
            <w:tcW w:w="7709" w:type="dxa"/>
            <w:gridSpan w:val="4"/>
          </w:tcPr>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本项目使用的化学品存放于原料仓库内，一旦发生</w:t>
            </w:r>
            <w:r>
              <w:rPr>
                <w:rFonts w:hint="eastAsia" w:cs="Times New Roman"/>
                <w:b w:val="0"/>
                <w:bCs/>
                <w:sz w:val="24"/>
                <w:szCs w:val="24"/>
                <w:lang w:eastAsia="zh-CN"/>
              </w:rPr>
              <w:t>化学品泄漏</w:t>
            </w:r>
            <w:r>
              <w:rPr>
                <w:rFonts w:hint="default" w:ascii="Times New Roman" w:hAnsi="Times New Roman" w:cs="Times New Roman"/>
                <w:b w:val="0"/>
                <w:bCs/>
                <w:sz w:val="24"/>
                <w:szCs w:val="24"/>
              </w:rPr>
              <w:t>的情形，其产生的危害较大，因此建设单位应做到如下：</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①原料仓库建设应符合《建筑设计防火规范》（GB50016－2014，2018年版）、《仓库防火安全管理规则》（公安部令第6号发布）、《化学危险物品安全管理条例》（国务院令第645号）和《石油化工企业设计防火标准》（GB50160-2008，2018年版）的规定。</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②企业必须严格执行《化学危险物品安全管理条例》及其实施细则等法规、制度和标准，并建立化学危险物品管理制度。</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20"/>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③原料库房建筑设计应符合《建筑设计防火规范》（GB50016－2014，2018年版）、《仓库防火安全管理规则》（公安部令第6号发布）、《化学危险物品安全管理条例》（国务院令第645号）和《石油化工企业设计防火标准》（GB50160-2008，2018年版）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140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cs="Times New Roman"/>
                <w:b w:val="0"/>
                <w:bCs/>
                <w:sz w:val="24"/>
                <w:szCs w:val="24"/>
              </w:rPr>
            </w:pPr>
            <w:r>
              <w:rPr>
                <w:rFonts w:hint="default" w:ascii="Times New Roman" w:hAnsi="Times New Roman" w:cs="Times New Roman"/>
                <w:b w:val="0"/>
                <w:bCs/>
                <w:sz w:val="24"/>
                <w:szCs w:val="24"/>
              </w:rPr>
              <w:t>其他环境管理要求</w:t>
            </w:r>
          </w:p>
        </w:tc>
        <w:tc>
          <w:tcPr>
            <w:tcW w:w="7709" w:type="dxa"/>
            <w:gridSpan w:val="4"/>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eastAsia"/>
                <w:b w:val="0"/>
                <w:bCs/>
                <w:sz w:val="24"/>
                <w:szCs w:val="24"/>
                <w:lang w:val="en-US" w:eastAsia="zh-CN"/>
              </w:rPr>
            </w:pPr>
            <w:r>
              <w:rPr>
                <w:rFonts w:hint="eastAsia"/>
                <w:b w:val="0"/>
                <w:bCs/>
                <w:sz w:val="24"/>
                <w:szCs w:val="24"/>
                <w:lang w:val="en-US" w:eastAsia="zh-CN"/>
              </w:rPr>
              <w:t>1、排污口规范化设置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eastAsia" w:ascii="Times New Roman" w:hAnsi="Times New Roman" w:eastAsia="宋体" w:cs="Times New Roman"/>
                <w:b w:val="0"/>
                <w:bCs/>
                <w:sz w:val="24"/>
                <w:szCs w:val="24"/>
                <w:lang w:val="en-US" w:eastAsia="zh-CN"/>
              </w:rPr>
            </w:pPr>
            <w:r>
              <w:rPr>
                <w:rFonts w:hint="eastAsia"/>
                <w:b w:val="0"/>
                <w:bCs/>
                <w:sz w:val="24"/>
                <w:szCs w:val="24"/>
                <w:lang w:val="en-US" w:eastAsia="zh-CN"/>
              </w:rPr>
              <w:t xml:space="preserve">（1）废气排放口规范化 本项目建成后，在废气排放筒处应设置便于采样、监测的采样口和采样监测平台，并在排气筒附近地面醒目处设置环保图形标志牌，标明排气筒高度、 </w:t>
            </w:r>
            <w:r>
              <w:rPr>
                <w:rFonts w:hint="eastAsia" w:ascii="Times New Roman" w:hAnsi="Times New Roman" w:eastAsia="宋体" w:cs="Times New Roman"/>
                <w:b w:val="0"/>
                <w:bCs/>
                <w:sz w:val="24"/>
                <w:szCs w:val="24"/>
                <w:lang w:val="en-US" w:eastAsia="zh-CN"/>
              </w:rPr>
              <w:t>出口内径、排放污染物种类等。</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eastAsia" w:ascii="Times New Roman" w:hAnsi="Times New Roman" w:eastAsia="宋体" w:cs="Times New Roman"/>
                <w:b w:val="0"/>
                <w:bCs/>
                <w:sz w:val="24"/>
                <w:szCs w:val="24"/>
                <w:lang w:val="en-US" w:eastAsia="zh-CN"/>
              </w:rPr>
            </w:pPr>
            <w:r>
              <w:rPr>
                <w:rFonts w:hint="eastAsia" w:ascii="Times New Roman" w:hAnsi="Times New Roman" w:eastAsia="宋体" w:cs="Times New Roman"/>
                <w:b w:val="0"/>
                <w:bCs/>
                <w:sz w:val="24"/>
                <w:szCs w:val="24"/>
                <w:lang w:val="en-US" w:eastAsia="zh-CN"/>
              </w:rPr>
              <w:t>（2）污水排放口规范化 应将全厂废水集中收集后通过厂区统一的污水排放口接管园区污水管网， 本项目污水排放口租赁厂房现有排放口。</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eastAsia"/>
                <w:b w:val="0"/>
                <w:bCs/>
                <w:sz w:val="24"/>
                <w:szCs w:val="24"/>
                <w:lang w:val="en-US" w:eastAsia="zh-CN"/>
              </w:rPr>
            </w:pPr>
            <w:r>
              <w:rPr>
                <w:rFonts w:hint="eastAsia" w:ascii="Times New Roman" w:hAnsi="Times New Roman" w:eastAsia="宋体" w:cs="Times New Roman"/>
                <w:b w:val="0"/>
                <w:bCs/>
                <w:sz w:val="24"/>
                <w:szCs w:val="24"/>
                <w:lang w:val="en-US" w:eastAsia="zh-CN"/>
              </w:rPr>
              <w:t>（3）固定噪声污染源规范化整治参照《工业企业厂界环境噪声排放标准》（GB12348－2008）的规定，定期监测，设置环境噪声监测点，并</w:t>
            </w:r>
            <w:r>
              <w:rPr>
                <w:rFonts w:hint="eastAsia"/>
                <w:b w:val="0"/>
                <w:bCs/>
                <w:sz w:val="24"/>
                <w:szCs w:val="24"/>
                <w:lang w:val="en-US" w:eastAsia="zh-CN"/>
              </w:rPr>
              <w:t>在该处附近醒目处设置环境保护图形标志牌。</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b w:val="0"/>
                <w:bCs/>
                <w:sz w:val="24"/>
                <w:szCs w:val="24"/>
                <w:lang w:val="en-US" w:eastAsia="zh-CN"/>
              </w:rPr>
            </w:pPr>
            <w:r>
              <w:rPr>
                <w:rFonts w:hint="eastAsia"/>
                <w:b w:val="0"/>
                <w:bCs/>
                <w:sz w:val="24"/>
                <w:szCs w:val="24"/>
                <w:lang w:val="en-US" w:eastAsia="zh-CN"/>
              </w:rPr>
              <w:t>（4）固体废物：分别设置一般固废库和危废库，做好防雨淋和渗透措施，并设置标志牌。</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b w:val="0"/>
                <w:bCs/>
                <w:sz w:val="24"/>
                <w:szCs w:val="24"/>
              </w:rPr>
            </w:pPr>
            <w:r>
              <w:rPr>
                <w:rFonts w:hint="eastAsia"/>
                <w:b w:val="0"/>
                <w:bCs/>
                <w:sz w:val="24"/>
                <w:szCs w:val="24"/>
                <w:lang w:val="en-US" w:eastAsia="zh-CN"/>
              </w:rPr>
              <w:t>2</w:t>
            </w:r>
            <w:r>
              <w:rPr>
                <w:rFonts w:hint="default"/>
                <w:b w:val="0"/>
                <w:bCs/>
                <w:sz w:val="24"/>
                <w:szCs w:val="24"/>
              </w:rPr>
              <w:t>、与排污许可证衔接</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b w:val="0"/>
                <w:bCs/>
                <w:sz w:val="24"/>
                <w:szCs w:val="24"/>
              </w:rPr>
            </w:pPr>
            <w:r>
              <w:rPr>
                <w:rFonts w:hint="default"/>
                <w:b w:val="0"/>
                <w:bCs/>
                <w:sz w:val="24"/>
                <w:szCs w:val="24"/>
              </w:rPr>
              <w:t>本项目国民经济行业类别为</w:t>
            </w:r>
            <w:r>
              <w:rPr>
                <w:rFonts w:hint="eastAsia"/>
                <w:b w:val="0"/>
                <w:bCs/>
                <w:sz w:val="24"/>
                <w:szCs w:val="24"/>
                <w:lang w:eastAsia="zh-CN"/>
              </w:rPr>
              <w:t>电阻电容电感元件制造</w:t>
            </w:r>
            <w:r>
              <w:rPr>
                <w:rFonts w:hint="default"/>
                <w:b w:val="0"/>
                <w:bCs/>
                <w:sz w:val="24"/>
                <w:szCs w:val="24"/>
              </w:rPr>
              <w:t>C3</w:t>
            </w:r>
            <w:r>
              <w:rPr>
                <w:rFonts w:hint="eastAsia"/>
                <w:b w:val="0"/>
                <w:bCs/>
                <w:sz w:val="24"/>
                <w:szCs w:val="24"/>
                <w:lang w:val="en-US" w:eastAsia="zh-CN"/>
              </w:rPr>
              <w:t>563</w:t>
            </w:r>
            <w:r>
              <w:rPr>
                <w:rFonts w:hint="default"/>
                <w:b w:val="0"/>
                <w:bCs/>
                <w:sz w:val="24"/>
                <w:szCs w:val="24"/>
              </w:rPr>
              <w:t>，根据《固定污染源排污许可分类管理名录（2019年版）》，本项目属于固定污染源排污许可分类管理名录表中的</w:t>
            </w:r>
            <w:r>
              <w:rPr>
                <w:rFonts w:hint="eastAsia"/>
                <w:b w:val="0"/>
                <w:bCs/>
                <w:sz w:val="24"/>
                <w:szCs w:val="24"/>
                <w:lang w:eastAsia="zh-CN"/>
              </w:rPr>
              <w:t>“</w:t>
            </w:r>
            <w:r>
              <w:rPr>
                <w:rFonts w:hint="default"/>
                <w:b w:val="0"/>
                <w:bCs/>
                <w:sz w:val="24"/>
                <w:szCs w:val="24"/>
              </w:rPr>
              <w:t>三十、专用设备制造业 35</w:t>
            </w:r>
            <w:r>
              <w:rPr>
                <w:rFonts w:hint="eastAsia"/>
                <w:b w:val="0"/>
                <w:bCs/>
                <w:sz w:val="24"/>
                <w:szCs w:val="24"/>
                <w:lang w:eastAsia="zh-CN"/>
              </w:rPr>
              <w:t>”“</w:t>
            </w:r>
            <w:r>
              <w:rPr>
                <w:rFonts w:hint="default"/>
                <w:b w:val="0"/>
                <w:bCs/>
                <w:sz w:val="24"/>
                <w:szCs w:val="24"/>
              </w:rPr>
              <w:t>84 电子和电工机械专用设备制造 356</w:t>
            </w:r>
            <w:r>
              <w:rPr>
                <w:rFonts w:hint="eastAsia"/>
                <w:b w:val="0"/>
                <w:bCs/>
                <w:sz w:val="24"/>
                <w:szCs w:val="24"/>
                <w:lang w:eastAsia="zh-CN"/>
              </w:rPr>
              <w:t>”</w:t>
            </w:r>
            <w:r>
              <w:rPr>
                <w:rFonts w:hint="default"/>
                <w:b w:val="0"/>
                <w:bCs/>
                <w:sz w:val="24"/>
                <w:szCs w:val="24"/>
              </w:rPr>
              <w:t>中的其他，属于登记管理</w:t>
            </w:r>
            <w:r>
              <w:rPr>
                <w:rFonts w:hint="eastAsia"/>
                <w:b w:val="0"/>
                <w:bCs/>
                <w:sz w:val="24"/>
                <w:szCs w:val="24"/>
                <w:lang w:eastAsia="zh-CN"/>
              </w:rPr>
              <w:t>，</w:t>
            </w:r>
            <w:r>
              <w:rPr>
                <w:rFonts w:hint="default"/>
                <w:b w:val="0"/>
                <w:bCs/>
                <w:sz w:val="24"/>
                <w:szCs w:val="24"/>
              </w:rPr>
              <w:t>不进行环评与排污许可联动内容分析。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b w:val="0"/>
                <w:bCs/>
                <w:sz w:val="24"/>
                <w:szCs w:val="24"/>
              </w:rPr>
            </w:pPr>
            <w:r>
              <w:rPr>
                <w:rFonts w:hint="default"/>
                <w:b w:val="0"/>
                <w:bCs/>
                <w:sz w:val="24"/>
                <w:szCs w:val="24"/>
              </w:rPr>
              <w:t>项目需遵守下列要求：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b w:val="0"/>
                <w:bCs/>
                <w:sz w:val="24"/>
                <w:szCs w:val="24"/>
              </w:rPr>
            </w:pPr>
            <w:r>
              <w:rPr>
                <w:rFonts w:hint="default"/>
                <w:b w:val="0"/>
                <w:bCs/>
                <w:sz w:val="24"/>
                <w:szCs w:val="24"/>
              </w:rPr>
              <w:t>（1）项目实际的生产地点、主要生产单元、生产工艺、生产设施、污染防治设施应与排污许可证相符，实际情况与排污许可证载明的规模、参数等信息基本相符。所有有组织排放口和各类废水排放口的个数、类别、排放方式和去向等与排污许可证载明信息一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b w:val="0"/>
                <w:bCs/>
                <w:sz w:val="24"/>
                <w:szCs w:val="24"/>
              </w:rPr>
            </w:pPr>
            <w:r>
              <w:rPr>
                <w:rFonts w:hint="default"/>
                <w:b w:val="0"/>
                <w:bCs/>
                <w:sz w:val="24"/>
                <w:szCs w:val="24"/>
              </w:rPr>
              <w:t>（2）企业应强化对环保设施运行监督、管理的职能，建立全厂完善的环保设施运行、维护、维修等技术档案，以及加强对环保设施操作人员的技术培训，确保环保设施处于正常运行情况，污染物排放连续达标。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b w:val="0"/>
                <w:bCs/>
                <w:sz w:val="24"/>
                <w:szCs w:val="24"/>
              </w:rPr>
            </w:pPr>
            <w:r>
              <w:rPr>
                <w:rFonts w:hint="default"/>
                <w:b w:val="0"/>
                <w:bCs/>
                <w:sz w:val="24"/>
                <w:szCs w:val="24"/>
              </w:rPr>
              <w:t>（3）企业应按照《排污单位自行监测技术指南电子工业》</w:t>
            </w:r>
            <w:r>
              <w:rPr>
                <w:rFonts w:hint="eastAsia"/>
                <w:b w:val="0"/>
                <w:bCs/>
                <w:sz w:val="24"/>
                <w:szCs w:val="24"/>
                <w:lang w:eastAsia="zh-CN"/>
              </w:rPr>
              <w:t>（</w:t>
            </w:r>
            <w:r>
              <w:rPr>
                <w:rFonts w:hint="default"/>
                <w:b w:val="0"/>
                <w:bCs/>
                <w:sz w:val="24"/>
                <w:szCs w:val="24"/>
              </w:rPr>
              <w:t>HJ1253-2022</w:t>
            </w:r>
            <w:r>
              <w:rPr>
                <w:rFonts w:hint="eastAsia"/>
                <w:b w:val="0"/>
                <w:bCs/>
                <w:sz w:val="24"/>
                <w:szCs w:val="24"/>
                <w:lang w:eastAsia="zh-CN"/>
              </w:rPr>
              <w:t>）</w:t>
            </w:r>
            <w:r>
              <w:rPr>
                <w:rFonts w:hint="default"/>
                <w:b w:val="0"/>
                <w:bCs/>
                <w:sz w:val="24"/>
                <w:szCs w:val="24"/>
              </w:rPr>
              <w:t>、《排污许可证申请与核发技术规范电子工业》</w:t>
            </w:r>
            <w:r>
              <w:rPr>
                <w:rFonts w:hint="eastAsia"/>
                <w:b w:val="0"/>
                <w:bCs/>
                <w:sz w:val="24"/>
                <w:szCs w:val="24"/>
                <w:lang w:eastAsia="zh-CN"/>
              </w:rPr>
              <w:t>（</w:t>
            </w:r>
            <w:r>
              <w:rPr>
                <w:rFonts w:hint="default"/>
                <w:b w:val="0"/>
                <w:bCs/>
                <w:sz w:val="24"/>
                <w:szCs w:val="24"/>
              </w:rPr>
              <w:t>HJ1122-2020）中的要求落实运营期自行监测计划，接受社会监督。</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textAlignment w:val="auto"/>
              <w:rPr>
                <w:rFonts w:hint="eastAsia"/>
                <w:b w:val="0"/>
                <w:bCs/>
                <w:sz w:val="24"/>
                <w:szCs w:val="24"/>
                <w:lang w:val="en-US" w:eastAsia="zh-CN"/>
              </w:rPr>
            </w:pPr>
            <w:r>
              <w:rPr>
                <w:rFonts w:hint="eastAsia"/>
                <w:b w:val="0"/>
                <w:bCs/>
                <w:sz w:val="24"/>
                <w:szCs w:val="24"/>
                <w:lang w:val="en-US" w:eastAsia="zh-CN"/>
              </w:rPr>
              <w:t>3、项目环保竣工验收</w:t>
            </w:r>
          </w:p>
          <w:p>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default"/>
                <w:b w:val="0"/>
                <w:bCs/>
                <w:sz w:val="24"/>
                <w:szCs w:val="24"/>
                <w:lang w:val="en-US" w:eastAsia="zh-CN"/>
              </w:rPr>
            </w:pPr>
            <w:r>
              <w:rPr>
                <w:rFonts w:hint="eastAsia"/>
                <w:b w:val="0"/>
                <w:bCs/>
                <w:sz w:val="24"/>
                <w:szCs w:val="24"/>
                <w:lang w:val="en-US" w:eastAsia="zh-CN"/>
              </w:rPr>
              <w:t xml:space="preserve">建设单位应根据环保竣工验收相关要求，自主开展环境保护竣工验收相关工作。建设项目配套建设的环境保护设施经验收合格，方可投入生产或者使用，未经验收或者验收不合格的，不得投入生产或者使用。 </w:t>
            </w:r>
          </w:p>
        </w:tc>
      </w:tr>
    </w:tbl>
    <w:p>
      <w:p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bidi w:val="0"/>
      </w:pPr>
      <w:r>
        <w:t>六、结论</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6" w:type="dxa"/>
          </w:tcPr>
          <w:p>
            <w:pPr>
              <w:pStyle w:val="23"/>
              <w:keepNext w:val="0"/>
              <w:keepLines w:val="0"/>
              <w:suppressLineNumbers w:val="0"/>
              <w:spacing w:before="0" w:beforeAutospacing="0" w:after="0" w:afterAutospacing="0"/>
              <w:ind w:left="0" w:right="0" w:firstLine="420"/>
              <w:rPr>
                <w:rFonts w:hint="default"/>
              </w:rPr>
            </w:pPr>
            <w:r>
              <w:rPr>
                <w:rFonts w:hint="default"/>
              </w:rPr>
              <w:t>蓝标（安徽）科技有限公司半导体元器件与SMT数码智能制造项目符合国家产业政策、当地规划以及相关法律法规要求。建设单位需认真落实本报告提出的各项污染防治措施，切实做到</w:t>
            </w:r>
            <w:r>
              <w:rPr>
                <w:rFonts w:hint="eastAsia"/>
                <w:lang w:eastAsia="zh-CN"/>
              </w:rPr>
              <w:t>“</w:t>
            </w:r>
            <w:r>
              <w:rPr>
                <w:rFonts w:hint="default"/>
              </w:rPr>
              <w:t>三同时</w:t>
            </w:r>
            <w:r>
              <w:rPr>
                <w:rFonts w:hint="eastAsia"/>
                <w:lang w:eastAsia="zh-CN"/>
              </w:rPr>
              <w:t>”</w:t>
            </w:r>
            <w:r>
              <w:rPr>
                <w:rFonts w:hint="default"/>
              </w:rPr>
              <w:t>，加强环境管理，做好环境污染防治工作，项目营运过程中各污染物均能达标排放，可满足当地环境要求，对区域环境造成影响较小。</w:t>
            </w:r>
          </w:p>
          <w:p>
            <w:pPr>
              <w:pStyle w:val="23"/>
              <w:keepNext w:val="0"/>
              <w:keepLines w:val="0"/>
              <w:suppressLineNumbers w:val="0"/>
              <w:spacing w:before="0" w:beforeAutospacing="0" w:after="0" w:afterAutospacing="0"/>
              <w:ind w:left="0" w:right="0" w:firstLine="420"/>
              <w:rPr>
                <w:rFonts w:hint="default"/>
              </w:rPr>
            </w:pPr>
            <w:r>
              <w:rPr>
                <w:rFonts w:hint="default"/>
              </w:rPr>
              <w:t>因此，从环境保护角度考虑，该项目的建设是可行的。</w:t>
            </w: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p>
            <w:pPr>
              <w:keepNext w:val="0"/>
              <w:keepLines w:val="0"/>
              <w:suppressLineNumbers w:val="0"/>
              <w:spacing w:before="0" w:beforeAutospacing="0" w:after="0" w:afterAutospacing="0"/>
              <w:ind w:left="0" w:right="0"/>
              <w:rPr>
                <w:rFonts w:hint="default"/>
              </w:rPr>
            </w:pPr>
          </w:p>
        </w:tc>
      </w:tr>
    </w:tbl>
    <w:p>
      <w:p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before="100" w:line="228" w:lineRule="auto"/>
        <w:ind w:left="67"/>
        <w:outlineLvl w:val="2"/>
        <w:rPr>
          <w:rFonts w:eastAsia="黑体"/>
          <w:sz w:val="31"/>
          <w:szCs w:val="31"/>
        </w:rPr>
      </w:pPr>
      <w:r>
        <w:rPr>
          <w:rFonts w:eastAsia="黑体"/>
          <w:spacing w:val="-6"/>
          <w:sz w:val="31"/>
          <w:szCs w:val="31"/>
        </w:rPr>
        <w:t>附表</w:t>
      </w:r>
    </w:p>
    <w:p>
      <w:pPr>
        <w:spacing w:before="159" w:line="177" w:lineRule="auto"/>
        <w:ind w:left="4468"/>
        <w:outlineLvl w:val="2"/>
        <w:rPr>
          <w:b/>
          <w:bCs/>
          <w:sz w:val="37"/>
          <w:szCs w:val="37"/>
        </w:rPr>
      </w:pPr>
      <w:r>
        <w:rPr>
          <w:b/>
          <w:bCs/>
          <w:spacing w:val="9"/>
          <w:sz w:val="37"/>
          <w:szCs w:val="37"/>
        </w:rPr>
        <w:t>建设项目污染物排放量汇总</w:t>
      </w:r>
      <w:r>
        <w:rPr>
          <w:b/>
          <w:bCs/>
          <w:spacing w:val="8"/>
          <w:sz w:val="37"/>
          <w:szCs w:val="37"/>
        </w:rPr>
        <w:t>表</w:t>
      </w:r>
    </w:p>
    <w:tbl>
      <w:tblPr>
        <w:tblStyle w:val="26"/>
        <w:tblW w:w="14040" w:type="dxa"/>
        <w:tblInd w:w="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82"/>
        <w:gridCol w:w="1729"/>
        <w:gridCol w:w="1699"/>
        <w:gridCol w:w="1275"/>
        <w:gridCol w:w="1699"/>
        <w:gridCol w:w="1557"/>
        <w:gridCol w:w="1759"/>
        <w:gridCol w:w="1957"/>
        <w:gridCol w:w="1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tcBorders>
              <w:tl2br w:val="single" w:color="000000" w:sz="4" w:space="0"/>
            </w:tcBorders>
            <w:vAlign w:val="center"/>
          </w:tcPr>
          <w:p>
            <w:pPr>
              <w:keepNext w:val="0"/>
              <w:keepLines w:val="0"/>
              <w:suppressLineNumbers w:val="0"/>
              <w:spacing w:before="0" w:beforeAutospacing="0" w:after="0" w:afterAutospacing="0"/>
              <w:ind w:left="0" w:right="0"/>
              <w:jc w:val="center"/>
              <w:rPr>
                <w:rFonts w:hint="default"/>
                <w:b/>
              </w:rPr>
            </w:pPr>
            <w:r>
              <w:rPr>
                <w:rFonts w:hint="eastAsia"/>
                <w:b/>
                <w:lang w:val="en-US" w:eastAsia="zh-CN"/>
              </w:rPr>
              <w:t xml:space="preserve">        </w:t>
            </w:r>
            <w:r>
              <w:rPr>
                <w:rFonts w:hint="default"/>
                <w:b/>
              </w:rPr>
              <w:t>项目</w:t>
            </w:r>
          </w:p>
          <w:p>
            <w:pPr>
              <w:keepNext w:val="0"/>
              <w:keepLines w:val="0"/>
              <w:suppressLineNumbers w:val="0"/>
              <w:spacing w:before="0" w:beforeAutospacing="0" w:after="0" w:afterAutospacing="0"/>
              <w:ind w:left="0" w:right="0"/>
              <w:jc w:val="both"/>
              <w:rPr>
                <w:rFonts w:hint="default"/>
                <w:b/>
              </w:rPr>
            </w:pPr>
            <w:r>
              <w:rPr>
                <w:rFonts w:hint="default"/>
                <w:b/>
              </w:rPr>
              <w:t>分类</w:t>
            </w:r>
          </w:p>
        </w:tc>
        <w:tc>
          <w:tcPr>
            <w:tcW w:w="1729" w:type="dxa"/>
            <w:vAlign w:val="center"/>
          </w:tcPr>
          <w:p>
            <w:pPr>
              <w:keepNext w:val="0"/>
              <w:keepLines w:val="0"/>
              <w:suppressLineNumbers w:val="0"/>
              <w:spacing w:before="0" w:beforeAutospacing="0" w:after="0" w:afterAutospacing="0"/>
              <w:ind w:left="0" w:right="0"/>
              <w:jc w:val="center"/>
              <w:rPr>
                <w:rFonts w:hint="default"/>
                <w:b/>
              </w:rPr>
            </w:pPr>
            <w:r>
              <w:rPr>
                <w:rFonts w:hint="default"/>
                <w:b/>
              </w:rPr>
              <w:t>污染物名称</w:t>
            </w:r>
          </w:p>
        </w:tc>
        <w:tc>
          <w:tcPr>
            <w:tcW w:w="1699" w:type="dxa"/>
            <w:vAlign w:val="center"/>
          </w:tcPr>
          <w:p>
            <w:pPr>
              <w:keepNext w:val="0"/>
              <w:keepLines w:val="0"/>
              <w:suppressLineNumbers w:val="0"/>
              <w:spacing w:before="0" w:beforeAutospacing="0" w:after="0" w:afterAutospacing="0"/>
              <w:ind w:left="0" w:right="0"/>
              <w:jc w:val="center"/>
              <w:rPr>
                <w:rFonts w:hint="default"/>
                <w:b/>
              </w:rPr>
            </w:pPr>
            <w:r>
              <w:rPr>
                <w:rFonts w:hint="default"/>
                <w:b/>
              </w:rPr>
              <w:t>现有工程排放量（固体废物产生量）</w:t>
            </w:r>
            <w:r>
              <w:rPr>
                <w:rFonts w:hint="eastAsia" w:ascii="宋体" w:hAnsi="宋体" w:cs="宋体"/>
                <w:b/>
                <w:sz w:val="21"/>
              </w:rPr>
              <w:t>①</w:t>
            </w:r>
          </w:p>
        </w:tc>
        <w:tc>
          <w:tcPr>
            <w:tcW w:w="1275" w:type="dxa"/>
            <w:vAlign w:val="center"/>
          </w:tcPr>
          <w:p>
            <w:pPr>
              <w:keepNext w:val="0"/>
              <w:keepLines w:val="0"/>
              <w:suppressLineNumbers w:val="0"/>
              <w:spacing w:before="0" w:beforeAutospacing="0" w:after="0" w:afterAutospacing="0"/>
              <w:ind w:left="0" w:right="0"/>
              <w:jc w:val="center"/>
              <w:rPr>
                <w:rFonts w:hint="default"/>
                <w:b/>
              </w:rPr>
            </w:pPr>
            <w:r>
              <w:rPr>
                <w:rFonts w:hint="default"/>
                <w:b/>
              </w:rPr>
              <w:t>现有工程许可排放量</w:t>
            </w:r>
            <w:r>
              <w:rPr>
                <w:rFonts w:hint="eastAsia" w:ascii="宋体" w:hAnsi="宋体" w:cs="宋体"/>
                <w:b/>
              </w:rPr>
              <w:t>②</w:t>
            </w:r>
          </w:p>
        </w:tc>
        <w:tc>
          <w:tcPr>
            <w:tcW w:w="1699" w:type="dxa"/>
            <w:vAlign w:val="center"/>
          </w:tcPr>
          <w:p>
            <w:pPr>
              <w:keepNext w:val="0"/>
              <w:keepLines w:val="0"/>
              <w:suppressLineNumbers w:val="0"/>
              <w:spacing w:before="0" w:beforeAutospacing="0" w:after="0" w:afterAutospacing="0"/>
              <w:ind w:left="0" w:right="0"/>
              <w:jc w:val="center"/>
              <w:rPr>
                <w:rFonts w:hint="default"/>
                <w:b/>
              </w:rPr>
            </w:pPr>
            <w:r>
              <w:rPr>
                <w:rFonts w:hint="default"/>
                <w:b/>
              </w:rPr>
              <w:t>在建工程排放量（固体废物产生量）</w:t>
            </w:r>
            <w:r>
              <w:rPr>
                <w:rFonts w:hint="eastAsia" w:ascii="宋体" w:hAnsi="宋体" w:cs="宋体"/>
                <w:b/>
              </w:rPr>
              <w:t>③</w:t>
            </w:r>
          </w:p>
        </w:tc>
        <w:tc>
          <w:tcPr>
            <w:tcW w:w="1557" w:type="dxa"/>
            <w:vAlign w:val="center"/>
          </w:tcPr>
          <w:p>
            <w:pPr>
              <w:keepNext w:val="0"/>
              <w:keepLines w:val="0"/>
              <w:suppressLineNumbers w:val="0"/>
              <w:spacing w:before="0" w:beforeAutospacing="0" w:after="0" w:afterAutospacing="0"/>
              <w:ind w:left="0" w:right="0"/>
              <w:jc w:val="center"/>
              <w:rPr>
                <w:rFonts w:hint="default"/>
                <w:b/>
              </w:rPr>
            </w:pPr>
            <w:r>
              <w:rPr>
                <w:rFonts w:hint="default"/>
                <w:b/>
              </w:rPr>
              <w:t>本项目排放量（固体废物产生量）</w:t>
            </w:r>
            <w:r>
              <w:rPr>
                <w:rFonts w:hint="eastAsia" w:ascii="宋体" w:hAnsi="宋体" w:cs="宋体"/>
                <w:b/>
              </w:rPr>
              <w:t>④</w:t>
            </w:r>
          </w:p>
        </w:tc>
        <w:tc>
          <w:tcPr>
            <w:tcW w:w="1759" w:type="dxa"/>
            <w:vAlign w:val="center"/>
          </w:tcPr>
          <w:p>
            <w:pPr>
              <w:keepNext w:val="0"/>
              <w:keepLines w:val="0"/>
              <w:suppressLineNumbers w:val="0"/>
              <w:spacing w:before="0" w:beforeAutospacing="0" w:after="0" w:afterAutospacing="0"/>
              <w:ind w:left="0" w:right="0"/>
              <w:jc w:val="center"/>
              <w:rPr>
                <w:rFonts w:hint="default"/>
                <w:b/>
              </w:rPr>
            </w:pPr>
            <w:r>
              <w:rPr>
                <w:rFonts w:hint="default"/>
                <w:b/>
              </w:rPr>
              <w:t>以新带老削减量（新建项目不填）</w:t>
            </w:r>
            <w:r>
              <w:rPr>
                <w:rFonts w:hint="eastAsia" w:ascii="宋体" w:hAnsi="宋体" w:cs="宋体"/>
                <w:b/>
              </w:rPr>
              <w:t>⑤</w:t>
            </w:r>
          </w:p>
        </w:tc>
        <w:tc>
          <w:tcPr>
            <w:tcW w:w="1957" w:type="dxa"/>
            <w:vAlign w:val="center"/>
          </w:tcPr>
          <w:p>
            <w:pPr>
              <w:keepNext w:val="0"/>
              <w:keepLines w:val="0"/>
              <w:suppressLineNumbers w:val="0"/>
              <w:spacing w:before="0" w:beforeAutospacing="0" w:after="0" w:afterAutospacing="0"/>
              <w:ind w:left="0" w:right="0"/>
              <w:jc w:val="center"/>
              <w:rPr>
                <w:rFonts w:hint="default"/>
                <w:b/>
              </w:rPr>
            </w:pPr>
            <w:r>
              <w:rPr>
                <w:rFonts w:hint="default"/>
                <w:b/>
              </w:rPr>
              <w:t>本项目建成后全厂排放量（固体废物产生量）</w:t>
            </w:r>
            <w:r>
              <w:rPr>
                <w:rFonts w:hint="eastAsia" w:ascii="宋体" w:hAnsi="宋体" w:cs="宋体"/>
                <w:b/>
              </w:rPr>
              <w:t>⑥</w:t>
            </w:r>
          </w:p>
        </w:tc>
        <w:tc>
          <w:tcPr>
            <w:tcW w:w="1083" w:type="dxa"/>
            <w:vAlign w:val="center"/>
          </w:tcPr>
          <w:p>
            <w:pPr>
              <w:keepNext w:val="0"/>
              <w:keepLines w:val="0"/>
              <w:suppressLineNumbers w:val="0"/>
              <w:spacing w:before="0" w:beforeAutospacing="0" w:after="0" w:afterAutospacing="0"/>
              <w:ind w:left="0" w:right="0"/>
              <w:jc w:val="center"/>
              <w:rPr>
                <w:rFonts w:hint="default"/>
                <w:b/>
              </w:rPr>
            </w:pPr>
            <w:r>
              <w:rPr>
                <w:rFonts w:hint="default"/>
                <w:b/>
              </w:rPr>
              <w:t>变化量</w:t>
            </w:r>
            <w:r>
              <w:rPr>
                <w:rFonts w:hint="eastAsia" w:ascii="宋体" w:hAnsi="宋体" w:cs="宋体"/>
                <w:b/>
              </w:rPr>
              <w:t>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Align w:val="center"/>
          </w:tcPr>
          <w:p>
            <w:pPr>
              <w:keepNext w:val="0"/>
              <w:keepLines w:val="0"/>
              <w:suppressLineNumbers w:val="0"/>
              <w:spacing w:before="0" w:beforeAutospacing="0" w:after="0" w:afterAutospacing="0"/>
              <w:ind w:left="0" w:right="0"/>
              <w:jc w:val="center"/>
              <w:rPr>
                <w:rFonts w:hint="default"/>
              </w:rPr>
            </w:pPr>
            <w:r>
              <w:rPr>
                <w:rFonts w:hint="default"/>
              </w:rPr>
              <w:t>废气</w:t>
            </w:r>
          </w:p>
        </w:tc>
        <w:tc>
          <w:tcPr>
            <w:tcW w:w="1729" w:type="dxa"/>
            <w:vAlign w:val="center"/>
          </w:tcPr>
          <w:p>
            <w:pPr>
              <w:keepNext w:val="0"/>
              <w:keepLines w:val="0"/>
              <w:suppressLineNumbers w:val="0"/>
              <w:spacing w:before="0" w:beforeAutospacing="0" w:after="0" w:afterAutospacing="0"/>
              <w:ind w:left="0" w:right="0"/>
              <w:jc w:val="center"/>
              <w:rPr>
                <w:rFonts w:hint="default"/>
              </w:rPr>
            </w:pPr>
            <w:r>
              <w:rPr>
                <w:rFonts w:hint="default"/>
                <w:b w:val="0"/>
                <w:bCs w:val="0"/>
              </w:rPr>
              <w:t>非甲烷总烃</w:t>
            </w:r>
          </w:p>
        </w:tc>
        <w:tc>
          <w:tcPr>
            <w:tcW w:w="169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0.000361</w:t>
            </w:r>
            <w:r>
              <w:rPr>
                <w:rFonts w:hint="eastAsia" w:ascii="Times New Roman" w:hAnsi="Times New Roman" w:eastAsia="宋体" w:cs="Times New Roman"/>
                <w:lang w:val="en-US" w:eastAsia="zh-CN"/>
              </w:rPr>
              <w:t>t/a</w:t>
            </w:r>
          </w:p>
        </w:tc>
        <w:tc>
          <w:tcPr>
            <w:tcW w:w="175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0.000361t/a</w:t>
            </w:r>
          </w:p>
        </w:tc>
        <w:tc>
          <w:tcPr>
            <w:tcW w:w="1083" w:type="dxa"/>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+0.000361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restart"/>
            <w:vAlign w:val="center"/>
          </w:tcPr>
          <w:p>
            <w:pPr>
              <w:keepNext w:val="0"/>
              <w:keepLines w:val="0"/>
              <w:suppressLineNumbers w:val="0"/>
              <w:spacing w:before="0" w:beforeAutospacing="0" w:after="0" w:afterAutospacing="0"/>
              <w:ind w:left="0" w:right="0"/>
              <w:jc w:val="center"/>
              <w:rPr>
                <w:rFonts w:hint="default"/>
              </w:rPr>
            </w:pPr>
            <w:r>
              <w:rPr>
                <w:rFonts w:hint="default"/>
              </w:rPr>
              <w:t>废水</w:t>
            </w:r>
          </w:p>
        </w:tc>
        <w:tc>
          <w:tcPr>
            <w:tcW w:w="1729" w:type="dxa"/>
            <w:vAlign w:val="center"/>
          </w:tcPr>
          <w:p>
            <w:pPr>
              <w:keepNext w:val="0"/>
              <w:keepLines w:val="0"/>
              <w:suppressLineNumbers w:val="0"/>
              <w:spacing w:before="0" w:beforeAutospacing="0" w:after="0" w:afterAutospacing="0"/>
              <w:ind w:left="0" w:right="0"/>
              <w:jc w:val="center"/>
              <w:rPr>
                <w:rFonts w:hint="eastAsia" w:eastAsia="宋体"/>
                <w:lang w:val="en-US" w:eastAsia="zh-CN"/>
              </w:rPr>
            </w:pPr>
            <w:r>
              <w:rPr>
                <w:rFonts w:hint="eastAsia"/>
                <w:lang w:val="en-US" w:eastAsia="zh-CN"/>
              </w:rPr>
              <w:t>废水量</w:t>
            </w:r>
          </w:p>
        </w:tc>
        <w:tc>
          <w:tcPr>
            <w:tcW w:w="1699"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9736t/a</w:t>
            </w:r>
          </w:p>
        </w:tc>
        <w:tc>
          <w:tcPr>
            <w:tcW w:w="175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9736t/a</w:t>
            </w:r>
          </w:p>
        </w:tc>
        <w:tc>
          <w:tcPr>
            <w:tcW w:w="1083" w:type="dxa"/>
            <w:vAlign w:val="center"/>
          </w:tcPr>
          <w:p>
            <w:pPr>
              <w:keepNext w:val="0"/>
              <w:keepLines w:val="0"/>
              <w:suppressLineNumbers w:val="0"/>
              <w:spacing w:before="0" w:beforeAutospacing="0" w:after="0" w:afterAutospacing="0"/>
              <w:ind w:left="0" w:right="0"/>
              <w:jc w:val="center"/>
              <w:rPr>
                <w:rFonts w:hint="eastAsia" w:eastAsia="宋体"/>
                <w:lang w:val="en-US" w:eastAsia="zh-CN"/>
              </w:rPr>
            </w:pPr>
            <w:r>
              <w:rPr>
                <w:rFonts w:hint="eastAsia"/>
                <w:lang w:val="en-US" w:eastAsia="zh-CN"/>
              </w:rPr>
              <w:t>+9736t/a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right="0"/>
              <w:jc w:val="center"/>
              <w:rPr>
                <w:rFonts w:hint="default"/>
              </w:rPr>
            </w:pPr>
            <w:r>
              <w:rPr>
                <w:rFonts w:hint="default"/>
              </w:rPr>
              <w:t>CODcr</w:t>
            </w:r>
          </w:p>
        </w:tc>
        <w:tc>
          <w:tcPr>
            <w:tcW w:w="169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1.9648</w:t>
            </w:r>
          </w:p>
        </w:tc>
        <w:tc>
          <w:tcPr>
            <w:tcW w:w="1759" w:type="dxa"/>
            <w:vAlign w:val="center"/>
          </w:tcPr>
          <w:p>
            <w:pPr>
              <w:keepNext w:val="0"/>
              <w:keepLines w:val="0"/>
              <w:suppressLineNumbers w:val="0"/>
              <w:spacing w:before="0" w:beforeAutospacing="0" w:after="0" w:afterAutospacing="0"/>
              <w:ind w:left="0" w:right="0"/>
              <w:jc w:val="center"/>
              <w:rPr>
                <w:rFonts w:hint="default"/>
              </w:rPr>
            </w:pPr>
            <w:bookmarkStart w:id="1" w:name="_GoBack"/>
            <w:bookmarkEnd w:id="1"/>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leftChars="0" w:right="0" w:rightChars="0"/>
              <w:jc w:val="center"/>
              <w:rPr>
                <w:rFonts w:hint="default"/>
              </w:rPr>
            </w:pPr>
            <w:r>
              <w:rPr>
                <w:rFonts w:hint="eastAsia" w:cs="Times New Roman"/>
                <w:lang w:val="en-US" w:eastAsia="zh-CN"/>
              </w:rPr>
              <w:t>1.9648</w:t>
            </w:r>
          </w:p>
        </w:tc>
        <w:tc>
          <w:tcPr>
            <w:tcW w:w="1083" w:type="dxa"/>
            <w:vAlign w:val="center"/>
          </w:tcPr>
          <w:p>
            <w:pPr>
              <w:keepNext w:val="0"/>
              <w:keepLines w:val="0"/>
              <w:suppressLineNumbers w:val="0"/>
              <w:spacing w:before="0" w:beforeAutospacing="0" w:after="0" w:afterAutospacing="0"/>
              <w:ind w:left="0" w:leftChars="0" w:right="0" w:rightChars="0"/>
              <w:jc w:val="center"/>
              <w:rPr>
                <w:rFonts w:hint="eastAsia" w:eastAsia="宋体"/>
                <w:lang w:val="en-US" w:eastAsia="zh-CN"/>
              </w:rPr>
            </w:pPr>
            <w:r>
              <w:rPr>
                <w:rFonts w:hint="eastAsia"/>
                <w:lang w:val="en-US" w:eastAsia="zh-CN"/>
              </w:rPr>
              <w:t>+</w:t>
            </w:r>
            <w:r>
              <w:rPr>
                <w:rFonts w:hint="eastAsia" w:cs="Times New Roman"/>
                <w:lang w:val="en-US" w:eastAsia="zh-CN"/>
              </w:rPr>
              <w:t>1.9648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right="0"/>
              <w:jc w:val="center"/>
              <w:rPr>
                <w:rFonts w:hint="default"/>
              </w:rPr>
            </w:pPr>
            <w:r>
              <w:rPr>
                <w:rFonts w:hint="default"/>
              </w:rPr>
              <w:t>BOD</w:t>
            </w:r>
            <w:r>
              <w:rPr>
                <w:rFonts w:hint="default"/>
                <w:vertAlign w:val="subscript"/>
              </w:rPr>
              <w:t>5</w:t>
            </w:r>
          </w:p>
        </w:tc>
        <w:tc>
          <w:tcPr>
            <w:tcW w:w="169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0.41472</w:t>
            </w:r>
          </w:p>
        </w:tc>
        <w:tc>
          <w:tcPr>
            <w:tcW w:w="175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leftChars="0" w:right="0" w:rightChars="0"/>
              <w:jc w:val="center"/>
              <w:rPr>
                <w:rFonts w:hint="default"/>
              </w:rPr>
            </w:pPr>
            <w:r>
              <w:rPr>
                <w:rFonts w:hint="eastAsia" w:cs="Times New Roman"/>
                <w:lang w:val="en-US" w:eastAsia="zh-CN"/>
              </w:rPr>
              <w:t>0.41472</w:t>
            </w:r>
          </w:p>
        </w:tc>
        <w:tc>
          <w:tcPr>
            <w:tcW w:w="1083" w:type="dxa"/>
            <w:vAlign w:val="center"/>
          </w:tcPr>
          <w:p>
            <w:pPr>
              <w:keepNext w:val="0"/>
              <w:keepLines w:val="0"/>
              <w:suppressLineNumbers w:val="0"/>
              <w:spacing w:before="0" w:beforeAutospacing="0" w:after="0" w:afterAutospacing="0"/>
              <w:ind w:left="0" w:leftChars="0" w:right="0" w:rightChars="0"/>
              <w:jc w:val="center"/>
              <w:rPr>
                <w:rFonts w:hint="default"/>
              </w:rPr>
            </w:pPr>
            <w:r>
              <w:rPr>
                <w:rFonts w:hint="eastAsia"/>
                <w:lang w:val="en-US" w:eastAsia="zh-CN"/>
              </w:rPr>
              <w:t>+</w:t>
            </w:r>
            <w:r>
              <w:rPr>
                <w:rFonts w:hint="eastAsia" w:cs="Times New Roman"/>
                <w:lang w:val="en-US" w:eastAsia="zh-CN"/>
              </w:rPr>
              <w:t>0.41472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right="0"/>
              <w:jc w:val="center"/>
              <w:rPr>
                <w:rFonts w:hint="default"/>
              </w:rPr>
            </w:pPr>
            <w:r>
              <w:rPr>
                <w:rFonts w:hint="default"/>
              </w:rPr>
              <w:t>氨氮</w:t>
            </w:r>
          </w:p>
        </w:tc>
        <w:tc>
          <w:tcPr>
            <w:tcW w:w="169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0.1453</w:t>
            </w:r>
          </w:p>
        </w:tc>
        <w:tc>
          <w:tcPr>
            <w:tcW w:w="175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leftChars="0" w:right="0" w:rightChars="0"/>
              <w:jc w:val="center"/>
              <w:rPr>
                <w:rFonts w:hint="default"/>
              </w:rPr>
            </w:pPr>
            <w:r>
              <w:rPr>
                <w:rFonts w:hint="eastAsia" w:cs="Times New Roman"/>
                <w:lang w:val="en-US" w:eastAsia="zh-CN"/>
              </w:rPr>
              <w:t>0.1453</w:t>
            </w:r>
          </w:p>
        </w:tc>
        <w:tc>
          <w:tcPr>
            <w:tcW w:w="1083" w:type="dxa"/>
            <w:vAlign w:val="center"/>
          </w:tcPr>
          <w:p>
            <w:pPr>
              <w:keepNext w:val="0"/>
              <w:keepLines w:val="0"/>
              <w:suppressLineNumbers w:val="0"/>
              <w:spacing w:before="0" w:beforeAutospacing="0" w:after="0" w:afterAutospacing="0"/>
              <w:ind w:left="0" w:leftChars="0" w:right="0" w:rightChars="0"/>
              <w:jc w:val="center"/>
              <w:rPr>
                <w:rFonts w:hint="default"/>
              </w:rPr>
            </w:pPr>
            <w:r>
              <w:rPr>
                <w:rFonts w:hint="eastAsia"/>
                <w:lang w:val="en-US" w:eastAsia="zh-CN"/>
              </w:rPr>
              <w:t>+</w:t>
            </w:r>
            <w:r>
              <w:rPr>
                <w:rFonts w:hint="eastAsia" w:cs="Times New Roman"/>
                <w:lang w:val="en-US" w:eastAsia="zh-CN"/>
              </w:rPr>
              <w:t>0.1453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right="0"/>
              <w:jc w:val="center"/>
              <w:rPr>
                <w:rFonts w:hint="default"/>
              </w:rPr>
            </w:pPr>
            <w:r>
              <w:rPr>
                <w:rFonts w:hint="default"/>
              </w:rPr>
              <w:t>SS</w:t>
            </w:r>
          </w:p>
        </w:tc>
        <w:tc>
          <w:tcPr>
            <w:tcW w:w="169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0.6677</w:t>
            </w:r>
          </w:p>
        </w:tc>
        <w:tc>
          <w:tcPr>
            <w:tcW w:w="175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leftChars="0" w:right="0" w:rightChars="0"/>
              <w:jc w:val="center"/>
              <w:rPr>
                <w:rFonts w:hint="default"/>
              </w:rPr>
            </w:pPr>
            <w:r>
              <w:rPr>
                <w:rFonts w:hint="eastAsia" w:cs="Times New Roman"/>
                <w:lang w:val="en-US" w:eastAsia="zh-CN"/>
              </w:rPr>
              <w:t>0.6677</w:t>
            </w:r>
          </w:p>
        </w:tc>
        <w:tc>
          <w:tcPr>
            <w:tcW w:w="1083" w:type="dxa"/>
            <w:vAlign w:val="center"/>
          </w:tcPr>
          <w:p>
            <w:pPr>
              <w:keepNext w:val="0"/>
              <w:keepLines w:val="0"/>
              <w:suppressLineNumbers w:val="0"/>
              <w:spacing w:before="0" w:beforeAutospacing="0" w:after="0" w:afterAutospacing="0"/>
              <w:ind w:left="0" w:leftChars="0" w:right="0" w:rightChars="0"/>
              <w:jc w:val="center"/>
              <w:rPr>
                <w:rFonts w:hint="default"/>
              </w:rPr>
            </w:pPr>
            <w:r>
              <w:rPr>
                <w:rFonts w:hint="eastAsia"/>
                <w:lang w:val="en-US" w:eastAsia="zh-CN"/>
              </w:rPr>
              <w:t>+</w:t>
            </w:r>
            <w:r>
              <w:rPr>
                <w:rFonts w:hint="eastAsia" w:cs="Times New Roman"/>
                <w:lang w:val="en-US" w:eastAsia="zh-CN"/>
              </w:rPr>
              <w:t>0.6677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restart"/>
            <w:vAlign w:val="center"/>
          </w:tcPr>
          <w:p>
            <w:pPr>
              <w:keepNext w:val="0"/>
              <w:keepLines w:val="0"/>
              <w:suppressLineNumbers w:val="0"/>
              <w:spacing w:before="0" w:beforeAutospacing="0" w:after="0" w:afterAutospacing="0"/>
              <w:ind w:left="0" w:right="0"/>
              <w:jc w:val="center"/>
              <w:rPr>
                <w:rFonts w:hint="default"/>
              </w:rPr>
            </w:pPr>
            <w:r>
              <w:rPr>
                <w:rFonts w:hint="default"/>
              </w:rPr>
              <w:t>一般工业</w:t>
            </w:r>
          </w:p>
          <w:p>
            <w:pPr>
              <w:keepNext w:val="0"/>
              <w:keepLines w:val="0"/>
              <w:suppressLineNumbers w:val="0"/>
              <w:spacing w:before="0" w:beforeAutospacing="0" w:after="0" w:afterAutospacing="0"/>
              <w:ind w:left="0" w:right="0"/>
              <w:jc w:val="center"/>
              <w:rPr>
                <w:rFonts w:hint="default"/>
              </w:rPr>
            </w:pPr>
            <w:r>
              <w:rPr>
                <w:rFonts w:hint="default"/>
              </w:rPr>
              <w:t>固体废物</w:t>
            </w:r>
          </w:p>
        </w:tc>
        <w:tc>
          <w:tcPr>
            <w:tcW w:w="1729" w:type="dxa"/>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边角料及设备擦布</w:t>
            </w:r>
          </w:p>
        </w:tc>
        <w:tc>
          <w:tcPr>
            <w:tcW w:w="169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2t/a</w:t>
            </w:r>
          </w:p>
        </w:tc>
        <w:tc>
          <w:tcPr>
            <w:tcW w:w="175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2t/a</w:t>
            </w:r>
          </w:p>
        </w:tc>
        <w:tc>
          <w:tcPr>
            <w:tcW w:w="1083" w:type="dxa"/>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lang w:val="en-US" w:eastAsia="zh-CN"/>
              </w:rPr>
              <w:t>废过滤介质</w:t>
            </w:r>
          </w:p>
        </w:tc>
        <w:tc>
          <w:tcPr>
            <w:tcW w:w="1699"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0.02t/a</w:t>
            </w:r>
          </w:p>
        </w:tc>
        <w:tc>
          <w:tcPr>
            <w:tcW w:w="1759"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lang w:val="en-US" w:eastAsia="zh-CN"/>
              </w:rPr>
              <w:t>0.02t/a</w:t>
            </w:r>
          </w:p>
        </w:tc>
        <w:tc>
          <w:tcPr>
            <w:tcW w:w="1083"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lang w:val="en-US" w:eastAsia="zh-CN"/>
              </w:rPr>
              <w:t>+0.02t/a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废包装材料</w:t>
            </w:r>
          </w:p>
        </w:tc>
        <w:tc>
          <w:tcPr>
            <w:tcW w:w="1699"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0.8t/a</w:t>
            </w:r>
          </w:p>
        </w:tc>
        <w:tc>
          <w:tcPr>
            <w:tcW w:w="1759"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0.8t/a</w:t>
            </w:r>
          </w:p>
        </w:tc>
        <w:tc>
          <w:tcPr>
            <w:tcW w:w="1083"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+0.8t/a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1"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生活垃圾</w:t>
            </w:r>
          </w:p>
        </w:tc>
        <w:tc>
          <w:tcPr>
            <w:tcW w:w="169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30t/a</w:t>
            </w:r>
          </w:p>
        </w:tc>
        <w:tc>
          <w:tcPr>
            <w:tcW w:w="175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lang w:val="en-US" w:eastAsia="zh-CN"/>
              </w:rPr>
              <w:t>30t/a</w:t>
            </w:r>
          </w:p>
        </w:tc>
        <w:tc>
          <w:tcPr>
            <w:tcW w:w="108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lang w:val="en-US" w:eastAsia="zh-CN"/>
              </w:rPr>
              <w:t>+30t/a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restart"/>
            <w:vAlign w:val="center"/>
          </w:tcPr>
          <w:p>
            <w:pPr>
              <w:keepNext w:val="0"/>
              <w:keepLines w:val="0"/>
              <w:suppressLineNumbers w:val="0"/>
              <w:spacing w:before="0" w:beforeAutospacing="0" w:after="0" w:afterAutospacing="0"/>
              <w:ind w:left="0" w:right="0"/>
              <w:jc w:val="center"/>
              <w:rPr>
                <w:rFonts w:hint="default"/>
              </w:rPr>
            </w:pPr>
            <w:r>
              <w:rPr>
                <w:rFonts w:hint="default"/>
              </w:rPr>
              <w:t>危险废物</w:t>
            </w:r>
          </w:p>
        </w:tc>
        <w:tc>
          <w:tcPr>
            <w:tcW w:w="1729" w:type="dxa"/>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废试剂瓶</w:t>
            </w:r>
          </w:p>
        </w:tc>
        <w:tc>
          <w:tcPr>
            <w:tcW w:w="169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0.03t/a</w:t>
            </w:r>
          </w:p>
        </w:tc>
        <w:tc>
          <w:tcPr>
            <w:tcW w:w="1759"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0.1t/a</w:t>
            </w:r>
          </w:p>
        </w:tc>
        <w:tc>
          <w:tcPr>
            <w:tcW w:w="1083" w:type="dxa"/>
            <w:vAlign w:val="center"/>
          </w:tcPr>
          <w:p>
            <w:pPr>
              <w:keepNext w:val="0"/>
              <w:keepLines w:val="0"/>
              <w:suppressLineNumbers w:val="0"/>
              <w:spacing w:before="0" w:beforeAutospacing="0" w:after="0" w:afterAutospacing="0"/>
              <w:ind w:left="0" w:right="0"/>
              <w:jc w:val="center"/>
              <w:rPr>
                <w:rFonts w:hint="default"/>
              </w:rPr>
            </w:pPr>
            <w:r>
              <w:rPr>
                <w:rFonts w:hint="eastAsia"/>
                <w:lang w:val="en-US" w:eastAsia="zh-CN"/>
              </w:rPr>
              <w:t>+0.1t/a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2"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碱液废水</w:t>
            </w:r>
          </w:p>
        </w:tc>
        <w:tc>
          <w:tcPr>
            <w:tcW w:w="1699"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5t/a</w:t>
            </w:r>
          </w:p>
        </w:tc>
        <w:tc>
          <w:tcPr>
            <w:tcW w:w="1759"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5t/a</w:t>
            </w:r>
          </w:p>
        </w:tc>
        <w:tc>
          <w:tcPr>
            <w:tcW w:w="1083"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废活性炭</w:t>
            </w:r>
          </w:p>
        </w:tc>
        <w:tc>
          <w:tcPr>
            <w:tcW w:w="1699"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0.0075t/a</w:t>
            </w:r>
          </w:p>
        </w:tc>
        <w:tc>
          <w:tcPr>
            <w:tcW w:w="1759"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0.00855t/a</w:t>
            </w:r>
          </w:p>
        </w:tc>
        <w:tc>
          <w:tcPr>
            <w:tcW w:w="1083"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+0.00855t/a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1282"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729"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废环氧树脂</w:t>
            </w:r>
          </w:p>
        </w:tc>
        <w:tc>
          <w:tcPr>
            <w:tcW w:w="1699"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lang w:val="en-US" w:eastAsia="zh-CN"/>
              </w:rPr>
              <w:t>/</w:t>
            </w:r>
          </w:p>
        </w:tc>
        <w:tc>
          <w:tcPr>
            <w:tcW w:w="1275"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lang w:val="en-US" w:eastAsia="zh-CN"/>
              </w:rPr>
              <w:t>/</w:t>
            </w:r>
          </w:p>
        </w:tc>
        <w:tc>
          <w:tcPr>
            <w:tcW w:w="1699" w:type="dxa"/>
            <w:vAlign w:val="center"/>
          </w:tcPr>
          <w:p>
            <w:pPr>
              <w:keepNext w:val="0"/>
              <w:keepLines w:val="0"/>
              <w:suppressLineNumbers w:val="0"/>
              <w:spacing w:before="0" w:beforeAutospacing="0" w:after="0" w:afterAutospacing="0"/>
              <w:ind w:left="0" w:leftChars="0" w:right="0" w:rightChars="0"/>
              <w:jc w:val="center"/>
              <w:rPr>
                <w:rFonts w:hint="eastAsia"/>
                <w:lang w:val="en-US" w:eastAsia="zh-CN"/>
              </w:rPr>
            </w:pPr>
            <w:r>
              <w:rPr>
                <w:rFonts w:hint="eastAsia"/>
                <w:lang w:val="en-US" w:eastAsia="zh-CN"/>
              </w:rPr>
              <w:t>/</w:t>
            </w:r>
          </w:p>
        </w:tc>
        <w:tc>
          <w:tcPr>
            <w:tcW w:w="1557"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0.02t/a</w:t>
            </w:r>
          </w:p>
        </w:tc>
        <w:tc>
          <w:tcPr>
            <w:tcW w:w="1759"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w:t>
            </w:r>
          </w:p>
        </w:tc>
        <w:tc>
          <w:tcPr>
            <w:tcW w:w="1957"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0.02t/a</w:t>
            </w:r>
          </w:p>
        </w:tc>
        <w:tc>
          <w:tcPr>
            <w:tcW w:w="1083" w:type="dxa"/>
            <w:vAlign w:val="center"/>
          </w:tcPr>
          <w:p>
            <w:pPr>
              <w:keepNext w:val="0"/>
              <w:keepLines w:val="0"/>
              <w:suppressLineNumbers w:val="0"/>
              <w:spacing w:before="0" w:beforeAutospacing="0" w:after="0" w:afterAutospacing="0"/>
              <w:ind w:left="0" w:right="0"/>
              <w:jc w:val="center"/>
              <w:rPr>
                <w:rFonts w:hint="eastAsia"/>
                <w:lang w:val="en-US" w:eastAsia="zh-CN"/>
              </w:rPr>
            </w:pPr>
            <w:r>
              <w:rPr>
                <w:rFonts w:hint="eastAsia"/>
                <w:lang w:val="en-US" w:eastAsia="zh-CN"/>
              </w:rPr>
              <w:t>+0.02t/a</w:t>
            </w:r>
          </w:p>
        </w:tc>
      </w:tr>
    </w:tbl>
    <w:p>
      <w:pPr>
        <w:spacing w:before="222" w:line="233" w:lineRule="auto"/>
        <w:ind w:left="45"/>
        <w:rPr>
          <w:rFonts w:hint="eastAsia" w:ascii="宋体" w:hAnsi="宋体" w:cs="宋体"/>
          <w:spacing w:val="1"/>
        </w:rPr>
        <w:sectPr>
          <w:pgSz w:w="16838" w:h="11906" w:orient="landscape"/>
          <w:pgMar w:top="1276" w:right="1440" w:bottom="127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pacing w:val="3"/>
        </w:rPr>
        <w:t>注</w:t>
      </w:r>
      <w:r>
        <w:rPr>
          <w:rFonts w:ascii="宋体" w:hAnsi="宋体" w:cs="宋体"/>
          <w:spacing w:val="3"/>
          <w:sz w:val="21"/>
        </w:rPr>
        <w:t>：</w:t>
      </w:r>
      <w:r>
        <w:rPr>
          <w:rFonts w:hint="eastAsia" w:ascii="宋体" w:hAnsi="宋体" w:cs="宋体"/>
          <w:spacing w:val="3"/>
          <w:sz w:val="21"/>
        </w:rPr>
        <w:t>⑥</w:t>
      </w:r>
      <w:r>
        <w:rPr>
          <w:rFonts w:ascii="宋体" w:hAnsi="宋体" w:cs="宋体"/>
          <w:spacing w:val="3"/>
          <w:sz w:val="21"/>
        </w:rPr>
        <w:t>=</w:t>
      </w:r>
      <w:r>
        <w:rPr>
          <w:rFonts w:hint="eastAsia" w:ascii="宋体" w:hAnsi="宋体" w:cs="宋体"/>
          <w:spacing w:val="3"/>
          <w:sz w:val="21"/>
        </w:rPr>
        <w:t>①</w:t>
      </w:r>
      <w:r>
        <w:rPr>
          <w:rFonts w:ascii="宋体" w:hAnsi="宋体" w:cs="宋体"/>
          <w:spacing w:val="3"/>
          <w:sz w:val="21"/>
        </w:rPr>
        <w:t>+</w:t>
      </w:r>
      <w:r>
        <w:rPr>
          <w:rFonts w:hint="eastAsia" w:ascii="宋体" w:hAnsi="宋体" w:cs="宋体"/>
          <w:spacing w:val="3"/>
          <w:sz w:val="21"/>
        </w:rPr>
        <w:t>③</w:t>
      </w:r>
      <w:r>
        <w:rPr>
          <w:rFonts w:ascii="宋体" w:hAnsi="宋体" w:cs="宋体"/>
          <w:spacing w:val="3"/>
          <w:sz w:val="21"/>
        </w:rPr>
        <w:t>+</w:t>
      </w:r>
      <w:r>
        <w:rPr>
          <w:rFonts w:hint="eastAsia" w:ascii="宋体" w:hAnsi="宋体" w:cs="宋体"/>
          <w:spacing w:val="3"/>
          <w:sz w:val="21"/>
        </w:rPr>
        <w:t>④</w:t>
      </w:r>
      <w:r>
        <w:rPr>
          <w:rFonts w:ascii="宋体" w:hAnsi="宋体" w:cs="宋体"/>
          <w:spacing w:val="3"/>
          <w:sz w:val="21"/>
        </w:rPr>
        <w:t>-</w:t>
      </w:r>
      <w:r>
        <w:rPr>
          <w:rFonts w:hint="eastAsia" w:ascii="宋体" w:hAnsi="宋体" w:cs="宋体"/>
          <w:spacing w:val="3"/>
          <w:sz w:val="21"/>
        </w:rPr>
        <w:t>⑤</w:t>
      </w:r>
      <w:r>
        <w:rPr>
          <w:rFonts w:ascii="宋体" w:hAnsi="宋体" w:cs="宋体"/>
          <w:spacing w:val="3"/>
          <w:sz w:val="21"/>
        </w:rPr>
        <w:t>；</w:t>
      </w:r>
      <w:r>
        <w:rPr>
          <w:rFonts w:hint="eastAsia" w:ascii="宋体" w:hAnsi="宋体" w:cs="宋体"/>
          <w:spacing w:val="3"/>
          <w:sz w:val="21"/>
        </w:rPr>
        <w:t>⑦</w:t>
      </w:r>
      <w:r>
        <w:rPr>
          <w:rFonts w:ascii="宋体" w:hAnsi="宋体" w:cs="宋体"/>
          <w:spacing w:val="3"/>
          <w:sz w:val="21"/>
        </w:rPr>
        <w:t>=</w:t>
      </w:r>
      <w:r>
        <w:rPr>
          <w:rFonts w:hint="eastAsia" w:ascii="宋体" w:hAnsi="宋体" w:cs="宋体"/>
          <w:spacing w:val="3"/>
          <w:sz w:val="21"/>
        </w:rPr>
        <w:t>⑥</w:t>
      </w:r>
      <w:r>
        <w:rPr>
          <w:rFonts w:ascii="宋体" w:hAnsi="宋体" w:cs="宋体"/>
          <w:spacing w:val="3"/>
          <w:sz w:val="21"/>
        </w:rPr>
        <w:t>-</w:t>
      </w:r>
      <w:r>
        <w:rPr>
          <w:rFonts w:hint="eastAsia" w:ascii="宋体" w:hAnsi="宋体" w:cs="宋体"/>
          <w:spacing w:val="1"/>
          <w:sz w:val="21"/>
        </w:rPr>
        <w:t>①</w:t>
      </w:r>
    </w:p>
    <w:p>
      <w:pPr>
        <w:pStyle w:val="23"/>
        <w:bidi w:val="0"/>
        <w:ind w:left="0" w:leftChars="0" w:firstLine="0" w:firstLineChars="0"/>
        <w:rPr>
          <w:rFonts w:hint="eastAsia"/>
          <w:b/>
          <w:bCs/>
          <w:lang w:val="en-US" w:eastAsia="zh-CN"/>
        </w:rPr>
      </w:pPr>
      <w:r>
        <w:rPr>
          <w:rFonts w:hint="eastAsia"/>
          <w:b/>
          <w:bCs/>
          <w:lang w:val="en-US" w:eastAsia="zh-CN"/>
        </w:rPr>
        <w:t>委托书</w:t>
      </w:r>
    </w:p>
    <w:p>
      <w:pPr>
        <w:bidi w:val="0"/>
        <w:rPr>
          <w:rFonts w:hint="eastAsia"/>
          <w:lang w:val="en-US" w:eastAsia="zh-CN"/>
        </w:rPr>
      </w:pPr>
    </w:p>
    <w:p>
      <w:pPr>
        <w:jc w:val="center"/>
        <w:rPr>
          <w:rFonts w:hint="eastAsia" w:ascii="宋体" w:hAnsi="宋体"/>
          <w:b/>
          <w:sz w:val="52"/>
          <w:szCs w:val="52"/>
        </w:rPr>
      </w:pPr>
      <w:r>
        <w:rPr>
          <w:rFonts w:hint="eastAsia" w:ascii="宋体" w:hAnsi="宋体"/>
          <w:b/>
          <w:sz w:val="52"/>
          <w:szCs w:val="52"/>
        </w:rPr>
        <w:t>委  托  书</w:t>
      </w:r>
    </w:p>
    <w:p>
      <w:pPr>
        <w:tabs>
          <w:tab w:val="left" w:pos="5680"/>
        </w:tabs>
        <w:jc w:val="left"/>
        <w:rPr>
          <w:rFonts w:hint="eastAsia"/>
          <w:sz w:val="52"/>
          <w:szCs w:val="52"/>
        </w:rPr>
      </w:pPr>
      <w:r>
        <w:rPr>
          <w:sz w:val="52"/>
          <w:szCs w:val="52"/>
        </w:rPr>
        <w:tab/>
      </w:r>
    </w:p>
    <w:p>
      <w:pPr>
        <w:jc w:val="center"/>
        <w:rPr>
          <w:rFonts w:hint="eastAsia"/>
        </w:rPr>
      </w:pPr>
    </w:p>
    <w:p>
      <w:pPr>
        <w:spacing w:line="840" w:lineRule="exact"/>
        <w:rPr>
          <w:rFonts w:hint="eastAsia"/>
          <w:spacing w:val="4"/>
          <w:sz w:val="28"/>
          <w:szCs w:val="28"/>
        </w:rPr>
      </w:pPr>
      <w:r>
        <w:rPr>
          <w:rFonts w:hint="eastAsia"/>
          <w:spacing w:val="4"/>
          <w:sz w:val="28"/>
          <w:szCs w:val="28"/>
          <w:lang w:val="en-US" w:eastAsia="zh-CN"/>
        </w:rPr>
        <w:t>安徽碧清环保科技有限公司</w:t>
      </w:r>
      <w:r>
        <w:rPr>
          <w:rFonts w:hint="eastAsia"/>
          <w:spacing w:val="4"/>
          <w:sz w:val="28"/>
          <w:szCs w:val="28"/>
        </w:rPr>
        <w:t>：</w:t>
      </w:r>
    </w:p>
    <w:p>
      <w:pPr>
        <w:spacing w:line="840" w:lineRule="exact"/>
        <w:ind w:firstLine="576" w:firstLineChars="200"/>
        <w:rPr>
          <w:rFonts w:hint="default" w:ascii="Times New Roman" w:hAnsi="Times New Roman" w:cs="Times New Roman"/>
          <w:spacing w:val="4"/>
          <w:sz w:val="28"/>
          <w:szCs w:val="28"/>
          <w:highlight w:val="none"/>
          <w:lang w:val="en-US" w:eastAsia="zh-CN"/>
        </w:rPr>
      </w:pPr>
      <w:r>
        <w:rPr>
          <w:rFonts w:hint="default" w:ascii="Times New Roman" w:hAnsi="Times New Roman" w:cs="Times New Roman"/>
          <w:spacing w:val="4"/>
          <w:sz w:val="28"/>
          <w:szCs w:val="28"/>
          <w:highlight w:val="none"/>
          <w:lang w:val="en-US" w:eastAsia="zh-CN"/>
        </w:rPr>
        <w:t>我单位在安徽省淮南市高新区新型显示产业园7号楼3、4、5层建设</w:t>
      </w:r>
      <w:r>
        <w:rPr>
          <w:rFonts w:hint="eastAsia" w:ascii="Times New Roman" w:hAnsi="Times New Roman" w:cs="Times New Roman"/>
          <w:spacing w:val="4"/>
          <w:sz w:val="28"/>
          <w:szCs w:val="28"/>
          <w:highlight w:val="none"/>
          <w:lang w:val="en-US" w:eastAsia="zh-CN"/>
        </w:rPr>
        <w:t>“半导体元器件</w:t>
      </w:r>
      <w:r>
        <w:rPr>
          <w:rFonts w:hint="default" w:ascii="Times New Roman" w:hAnsi="Times New Roman" w:cs="Times New Roman"/>
          <w:spacing w:val="4"/>
          <w:sz w:val="28"/>
          <w:szCs w:val="28"/>
          <w:highlight w:val="none"/>
          <w:lang w:val="en-US" w:eastAsia="zh-CN"/>
        </w:rPr>
        <w:t>与SMT数码智能制造项目</w:t>
      </w:r>
      <w:r>
        <w:rPr>
          <w:rFonts w:hint="eastAsia" w:ascii="Times New Roman" w:hAnsi="Times New Roman" w:cs="Times New Roman"/>
          <w:spacing w:val="4"/>
          <w:sz w:val="28"/>
          <w:szCs w:val="28"/>
          <w:highlight w:val="none"/>
          <w:lang w:val="en-US" w:eastAsia="zh-CN"/>
        </w:rPr>
        <w:t>”</w:t>
      </w:r>
      <w:r>
        <w:rPr>
          <w:rFonts w:hint="default" w:ascii="Times New Roman" w:hAnsi="Times New Roman" w:cs="Times New Roman"/>
          <w:spacing w:val="4"/>
          <w:sz w:val="28"/>
          <w:szCs w:val="28"/>
          <w:highlight w:val="none"/>
          <w:lang w:val="en-US" w:eastAsia="zh-CN"/>
        </w:rPr>
        <w:t>，根据《中华人民共和国环境影响评价法》、《建设项目环境影响评价分类管理目录（2021年版）》等</w:t>
      </w:r>
      <w:r>
        <w:rPr>
          <w:rFonts w:hint="default" w:ascii="Times New Roman" w:hAnsi="Times New Roman" w:cs="Times New Roman"/>
          <w:b w:val="0"/>
          <w:bCs w:val="0"/>
          <w:spacing w:val="4"/>
          <w:sz w:val="28"/>
          <w:szCs w:val="28"/>
          <w:highlight w:val="none"/>
          <w:lang w:val="en-US" w:eastAsia="zh-CN"/>
        </w:rPr>
        <w:t>法律法规规定，该项目评价等级为环境影响报</w:t>
      </w:r>
      <w:r>
        <w:rPr>
          <w:rFonts w:hint="default" w:ascii="Times New Roman" w:hAnsi="Times New Roman" w:cs="Times New Roman"/>
          <w:spacing w:val="4"/>
          <w:sz w:val="28"/>
          <w:szCs w:val="28"/>
          <w:highlight w:val="none"/>
          <w:lang w:val="en-US" w:eastAsia="zh-CN"/>
        </w:rPr>
        <w:t>告表，现特委托贵公司承担本项目的环境影响评价工作。</w:t>
      </w:r>
    </w:p>
    <w:p>
      <w:pPr>
        <w:spacing w:line="840" w:lineRule="exact"/>
        <w:ind w:firstLine="576" w:firstLineChars="200"/>
        <w:rPr>
          <w:rFonts w:hint="default" w:ascii="Times New Roman" w:hAnsi="Times New Roman" w:cs="Times New Roman"/>
          <w:spacing w:val="4"/>
          <w:sz w:val="28"/>
          <w:szCs w:val="28"/>
          <w:highlight w:val="none"/>
          <w:lang w:val="en-US" w:eastAsia="zh-CN"/>
        </w:rPr>
      </w:pPr>
      <w:r>
        <w:rPr>
          <w:rFonts w:hint="default" w:ascii="Times New Roman" w:hAnsi="Times New Roman" w:cs="Times New Roman"/>
          <w:spacing w:val="4"/>
          <w:sz w:val="28"/>
          <w:szCs w:val="28"/>
          <w:highlight w:val="none"/>
          <w:lang w:val="en-US" w:eastAsia="zh-CN"/>
        </w:rPr>
        <w:t>请接受委托，按照国家有关规定进行编制，并按时提交环境影响报告表。</w:t>
      </w:r>
    </w:p>
    <w:p>
      <w:pPr>
        <w:ind w:firstLine="435"/>
        <w:rPr>
          <w:rFonts w:hint="eastAsia"/>
        </w:rPr>
      </w:pPr>
    </w:p>
    <w:p>
      <w:pPr>
        <w:ind w:firstLine="435"/>
        <w:rPr>
          <w:rFonts w:hint="eastAsia"/>
        </w:rPr>
      </w:pPr>
    </w:p>
    <w:p>
      <w:pPr>
        <w:ind w:firstLine="435"/>
        <w:rPr>
          <w:rFonts w:hint="eastAsia"/>
        </w:rPr>
      </w:pPr>
    </w:p>
    <w:p>
      <w:pPr>
        <w:ind w:firstLine="435"/>
        <w:rPr>
          <w:rFonts w:hint="eastAsia"/>
        </w:rPr>
      </w:pPr>
    </w:p>
    <w:p>
      <w:pPr>
        <w:ind w:firstLine="435"/>
        <w:rPr>
          <w:rFonts w:hint="eastAsia"/>
        </w:rPr>
      </w:pPr>
    </w:p>
    <w:p>
      <w:pPr>
        <w:rPr>
          <w:rFonts w:hint="eastAsia"/>
          <w:sz w:val="28"/>
          <w:szCs w:val="28"/>
        </w:rPr>
      </w:pPr>
    </w:p>
    <w:p>
      <w:pPr>
        <w:ind w:right="840" w:firstLine="435"/>
        <w:jc w:val="center"/>
        <w:rPr>
          <w:rFonts w:hint="eastAsia"/>
          <w:sz w:val="28"/>
          <w:szCs w:val="28"/>
          <w:lang w:val="en-US" w:eastAsia="zh-CN"/>
        </w:rPr>
      </w:pPr>
      <w:r>
        <w:rPr>
          <w:rFonts w:hint="eastAsia"/>
          <w:sz w:val="28"/>
          <w:szCs w:val="28"/>
          <w:lang w:val="en-US" w:eastAsia="zh-CN"/>
        </w:rPr>
        <w:t xml:space="preserve">            委托单位（盖章）：                     </w:t>
      </w:r>
    </w:p>
    <w:p>
      <w:pPr>
        <w:ind w:right="840" w:firstLine="435"/>
        <w:jc w:val="center"/>
        <w:rPr>
          <w:rFonts w:hint="eastAsia"/>
          <w:sz w:val="28"/>
          <w:szCs w:val="28"/>
          <w:lang w:eastAsia="zh-CN"/>
        </w:rPr>
      </w:pPr>
      <w:r>
        <w:rPr>
          <w:rFonts w:hint="eastAsia"/>
          <w:sz w:val="28"/>
          <w:szCs w:val="28"/>
          <w:lang w:val="en-US" w:eastAsia="zh-CN"/>
        </w:rPr>
        <w:t xml:space="preserve">                      委托日期：2023</w:t>
      </w:r>
      <w:r>
        <w:rPr>
          <w:rFonts w:hint="eastAsia"/>
          <w:sz w:val="28"/>
          <w:szCs w:val="28"/>
        </w:rPr>
        <w:t>年</w:t>
      </w:r>
      <w:r>
        <w:rPr>
          <w:rFonts w:hint="eastAsia"/>
          <w:sz w:val="28"/>
          <w:szCs w:val="28"/>
          <w:lang w:val="en-US" w:eastAsia="zh-CN"/>
        </w:rPr>
        <w:t>8</w:t>
      </w:r>
      <w:r>
        <w:rPr>
          <w:rFonts w:hint="eastAsia"/>
          <w:sz w:val="28"/>
          <w:szCs w:val="28"/>
        </w:rPr>
        <w:t>月</w:t>
      </w:r>
      <w:r>
        <w:rPr>
          <w:rFonts w:hint="eastAsia"/>
          <w:sz w:val="28"/>
          <w:szCs w:val="28"/>
          <w:lang w:val="en-US" w:eastAsia="zh-CN"/>
        </w:rPr>
        <w:t>3</w:t>
      </w:r>
      <w:r>
        <w:rPr>
          <w:rFonts w:hint="eastAsia"/>
          <w:sz w:val="28"/>
          <w:szCs w:val="28"/>
          <w:lang w:eastAsia="zh-CN"/>
        </w:rPr>
        <w:t>日</w:t>
      </w:r>
    </w:p>
    <w:p>
      <w:pPr>
        <w:pStyle w:val="22"/>
        <w:rPr>
          <w:rFonts w:hint="eastAsia"/>
          <w:lang w:val="en-US" w:eastAsia="zh-CN"/>
        </w:rPr>
        <w:sectPr>
          <w:pgSz w:w="11906" w:h="16838"/>
          <w:pgMar w:top="1440" w:right="1276" w:bottom="1440" w:left="1276"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3"/>
        <w:bidi w:val="0"/>
        <w:ind w:left="0" w:leftChars="0" w:firstLine="0" w:firstLineChars="0"/>
        <w:rPr>
          <w:rFonts w:hint="eastAsia"/>
          <w:b/>
          <w:bCs/>
          <w:lang w:val="en-US" w:eastAsia="zh-CN"/>
        </w:rPr>
      </w:pPr>
      <w:r>
        <w:rPr>
          <w:rFonts w:hint="eastAsia"/>
          <w:b/>
          <w:bCs/>
          <w:lang w:val="en-US" w:eastAsia="zh-CN"/>
        </w:rPr>
        <w:t>关于环评报告符合性确认函</w:t>
      </w:r>
    </w:p>
    <w:p>
      <w:pPr>
        <w:bidi w:val="0"/>
        <w:rPr>
          <w:rFonts w:hint="default"/>
          <w:lang w:val="en-US" w:eastAsia="zh-CN"/>
        </w:rPr>
        <w:sectPr>
          <w:pgSz w:w="11906" w:h="16838"/>
          <w:pgMar w:top="1440" w:right="1276" w:bottom="1440" w:left="1276"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5937885" cy="8166735"/>
            <wp:effectExtent l="0" t="0" r="5715" b="5715"/>
            <wp:docPr id="18" name="图片 18" descr="61ad480bbf821e58a4f1e0ed400b4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61ad480bbf821e58a4f1e0ed400b4f7"/>
                    <pic:cNvPicPr>
                      <a:picLocks noChangeAspect="1"/>
                    </pic:cNvPicPr>
                  </pic:nvPicPr>
                  <pic:blipFill>
                    <a:blip r:embed="rId16"/>
                    <a:stretch>
                      <a:fillRect/>
                    </a:stretch>
                  </pic:blipFill>
                  <pic:spPr>
                    <a:xfrm>
                      <a:off x="0" y="0"/>
                      <a:ext cx="5937885" cy="8166735"/>
                    </a:xfrm>
                    <a:prstGeom prst="rect">
                      <a:avLst/>
                    </a:prstGeom>
                  </pic:spPr>
                </pic:pic>
              </a:graphicData>
            </a:graphic>
          </wp:inline>
        </w:drawing>
      </w:r>
    </w:p>
    <w:p>
      <w:pPr>
        <w:pStyle w:val="23"/>
        <w:bidi w:val="0"/>
        <w:ind w:left="0" w:leftChars="0" w:firstLine="0" w:firstLineChars="0"/>
        <w:rPr>
          <w:rFonts w:hint="eastAsia"/>
          <w:b/>
          <w:bCs/>
          <w:lang w:val="en-US" w:eastAsia="zh-CN"/>
        </w:rPr>
      </w:pPr>
      <w:r>
        <w:rPr>
          <w:rFonts w:hint="eastAsia"/>
          <w:b/>
          <w:bCs/>
          <w:lang w:val="en-US" w:eastAsia="zh-CN"/>
        </w:rPr>
        <w:t>项目备案表</w:t>
      </w:r>
    </w:p>
    <w:p>
      <w:pPr>
        <w:bidi w:val="0"/>
        <w:rPr>
          <w:rFonts w:hint="default"/>
          <w:lang w:val="en-US" w:eastAsia="zh-CN"/>
        </w:rPr>
      </w:pPr>
      <w:r>
        <w:rPr>
          <w:rFonts w:hint="default"/>
          <w:lang w:val="en-US" w:eastAsia="zh-CN"/>
        </w:rPr>
        <w:drawing>
          <wp:inline distT="0" distB="0" distL="114300" distR="114300">
            <wp:extent cx="5926455" cy="8150860"/>
            <wp:effectExtent l="0" t="0" r="17145" b="2540"/>
            <wp:docPr id="55" name="图片 55" descr="微信图片_2023012915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微信图片_20230129151211"/>
                    <pic:cNvPicPr>
                      <a:picLocks noChangeAspect="1"/>
                    </pic:cNvPicPr>
                  </pic:nvPicPr>
                  <pic:blipFill>
                    <a:blip r:embed="rId17"/>
                    <a:stretch>
                      <a:fillRect/>
                    </a:stretch>
                  </pic:blipFill>
                  <pic:spPr>
                    <a:xfrm>
                      <a:off x="0" y="0"/>
                      <a:ext cx="5926455" cy="8150860"/>
                    </a:xfrm>
                    <a:prstGeom prst="rect">
                      <a:avLst/>
                    </a:prstGeom>
                  </pic:spPr>
                </pic:pic>
              </a:graphicData>
            </a:graphic>
          </wp:inline>
        </w:drawing>
      </w:r>
    </w:p>
    <w:p>
      <w:pPr>
        <w:pStyle w:val="23"/>
        <w:bidi w:val="0"/>
        <w:ind w:left="0" w:leftChars="0" w:firstLine="0" w:firstLineChars="0"/>
        <w:rPr>
          <w:rFonts w:hint="eastAsia"/>
          <w:b/>
          <w:bCs/>
          <w:lang w:val="en-US" w:eastAsia="zh-CN"/>
        </w:rPr>
      </w:pPr>
    </w:p>
    <w:p>
      <w:pPr>
        <w:pStyle w:val="23"/>
        <w:bidi w:val="0"/>
        <w:ind w:left="0" w:leftChars="0" w:firstLine="0" w:firstLineChars="0"/>
        <w:rPr>
          <w:rFonts w:hint="eastAsia"/>
          <w:b/>
          <w:bCs/>
          <w:lang w:val="en-US" w:eastAsia="zh-CN"/>
        </w:rPr>
      </w:pPr>
      <w:r>
        <w:rPr>
          <w:rFonts w:hint="eastAsia"/>
          <w:b/>
          <w:bCs/>
          <w:lang w:val="en-US" w:eastAsia="zh-CN"/>
        </w:rPr>
        <w:t>厂房租赁合同</w:t>
      </w:r>
    </w:p>
    <w:p>
      <w:pPr>
        <w:bidi w:val="0"/>
        <w:rPr>
          <w:rFonts w:hint="default"/>
          <w:lang w:val="en-US" w:eastAsia="zh-CN"/>
        </w:rPr>
      </w:pPr>
      <w:r>
        <w:rPr>
          <w:rFonts w:hint="default"/>
          <w:lang w:val="en-US" w:eastAsia="zh-CN"/>
        </w:rPr>
        <w:drawing>
          <wp:inline distT="0" distB="0" distL="114300" distR="114300">
            <wp:extent cx="5936615" cy="8216265"/>
            <wp:effectExtent l="0" t="0" r="6985" b="13335"/>
            <wp:docPr id="64" name="图片 64" descr="淮南高新区产业区二期租赁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淮南高新区产业区二期租赁合同_00"/>
                    <pic:cNvPicPr>
                      <a:picLocks noChangeAspect="1"/>
                    </pic:cNvPicPr>
                  </pic:nvPicPr>
                  <pic:blipFill>
                    <a:blip r:embed="rId18"/>
                    <a:stretch>
                      <a:fillRect/>
                    </a:stretch>
                  </pic:blipFill>
                  <pic:spPr>
                    <a:xfrm>
                      <a:off x="0" y="0"/>
                      <a:ext cx="5936615" cy="8216265"/>
                    </a:xfrm>
                    <a:prstGeom prst="rect">
                      <a:avLst/>
                    </a:prstGeom>
                  </pic:spPr>
                </pic:pic>
              </a:graphicData>
            </a:graphic>
          </wp:inline>
        </w:drawing>
      </w:r>
      <w:r>
        <w:rPr>
          <w:rFonts w:hint="default"/>
          <w:lang w:val="en-US" w:eastAsia="zh-CN"/>
        </w:rPr>
        <w:drawing>
          <wp:inline distT="0" distB="0" distL="114300" distR="114300">
            <wp:extent cx="5936615" cy="8394700"/>
            <wp:effectExtent l="0" t="0" r="6985" b="6350"/>
            <wp:docPr id="63" name="图片 63" descr="淮南高新区产业区二期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淮南高新区产业区二期租赁合同_01"/>
                    <pic:cNvPicPr>
                      <a:picLocks noChangeAspect="1"/>
                    </pic:cNvPicPr>
                  </pic:nvPicPr>
                  <pic:blipFill>
                    <a:blip r:embed="rId19"/>
                    <a:stretch>
                      <a:fillRect/>
                    </a:stretch>
                  </pic:blipFill>
                  <pic:spPr>
                    <a:xfrm>
                      <a:off x="0" y="0"/>
                      <a:ext cx="5936615" cy="8394700"/>
                    </a:xfrm>
                    <a:prstGeom prst="rect">
                      <a:avLst/>
                    </a:prstGeom>
                  </pic:spPr>
                </pic:pic>
              </a:graphicData>
            </a:graphic>
          </wp:inline>
        </w:drawing>
      </w:r>
      <w:r>
        <w:rPr>
          <w:rFonts w:hint="default"/>
          <w:lang w:val="en-US" w:eastAsia="zh-CN"/>
        </w:rPr>
        <w:drawing>
          <wp:inline distT="0" distB="0" distL="114300" distR="114300">
            <wp:extent cx="5936615" cy="8394700"/>
            <wp:effectExtent l="0" t="0" r="6985" b="6350"/>
            <wp:docPr id="62" name="图片 62" descr="淮南高新区产业区二期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淮南高新区产业区二期租赁合同_02"/>
                    <pic:cNvPicPr>
                      <a:picLocks noChangeAspect="1"/>
                    </pic:cNvPicPr>
                  </pic:nvPicPr>
                  <pic:blipFill>
                    <a:blip r:embed="rId20"/>
                    <a:stretch>
                      <a:fillRect/>
                    </a:stretch>
                  </pic:blipFill>
                  <pic:spPr>
                    <a:xfrm>
                      <a:off x="0" y="0"/>
                      <a:ext cx="5936615" cy="8394700"/>
                    </a:xfrm>
                    <a:prstGeom prst="rect">
                      <a:avLst/>
                    </a:prstGeom>
                  </pic:spPr>
                </pic:pic>
              </a:graphicData>
            </a:graphic>
          </wp:inline>
        </w:drawing>
      </w:r>
      <w:r>
        <w:rPr>
          <w:rFonts w:hint="default"/>
          <w:lang w:val="en-US" w:eastAsia="zh-CN"/>
        </w:rPr>
        <w:drawing>
          <wp:inline distT="0" distB="0" distL="114300" distR="114300">
            <wp:extent cx="5936615" cy="8394700"/>
            <wp:effectExtent l="0" t="0" r="6985" b="6350"/>
            <wp:docPr id="61" name="图片 61" descr="淮南高新区产业区二期租赁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淮南高新区产业区二期租赁合同_03"/>
                    <pic:cNvPicPr>
                      <a:picLocks noChangeAspect="1"/>
                    </pic:cNvPicPr>
                  </pic:nvPicPr>
                  <pic:blipFill>
                    <a:blip r:embed="rId21"/>
                    <a:stretch>
                      <a:fillRect/>
                    </a:stretch>
                  </pic:blipFill>
                  <pic:spPr>
                    <a:xfrm>
                      <a:off x="0" y="0"/>
                      <a:ext cx="5936615" cy="8394700"/>
                    </a:xfrm>
                    <a:prstGeom prst="rect">
                      <a:avLst/>
                    </a:prstGeom>
                  </pic:spPr>
                </pic:pic>
              </a:graphicData>
            </a:graphic>
          </wp:inline>
        </w:drawing>
      </w:r>
      <w:r>
        <w:rPr>
          <w:rFonts w:hint="default"/>
          <w:lang w:val="en-US" w:eastAsia="zh-CN"/>
        </w:rPr>
        <w:drawing>
          <wp:inline distT="0" distB="0" distL="114300" distR="114300">
            <wp:extent cx="5936615" cy="8394700"/>
            <wp:effectExtent l="0" t="0" r="6985" b="6350"/>
            <wp:docPr id="60" name="图片 60" descr="淮南高新区产业区二期租赁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淮南高新区产业区二期租赁合同_04"/>
                    <pic:cNvPicPr>
                      <a:picLocks noChangeAspect="1"/>
                    </pic:cNvPicPr>
                  </pic:nvPicPr>
                  <pic:blipFill>
                    <a:blip r:embed="rId22"/>
                    <a:stretch>
                      <a:fillRect/>
                    </a:stretch>
                  </pic:blipFill>
                  <pic:spPr>
                    <a:xfrm>
                      <a:off x="0" y="0"/>
                      <a:ext cx="5936615" cy="8394700"/>
                    </a:xfrm>
                    <a:prstGeom prst="rect">
                      <a:avLst/>
                    </a:prstGeom>
                  </pic:spPr>
                </pic:pic>
              </a:graphicData>
            </a:graphic>
          </wp:inline>
        </w:drawing>
      </w:r>
      <w:r>
        <w:rPr>
          <w:rFonts w:hint="default"/>
          <w:lang w:val="en-US" w:eastAsia="zh-CN"/>
        </w:rPr>
        <w:drawing>
          <wp:inline distT="0" distB="0" distL="114300" distR="114300">
            <wp:extent cx="5936615" cy="8394700"/>
            <wp:effectExtent l="0" t="0" r="6985" b="6350"/>
            <wp:docPr id="59" name="图片 59" descr="淮南高新区产业区二期租赁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淮南高新区产业区二期租赁合同_05"/>
                    <pic:cNvPicPr>
                      <a:picLocks noChangeAspect="1"/>
                    </pic:cNvPicPr>
                  </pic:nvPicPr>
                  <pic:blipFill>
                    <a:blip r:embed="rId23"/>
                    <a:stretch>
                      <a:fillRect/>
                    </a:stretch>
                  </pic:blipFill>
                  <pic:spPr>
                    <a:xfrm>
                      <a:off x="0" y="0"/>
                      <a:ext cx="5936615" cy="8394700"/>
                    </a:xfrm>
                    <a:prstGeom prst="rect">
                      <a:avLst/>
                    </a:prstGeom>
                  </pic:spPr>
                </pic:pic>
              </a:graphicData>
            </a:graphic>
          </wp:inline>
        </w:drawing>
      </w:r>
      <w:r>
        <w:rPr>
          <w:rFonts w:hint="default"/>
          <w:lang w:val="en-US" w:eastAsia="zh-CN"/>
        </w:rPr>
        <w:drawing>
          <wp:inline distT="0" distB="0" distL="114300" distR="114300">
            <wp:extent cx="5936615" cy="8394700"/>
            <wp:effectExtent l="0" t="0" r="6985" b="6350"/>
            <wp:docPr id="58" name="图片 58" descr="淮南高新区产业区二期租赁合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淮南高新区产业区二期租赁合同_06"/>
                    <pic:cNvPicPr>
                      <a:picLocks noChangeAspect="1"/>
                    </pic:cNvPicPr>
                  </pic:nvPicPr>
                  <pic:blipFill>
                    <a:blip r:embed="rId24"/>
                    <a:stretch>
                      <a:fillRect/>
                    </a:stretch>
                  </pic:blipFill>
                  <pic:spPr>
                    <a:xfrm>
                      <a:off x="0" y="0"/>
                      <a:ext cx="5936615" cy="8394700"/>
                    </a:xfrm>
                    <a:prstGeom prst="rect">
                      <a:avLst/>
                    </a:prstGeom>
                  </pic:spPr>
                </pic:pic>
              </a:graphicData>
            </a:graphic>
          </wp:inline>
        </w:drawing>
      </w:r>
      <w:r>
        <w:rPr>
          <w:rFonts w:hint="default"/>
          <w:lang w:val="en-US" w:eastAsia="zh-CN"/>
        </w:rPr>
        <w:drawing>
          <wp:inline distT="0" distB="0" distL="114300" distR="114300">
            <wp:extent cx="5936615" cy="8394700"/>
            <wp:effectExtent l="0" t="0" r="6985" b="6350"/>
            <wp:docPr id="57" name="图片 57" descr="淮南高新区产业区二期租赁合同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淮南高新区产业区二期租赁合同_07"/>
                    <pic:cNvPicPr>
                      <a:picLocks noChangeAspect="1"/>
                    </pic:cNvPicPr>
                  </pic:nvPicPr>
                  <pic:blipFill>
                    <a:blip r:embed="rId25"/>
                    <a:stretch>
                      <a:fillRect/>
                    </a:stretch>
                  </pic:blipFill>
                  <pic:spPr>
                    <a:xfrm>
                      <a:off x="0" y="0"/>
                      <a:ext cx="5936615" cy="8394700"/>
                    </a:xfrm>
                    <a:prstGeom prst="rect">
                      <a:avLst/>
                    </a:prstGeom>
                  </pic:spPr>
                </pic:pic>
              </a:graphicData>
            </a:graphic>
          </wp:inline>
        </w:drawing>
      </w:r>
      <w:r>
        <w:rPr>
          <w:rFonts w:hint="default"/>
          <w:lang w:val="en-US" w:eastAsia="zh-CN"/>
        </w:rPr>
        <w:drawing>
          <wp:inline distT="0" distB="0" distL="114300" distR="114300">
            <wp:extent cx="5936615" cy="8394700"/>
            <wp:effectExtent l="0" t="0" r="6985" b="6350"/>
            <wp:docPr id="56" name="图片 56" descr="淮南高新区产业区二期租赁合同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淮南高新区产业区二期租赁合同_08"/>
                    <pic:cNvPicPr>
                      <a:picLocks noChangeAspect="1"/>
                    </pic:cNvPicPr>
                  </pic:nvPicPr>
                  <pic:blipFill>
                    <a:blip r:embed="rId26"/>
                    <a:stretch>
                      <a:fillRect/>
                    </a:stretch>
                  </pic:blipFill>
                  <pic:spPr>
                    <a:xfrm>
                      <a:off x="0" y="0"/>
                      <a:ext cx="5936615" cy="8394700"/>
                    </a:xfrm>
                    <a:prstGeom prst="rect">
                      <a:avLst/>
                    </a:prstGeom>
                  </pic:spPr>
                </pic:pic>
              </a:graphicData>
            </a:graphic>
          </wp:inline>
        </w:drawing>
      </w:r>
    </w:p>
    <w:p>
      <w:pPr>
        <w:pStyle w:val="23"/>
        <w:bidi w:val="0"/>
        <w:ind w:left="0" w:leftChars="0" w:firstLine="0" w:firstLineChars="0"/>
        <w:rPr>
          <w:rFonts w:hint="default"/>
          <w:lang w:val="en-US" w:eastAsia="zh-CN"/>
        </w:rPr>
      </w:pPr>
    </w:p>
    <w:p>
      <w:pPr>
        <w:pStyle w:val="23"/>
        <w:bidi w:val="0"/>
        <w:ind w:left="0" w:leftChars="0" w:firstLine="0" w:firstLineChars="0"/>
        <w:rPr>
          <w:rFonts w:hint="eastAsia"/>
          <w:lang w:val="en-US" w:eastAsia="zh-CN"/>
        </w:rPr>
        <w:sectPr>
          <w:pgSz w:w="11906" w:h="16838"/>
          <w:pgMar w:top="1440" w:right="1276" w:bottom="1440" w:left="1276"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3"/>
        <w:bidi w:val="0"/>
        <w:ind w:left="0" w:leftChars="0" w:firstLine="0" w:firstLineChars="0"/>
        <w:rPr>
          <w:rFonts w:hint="eastAsia"/>
          <w:b/>
          <w:bCs/>
          <w:lang w:val="en-US" w:eastAsia="zh-CN"/>
        </w:rPr>
      </w:pPr>
      <w:r>
        <w:rPr>
          <w:rFonts w:hint="eastAsia"/>
          <w:b/>
          <w:bCs/>
          <w:lang w:val="en-US" w:eastAsia="zh-CN"/>
        </w:rPr>
        <w:t>地理位置图</w:t>
      </w:r>
    </w:p>
    <w:p>
      <w:pPr>
        <w:bidi w:val="0"/>
        <w:sectPr>
          <w:pgSz w:w="16838" w:h="11906" w:orient="landscape"/>
          <w:pgMar w:top="1276" w:right="1440" w:bottom="127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854440" cy="5345430"/>
            <wp:effectExtent l="0" t="0" r="3810" b="762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7"/>
                    <a:stretch>
                      <a:fillRect/>
                    </a:stretch>
                  </pic:blipFill>
                  <pic:spPr>
                    <a:xfrm>
                      <a:off x="0" y="0"/>
                      <a:ext cx="8854440" cy="5345430"/>
                    </a:xfrm>
                    <a:prstGeom prst="rect">
                      <a:avLst/>
                    </a:prstGeom>
                    <a:noFill/>
                    <a:ln>
                      <a:noFill/>
                    </a:ln>
                  </pic:spPr>
                </pic:pic>
              </a:graphicData>
            </a:graphic>
          </wp:inline>
        </w:drawing>
      </w:r>
    </w:p>
    <w:p>
      <w:pPr>
        <w:pStyle w:val="23"/>
        <w:bidi w:val="0"/>
        <w:ind w:left="0" w:leftChars="0" w:firstLine="0" w:firstLineChars="0"/>
        <w:rPr>
          <w:rFonts w:hint="eastAsia"/>
          <w:b/>
          <w:bCs/>
          <w:lang w:val="en-US" w:eastAsia="zh-CN"/>
        </w:rPr>
      </w:pPr>
      <w:r>
        <w:rPr>
          <w:rFonts w:hint="eastAsia"/>
          <w:b/>
          <w:bCs/>
          <w:lang w:val="en-US" w:eastAsia="zh-CN"/>
        </w:rPr>
        <w:t>环境保护目标分布图</w:t>
      </w:r>
    </w:p>
    <w:p>
      <w:pPr>
        <w:bidi w:val="0"/>
        <w:rPr>
          <w:rFonts w:hint="default"/>
          <w:lang w:val="en-US" w:eastAsia="zh-CN"/>
        </w:rPr>
        <w:sectPr>
          <w:pgSz w:w="16838" w:h="11906" w:orient="landscape"/>
          <w:pgMar w:top="1276" w:right="1440" w:bottom="127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851265" cy="4987925"/>
            <wp:effectExtent l="0" t="0" r="6985" b="317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8"/>
                    <a:stretch>
                      <a:fillRect/>
                    </a:stretch>
                  </pic:blipFill>
                  <pic:spPr>
                    <a:xfrm>
                      <a:off x="0" y="0"/>
                      <a:ext cx="8851265" cy="4987925"/>
                    </a:xfrm>
                    <a:prstGeom prst="rect">
                      <a:avLst/>
                    </a:prstGeom>
                    <a:noFill/>
                    <a:ln>
                      <a:noFill/>
                    </a:ln>
                  </pic:spPr>
                </pic:pic>
              </a:graphicData>
            </a:graphic>
          </wp:inline>
        </w:drawing>
      </w:r>
    </w:p>
    <w:p>
      <w:pPr>
        <w:pStyle w:val="23"/>
        <w:bidi w:val="0"/>
        <w:ind w:left="0" w:leftChars="0" w:firstLine="0" w:firstLineChars="0"/>
        <w:rPr>
          <w:rFonts w:hint="default"/>
          <w:b/>
          <w:bCs/>
          <w:lang w:val="en-US" w:eastAsia="zh-CN"/>
        </w:rPr>
      </w:pPr>
      <w:r>
        <w:rPr>
          <w:rFonts w:hint="eastAsia"/>
          <w:b/>
          <w:bCs/>
          <w:lang w:val="en-US" w:eastAsia="zh-CN"/>
        </w:rPr>
        <w:t>平面布置图（三层）</w:t>
      </w:r>
    </w:p>
    <w:p>
      <w:pPr>
        <w:bidi w:val="0"/>
        <w:jc w:val="center"/>
        <w:rPr>
          <w:rFonts w:hint="default"/>
          <w:lang w:val="en-US" w:eastAsia="zh-CN"/>
        </w:rPr>
      </w:pPr>
      <w:r>
        <w:rPr>
          <w:rFonts w:hint="default"/>
          <w:lang w:val="en-US" w:eastAsia="zh-CN"/>
        </w:rPr>
        <w:drawing>
          <wp:inline distT="0" distB="0" distL="114300" distR="114300">
            <wp:extent cx="8382635" cy="5928995"/>
            <wp:effectExtent l="0" t="0" r="18415" b="14605"/>
            <wp:docPr id="66" name="图片 66" descr="7#标准化厂房3-5F平面示意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7#标准化厂房3-5F平面示意图_00"/>
                    <pic:cNvPicPr>
                      <a:picLocks noChangeAspect="1"/>
                    </pic:cNvPicPr>
                  </pic:nvPicPr>
                  <pic:blipFill>
                    <a:blip r:embed="rId29"/>
                    <a:stretch>
                      <a:fillRect/>
                    </a:stretch>
                  </pic:blipFill>
                  <pic:spPr>
                    <a:xfrm>
                      <a:off x="0" y="0"/>
                      <a:ext cx="8382635" cy="5928995"/>
                    </a:xfrm>
                    <a:prstGeom prst="rect">
                      <a:avLst/>
                    </a:prstGeom>
                  </pic:spPr>
                </pic:pic>
              </a:graphicData>
            </a:graphic>
          </wp:inline>
        </w:drawing>
      </w:r>
    </w:p>
    <w:p>
      <w:pPr>
        <w:pStyle w:val="23"/>
        <w:bidi w:val="0"/>
        <w:ind w:left="0" w:leftChars="0" w:firstLine="0" w:firstLineChars="0"/>
        <w:rPr>
          <w:rFonts w:hint="default"/>
          <w:lang w:val="en-US" w:eastAsia="zh-CN"/>
        </w:rPr>
      </w:pPr>
      <w:r>
        <w:rPr>
          <w:rFonts w:hint="eastAsia"/>
          <w:b/>
          <w:bCs/>
          <w:lang w:val="en-US" w:eastAsia="zh-CN"/>
        </w:rPr>
        <w:t>平面布置图（四、五层）</w:t>
      </w:r>
    </w:p>
    <w:p>
      <w:pPr>
        <w:bidi w:val="0"/>
        <w:jc w:val="center"/>
        <w:rPr>
          <w:rFonts w:hint="default"/>
          <w:lang w:val="en-US" w:eastAsia="zh-CN"/>
        </w:rPr>
      </w:pPr>
      <w:r>
        <w:rPr>
          <w:rFonts w:hint="default"/>
          <w:lang w:val="en-US" w:eastAsia="zh-CN"/>
        </w:rPr>
        <w:drawing>
          <wp:inline distT="0" distB="0" distL="114300" distR="114300">
            <wp:extent cx="8382635" cy="5928995"/>
            <wp:effectExtent l="0" t="0" r="18415" b="14605"/>
            <wp:docPr id="65" name="图片 65" descr="7#标准化厂房3-5F平面示意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7#标准化厂房3-5F平面示意图_01"/>
                    <pic:cNvPicPr>
                      <a:picLocks noChangeAspect="1"/>
                    </pic:cNvPicPr>
                  </pic:nvPicPr>
                  <pic:blipFill>
                    <a:blip r:embed="rId30"/>
                    <a:stretch>
                      <a:fillRect/>
                    </a:stretch>
                  </pic:blipFill>
                  <pic:spPr>
                    <a:xfrm>
                      <a:off x="0" y="0"/>
                      <a:ext cx="8382635" cy="5928995"/>
                    </a:xfrm>
                    <a:prstGeom prst="rect">
                      <a:avLst/>
                    </a:prstGeom>
                  </pic:spPr>
                </pic:pic>
              </a:graphicData>
            </a:graphic>
          </wp:inline>
        </w:drawing>
      </w:r>
    </w:p>
    <w:p>
      <w:pPr>
        <w:pStyle w:val="23"/>
        <w:bidi w:val="0"/>
        <w:ind w:left="0" w:leftChars="0" w:firstLine="0" w:firstLineChars="0"/>
        <w:jc w:val="both"/>
        <w:rPr>
          <w:rFonts w:hint="eastAsia"/>
          <w:b/>
          <w:bCs/>
          <w:lang w:val="en-US" w:eastAsia="zh-CN"/>
        </w:rPr>
      </w:pPr>
      <w:r>
        <w:rPr>
          <w:rFonts w:hint="eastAsia"/>
          <w:b/>
          <w:bCs/>
          <w:lang w:val="en-US" w:eastAsia="zh-CN"/>
        </w:rPr>
        <w:t>项目用地规划</w:t>
      </w:r>
    </w:p>
    <w:p>
      <w:pPr>
        <w:pStyle w:val="3"/>
        <w:bidi w:val="0"/>
        <w:jc w:val="center"/>
        <w:sectPr>
          <w:pgSz w:w="16838" w:h="11906" w:orient="landscape"/>
          <w:pgMar w:top="856" w:right="1440" w:bottom="970" w:left="1440" w:header="851" w:footer="794"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172450" cy="5783580"/>
            <wp:effectExtent l="0" t="0" r="0" b="762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1"/>
                    <a:srcRect b="5273"/>
                    <a:stretch>
                      <a:fillRect/>
                    </a:stretch>
                  </pic:blipFill>
                  <pic:spPr>
                    <a:xfrm>
                      <a:off x="0" y="0"/>
                      <a:ext cx="8172450" cy="5783580"/>
                    </a:xfrm>
                    <a:prstGeom prst="rect">
                      <a:avLst/>
                    </a:prstGeom>
                    <a:noFill/>
                    <a:ln>
                      <a:noFill/>
                    </a:ln>
                  </pic:spPr>
                </pic:pic>
              </a:graphicData>
            </a:graphic>
          </wp:inline>
        </w:drawing>
      </w:r>
    </w:p>
    <w:p>
      <w:pPr>
        <w:pStyle w:val="23"/>
        <w:bidi w:val="0"/>
        <w:ind w:left="0" w:leftChars="0" w:firstLine="0" w:firstLineChars="0"/>
        <w:jc w:val="both"/>
        <w:rPr>
          <w:rFonts w:hint="default"/>
          <w:b/>
          <w:bCs/>
          <w:lang w:val="en-US" w:eastAsia="zh-CN"/>
        </w:rPr>
      </w:pPr>
      <w:r>
        <w:rPr>
          <w:rFonts w:hint="eastAsia"/>
          <w:b/>
          <w:bCs/>
          <w:lang w:val="en-US" w:eastAsia="zh-CN"/>
        </w:rPr>
        <w:t>项目区域生态保护红线图</w:t>
      </w:r>
    </w:p>
    <w:p>
      <w:pPr>
        <w:bidi w:val="0"/>
        <w:jc w:val="center"/>
        <w:rPr>
          <w:rFonts w:hint="eastAsia"/>
          <w:lang w:val="en-US" w:eastAsia="zh-CN"/>
        </w:rPr>
      </w:pPr>
      <w:r>
        <w:drawing>
          <wp:inline distT="0" distB="0" distL="114300" distR="114300">
            <wp:extent cx="4962525" cy="6867525"/>
            <wp:effectExtent l="0" t="0" r="9525" b="952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32"/>
                    <a:stretch>
                      <a:fillRect/>
                    </a:stretch>
                  </pic:blipFill>
                  <pic:spPr>
                    <a:xfrm>
                      <a:off x="0" y="0"/>
                      <a:ext cx="4962525" cy="6867525"/>
                    </a:xfrm>
                    <a:prstGeom prst="rect">
                      <a:avLst/>
                    </a:prstGeom>
                    <a:noFill/>
                    <a:ln>
                      <a:noFill/>
                    </a:ln>
                  </pic:spPr>
                </pic:pic>
              </a:graphicData>
            </a:graphic>
          </wp:inline>
        </w:drawing>
      </w:r>
    </w:p>
    <w:p>
      <w:pPr>
        <w:pStyle w:val="23"/>
        <w:bidi w:val="0"/>
        <w:ind w:left="0" w:leftChars="0" w:firstLine="0" w:firstLineChars="0"/>
        <w:jc w:val="both"/>
        <w:rPr>
          <w:rFonts w:hint="default"/>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方正小标宋_GBK">
    <w:altName w:val="宋体"/>
    <w:panose1 w:val="00000000000000000000"/>
    <w:charset w:val="00"/>
    <w:family w:val="auto"/>
    <w:pitch w:val="default"/>
    <w:sig w:usb0="00000000" w:usb1="00000000" w:usb2="00000000" w:usb3="00000000" w:csb0="00000000" w:csb1="00000000"/>
  </w:font>
  <w:font w:name="楷体_GB2312">
    <w:altName w:val="楷体"/>
    <w:panose1 w:val="02010609030101010101"/>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default" w:ascii="Times New Roman" w:hAnsi="Times New Roman" w:cs="Times New Roman"/>
                            </w:rPr>
                          </w:pPr>
                          <w:r>
                            <w:rPr>
                              <w:rFonts w:hint="default" w:ascii="Times New Roman" w:hAnsi="Times New Roman" w:cs="Times New Roman"/>
                            </w:rPr>
                            <w:t xml:space="preserve">第 </w:t>
                          </w: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t xml:space="preserve"> 页 共</w:t>
                          </w:r>
                          <w:r>
                            <w:rPr>
                              <w:rFonts w:hint="eastAsia" w:cs="Times New Roman"/>
                              <w:lang w:val="en-US" w:eastAsia="zh-CN"/>
                            </w:rPr>
                            <w:t>72</w:t>
                          </w:r>
                          <w:r>
                            <w:rPr>
                              <w:rFonts w:hint="default" w:ascii="Times New Roman" w:hAnsi="Times New Roman" w:cs="Times New Roman"/>
                            </w:rPr>
                            <w:t>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pPr>
                      <w:pStyle w:val="13"/>
                      <w:rPr>
                        <w:rFonts w:hint="default" w:ascii="Times New Roman" w:hAnsi="Times New Roman" w:cs="Times New Roman"/>
                      </w:rPr>
                    </w:pPr>
                    <w:r>
                      <w:rPr>
                        <w:rFonts w:hint="default" w:ascii="Times New Roman" w:hAnsi="Times New Roman" w:cs="Times New Roman"/>
                      </w:rPr>
                      <w:t xml:space="preserve">第 </w:t>
                    </w: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2</w:t>
                    </w:r>
                    <w:r>
                      <w:rPr>
                        <w:rFonts w:hint="default" w:ascii="Times New Roman" w:hAnsi="Times New Roman" w:cs="Times New Roman"/>
                      </w:rPr>
                      <w:fldChar w:fldCharType="end"/>
                    </w:r>
                    <w:r>
                      <w:rPr>
                        <w:rFonts w:hint="default" w:ascii="Times New Roman" w:hAnsi="Times New Roman" w:cs="Times New Roman"/>
                      </w:rPr>
                      <w:t xml:space="preserve"> 页 共</w:t>
                    </w:r>
                    <w:r>
                      <w:rPr>
                        <w:rFonts w:hint="eastAsia" w:cs="Times New Roman"/>
                        <w:lang w:val="en-US" w:eastAsia="zh-CN"/>
                      </w:rPr>
                      <w:t>72</w:t>
                    </w:r>
                    <w:r>
                      <w:rPr>
                        <w:rFonts w:hint="default" w:ascii="Times New Roman" w:hAnsi="Times New Roman" w:cs="Times New Roman"/>
                      </w:rPr>
                      <w:t>页</w:t>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HorizontalSpacing w:val="105"/>
  <w:drawingGridVerticalSpacing w:val="15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UyY2FiYWRmZTU1Yjk4NWMyZmQ3NDkwYmMxNjJiODkifQ=="/>
  </w:docVars>
  <w:rsids>
    <w:rsidRoot w:val="00172A27"/>
    <w:rsid w:val="00000C42"/>
    <w:rsid w:val="00013B98"/>
    <w:rsid w:val="00021DEA"/>
    <w:rsid w:val="000226AD"/>
    <w:rsid w:val="000239AD"/>
    <w:rsid w:val="0003321D"/>
    <w:rsid w:val="000379B1"/>
    <w:rsid w:val="00070FA7"/>
    <w:rsid w:val="00084C11"/>
    <w:rsid w:val="00086838"/>
    <w:rsid w:val="000C0AB3"/>
    <w:rsid w:val="000C15E1"/>
    <w:rsid w:val="000E2F30"/>
    <w:rsid w:val="000E5CD0"/>
    <w:rsid w:val="00115AE1"/>
    <w:rsid w:val="00126794"/>
    <w:rsid w:val="00135505"/>
    <w:rsid w:val="00140494"/>
    <w:rsid w:val="00142F3B"/>
    <w:rsid w:val="00145116"/>
    <w:rsid w:val="00156D5A"/>
    <w:rsid w:val="00163F60"/>
    <w:rsid w:val="00167CB0"/>
    <w:rsid w:val="001841CB"/>
    <w:rsid w:val="00192A0A"/>
    <w:rsid w:val="001A6A80"/>
    <w:rsid w:val="001A78C9"/>
    <w:rsid w:val="001E6256"/>
    <w:rsid w:val="00232F13"/>
    <w:rsid w:val="0023441C"/>
    <w:rsid w:val="0025054F"/>
    <w:rsid w:val="00291129"/>
    <w:rsid w:val="002A24AA"/>
    <w:rsid w:val="002B7DD5"/>
    <w:rsid w:val="002D5C8E"/>
    <w:rsid w:val="0030641F"/>
    <w:rsid w:val="003131F1"/>
    <w:rsid w:val="00316F75"/>
    <w:rsid w:val="00346AB4"/>
    <w:rsid w:val="003473E5"/>
    <w:rsid w:val="00393E68"/>
    <w:rsid w:val="003B5FF9"/>
    <w:rsid w:val="003C4200"/>
    <w:rsid w:val="003E7523"/>
    <w:rsid w:val="00417E96"/>
    <w:rsid w:val="0042564F"/>
    <w:rsid w:val="0047018F"/>
    <w:rsid w:val="00473D6D"/>
    <w:rsid w:val="004751AB"/>
    <w:rsid w:val="00490FDC"/>
    <w:rsid w:val="004C6C0F"/>
    <w:rsid w:val="00515694"/>
    <w:rsid w:val="005727D0"/>
    <w:rsid w:val="005773B2"/>
    <w:rsid w:val="005775C6"/>
    <w:rsid w:val="00595D0E"/>
    <w:rsid w:val="005C57FC"/>
    <w:rsid w:val="005D0448"/>
    <w:rsid w:val="005E6022"/>
    <w:rsid w:val="005F55EB"/>
    <w:rsid w:val="00633C84"/>
    <w:rsid w:val="0066291F"/>
    <w:rsid w:val="00676E9C"/>
    <w:rsid w:val="00692550"/>
    <w:rsid w:val="00695EAC"/>
    <w:rsid w:val="006C2E25"/>
    <w:rsid w:val="006E7B09"/>
    <w:rsid w:val="007027AD"/>
    <w:rsid w:val="0070612C"/>
    <w:rsid w:val="00706EDE"/>
    <w:rsid w:val="00724972"/>
    <w:rsid w:val="00734574"/>
    <w:rsid w:val="007571A7"/>
    <w:rsid w:val="007668B9"/>
    <w:rsid w:val="00773ED3"/>
    <w:rsid w:val="007748E0"/>
    <w:rsid w:val="007941A8"/>
    <w:rsid w:val="007B26C9"/>
    <w:rsid w:val="007B4602"/>
    <w:rsid w:val="007C35C8"/>
    <w:rsid w:val="007C5CA8"/>
    <w:rsid w:val="007E71DA"/>
    <w:rsid w:val="0085067B"/>
    <w:rsid w:val="00855573"/>
    <w:rsid w:val="0086205D"/>
    <w:rsid w:val="00881F97"/>
    <w:rsid w:val="00892430"/>
    <w:rsid w:val="008C5396"/>
    <w:rsid w:val="008D57A4"/>
    <w:rsid w:val="008D7A40"/>
    <w:rsid w:val="008E36FC"/>
    <w:rsid w:val="008E6B0A"/>
    <w:rsid w:val="008F6665"/>
    <w:rsid w:val="009310EB"/>
    <w:rsid w:val="009340F4"/>
    <w:rsid w:val="00941775"/>
    <w:rsid w:val="00973470"/>
    <w:rsid w:val="00974854"/>
    <w:rsid w:val="00995832"/>
    <w:rsid w:val="00997C06"/>
    <w:rsid w:val="009A765E"/>
    <w:rsid w:val="009B7E1A"/>
    <w:rsid w:val="009E4548"/>
    <w:rsid w:val="009E7214"/>
    <w:rsid w:val="009F2B0A"/>
    <w:rsid w:val="00A10702"/>
    <w:rsid w:val="00A507F4"/>
    <w:rsid w:val="00A71B66"/>
    <w:rsid w:val="00A75929"/>
    <w:rsid w:val="00A84532"/>
    <w:rsid w:val="00A85EAA"/>
    <w:rsid w:val="00AA6761"/>
    <w:rsid w:val="00AB5995"/>
    <w:rsid w:val="00AE7029"/>
    <w:rsid w:val="00B12705"/>
    <w:rsid w:val="00B2626E"/>
    <w:rsid w:val="00B35973"/>
    <w:rsid w:val="00B516D6"/>
    <w:rsid w:val="00B825A6"/>
    <w:rsid w:val="00BD1A8B"/>
    <w:rsid w:val="00BD5F45"/>
    <w:rsid w:val="00BE0F62"/>
    <w:rsid w:val="00C00877"/>
    <w:rsid w:val="00C02F17"/>
    <w:rsid w:val="00C84A3C"/>
    <w:rsid w:val="00C85C48"/>
    <w:rsid w:val="00C87163"/>
    <w:rsid w:val="00CC020A"/>
    <w:rsid w:val="00CF2512"/>
    <w:rsid w:val="00CF68CE"/>
    <w:rsid w:val="00D107DF"/>
    <w:rsid w:val="00D164D3"/>
    <w:rsid w:val="00D2288B"/>
    <w:rsid w:val="00D427E1"/>
    <w:rsid w:val="00D512B3"/>
    <w:rsid w:val="00D85777"/>
    <w:rsid w:val="00DA3435"/>
    <w:rsid w:val="00DA63E9"/>
    <w:rsid w:val="00DB4686"/>
    <w:rsid w:val="00DC3252"/>
    <w:rsid w:val="00DE7806"/>
    <w:rsid w:val="00DF4767"/>
    <w:rsid w:val="00E158AA"/>
    <w:rsid w:val="00E31481"/>
    <w:rsid w:val="00E67E15"/>
    <w:rsid w:val="00E711BF"/>
    <w:rsid w:val="00EA449B"/>
    <w:rsid w:val="00EB2424"/>
    <w:rsid w:val="00EC46AC"/>
    <w:rsid w:val="00EC4A20"/>
    <w:rsid w:val="00ED039C"/>
    <w:rsid w:val="00EE2C16"/>
    <w:rsid w:val="00F00F28"/>
    <w:rsid w:val="00F15344"/>
    <w:rsid w:val="00F2082E"/>
    <w:rsid w:val="00F2374F"/>
    <w:rsid w:val="00F3467A"/>
    <w:rsid w:val="00F4597D"/>
    <w:rsid w:val="00FA320E"/>
    <w:rsid w:val="00FB53A4"/>
    <w:rsid w:val="00FC46FA"/>
    <w:rsid w:val="00FC5106"/>
    <w:rsid w:val="00FD04BA"/>
    <w:rsid w:val="00FF68E5"/>
    <w:rsid w:val="00FF786B"/>
    <w:rsid w:val="016F1630"/>
    <w:rsid w:val="01FE3016"/>
    <w:rsid w:val="043D741E"/>
    <w:rsid w:val="04A71741"/>
    <w:rsid w:val="055204AE"/>
    <w:rsid w:val="05695612"/>
    <w:rsid w:val="05B90A3D"/>
    <w:rsid w:val="063B7194"/>
    <w:rsid w:val="079602E1"/>
    <w:rsid w:val="0A7C2476"/>
    <w:rsid w:val="0AEB3E0F"/>
    <w:rsid w:val="0B6D5283"/>
    <w:rsid w:val="0BEA2968"/>
    <w:rsid w:val="0C4B5C57"/>
    <w:rsid w:val="0CD70635"/>
    <w:rsid w:val="0D655F09"/>
    <w:rsid w:val="0D806B97"/>
    <w:rsid w:val="0E3A4A9E"/>
    <w:rsid w:val="0F7D43CD"/>
    <w:rsid w:val="10B4201D"/>
    <w:rsid w:val="1100596A"/>
    <w:rsid w:val="118574AB"/>
    <w:rsid w:val="11A55E09"/>
    <w:rsid w:val="12CC7AF2"/>
    <w:rsid w:val="1323348A"/>
    <w:rsid w:val="15032618"/>
    <w:rsid w:val="15F47164"/>
    <w:rsid w:val="16E17D3C"/>
    <w:rsid w:val="177366F6"/>
    <w:rsid w:val="180A58E4"/>
    <w:rsid w:val="194A1770"/>
    <w:rsid w:val="197F535B"/>
    <w:rsid w:val="1ACA6EB2"/>
    <w:rsid w:val="1BF95807"/>
    <w:rsid w:val="1D177820"/>
    <w:rsid w:val="1DB604F6"/>
    <w:rsid w:val="1E0A42FB"/>
    <w:rsid w:val="21053E89"/>
    <w:rsid w:val="219B57C9"/>
    <w:rsid w:val="22DE6AB6"/>
    <w:rsid w:val="235D44E2"/>
    <w:rsid w:val="236C6574"/>
    <w:rsid w:val="23920FA1"/>
    <w:rsid w:val="23E80503"/>
    <w:rsid w:val="24261C7A"/>
    <w:rsid w:val="2446522A"/>
    <w:rsid w:val="24A93C40"/>
    <w:rsid w:val="258F5E86"/>
    <w:rsid w:val="25EB070C"/>
    <w:rsid w:val="28944694"/>
    <w:rsid w:val="28C272D0"/>
    <w:rsid w:val="291D77F8"/>
    <w:rsid w:val="2C297A58"/>
    <w:rsid w:val="2F5820E9"/>
    <w:rsid w:val="30683E50"/>
    <w:rsid w:val="34AD52B7"/>
    <w:rsid w:val="351E2CA6"/>
    <w:rsid w:val="37204235"/>
    <w:rsid w:val="37246A1F"/>
    <w:rsid w:val="37811D64"/>
    <w:rsid w:val="37DF3574"/>
    <w:rsid w:val="39F63A08"/>
    <w:rsid w:val="3A583563"/>
    <w:rsid w:val="3A75782E"/>
    <w:rsid w:val="3B593C9F"/>
    <w:rsid w:val="3C4D1A8F"/>
    <w:rsid w:val="3C582D63"/>
    <w:rsid w:val="3CE62A45"/>
    <w:rsid w:val="3E3151A6"/>
    <w:rsid w:val="3FC86F40"/>
    <w:rsid w:val="40B37D0F"/>
    <w:rsid w:val="41A0344B"/>
    <w:rsid w:val="42460F98"/>
    <w:rsid w:val="42742E08"/>
    <w:rsid w:val="42987057"/>
    <w:rsid w:val="42E10F76"/>
    <w:rsid w:val="43160D7D"/>
    <w:rsid w:val="446D3132"/>
    <w:rsid w:val="44D77AAC"/>
    <w:rsid w:val="44F85C75"/>
    <w:rsid w:val="451D5D05"/>
    <w:rsid w:val="455B15AC"/>
    <w:rsid w:val="476A5459"/>
    <w:rsid w:val="4799729B"/>
    <w:rsid w:val="47C74962"/>
    <w:rsid w:val="48DB1376"/>
    <w:rsid w:val="49680DA2"/>
    <w:rsid w:val="4A9E6806"/>
    <w:rsid w:val="4A9F201C"/>
    <w:rsid w:val="4BFA1FA3"/>
    <w:rsid w:val="4CC65CAF"/>
    <w:rsid w:val="4CD51002"/>
    <w:rsid w:val="4CE93F81"/>
    <w:rsid w:val="4DD06D5E"/>
    <w:rsid w:val="4ECC264C"/>
    <w:rsid w:val="4EE80B08"/>
    <w:rsid w:val="4FA211B2"/>
    <w:rsid w:val="4FD14DF5"/>
    <w:rsid w:val="502F2E92"/>
    <w:rsid w:val="512157F2"/>
    <w:rsid w:val="528F061B"/>
    <w:rsid w:val="532011D7"/>
    <w:rsid w:val="537E221A"/>
    <w:rsid w:val="55124B31"/>
    <w:rsid w:val="557334A9"/>
    <w:rsid w:val="56617B1E"/>
    <w:rsid w:val="57296FFD"/>
    <w:rsid w:val="59FC7E20"/>
    <w:rsid w:val="5E8709FA"/>
    <w:rsid w:val="5EAB603E"/>
    <w:rsid w:val="5FE71255"/>
    <w:rsid w:val="60CE2EA6"/>
    <w:rsid w:val="62FA2A50"/>
    <w:rsid w:val="63921D74"/>
    <w:rsid w:val="63D373EB"/>
    <w:rsid w:val="63F20077"/>
    <w:rsid w:val="63FE4BFE"/>
    <w:rsid w:val="66187ACD"/>
    <w:rsid w:val="665D1EDB"/>
    <w:rsid w:val="67F3434E"/>
    <w:rsid w:val="6A6921D7"/>
    <w:rsid w:val="6B1911CC"/>
    <w:rsid w:val="6B8C10AA"/>
    <w:rsid w:val="6CBC056C"/>
    <w:rsid w:val="6CDD73EB"/>
    <w:rsid w:val="6CFD73F1"/>
    <w:rsid w:val="6DE37421"/>
    <w:rsid w:val="6FBB1BF5"/>
    <w:rsid w:val="71CD777B"/>
    <w:rsid w:val="724F4877"/>
    <w:rsid w:val="72B70C86"/>
    <w:rsid w:val="739018D0"/>
    <w:rsid w:val="73D64671"/>
    <w:rsid w:val="74A175B5"/>
    <w:rsid w:val="74D10E27"/>
    <w:rsid w:val="75A629FF"/>
    <w:rsid w:val="75BB11F1"/>
    <w:rsid w:val="75C970E3"/>
    <w:rsid w:val="76644D6E"/>
    <w:rsid w:val="77701517"/>
    <w:rsid w:val="784F3822"/>
    <w:rsid w:val="78A126A1"/>
    <w:rsid w:val="78AB549C"/>
    <w:rsid w:val="78B77249"/>
    <w:rsid w:val="78E8065F"/>
    <w:rsid w:val="78F30652"/>
    <w:rsid w:val="7A344A7E"/>
    <w:rsid w:val="7BE93039"/>
    <w:rsid w:val="7E7029B0"/>
    <w:rsid w:val="7EDD1E09"/>
    <w:rsid w:val="7F3A1BCD"/>
    <w:rsid w:val="7FFA72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qFormat="1"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name="Body Text First Indent 2"/>
    <w:lsdException w:uiPriority="99" w:name="Note Heading"/>
    <w:lsdException w:uiPriority="99" w:name="Body Text 2"/>
    <w:lsdException w:uiPriority="99" w:name="Body Text 3"/>
    <w:lsdException w:qFormat="1" w:uiPriority="99" w:semiHidden="0"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iPriority="9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4">
    <w:name w:val="heading 1"/>
    <w:basedOn w:val="1"/>
    <w:next w:val="1"/>
    <w:autoRedefine/>
    <w:qFormat/>
    <w:uiPriority w:val="9"/>
    <w:pPr>
      <w:keepNext/>
      <w:keepLines/>
      <w:spacing w:beforeLines="0" w:beforeAutospacing="0" w:afterLines="0" w:afterAutospacing="0" w:line="440" w:lineRule="exact"/>
      <w:jc w:val="center"/>
      <w:outlineLvl w:val="0"/>
    </w:pPr>
    <w:rPr>
      <w:rFonts w:ascii="Times New Roman" w:hAnsi="Times New Roman" w:eastAsia="黑体"/>
      <w:kern w:val="44"/>
      <w:sz w:val="30"/>
    </w:rPr>
  </w:style>
  <w:style w:type="paragraph" w:styleId="5">
    <w:name w:val="heading 3"/>
    <w:basedOn w:val="1"/>
    <w:next w:val="1"/>
    <w:link w:val="37"/>
    <w:autoRedefine/>
    <w:unhideWhenUsed/>
    <w:qFormat/>
    <w:uiPriority w:val="9"/>
    <w:pPr>
      <w:keepNext/>
      <w:keepLines/>
      <w:spacing w:before="260" w:beforeLines="0" w:beforeAutospacing="0" w:after="260" w:afterLines="0" w:afterAutospacing="0" w:line="413" w:lineRule="auto"/>
      <w:outlineLvl w:val="2"/>
    </w:pPr>
    <w:rPr>
      <w:b/>
      <w:sz w:val="32"/>
    </w:rPr>
  </w:style>
  <w:style w:type="paragraph" w:styleId="6">
    <w:name w:val="heading 4"/>
    <w:basedOn w:val="1"/>
    <w:next w:val="1"/>
    <w:autoRedefine/>
    <w:qFormat/>
    <w:uiPriority w:val="0"/>
    <w:pPr>
      <w:keepNext/>
      <w:keepLines/>
      <w:adjustRightInd w:val="0"/>
      <w:spacing w:before="280" w:after="290" w:line="376" w:lineRule="atLeast"/>
      <w:ind w:left="2250" w:hanging="420" w:firstLineChars="200"/>
      <w:jc w:val="left"/>
      <w:textAlignment w:val="baseline"/>
      <w:outlineLvl w:val="3"/>
    </w:pPr>
    <w:rPr>
      <w:rFonts w:ascii="Arial" w:hAnsi="Arial" w:eastAsia="黑体"/>
      <w:snapToGrid w:val="0"/>
      <w:spacing w:val="-20"/>
      <w:kern w:val="0"/>
      <w:sz w:val="28"/>
    </w:rPr>
  </w:style>
  <w:style w:type="character" w:default="1" w:styleId="20">
    <w:name w:val="Default Paragraph Font"/>
    <w:semiHidden/>
    <w:unhideWhenUsed/>
    <w:qFormat/>
    <w:uiPriority w:val="1"/>
  </w:style>
  <w:style w:type="table" w:default="1" w:styleId="18">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2">
    <w:name w:val="Default"/>
    <w:basedOn w:val="3"/>
    <w:autoRedefine/>
    <w:qFormat/>
    <w:uiPriority w:val="0"/>
  </w:style>
  <w:style w:type="paragraph" w:customStyle="1" w:styleId="3">
    <w:name w:val="纯文本1"/>
    <w:basedOn w:val="1"/>
    <w:autoRedefine/>
    <w:qFormat/>
    <w:uiPriority w:val="0"/>
    <w:pPr>
      <w:adjustRightInd w:val="0"/>
    </w:pPr>
    <w:rPr>
      <w:rFonts w:ascii="宋体" w:hAnsi="Courier New"/>
      <w:szCs w:val="20"/>
    </w:rPr>
  </w:style>
  <w:style w:type="paragraph" w:styleId="7">
    <w:name w:val="List 3"/>
    <w:basedOn w:val="1"/>
    <w:next w:val="1"/>
    <w:autoRedefine/>
    <w:qFormat/>
    <w:uiPriority w:val="0"/>
    <w:pPr>
      <w:autoSpaceDE w:val="0"/>
      <w:autoSpaceDN w:val="0"/>
      <w:adjustRightInd w:val="0"/>
      <w:spacing w:line="288" w:lineRule="auto"/>
      <w:ind w:left="1260" w:hanging="420"/>
      <w:jc w:val="left"/>
      <w:textAlignment w:val="baseline"/>
    </w:pPr>
    <w:rPr>
      <w:kern w:val="0"/>
      <w:sz w:val="24"/>
      <w:szCs w:val="20"/>
    </w:rPr>
  </w:style>
  <w:style w:type="paragraph" w:styleId="8">
    <w:name w:val="Normal Indent"/>
    <w:basedOn w:val="1"/>
    <w:next w:val="6"/>
    <w:autoRedefine/>
    <w:qFormat/>
    <w:uiPriority w:val="0"/>
    <w:pPr>
      <w:ind w:firstLine="420" w:firstLineChars="200"/>
    </w:pPr>
  </w:style>
  <w:style w:type="paragraph" w:styleId="9">
    <w:name w:val="annotation text"/>
    <w:basedOn w:val="1"/>
    <w:autoRedefine/>
    <w:semiHidden/>
    <w:unhideWhenUsed/>
    <w:qFormat/>
    <w:uiPriority w:val="99"/>
    <w:pPr>
      <w:jc w:val="left"/>
    </w:pPr>
  </w:style>
  <w:style w:type="paragraph" w:styleId="10">
    <w:name w:val="Body Text"/>
    <w:basedOn w:val="1"/>
    <w:next w:val="1"/>
    <w:autoRedefine/>
    <w:unhideWhenUsed/>
    <w:qFormat/>
    <w:uiPriority w:val="0"/>
    <w:pPr>
      <w:keepNext w:val="0"/>
      <w:keepLines w:val="0"/>
      <w:widowControl w:val="0"/>
      <w:suppressLineNumbers w:val="0"/>
      <w:spacing w:before="0" w:beforeAutospacing="0" w:after="120" w:afterAutospacing="0"/>
      <w:ind w:left="0" w:right="0"/>
      <w:jc w:val="both"/>
    </w:pPr>
    <w:rPr>
      <w:rFonts w:hint="default" w:ascii="Times New Roman" w:hAnsi="Times New Roman" w:eastAsia="宋体" w:cs="Times New Roman"/>
      <w:kern w:val="2"/>
      <w:sz w:val="24"/>
      <w:szCs w:val="24"/>
      <w:lang w:val="en-US" w:eastAsia="zh-CN" w:bidi="ar"/>
    </w:rPr>
  </w:style>
  <w:style w:type="paragraph" w:styleId="11">
    <w:name w:val="Body Text Indent"/>
    <w:basedOn w:val="1"/>
    <w:next w:val="12"/>
    <w:link w:val="25"/>
    <w:autoRedefine/>
    <w:unhideWhenUsed/>
    <w:qFormat/>
    <w:uiPriority w:val="99"/>
    <w:pPr>
      <w:snapToGrid w:val="0"/>
      <w:spacing w:beforeAutospacing="0" w:line="440" w:lineRule="exact"/>
      <w:ind w:left="0" w:leftChars="0"/>
      <w:jc w:val="center"/>
    </w:pPr>
    <w:rPr>
      <w:rFonts w:ascii="Times New Roman" w:hAnsi="Times New Roman" w:eastAsia="黑体"/>
      <w:kern w:val="0"/>
      <w:sz w:val="24"/>
      <w:szCs w:val="24"/>
    </w:rPr>
  </w:style>
  <w:style w:type="paragraph" w:styleId="12">
    <w:name w:val="Body Text Indent 2"/>
    <w:basedOn w:val="1"/>
    <w:next w:val="1"/>
    <w:autoRedefine/>
    <w:unhideWhenUsed/>
    <w:qFormat/>
    <w:uiPriority w:val="99"/>
    <w:pPr>
      <w:spacing w:after="120" w:line="480" w:lineRule="auto"/>
      <w:ind w:left="420" w:leftChars="200"/>
    </w:pPr>
  </w:style>
  <w:style w:type="paragraph" w:styleId="13">
    <w:name w:val="footer"/>
    <w:basedOn w:val="1"/>
    <w:autoRedefine/>
    <w:semiHidden/>
    <w:unhideWhenUsed/>
    <w:qFormat/>
    <w:uiPriority w:val="99"/>
    <w:pPr>
      <w:tabs>
        <w:tab w:val="center" w:pos="4153"/>
        <w:tab w:val="right" w:pos="8306"/>
      </w:tabs>
      <w:snapToGrid w:val="0"/>
      <w:jc w:val="left"/>
    </w:pPr>
    <w:rPr>
      <w:sz w:val="18"/>
    </w:rPr>
  </w:style>
  <w:style w:type="paragraph" w:styleId="14">
    <w:name w:val="envelope return"/>
    <w:basedOn w:val="1"/>
    <w:autoRedefine/>
    <w:semiHidden/>
    <w:unhideWhenUsed/>
    <w:qFormat/>
    <w:uiPriority w:val="99"/>
    <w:pPr>
      <w:snapToGrid w:val="0"/>
    </w:pPr>
    <w:rPr>
      <w:rFonts w:asciiTheme="majorHAnsi" w:hAnsiTheme="majorHAnsi" w:eastAsiaTheme="majorEastAsia" w:cstheme="majorBidi"/>
    </w:rPr>
  </w:style>
  <w:style w:type="paragraph" w:styleId="15">
    <w:name w:val="header"/>
    <w:basedOn w:val="1"/>
    <w:autoRedefine/>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Normal (Web)"/>
    <w:basedOn w:val="1"/>
    <w:autoRedefine/>
    <w:unhideWhenUsed/>
    <w:qFormat/>
    <w:uiPriority w:val="99"/>
    <w:pPr>
      <w:widowControl/>
      <w:spacing w:before="100" w:beforeAutospacing="1" w:after="100" w:afterAutospacing="1"/>
      <w:jc w:val="left"/>
    </w:pPr>
    <w:rPr>
      <w:rFonts w:ascii="宋体" w:hAnsi="宋体"/>
      <w:kern w:val="0"/>
      <w:sz w:val="24"/>
      <w:szCs w:val="24"/>
    </w:rPr>
  </w:style>
  <w:style w:type="paragraph" w:styleId="17">
    <w:name w:val="Body Text First Indent 2"/>
    <w:basedOn w:val="11"/>
    <w:next w:val="1"/>
    <w:link w:val="31"/>
    <w:autoRedefine/>
    <w:semiHidden/>
    <w:unhideWhenUsed/>
    <w:qFormat/>
    <w:uiPriority w:val="99"/>
    <w:pPr>
      <w:ind w:firstLine="420" w:firstLineChars="200"/>
    </w:pPr>
  </w:style>
  <w:style w:type="table" w:styleId="19">
    <w:name w:val="Table Grid"/>
    <w:basedOn w:val="18"/>
    <w:autoRedefine/>
    <w:unhideWhenUsed/>
    <w:qFormat/>
    <w:uiPriority w:val="99"/>
    <w:rPr>
      <w:rFonts w:ascii="Times New Roman" w:hAnsi="Times New Roman"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Hyperlink"/>
    <w:basedOn w:val="20"/>
    <w:autoRedefine/>
    <w:semiHidden/>
    <w:unhideWhenUsed/>
    <w:qFormat/>
    <w:uiPriority w:val="99"/>
    <w:rPr>
      <w:color w:val="0000FF"/>
      <w:u w:val="single"/>
    </w:rPr>
  </w:style>
  <w:style w:type="paragraph" w:customStyle="1" w:styleId="22">
    <w:name w:val="li_正文"/>
    <w:basedOn w:val="1"/>
    <w:autoRedefine/>
    <w:qFormat/>
    <w:uiPriority w:val="0"/>
    <w:pPr>
      <w:tabs>
        <w:tab w:val="left" w:pos="2340"/>
        <w:tab w:val="left" w:pos="4320"/>
      </w:tabs>
      <w:ind w:firstLine="530" w:firstLineChars="200"/>
      <w:jc w:val="left"/>
    </w:pPr>
    <w:rPr>
      <w:sz w:val="28"/>
      <w:szCs w:val="28"/>
    </w:rPr>
  </w:style>
  <w:style w:type="paragraph" w:customStyle="1" w:styleId="23">
    <w:name w:val="正1"/>
    <w:basedOn w:val="1"/>
    <w:link w:val="24"/>
    <w:autoRedefine/>
    <w:qFormat/>
    <w:uiPriority w:val="0"/>
    <w:pPr>
      <w:spacing w:line="440" w:lineRule="exact"/>
      <w:ind w:firstLine="200" w:firstLineChars="200"/>
    </w:pPr>
    <w:rPr>
      <w:rFonts w:ascii="Times New Roman" w:hAnsi="Times New Roman" w:eastAsia="宋体"/>
      <w:sz w:val="24"/>
    </w:rPr>
  </w:style>
  <w:style w:type="character" w:customStyle="1" w:styleId="24">
    <w:name w:val="正1 字符"/>
    <w:basedOn w:val="20"/>
    <w:link w:val="23"/>
    <w:autoRedefine/>
    <w:qFormat/>
    <w:uiPriority w:val="0"/>
    <w:rPr>
      <w:rFonts w:ascii="Times New Roman" w:hAnsi="Times New Roman" w:eastAsia="宋体" w:cs="Times New Roman"/>
      <w:kern w:val="2"/>
      <w:sz w:val="24"/>
      <w:szCs w:val="21"/>
    </w:rPr>
  </w:style>
  <w:style w:type="character" w:customStyle="1" w:styleId="25">
    <w:name w:val="正文文本缩进 字符"/>
    <w:basedOn w:val="20"/>
    <w:link w:val="11"/>
    <w:autoRedefine/>
    <w:qFormat/>
    <w:uiPriority w:val="99"/>
    <w:rPr>
      <w:rFonts w:ascii="Times New Roman" w:hAnsi="Times New Roman" w:eastAsia="黑体" w:cs="Times New Roman"/>
      <w:kern w:val="0"/>
      <w:sz w:val="24"/>
      <w:szCs w:val="24"/>
    </w:rPr>
  </w:style>
  <w:style w:type="table" w:customStyle="1" w:styleId="26">
    <w:name w:val="Table Normal"/>
    <w:basedOn w:val="18"/>
    <w:autoRedefine/>
    <w:semiHidden/>
    <w:unhideWhenUsed/>
    <w:qFormat/>
    <w:uiPriority w:val="0"/>
    <w:tblPr>
      <w:tblCellMar>
        <w:top w:w="0" w:type="dxa"/>
        <w:left w:w="0" w:type="dxa"/>
        <w:bottom w:w="0" w:type="dxa"/>
        <w:right w:w="0" w:type="dxa"/>
      </w:tblCellMar>
    </w:tblPr>
  </w:style>
  <w:style w:type="character" w:styleId="27">
    <w:name w:val="Placeholder Text"/>
    <w:basedOn w:val="20"/>
    <w:autoRedefine/>
    <w:semiHidden/>
    <w:qFormat/>
    <w:uiPriority w:val="99"/>
    <w:rPr>
      <w:color w:val="808080"/>
    </w:rPr>
  </w:style>
  <w:style w:type="character" w:customStyle="1" w:styleId="28">
    <w:name w:val="font31"/>
    <w:basedOn w:val="20"/>
    <w:autoRedefine/>
    <w:qFormat/>
    <w:uiPriority w:val="0"/>
    <w:rPr>
      <w:rFonts w:hint="default" w:ascii="Arial" w:hAnsi="Arial" w:cs="Arial"/>
      <w:color w:val="000000"/>
      <w:sz w:val="22"/>
      <w:szCs w:val="22"/>
      <w:u w:val="none"/>
    </w:rPr>
  </w:style>
  <w:style w:type="character" w:customStyle="1" w:styleId="29">
    <w:name w:val="font01"/>
    <w:basedOn w:val="20"/>
    <w:autoRedefine/>
    <w:qFormat/>
    <w:uiPriority w:val="0"/>
    <w:rPr>
      <w:rFonts w:hint="eastAsia" w:ascii="宋体" w:hAnsi="宋体" w:eastAsia="宋体"/>
      <w:color w:val="000000"/>
      <w:sz w:val="22"/>
      <w:szCs w:val="22"/>
      <w:u w:val="none"/>
    </w:rPr>
  </w:style>
  <w:style w:type="character" w:customStyle="1" w:styleId="30">
    <w:name w:val="font21"/>
    <w:basedOn w:val="20"/>
    <w:autoRedefine/>
    <w:qFormat/>
    <w:uiPriority w:val="0"/>
    <w:rPr>
      <w:rFonts w:hint="default" w:ascii="Arial" w:hAnsi="Arial" w:cs="Arial"/>
      <w:color w:val="000000"/>
      <w:sz w:val="22"/>
      <w:szCs w:val="22"/>
      <w:u w:val="none"/>
    </w:rPr>
  </w:style>
  <w:style w:type="character" w:customStyle="1" w:styleId="31">
    <w:name w:val="正文首行缩进 2 字符"/>
    <w:link w:val="17"/>
    <w:autoRedefine/>
    <w:qFormat/>
    <w:uiPriority w:val="0"/>
    <w:rPr>
      <w:kern w:val="2"/>
      <w:sz w:val="21"/>
      <w:szCs w:val="21"/>
    </w:rPr>
  </w:style>
  <w:style w:type="paragraph" w:customStyle="1" w:styleId="32">
    <w:name w:val="Table Paragraph"/>
    <w:basedOn w:val="1"/>
    <w:autoRedefine/>
    <w:qFormat/>
    <w:uiPriority w:val="0"/>
    <w:pPr>
      <w:keepNext w:val="0"/>
      <w:keepLines w:val="0"/>
      <w:widowControl w:val="0"/>
      <w:suppressLineNumbers w:val="0"/>
      <w:spacing w:before="0" w:beforeAutospacing="0" w:after="0" w:afterAutospacing="0"/>
      <w:ind w:left="0" w:right="0"/>
      <w:jc w:val="both"/>
    </w:pPr>
    <w:rPr>
      <w:rFonts w:hint="eastAsia" w:ascii="宋体" w:hAnsi="宋体" w:eastAsia="宋体" w:cs="宋体"/>
      <w:kern w:val="2"/>
      <w:sz w:val="21"/>
      <w:szCs w:val="21"/>
      <w:lang w:val="en-US" w:eastAsia="zh-CN" w:bidi="ar"/>
    </w:rPr>
  </w:style>
  <w:style w:type="paragraph" w:customStyle="1" w:styleId="33">
    <w:name w:val="图、表标题"/>
    <w:basedOn w:val="1"/>
    <w:autoRedefine/>
    <w:qFormat/>
    <w:uiPriority w:val="0"/>
    <w:pPr>
      <w:keepNext w:val="0"/>
      <w:keepLines w:val="0"/>
      <w:widowControl w:val="0"/>
      <w:suppressLineNumbers w:val="0"/>
      <w:spacing w:before="0" w:beforeAutospacing="0" w:after="0" w:afterAutospacing="0"/>
      <w:ind w:left="0" w:right="0"/>
      <w:jc w:val="center"/>
    </w:pPr>
    <w:rPr>
      <w:rFonts w:hint="default" w:ascii="Times New Roman" w:hAnsi="Times New Roman" w:eastAsia="宋体" w:cs="Times New Roman"/>
      <w:b/>
      <w:kern w:val="2"/>
      <w:sz w:val="21"/>
      <w:szCs w:val="21"/>
      <w:lang w:val="en-US" w:eastAsia="zh-CN" w:bidi="ar"/>
    </w:rPr>
  </w:style>
  <w:style w:type="character" w:customStyle="1" w:styleId="34">
    <w:name w:val="15"/>
    <w:basedOn w:val="20"/>
    <w:autoRedefine/>
    <w:qFormat/>
    <w:uiPriority w:val="0"/>
    <w:rPr>
      <w:rFonts w:ascii="Arial" w:hAnsi="Arial" w:cs="Arial"/>
      <w:color w:val="000000"/>
      <w:sz w:val="22"/>
      <w:szCs w:val="22"/>
    </w:rPr>
  </w:style>
  <w:style w:type="character" w:customStyle="1" w:styleId="35">
    <w:name w:val="16"/>
    <w:basedOn w:val="20"/>
    <w:autoRedefine/>
    <w:qFormat/>
    <w:uiPriority w:val="0"/>
    <w:rPr>
      <w:rFonts w:hint="eastAsia" w:ascii="宋体" w:hAnsi="宋体" w:eastAsia="宋体" w:cs="宋体"/>
      <w:color w:val="000000"/>
      <w:sz w:val="22"/>
      <w:szCs w:val="22"/>
    </w:rPr>
  </w:style>
  <w:style w:type="character" w:customStyle="1" w:styleId="36">
    <w:name w:val="17"/>
    <w:basedOn w:val="20"/>
    <w:autoRedefine/>
    <w:qFormat/>
    <w:uiPriority w:val="0"/>
    <w:rPr>
      <w:rFonts w:hint="default" w:ascii="Arial" w:hAnsi="Arial" w:cs="Arial"/>
      <w:color w:val="000000"/>
      <w:sz w:val="22"/>
      <w:szCs w:val="22"/>
    </w:rPr>
  </w:style>
  <w:style w:type="character" w:customStyle="1" w:styleId="37">
    <w:name w:val="标题 3 Char"/>
    <w:link w:val="5"/>
    <w:autoRedefine/>
    <w:qFormat/>
    <w:uiPriority w:val="9"/>
    <w:rPr>
      <w:b/>
      <w:sz w:val="32"/>
    </w:rPr>
  </w:style>
  <w:style w:type="character" w:customStyle="1" w:styleId="38">
    <w:name w:val="font71"/>
    <w:basedOn w:val="20"/>
    <w:autoRedefine/>
    <w:qFormat/>
    <w:uiPriority w:val="0"/>
    <w:rPr>
      <w:rFonts w:hint="eastAsia" w:ascii="宋体" w:hAnsi="宋体" w:eastAsia="宋体" w:cs="宋体"/>
      <w:color w:val="000000"/>
      <w:sz w:val="20"/>
      <w:szCs w:val="20"/>
      <w:u w:val="none"/>
    </w:rPr>
  </w:style>
  <w:style w:type="character" w:customStyle="1" w:styleId="39">
    <w:name w:val="font61"/>
    <w:basedOn w:val="20"/>
    <w:autoRedefine/>
    <w:qFormat/>
    <w:uiPriority w:val="0"/>
    <w:rPr>
      <w:rFonts w:hint="default" w:ascii="Times New Roman" w:hAnsi="Times New Roman" w:cs="Times New Roman"/>
      <w:color w:val="000000"/>
      <w:sz w:val="20"/>
      <w:szCs w:val="20"/>
      <w:u w:val="none"/>
    </w:rPr>
  </w:style>
  <w:style w:type="character" w:customStyle="1" w:styleId="40">
    <w:name w:val="font81"/>
    <w:basedOn w:val="20"/>
    <w:autoRedefine/>
    <w:qFormat/>
    <w:uiPriority w:val="0"/>
    <w:rPr>
      <w:rFonts w:hint="default" w:ascii="Times New Roman" w:hAnsi="Times New Roman" w:cs="Times New Roman"/>
      <w:color w:val="000000"/>
      <w:sz w:val="13"/>
      <w:szCs w:val="13"/>
      <w:u w:val="none"/>
    </w:rPr>
  </w:style>
  <w:style w:type="paragraph" w:customStyle="1" w:styleId="41">
    <w:name w:val="1☆表格后一行"/>
    <w:basedOn w:val="1"/>
    <w:autoRedefine/>
    <w:qFormat/>
    <w:uiPriority w:val="0"/>
    <w:pPr>
      <w:spacing w:line="240" w:lineRule="auto"/>
      <w:ind w:firstLine="0" w:firstLineChars="0"/>
      <w:jc w:val="left"/>
    </w:pPr>
    <w:rPr>
      <w:kern w:val="0"/>
    </w:rPr>
  </w:style>
  <w:style w:type="paragraph" w:customStyle="1" w:styleId="42">
    <w:name w:val="[1]正文"/>
    <w:basedOn w:val="1"/>
    <w:autoRedefine/>
    <w:qFormat/>
    <w:uiPriority w:val="0"/>
    <w:pPr>
      <w:autoSpaceDE w:val="0"/>
      <w:autoSpaceDN w:val="0"/>
      <w:ind w:firstLine="200" w:firstLineChars="200"/>
    </w:pPr>
    <w:rPr>
      <w:color w:val="000000"/>
      <w:kern w:val="0"/>
      <w:lang w:val="zh-CN"/>
    </w:rPr>
  </w:style>
  <w:style w:type="paragraph" w:customStyle="1" w:styleId="43">
    <w:name w:val="表头"/>
    <w:basedOn w:val="44"/>
    <w:next w:val="1"/>
    <w:autoRedefine/>
    <w:qFormat/>
    <w:uiPriority w:val="0"/>
    <w:pPr>
      <w:spacing w:before="240" w:line="480" w:lineRule="exact"/>
      <w:ind w:firstLine="0" w:firstLineChars="0"/>
      <w:jc w:val="center"/>
    </w:pPr>
    <w:rPr>
      <w:rFonts w:ascii="宋体" w:eastAsia="黑体"/>
      <w:spacing w:val="6"/>
      <w:position w:val="10"/>
    </w:rPr>
  </w:style>
  <w:style w:type="paragraph" w:customStyle="1" w:styleId="44">
    <w:name w:val="11111111111"/>
    <w:basedOn w:val="1"/>
    <w:autoRedefine/>
    <w:qFormat/>
    <w:uiPriority w:val="0"/>
    <w:pPr>
      <w:jc w:val="center"/>
    </w:pPr>
    <w:rPr>
      <w:rFonts w:ascii="Calibri" w:hAnsi="Calibri"/>
      <w:b/>
    </w:rPr>
  </w:style>
  <w:style w:type="paragraph" w:customStyle="1" w:styleId="45">
    <w:name w:val="表格hks"/>
    <w:next w:val="1"/>
    <w:autoRedefine/>
    <w:qFormat/>
    <w:uiPriority w:val="0"/>
    <w:pPr>
      <w:jc w:val="center"/>
    </w:pPr>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emf"/><Relationship Id="rId6" Type="http://schemas.openxmlformats.org/officeDocument/2006/relationships/oleObject" Target="embeddings/oleObject1.bin"/><Relationship Id="rId5" Type="http://schemas.openxmlformats.org/officeDocument/2006/relationships/image" Target="media/image1.jpeg"/><Relationship Id="rId4" Type="http://schemas.openxmlformats.org/officeDocument/2006/relationships/theme" Target="theme/theme1.xml"/><Relationship Id="rId35" Type="http://schemas.openxmlformats.org/officeDocument/2006/relationships/fontTable" Target="fontTable.xml"/><Relationship Id="rId34" Type="http://schemas.openxmlformats.org/officeDocument/2006/relationships/customXml" Target="../customXml/item2.xml"/><Relationship Id="rId33" Type="http://schemas.openxmlformats.org/officeDocument/2006/relationships/customXml" Target="../customXml/item1.xml"/><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wmf"/><Relationship Id="rId14" Type="http://schemas.openxmlformats.org/officeDocument/2006/relationships/image" Target="media/image8.wmf"/><Relationship Id="rId13" Type="http://schemas.openxmlformats.org/officeDocument/2006/relationships/oleObject" Target="embeddings/oleObject2.bin"/><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6172C70-D6DC-413F-A06B-2F2C09FA543B}">
  <ds:schemaRefs/>
</ds:datastoreItem>
</file>

<file path=docProps/app.xml><?xml version="1.0" encoding="utf-8"?>
<Properties xmlns="http://schemas.openxmlformats.org/officeDocument/2006/extended-properties" xmlns:vt="http://schemas.openxmlformats.org/officeDocument/2006/docPropsVTypes">
  <Template>Normal</Template>
  <Company>DoubleOX</Company>
  <Pages>71</Pages>
  <Words>34050</Words>
  <Characters>39103</Characters>
  <Lines>187</Lines>
  <Paragraphs>52</Paragraphs>
  <TotalTime>29</TotalTime>
  <ScaleCrop>false</ScaleCrop>
  <LinksUpToDate>false</LinksUpToDate>
  <CharactersWithSpaces>39392</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2023-01-30T04:00:00Z</dcterms:created>
  <dc:creator>admin</dc:creator>
  <cp:lastModifiedBy>1</cp:lastModifiedBy>
  <dcterms:modified xsi:type="dcterms:W3CDTF">2024-04-02T08:24:24Z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1EC8255BEF904986ACA6C7D5DC2F3D43</vt:lpwstr>
  </property>
</Properties>
</file>