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pStyle w:val="47"/>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pStyle w:val="47"/>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p>
    <w:p>
      <w:pPr>
        <w:pStyle w:val="47"/>
        <w:keepNext w:val="0"/>
        <w:keepLines w:val="0"/>
        <w:pageBreakBefore w:val="0"/>
        <w:widowControl w:val="0"/>
        <w:kinsoku/>
        <w:wordWrap w:val="0"/>
        <w:overflowPunct/>
        <w:topLinePunct/>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潘环审复〔</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号</w:t>
      </w:r>
    </w:p>
    <w:p>
      <w:pPr>
        <w:keepNext w:val="0"/>
        <w:keepLines w:val="0"/>
        <w:pageBreakBefore w:val="0"/>
        <w:widowControl w:val="0"/>
        <w:shd w:val="clear" w:color="auto" w:fill="FFFFFF"/>
        <w:kinsoku/>
        <w:wordWrap w:val="0"/>
        <w:overflowPunct/>
        <w:topLinePunct/>
        <w:autoSpaceDE/>
        <w:autoSpaceDN/>
        <w:bidi w:val="0"/>
        <w:adjustRightInd/>
        <w:snapToGrid/>
        <w:spacing w:line="560" w:lineRule="exact"/>
        <w:ind w:firstLine="880" w:firstLineChars="200"/>
        <w:jc w:val="center"/>
        <w:textAlignment w:val="auto"/>
        <w:rPr>
          <w:rFonts w:ascii="方正小标宋简体" w:hAnsi="方正小标宋简体" w:eastAsia="方正小标宋简体" w:cs="方正小标宋简体"/>
          <w:bCs/>
          <w:color w:val="auto"/>
          <w:sz w:val="44"/>
          <w:szCs w:val="44"/>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关于</w:t>
      </w:r>
      <w:r>
        <w:rPr>
          <w:rFonts w:hint="eastAsia" w:ascii="方正小标宋简体" w:hAnsi="方正小标宋简体" w:eastAsia="方正小标宋简体" w:cs="方正小标宋简体"/>
          <w:color w:val="auto"/>
          <w:sz w:val="44"/>
          <w:szCs w:val="44"/>
          <w:lang w:eastAsia="zh-CN"/>
        </w:rPr>
        <w:t>安徽博昶智能装备有限公司年产500套</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离子膜组件设备项目</w:t>
      </w:r>
      <w:r>
        <w:rPr>
          <w:rFonts w:hint="eastAsia" w:ascii="方正小标宋简体" w:hAnsi="方正小标宋简体" w:eastAsia="方正小标宋简体" w:cs="方正小标宋简体"/>
          <w:color w:val="auto"/>
          <w:sz w:val="44"/>
          <w:szCs w:val="44"/>
        </w:rPr>
        <w:t>环境影响报告表的批复</w:t>
      </w:r>
    </w:p>
    <w:p>
      <w:pPr>
        <w:keepNext w:val="0"/>
        <w:keepLines w:val="0"/>
        <w:pageBreakBefore w:val="0"/>
        <w:widowControl w:val="0"/>
        <w:kinsoku/>
        <w:wordWrap/>
        <w:overflowPunct/>
        <w:topLinePunct/>
        <w:autoSpaceDE/>
        <w:autoSpaceDN/>
        <w:bidi w:val="0"/>
        <w:adjustRightInd/>
        <w:snapToGrid/>
        <w:spacing w:line="560" w:lineRule="exact"/>
        <w:ind w:firstLine="643" w:firstLineChars="200"/>
        <w:textAlignment w:val="auto"/>
        <w:rPr>
          <w:rFonts w:ascii="楷体" w:hAnsi="楷体" w:eastAsia="楷体" w:cs="楷体"/>
          <w:b/>
          <w:bCs/>
          <w:color w:val="auto"/>
          <w:sz w:val="32"/>
          <w:szCs w:val="32"/>
        </w:rPr>
      </w:pPr>
    </w:p>
    <w:p>
      <w:pPr>
        <w:keepNext w:val="0"/>
        <w:keepLines w:val="0"/>
        <w:pageBreakBefore w:val="0"/>
        <w:widowControl w:val="0"/>
        <w:kinsoku/>
        <w:wordWrap/>
        <w:overflowPunct/>
        <w:topLinePunct/>
        <w:autoSpaceDE/>
        <w:autoSpaceDN/>
        <w:bidi w:val="0"/>
        <w:adjustRightInd/>
        <w:snapToGrid/>
        <w:spacing w:line="560" w:lineRule="exact"/>
        <w:jc w:val="left"/>
        <w:textAlignment w:val="auto"/>
        <w:rPr>
          <w:rFonts w:ascii="楷体" w:hAnsi="楷体" w:eastAsia="楷体" w:cs="楷体"/>
          <w:b/>
          <w:bCs/>
          <w:color w:val="auto"/>
          <w:sz w:val="32"/>
          <w:szCs w:val="32"/>
        </w:rPr>
      </w:pPr>
      <w:r>
        <w:rPr>
          <w:rFonts w:hint="eastAsia" w:ascii="楷体" w:hAnsi="楷体" w:eastAsia="楷体" w:cs="楷体"/>
          <w:b/>
          <w:bCs/>
          <w:color w:val="auto"/>
          <w:sz w:val="32"/>
          <w:szCs w:val="32"/>
          <w:lang w:eastAsia="zh-CN"/>
        </w:rPr>
        <w:t>安徽博昶智能装备有限公司</w:t>
      </w:r>
      <w:r>
        <w:rPr>
          <w:rFonts w:hint="eastAsia" w:ascii="楷体" w:hAnsi="楷体" w:eastAsia="楷体" w:cs="楷体"/>
          <w:b/>
          <w:bCs/>
          <w:color w:val="auto"/>
          <w:sz w:val="32"/>
          <w:szCs w:val="32"/>
        </w:rPr>
        <w:t>：</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你公司报送《</w:t>
      </w:r>
      <w:r>
        <w:rPr>
          <w:rFonts w:hint="eastAsia" w:ascii="仿宋_GB2312" w:hAnsi="仿宋_GB2312" w:eastAsia="仿宋_GB2312" w:cs="仿宋_GB2312"/>
          <w:color w:val="auto"/>
          <w:sz w:val="32"/>
          <w:szCs w:val="32"/>
          <w:lang w:eastAsia="zh-CN"/>
        </w:rPr>
        <w:t>安徽博昶智能装备有限公司年产500套离子膜组件设备项目</w:t>
      </w:r>
      <w:r>
        <w:rPr>
          <w:rFonts w:hint="eastAsia" w:ascii="仿宋_GB2312" w:hAnsi="仿宋_GB2312" w:eastAsia="仿宋_GB2312" w:cs="仿宋_GB2312"/>
          <w:color w:val="auto"/>
          <w:sz w:val="32"/>
          <w:szCs w:val="32"/>
        </w:rPr>
        <w:t>环境影响报告表》（以下简称《报告表》）收悉，经审查研究后批复如下：</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在全面落实环评文件提出的各项污染防治措施和风险防范措施的前提下，结合专家审查意见，原则同意该项目按照</w:t>
      </w:r>
      <w:r>
        <w:rPr>
          <w:rFonts w:hint="eastAsia" w:ascii="仿宋_GB2312" w:hAnsi="仿宋_GB2312" w:eastAsia="仿宋_GB2312" w:cs="仿宋_GB2312"/>
          <w:color w:val="auto"/>
          <w:sz w:val="32"/>
          <w:szCs w:val="32"/>
          <w:lang w:eastAsia="zh-CN"/>
        </w:rPr>
        <w:t>安徽鑫辉宇环境工程有限公司</w:t>
      </w:r>
      <w:r>
        <w:rPr>
          <w:rFonts w:hint="eastAsia" w:ascii="仿宋_GB2312" w:hAnsi="仿宋_GB2312" w:eastAsia="仿宋_GB2312" w:cs="仿宋_GB2312"/>
          <w:color w:val="auto"/>
          <w:sz w:val="32"/>
          <w:szCs w:val="32"/>
        </w:rPr>
        <w:t>编制的《报告表》及本审批意见要求进行建设。</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一、项目概况</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hint="default" w:ascii="仿宋_GB2312" w:hAnsi="仿宋_GB2312" w:eastAsia="仿宋_GB2312" w:cs="仿宋_GB2312"/>
          <w:snapToGrid/>
          <w:color w:val="auto"/>
          <w:kern w:val="2"/>
          <w:sz w:val="32"/>
          <w:szCs w:val="32"/>
          <w:lang w:val="en-US" w:eastAsia="zh-CN"/>
        </w:rPr>
      </w:pPr>
      <w:r>
        <w:rPr>
          <w:rFonts w:hint="eastAsia" w:ascii="仿宋_GB2312" w:hAnsi="仿宋_GB2312" w:eastAsia="仿宋_GB2312" w:cs="仿宋_GB2312"/>
          <w:snapToGrid/>
          <w:color w:val="auto"/>
          <w:kern w:val="2"/>
          <w:sz w:val="32"/>
          <w:szCs w:val="32"/>
          <w:lang w:eastAsia="zh-CN"/>
        </w:rPr>
        <w:t>项</w:t>
      </w:r>
      <w:r>
        <w:rPr>
          <w:rFonts w:hint="eastAsia" w:ascii="仿宋_GB2312" w:hAnsi="仿宋_GB2312" w:eastAsia="仿宋_GB2312" w:cs="仿宋_GB2312"/>
          <w:snapToGrid/>
          <w:color w:val="auto"/>
          <w:kern w:val="2"/>
          <w:sz w:val="32"/>
          <w:szCs w:val="32"/>
          <w:lang w:val="en-US" w:eastAsia="zh-CN"/>
        </w:rPr>
        <w:t>目选址位于安徽淮南潘集经济开发区（北区），</w:t>
      </w:r>
      <w:r>
        <w:rPr>
          <w:rFonts w:hint="eastAsia" w:ascii="仿宋_GB2312" w:hAnsi="仿宋_GB2312" w:eastAsia="仿宋_GB2312" w:cs="仿宋_GB2312"/>
          <w:snapToGrid/>
          <w:color w:val="auto"/>
          <w:kern w:val="2"/>
          <w:sz w:val="32"/>
          <w:szCs w:val="32"/>
          <w:lang w:val="en-US" w:eastAsia="en-US"/>
        </w:rPr>
        <w:t>项目建设规模及内容：</w:t>
      </w:r>
      <w:r>
        <w:rPr>
          <w:rFonts w:hint="eastAsia" w:ascii="仿宋_GB2312" w:hAnsi="仿宋_GB2312" w:eastAsia="仿宋_GB2312" w:cs="仿宋_GB2312"/>
          <w:snapToGrid/>
          <w:color w:val="auto"/>
          <w:kern w:val="2"/>
          <w:sz w:val="32"/>
          <w:szCs w:val="32"/>
          <w:lang w:val="en-US" w:eastAsia="zh-CN"/>
        </w:rPr>
        <w:t>项目占地约30亩，其中北厂区占地约2400㎡，南厂区占地约20152.6㎡</w:t>
      </w:r>
      <w:r>
        <w:rPr>
          <w:rFonts w:hint="default" w:ascii="仿宋_GB2312" w:hAnsi="仿宋_GB2312" w:eastAsia="仿宋_GB2312" w:cs="仿宋_GB2312"/>
          <w:snapToGrid/>
          <w:color w:val="auto"/>
          <w:kern w:val="2"/>
          <w:sz w:val="32"/>
          <w:szCs w:val="32"/>
          <w:lang w:val="en-US" w:eastAsia="zh-CN"/>
        </w:rPr>
        <w:t>，</w:t>
      </w:r>
      <w:r>
        <w:rPr>
          <w:rFonts w:hint="eastAsia" w:ascii="仿宋_GB2312" w:hAnsi="仿宋_GB2312" w:eastAsia="仿宋_GB2312" w:cs="仿宋_GB2312"/>
          <w:snapToGrid/>
          <w:color w:val="auto"/>
          <w:kern w:val="2"/>
          <w:sz w:val="32"/>
          <w:szCs w:val="32"/>
          <w:lang w:val="en-US" w:eastAsia="zh-CN"/>
        </w:rPr>
        <w:t>北厂区建设膜改性区域、测试区域、膜组件组装区域、装配区域，</w:t>
      </w:r>
      <w:r>
        <w:rPr>
          <w:rFonts w:hint="default" w:ascii="仿宋_GB2312" w:hAnsi="仿宋_GB2312" w:eastAsia="仿宋_GB2312" w:cs="仿宋_GB2312"/>
          <w:snapToGrid/>
          <w:color w:val="auto"/>
          <w:kern w:val="2"/>
          <w:sz w:val="32"/>
          <w:szCs w:val="32"/>
          <w:lang w:val="en-US" w:eastAsia="zh-CN"/>
        </w:rPr>
        <w:t>建成后</w:t>
      </w:r>
      <w:r>
        <w:rPr>
          <w:rFonts w:hint="eastAsia" w:ascii="仿宋_GB2312" w:hAnsi="仿宋_GB2312" w:eastAsia="仿宋_GB2312" w:cs="仿宋_GB2312"/>
          <w:snapToGrid/>
          <w:color w:val="auto"/>
          <w:kern w:val="2"/>
          <w:sz w:val="32"/>
          <w:szCs w:val="32"/>
          <w:lang w:val="en-US" w:eastAsia="zh-CN"/>
        </w:rPr>
        <w:t>可形成年产500套离子膜组件设备；南厂区建设闪蒸造粒车间等，</w:t>
      </w:r>
      <w:r>
        <w:rPr>
          <w:rFonts w:hint="default" w:ascii="仿宋_GB2312" w:hAnsi="仿宋_GB2312" w:eastAsia="仿宋_GB2312" w:cs="仿宋_GB2312"/>
          <w:snapToGrid/>
          <w:color w:val="auto"/>
          <w:kern w:val="2"/>
          <w:sz w:val="32"/>
          <w:szCs w:val="32"/>
          <w:lang w:val="en-US" w:eastAsia="zh-CN"/>
        </w:rPr>
        <w:t>建成后</w:t>
      </w:r>
      <w:r>
        <w:rPr>
          <w:rFonts w:hint="eastAsia" w:ascii="仿宋_GB2312" w:hAnsi="仿宋_GB2312" w:eastAsia="仿宋_GB2312" w:cs="仿宋_GB2312"/>
          <w:snapToGrid/>
          <w:color w:val="auto"/>
          <w:kern w:val="2"/>
          <w:sz w:val="32"/>
          <w:szCs w:val="32"/>
          <w:lang w:val="en-US" w:eastAsia="zh-CN"/>
        </w:rPr>
        <w:t>可形成年产10000立方特种陶瓷纳米材料</w:t>
      </w:r>
      <w:r>
        <w:rPr>
          <w:rFonts w:hint="default" w:ascii="仿宋_GB2312" w:hAnsi="仿宋_GB2312" w:eastAsia="仿宋_GB2312" w:cs="仿宋_GB2312"/>
          <w:snapToGrid/>
          <w:color w:val="auto"/>
          <w:kern w:val="2"/>
          <w:sz w:val="32"/>
          <w:szCs w:val="32"/>
          <w:lang w:val="en-US" w:eastAsia="zh-CN"/>
        </w:rPr>
        <w:t>。</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hint="eastAsia" w:cs="Times New Roman"/>
          <w:bCs/>
          <w:color w:val="auto"/>
          <w:sz w:val="24"/>
          <w:lang w:val="en-US" w:eastAsia="zh-CN"/>
        </w:rPr>
      </w:pPr>
      <w:r>
        <w:rPr>
          <w:rFonts w:hint="eastAsia" w:ascii="仿宋_GB2312" w:hAnsi="仿宋_GB2312" w:eastAsia="仿宋_GB2312" w:cs="仿宋_GB2312"/>
          <w:color w:val="auto"/>
          <w:sz w:val="32"/>
          <w:szCs w:val="32"/>
          <w:lang w:val="en-US" w:eastAsia="zh-CN"/>
        </w:rPr>
        <w:t>本项目已由淮南市潘集区发展和改革委员会备案，项目编码：</w:t>
      </w:r>
      <w:r>
        <w:rPr>
          <w:rFonts w:hint="default" w:ascii="仿宋_GB2312" w:hAnsi="仿宋_GB2312" w:eastAsia="仿宋_GB2312" w:cs="仿宋_GB2312"/>
          <w:color w:val="auto"/>
          <w:sz w:val="32"/>
          <w:szCs w:val="32"/>
          <w:lang w:val="en-US" w:eastAsia="zh-CN"/>
        </w:rPr>
        <w:t>2312-340406-04-01-629854</w:t>
      </w:r>
      <w:r>
        <w:rPr>
          <w:rFonts w:hint="eastAsia" w:ascii="仿宋_GB2312" w:hAnsi="仿宋_GB2312" w:eastAsia="仿宋_GB2312" w:cs="仿宋_GB2312"/>
          <w:color w:val="auto"/>
          <w:sz w:val="32"/>
          <w:szCs w:val="32"/>
          <w:lang w:val="en-US" w:eastAsia="zh-CN"/>
        </w:rPr>
        <w:t>，未经同意不得擅自改变建设内容、工艺、规模和选址等。若工程建设发生重大变动，必须严格依照《中华人民共和国环境影响评价法》的有关规定办理相关手续。</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二、污染防治措施要求</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为保护区域环境质量不因本项目建设而降低，项目设计、建设和运行必须做到以下要求：</w:t>
      </w:r>
    </w:p>
    <w:p>
      <w:pPr>
        <w:keepNext w:val="0"/>
        <w:keepLines w:val="0"/>
        <w:pageBreakBefore w:val="0"/>
        <w:widowControl w:val="0"/>
        <w:numPr>
          <w:ilvl w:val="0"/>
          <w:numId w:val="0"/>
        </w:numPr>
        <w:suppressLineNumbers w:val="0"/>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严格落实大气污染防治措施。</w:t>
      </w:r>
      <w:r>
        <w:rPr>
          <w:rFonts w:hint="eastAsia" w:ascii="仿宋_GB2312" w:hAnsi="仿宋_GB2312" w:eastAsia="仿宋_GB2312" w:cs="仿宋_GB2312"/>
          <w:color w:val="auto"/>
          <w:sz w:val="32"/>
          <w:szCs w:val="32"/>
          <w:lang w:val="en-US" w:eastAsia="zh-CN"/>
        </w:rPr>
        <w:t>严格落实报告表中提出的废气污染防治措施。</w:t>
      </w:r>
      <w:r>
        <w:rPr>
          <w:rFonts w:hint="default" w:ascii="仿宋_GB2312" w:hAnsi="仿宋_GB2312" w:eastAsia="仿宋_GB2312" w:cs="仿宋_GB2312"/>
          <w:color w:val="auto"/>
          <w:sz w:val="32"/>
          <w:szCs w:val="32"/>
          <w:lang w:val="en-US" w:eastAsia="zh-CN"/>
        </w:rPr>
        <w:t>生产、输送、储存过程采用全密闭或负压收集处理，提高废气收集效率</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严格控制无组织排放</w:t>
      </w:r>
      <w:r>
        <w:rPr>
          <w:rFonts w:hint="eastAsia" w:ascii="仿宋_GB2312" w:hAnsi="仿宋_GB2312" w:eastAsia="仿宋_GB2312" w:cs="仿宋_GB2312"/>
          <w:color w:val="auto"/>
          <w:sz w:val="32"/>
          <w:szCs w:val="32"/>
          <w:lang w:val="en-US" w:eastAsia="zh-CN"/>
        </w:rPr>
        <w:t>。项目北厂区</w:t>
      </w:r>
      <w:r>
        <w:rPr>
          <w:rFonts w:hint="default" w:ascii="仿宋_GB2312" w:hAnsi="仿宋_GB2312" w:eastAsia="仿宋_GB2312" w:cs="仿宋_GB2312"/>
          <w:color w:val="auto"/>
          <w:sz w:val="32"/>
          <w:szCs w:val="32"/>
          <w:lang w:val="en-US" w:eastAsia="zh-CN"/>
        </w:rPr>
        <w:t>铸膜、烘干</w:t>
      </w:r>
      <w:r>
        <w:rPr>
          <w:rFonts w:hint="eastAsia" w:ascii="仿宋_GB2312" w:hAnsi="仿宋_GB2312" w:eastAsia="仿宋_GB2312" w:cs="仿宋_GB2312"/>
          <w:color w:val="auto"/>
          <w:sz w:val="32"/>
          <w:szCs w:val="32"/>
          <w:lang w:val="en-US" w:eastAsia="zh-CN"/>
        </w:rPr>
        <w:t>工序产生</w:t>
      </w:r>
      <w:r>
        <w:rPr>
          <w:rFonts w:hint="default"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val="en-US" w:eastAsia="zh-CN"/>
        </w:rPr>
        <w:t>废气经负压收集后采用“二级活性炭装置”处理，处理后废气通过1根15m高排气筒（DA001）排放；塑焊废气采用集气罩收集后，通过移动VOCs处理装置处理后无组织排放。项目南厂区</w:t>
      </w:r>
      <w:r>
        <w:rPr>
          <w:rFonts w:hint="default" w:ascii="仿宋_GB2312" w:hAnsi="仿宋_GB2312" w:eastAsia="仿宋_GB2312" w:cs="仿宋_GB2312"/>
          <w:color w:val="auto"/>
          <w:sz w:val="32"/>
          <w:szCs w:val="32"/>
          <w:lang w:val="en-US" w:eastAsia="zh-CN"/>
        </w:rPr>
        <w:t>闪蒸、下料</w:t>
      </w:r>
      <w:r>
        <w:rPr>
          <w:rFonts w:hint="eastAsia" w:ascii="仿宋_GB2312" w:hAnsi="仿宋_GB2312" w:eastAsia="仿宋_GB2312" w:cs="仿宋_GB2312"/>
          <w:color w:val="auto"/>
          <w:sz w:val="32"/>
          <w:szCs w:val="32"/>
          <w:lang w:val="en-US" w:eastAsia="zh-CN"/>
        </w:rPr>
        <w:t>产生的废气</w:t>
      </w:r>
      <w:r>
        <w:rPr>
          <w:rFonts w:hint="default"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lang w:val="en-US" w:eastAsia="zh-CN"/>
        </w:rPr>
        <w:t>密闭管道负压</w:t>
      </w:r>
      <w:r>
        <w:rPr>
          <w:rFonts w:hint="default" w:ascii="仿宋_GB2312" w:hAnsi="仿宋_GB2312" w:eastAsia="仿宋_GB2312" w:cs="仿宋_GB2312"/>
          <w:color w:val="auto"/>
          <w:sz w:val="32"/>
          <w:szCs w:val="32"/>
          <w:lang w:val="en-US" w:eastAsia="zh-CN"/>
        </w:rPr>
        <w:t>收集后采用“袋式除尘器”处理</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处理后废气</w:t>
      </w:r>
      <w:r>
        <w:rPr>
          <w:rFonts w:hint="eastAsia" w:ascii="仿宋_GB2312" w:hAnsi="仿宋_GB2312" w:eastAsia="仿宋_GB2312" w:cs="仿宋_GB2312"/>
          <w:color w:val="auto"/>
          <w:sz w:val="32"/>
          <w:szCs w:val="32"/>
          <w:lang w:val="en-US" w:eastAsia="zh-CN"/>
        </w:rPr>
        <w:t>分别</w:t>
      </w:r>
      <w:r>
        <w:rPr>
          <w:rFonts w:hint="default" w:ascii="仿宋_GB2312" w:hAnsi="仿宋_GB2312" w:eastAsia="仿宋_GB2312" w:cs="仿宋_GB2312"/>
          <w:color w:val="auto"/>
          <w:sz w:val="32"/>
          <w:szCs w:val="32"/>
          <w:lang w:val="en-US" w:eastAsia="zh-CN"/>
        </w:rPr>
        <w:t>通过</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根15m高排气筒</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DA00</w:t>
      </w: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DA00</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排放</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混浆、造粒、水洗</w:t>
      </w:r>
      <w:r>
        <w:rPr>
          <w:rFonts w:hint="eastAsia" w:ascii="仿宋_GB2312" w:hAnsi="仿宋_GB2312" w:eastAsia="仿宋_GB2312" w:cs="仿宋_GB2312"/>
          <w:color w:val="auto"/>
          <w:sz w:val="32"/>
          <w:szCs w:val="32"/>
          <w:lang w:val="en-US" w:eastAsia="zh-CN"/>
        </w:rPr>
        <w:t>产生的废气会同2个DMAC罐区储罐大小呼吸废气</w:t>
      </w:r>
      <w:r>
        <w:rPr>
          <w:rFonts w:hint="default" w:ascii="仿宋_GB2312" w:hAnsi="仿宋_GB2312" w:eastAsia="仿宋_GB2312" w:cs="仿宋_GB2312"/>
          <w:color w:val="auto"/>
          <w:sz w:val="32"/>
          <w:szCs w:val="32"/>
          <w:lang w:val="en-US" w:eastAsia="zh-CN"/>
        </w:rPr>
        <w:t>经</w:t>
      </w:r>
      <w:r>
        <w:rPr>
          <w:rFonts w:hint="eastAsia" w:ascii="仿宋_GB2312" w:hAnsi="仿宋_GB2312" w:eastAsia="仿宋_GB2312" w:cs="仿宋_GB2312"/>
          <w:color w:val="auto"/>
          <w:sz w:val="32"/>
          <w:szCs w:val="32"/>
          <w:lang w:val="en-US" w:eastAsia="zh-CN"/>
        </w:rPr>
        <w:t>密闭管道负压</w:t>
      </w:r>
      <w:r>
        <w:rPr>
          <w:rFonts w:hint="default" w:ascii="仿宋_GB2312" w:hAnsi="仿宋_GB2312" w:eastAsia="仿宋_GB2312" w:cs="仿宋_GB2312"/>
          <w:color w:val="auto"/>
          <w:sz w:val="32"/>
          <w:szCs w:val="32"/>
          <w:lang w:val="en-US" w:eastAsia="zh-CN"/>
        </w:rPr>
        <w:t>收集后采用“两级</w:t>
      </w:r>
      <w:r>
        <w:rPr>
          <w:rFonts w:hint="eastAsia" w:ascii="仿宋_GB2312" w:hAnsi="仿宋_GB2312" w:eastAsia="仿宋_GB2312" w:cs="仿宋_GB2312"/>
          <w:color w:val="auto"/>
          <w:sz w:val="32"/>
          <w:szCs w:val="32"/>
          <w:lang w:val="en-US" w:eastAsia="zh-CN"/>
        </w:rPr>
        <w:t>水喷淋</w:t>
      </w:r>
      <w:r>
        <w:rPr>
          <w:rFonts w:hint="default" w:ascii="仿宋_GB2312" w:hAnsi="仿宋_GB2312" w:eastAsia="仿宋_GB2312" w:cs="仿宋_GB2312"/>
          <w:color w:val="auto"/>
          <w:sz w:val="32"/>
          <w:szCs w:val="32"/>
          <w:lang w:val="en-US" w:eastAsia="zh-CN"/>
        </w:rPr>
        <w:t>”处理，处理后废气通过1根15m高排气筒</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DA00</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排放。</w:t>
      </w:r>
      <w:r>
        <w:rPr>
          <w:rFonts w:hint="eastAsia" w:ascii="仿宋_GB2312" w:hAnsi="仿宋_GB2312" w:eastAsia="仿宋_GB2312" w:cs="仿宋_GB2312"/>
          <w:color w:val="auto"/>
          <w:sz w:val="32"/>
          <w:szCs w:val="32"/>
          <w:lang w:val="en-US" w:eastAsia="zh-CN"/>
        </w:rPr>
        <w:t>各类废气排放按《报告表》中所列的各项标准和要求限值执行。</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楷体" w:hAnsi="楷体" w:eastAsia="楷体" w:cs="楷体"/>
          <w:color w:val="auto"/>
          <w:sz w:val="32"/>
          <w:szCs w:val="32"/>
        </w:rPr>
        <w:t>（二）严格落实水污染防治措施。</w:t>
      </w:r>
      <w:r>
        <w:rPr>
          <w:rFonts w:hint="eastAsia" w:ascii="仿宋_GB2312" w:hAnsi="仿宋_GB2312" w:eastAsia="仿宋_GB2312" w:cs="仿宋_GB2312"/>
          <w:color w:val="auto"/>
          <w:kern w:val="2"/>
          <w:sz w:val="32"/>
          <w:szCs w:val="32"/>
          <w:lang w:val="en-US" w:eastAsia="zh-CN" w:bidi="ar-SA"/>
        </w:rPr>
        <w:t>项目北厂区生活污水经化粪池预处理后</w:t>
      </w:r>
      <w:r>
        <w:rPr>
          <w:rFonts w:hint="eastAsia" w:ascii="仿宋_GB2312" w:hAnsi="仿宋_GB2312" w:eastAsia="仿宋_GB2312" w:cs="仿宋_GB2312"/>
          <w:color w:val="auto"/>
          <w:kern w:val="0"/>
          <w:sz w:val="32"/>
          <w:szCs w:val="32"/>
          <w:lang w:val="en-US" w:eastAsia="zh-CN" w:bidi="ar-SA"/>
        </w:rPr>
        <w:t>经污水管网进入煤化工园区污水处理厂深度处理。</w:t>
      </w:r>
    </w:p>
    <w:p>
      <w:pPr>
        <w:keepNext w:val="0"/>
        <w:keepLines w:val="0"/>
        <w:pageBreakBefore w:val="0"/>
        <w:widowControl w:val="0"/>
        <w:numPr>
          <w:ilvl w:val="0"/>
          <w:numId w:val="0"/>
        </w:numPr>
        <w:suppressLineNumbers w:val="0"/>
        <w:kinsoku/>
        <w:wordWrap w:val="0"/>
        <w:overflowPunct/>
        <w:topLinePunct/>
        <w:autoSpaceDE/>
        <w:autoSpaceDN/>
        <w:bidi w:val="0"/>
        <w:adjustRightInd/>
        <w:snapToGrid/>
        <w:spacing w:line="560" w:lineRule="exact"/>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lang w:val="en-US" w:eastAsia="zh-CN"/>
        </w:rPr>
        <w:t>项目南厂区生活污水经化粪池预处理后经污水管网进入煤化工园区污水处理厂深度处理；生产废液（DMAC废液、喷淋塔定期更换废水、检修时设备清洗废水、地面冲洗废水）等通过明管输送进入厂区内DMAC废液罐区暂存，生产废液按照危废安全处置，不得外排。项目废水的接管标准执行《污水综合排放标准》(GB8978-1996)三级标准及煤化工园区污水处理厂接管标准最严值，经安徽(淮南)现代煤化工产业园区污水处理厂处理后进行回用不外排。本项目废水在未通过管网输送至煤化工园区污水处理厂前，不得投入运行。</w:t>
      </w:r>
    </w:p>
    <w:p>
      <w:pPr>
        <w:keepNext w:val="0"/>
        <w:keepLines w:val="0"/>
        <w:pageBreakBefore w:val="0"/>
        <w:widowControl w:val="0"/>
        <w:numPr>
          <w:ilvl w:val="0"/>
          <w:numId w:val="0"/>
        </w:numPr>
        <w:suppressLineNumbers w:val="0"/>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rPr>
        <w:t>（三）严格落实噪声污染防治措施。</w:t>
      </w:r>
      <w:r>
        <w:rPr>
          <w:rFonts w:hint="eastAsia" w:ascii="仿宋_GB2312" w:hAnsi="仿宋_GB2312" w:eastAsia="仿宋_GB2312" w:cs="仿宋_GB2312"/>
          <w:color w:val="auto"/>
          <w:sz w:val="32"/>
          <w:szCs w:val="32"/>
          <w:lang w:val="en-US" w:eastAsia="zh-CN"/>
        </w:rPr>
        <w:t>优先选用低噪声设备，对产生高噪声的设备进行合理布局，并采取必要的减振、隔声、消声等降噪处理，确保厂界噪声达标。</w:t>
      </w:r>
    </w:p>
    <w:p>
      <w:pPr>
        <w:keepNext w:val="0"/>
        <w:keepLines w:val="0"/>
        <w:pageBreakBefore w:val="0"/>
        <w:widowControl w:val="0"/>
        <w:numPr>
          <w:ilvl w:val="0"/>
          <w:numId w:val="0"/>
        </w:numPr>
        <w:suppressLineNumbers w:val="0"/>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严格落实固废污染防治措施。</w:t>
      </w:r>
      <w:r>
        <w:rPr>
          <w:rFonts w:hint="default"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lang w:val="en-US" w:eastAsia="zh-CN"/>
        </w:rPr>
        <w:t>北厂区</w:t>
      </w:r>
      <w:r>
        <w:rPr>
          <w:rFonts w:hint="default" w:ascii="仿宋_GB2312" w:hAnsi="仿宋_GB2312" w:eastAsia="仿宋_GB2312" w:cs="仿宋_GB2312"/>
          <w:color w:val="auto"/>
          <w:sz w:val="32"/>
          <w:szCs w:val="32"/>
          <w:lang w:val="en-US" w:eastAsia="zh-CN"/>
        </w:rPr>
        <w:t>产生的危险废物为废活性炭</w:t>
      </w:r>
      <w:r>
        <w:rPr>
          <w:rFonts w:hint="eastAsia" w:ascii="仿宋_GB2312" w:hAnsi="仿宋_GB2312" w:eastAsia="仿宋_GB2312" w:cs="仿宋_GB2312"/>
          <w:color w:val="auto"/>
          <w:sz w:val="32"/>
          <w:szCs w:val="32"/>
          <w:lang w:val="en-US" w:eastAsia="zh-CN"/>
        </w:rPr>
        <w:t>，废机油，废机油桶，分类后的</w:t>
      </w:r>
      <w:r>
        <w:rPr>
          <w:rFonts w:hint="default" w:ascii="仿宋_GB2312" w:hAnsi="仿宋_GB2312" w:eastAsia="仿宋_GB2312" w:cs="仿宋_GB2312"/>
          <w:color w:val="auto"/>
          <w:sz w:val="32"/>
          <w:szCs w:val="32"/>
          <w:lang w:val="en-US" w:eastAsia="zh-CN"/>
        </w:rPr>
        <w:t>含油抹布、废劳保用品</w:t>
      </w:r>
      <w:r>
        <w:rPr>
          <w:rFonts w:hint="eastAsia" w:ascii="仿宋_GB2312" w:hAnsi="仿宋_GB2312" w:eastAsia="仿宋_GB2312" w:cs="仿宋_GB2312"/>
          <w:color w:val="auto"/>
          <w:sz w:val="32"/>
          <w:szCs w:val="32"/>
          <w:lang w:val="en-US" w:eastAsia="zh-CN"/>
        </w:rPr>
        <w:t>。项目新建一座20㎡危废暂存间。</w:t>
      </w:r>
      <w:r>
        <w:rPr>
          <w:rFonts w:hint="default" w:ascii="仿宋_GB2312" w:hAnsi="仿宋_GB2312" w:eastAsia="仿宋_GB2312" w:cs="仿宋_GB2312"/>
          <w:color w:val="auto"/>
          <w:sz w:val="32"/>
          <w:szCs w:val="32"/>
          <w:lang w:val="en-US" w:eastAsia="zh-CN"/>
        </w:rPr>
        <w:t>强化危险废物的暂存和管理，定期委托资质单位安全处置。一般工业固体废弃物主要为废</w:t>
      </w:r>
      <w:r>
        <w:rPr>
          <w:rFonts w:hint="eastAsia" w:ascii="仿宋_GB2312" w:hAnsi="仿宋_GB2312" w:eastAsia="仿宋_GB2312" w:cs="仿宋_GB2312"/>
          <w:color w:val="auto"/>
          <w:sz w:val="32"/>
          <w:szCs w:val="32"/>
          <w:lang w:val="en-US" w:eastAsia="zh-CN"/>
        </w:rPr>
        <w:t>包装材料、</w:t>
      </w:r>
      <w:r>
        <w:rPr>
          <w:rFonts w:hint="default" w:ascii="仿宋_GB2312" w:hAnsi="仿宋_GB2312" w:eastAsia="仿宋_GB2312" w:cs="仿宋_GB2312"/>
          <w:color w:val="auto"/>
          <w:sz w:val="32"/>
          <w:szCs w:val="32"/>
          <w:lang w:val="en-US" w:eastAsia="zh-CN"/>
        </w:rPr>
        <w:t>边角料</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不合格品</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废</w:t>
      </w:r>
      <w:r>
        <w:rPr>
          <w:rFonts w:hint="eastAsia" w:ascii="仿宋_GB2312" w:hAnsi="仿宋_GB2312" w:eastAsia="仿宋_GB2312" w:cs="仿宋_GB2312"/>
          <w:color w:val="auto"/>
          <w:sz w:val="32"/>
          <w:szCs w:val="32"/>
          <w:lang w:val="en-US" w:eastAsia="zh-CN"/>
        </w:rPr>
        <w:t>包装材交由厂家回收处理；</w:t>
      </w:r>
      <w:r>
        <w:rPr>
          <w:rFonts w:hint="default" w:ascii="仿宋_GB2312" w:hAnsi="仿宋_GB2312" w:eastAsia="仿宋_GB2312" w:cs="仿宋_GB2312"/>
          <w:color w:val="auto"/>
          <w:sz w:val="32"/>
          <w:szCs w:val="32"/>
          <w:lang w:val="en-US" w:eastAsia="zh-CN"/>
        </w:rPr>
        <w:t>边角料</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不合格品</w:t>
      </w:r>
      <w:r>
        <w:rPr>
          <w:rFonts w:hint="eastAsia" w:ascii="仿宋_GB2312" w:hAnsi="仿宋_GB2312" w:eastAsia="仿宋_GB2312" w:cs="仿宋_GB2312"/>
          <w:color w:val="auto"/>
          <w:sz w:val="32"/>
          <w:szCs w:val="32"/>
          <w:lang w:val="en-US" w:eastAsia="zh-CN"/>
        </w:rPr>
        <w:t>经收集后外售综合利用。生活垃圾经收集后交由环卫部门统一清运处理。</w:t>
      </w:r>
    </w:p>
    <w:p>
      <w:pPr>
        <w:keepNext w:val="0"/>
        <w:keepLines w:val="0"/>
        <w:pageBreakBefore w:val="0"/>
        <w:widowControl w:val="0"/>
        <w:numPr>
          <w:ilvl w:val="0"/>
          <w:numId w:val="0"/>
        </w:numPr>
        <w:suppressLineNumbers w:val="0"/>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lang w:val="en-US" w:eastAsia="zh-CN"/>
        </w:rPr>
        <w:t>南厂区</w:t>
      </w:r>
      <w:r>
        <w:rPr>
          <w:rFonts w:hint="default" w:ascii="仿宋_GB2312" w:hAnsi="仿宋_GB2312" w:eastAsia="仿宋_GB2312" w:cs="仿宋_GB2312"/>
          <w:color w:val="auto"/>
          <w:sz w:val="32"/>
          <w:szCs w:val="32"/>
          <w:lang w:val="en-US" w:eastAsia="zh-CN"/>
        </w:rPr>
        <w:t>产生的危险废物为DMAC废液</w:t>
      </w:r>
      <w:r>
        <w:rPr>
          <w:rFonts w:hint="eastAsia" w:ascii="仿宋_GB2312" w:hAnsi="仿宋_GB2312" w:eastAsia="仿宋_GB2312" w:cs="仿宋_GB2312"/>
          <w:color w:val="auto"/>
          <w:sz w:val="32"/>
          <w:szCs w:val="32"/>
          <w:lang w:val="en-US" w:eastAsia="zh-CN"/>
        </w:rPr>
        <w:t>，废机油，废机油桶，分类后的</w:t>
      </w:r>
      <w:r>
        <w:rPr>
          <w:rFonts w:hint="default" w:ascii="仿宋_GB2312" w:hAnsi="仿宋_GB2312" w:eastAsia="仿宋_GB2312" w:cs="仿宋_GB2312"/>
          <w:color w:val="auto"/>
          <w:sz w:val="32"/>
          <w:szCs w:val="32"/>
          <w:lang w:val="en-US" w:eastAsia="zh-CN"/>
        </w:rPr>
        <w:t>含油抹布、废劳保用品</w:t>
      </w:r>
      <w:r>
        <w:rPr>
          <w:rFonts w:hint="eastAsia" w:ascii="仿宋_GB2312" w:hAnsi="仿宋_GB2312" w:eastAsia="仿宋_GB2312" w:cs="仿宋_GB2312"/>
          <w:color w:val="auto"/>
          <w:sz w:val="32"/>
          <w:szCs w:val="32"/>
          <w:lang w:val="en-US" w:eastAsia="zh-CN"/>
        </w:rPr>
        <w:t>。项目新建一座10㎡危废暂存间。</w:t>
      </w:r>
      <w:r>
        <w:rPr>
          <w:rFonts w:hint="default" w:ascii="仿宋_GB2312" w:hAnsi="仿宋_GB2312" w:eastAsia="仿宋_GB2312" w:cs="仿宋_GB2312"/>
          <w:color w:val="auto"/>
          <w:sz w:val="32"/>
          <w:szCs w:val="32"/>
          <w:lang w:val="en-US" w:eastAsia="zh-CN"/>
        </w:rPr>
        <w:t>强化危险废物的暂存和管理，定期委托资质单位安全处置。一般工业固体废弃物主要为除尘器</w:t>
      </w:r>
      <w:r>
        <w:rPr>
          <w:rFonts w:hint="eastAsia" w:ascii="仿宋_GB2312" w:hAnsi="仿宋_GB2312" w:eastAsia="仿宋_GB2312" w:cs="仿宋_GB2312"/>
          <w:color w:val="auto"/>
          <w:sz w:val="32"/>
          <w:szCs w:val="32"/>
          <w:lang w:val="en-US" w:eastAsia="zh-CN"/>
        </w:rPr>
        <w:t>收集的</w:t>
      </w:r>
      <w:r>
        <w:rPr>
          <w:rFonts w:hint="default" w:ascii="仿宋_GB2312" w:hAnsi="仿宋_GB2312" w:eastAsia="仿宋_GB2312" w:cs="仿宋_GB2312"/>
          <w:color w:val="auto"/>
          <w:sz w:val="32"/>
          <w:szCs w:val="32"/>
          <w:lang w:val="en-US" w:eastAsia="zh-CN"/>
        </w:rPr>
        <w:t>粉尘</w:t>
      </w:r>
      <w:r>
        <w:rPr>
          <w:rFonts w:hint="eastAsia" w:ascii="仿宋_GB2312" w:hAnsi="仿宋_GB2312" w:eastAsia="仿宋_GB2312" w:cs="仿宋_GB2312"/>
          <w:color w:val="auto"/>
          <w:sz w:val="32"/>
          <w:szCs w:val="32"/>
          <w:lang w:val="en-US" w:eastAsia="zh-CN"/>
        </w:rPr>
        <w:t>，经收集后外售综合利用。生活垃圾经收集后交由环卫部门统一清运处理。</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kern w:val="2"/>
          <w:sz w:val="32"/>
          <w:szCs w:val="32"/>
        </w:rPr>
        <w:t>（五）严格落实土壤及地下水污染防治措施。</w:t>
      </w:r>
      <w:r>
        <w:rPr>
          <w:rFonts w:hint="eastAsia" w:ascii="仿宋_GB2312" w:hAnsi="仿宋_GB2312" w:eastAsia="仿宋_GB2312" w:cs="仿宋_GB2312"/>
          <w:color w:val="auto"/>
          <w:sz w:val="32"/>
          <w:szCs w:val="32"/>
          <w:lang w:val="en-GB" w:eastAsia="zh-CN"/>
        </w:rPr>
        <w:t>结合环评文件相关内容，对</w:t>
      </w:r>
      <w:r>
        <w:rPr>
          <w:rFonts w:hint="eastAsia" w:ascii="仿宋_GB2312" w:hAnsi="仿宋_GB2312" w:eastAsia="仿宋_GB2312" w:cs="仿宋_GB2312"/>
          <w:color w:val="auto"/>
          <w:sz w:val="32"/>
          <w:szCs w:val="32"/>
          <w:lang w:val="en-US" w:eastAsia="zh-CN"/>
        </w:rPr>
        <w:t>北厂区</w:t>
      </w:r>
      <w:r>
        <w:rPr>
          <w:rFonts w:hint="default" w:ascii="仿宋_GB2312" w:hAnsi="仿宋_GB2312" w:eastAsia="仿宋_GB2312" w:cs="仿宋_GB2312"/>
          <w:color w:val="auto"/>
          <w:sz w:val="32"/>
          <w:szCs w:val="32"/>
          <w:lang w:val="en-US" w:eastAsia="zh-CN"/>
        </w:rPr>
        <w:t>化学品库</w:t>
      </w:r>
      <w:r>
        <w:rPr>
          <w:rFonts w:hint="eastAsia" w:ascii="仿宋_GB2312" w:hAnsi="仿宋_GB2312" w:eastAsia="仿宋_GB2312" w:cs="仿宋_GB2312"/>
          <w:color w:val="auto"/>
          <w:sz w:val="32"/>
          <w:szCs w:val="32"/>
          <w:lang w:val="en-US" w:eastAsia="zh-CN"/>
        </w:rPr>
        <w:t>、危废暂存间</w:t>
      </w:r>
      <w:r>
        <w:rPr>
          <w:rFonts w:hint="eastAsia" w:ascii="仿宋_GB2312" w:hAnsi="仿宋_GB2312" w:eastAsia="仿宋_GB2312" w:cs="仿宋_GB2312"/>
          <w:color w:val="auto"/>
          <w:sz w:val="32"/>
          <w:szCs w:val="32"/>
          <w:lang w:val="en-GB" w:eastAsia="zh-CN"/>
        </w:rPr>
        <w:t>等区域进行重点防渗，对</w:t>
      </w:r>
      <w:r>
        <w:rPr>
          <w:rFonts w:hint="eastAsia" w:ascii="仿宋_GB2312" w:hAnsi="仿宋_GB2312" w:eastAsia="仿宋_GB2312" w:cs="仿宋_GB2312"/>
          <w:color w:val="auto"/>
          <w:sz w:val="32"/>
          <w:szCs w:val="32"/>
          <w:lang w:val="en-US" w:eastAsia="zh-CN"/>
        </w:rPr>
        <w:t>南厂区</w:t>
      </w:r>
      <w:r>
        <w:rPr>
          <w:rFonts w:hint="default" w:ascii="仿宋_GB2312" w:hAnsi="仿宋_GB2312" w:eastAsia="仿宋_GB2312" w:cs="仿宋_GB2312"/>
          <w:color w:val="auto"/>
          <w:sz w:val="32"/>
          <w:szCs w:val="32"/>
          <w:lang w:val="en-GB" w:eastAsia="zh-CN"/>
        </w:rPr>
        <w:t>化学品库、原料罐区、废液罐区、</w:t>
      </w:r>
      <w:r>
        <w:rPr>
          <w:rFonts w:hint="eastAsia" w:ascii="仿宋_GB2312" w:hAnsi="仿宋_GB2312" w:eastAsia="仿宋_GB2312" w:cs="仿宋_GB2312"/>
          <w:color w:val="auto"/>
          <w:sz w:val="32"/>
          <w:szCs w:val="32"/>
          <w:lang w:val="en-US" w:eastAsia="zh-CN"/>
        </w:rPr>
        <w:t>危废暂存间</w:t>
      </w:r>
      <w:r>
        <w:rPr>
          <w:rFonts w:hint="default" w:ascii="仿宋_GB2312" w:hAnsi="仿宋_GB2312" w:eastAsia="仿宋_GB2312" w:cs="仿宋_GB2312"/>
          <w:color w:val="auto"/>
          <w:sz w:val="32"/>
          <w:szCs w:val="32"/>
          <w:lang w:val="en-GB" w:eastAsia="zh-CN"/>
        </w:rPr>
        <w:t>、初期雨水池、应急事故池</w:t>
      </w:r>
      <w:r>
        <w:rPr>
          <w:rFonts w:hint="eastAsia" w:ascii="仿宋_GB2312" w:hAnsi="仿宋_GB2312" w:eastAsia="仿宋_GB2312" w:cs="仿宋_GB2312"/>
          <w:color w:val="auto"/>
          <w:sz w:val="32"/>
          <w:szCs w:val="32"/>
          <w:lang w:val="en-GB" w:eastAsia="zh-CN"/>
        </w:rPr>
        <w:t>等区域进行重点防渗，严格落实重点防渗区、一般防渗区等分区防渗措施，防止</w:t>
      </w:r>
      <w:r>
        <w:rPr>
          <w:rFonts w:hint="eastAsia" w:ascii="仿宋_GB2312" w:hAnsi="仿宋_GB2312" w:eastAsia="仿宋_GB2312" w:cs="仿宋_GB2312"/>
          <w:color w:val="auto"/>
          <w:sz w:val="32"/>
          <w:szCs w:val="32"/>
          <w:lang w:val="en-US" w:eastAsia="zh-CN"/>
        </w:rPr>
        <w:t>污染土壤及地下水。</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楷体" w:hAnsi="楷体" w:eastAsia="楷体" w:cs="楷体"/>
          <w:color w:val="auto"/>
          <w:kern w:val="2"/>
          <w:sz w:val="32"/>
          <w:szCs w:val="32"/>
        </w:rPr>
        <w:t>（六）加强环境风险预防和控制</w:t>
      </w:r>
      <w:r>
        <w:rPr>
          <w:rFonts w:hint="eastAsia" w:ascii="楷体" w:hAnsi="楷体" w:eastAsia="楷体" w:cs="楷体"/>
          <w:color w:val="auto"/>
          <w:sz w:val="32"/>
          <w:szCs w:val="32"/>
        </w:rPr>
        <w:t>。</w:t>
      </w:r>
      <w:r>
        <w:rPr>
          <w:rFonts w:hint="eastAsia" w:ascii="仿宋_GB2312" w:hAnsi="仿宋_GB2312" w:eastAsia="仿宋_GB2312" w:cs="仿宋_GB2312"/>
          <w:color w:val="auto"/>
          <w:kern w:val="2"/>
          <w:sz w:val="32"/>
          <w:szCs w:val="32"/>
          <w:lang w:val="en-US" w:eastAsia="zh-CN" w:bidi="ar-SA"/>
        </w:rPr>
        <w:t>落实《报告表》提出的各项风险防范措施。结合本项目存在的环境风险点，编制环境风险应急预案，依法开展应急演练，确保突发事故状态下的次生环境影响程度可控。本项目南厂区新建一座容积350m³事故池和一座容积250m³初期雨水池。DMAC罐区围堰尺寸为13.3m*9.1m*1m；DMAC废液罐区围堰尺寸为12.1m*3m*1m（4个10方罐区）；12.5m*4m*1m（2和20方罐区），围堰内按储罐储存物质类别再进行分组隔离。</w:t>
      </w:r>
      <w:r>
        <w:rPr>
          <w:rFonts w:hint="default" w:ascii="仿宋_GB2312" w:hAnsi="仿宋_GB2312" w:eastAsia="仿宋_GB2312" w:cs="仿宋_GB2312"/>
          <w:color w:val="auto"/>
          <w:kern w:val="2"/>
          <w:sz w:val="32"/>
          <w:szCs w:val="32"/>
          <w:lang w:val="en-US" w:eastAsia="zh-CN" w:bidi="ar-SA"/>
        </w:rPr>
        <w:t>全厂设置雨、污水总排口控制阀和事故废水切断阀</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结合本项目存在的环境风险点，及时</w:t>
      </w:r>
      <w:r>
        <w:rPr>
          <w:rFonts w:hint="eastAsia" w:ascii="仿宋_GB2312" w:hAnsi="仿宋_GB2312" w:eastAsia="仿宋_GB2312" w:cs="仿宋_GB2312"/>
          <w:color w:val="auto"/>
          <w:kern w:val="2"/>
          <w:sz w:val="32"/>
          <w:szCs w:val="32"/>
          <w:lang w:val="en-US" w:eastAsia="zh-CN" w:bidi="ar-SA"/>
        </w:rPr>
        <w:t>制定</w:t>
      </w:r>
      <w:r>
        <w:rPr>
          <w:rFonts w:hint="default" w:ascii="仿宋_GB2312" w:hAnsi="仿宋_GB2312" w:eastAsia="仿宋_GB2312" w:cs="仿宋_GB2312"/>
          <w:color w:val="auto"/>
          <w:kern w:val="2"/>
          <w:sz w:val="32"/>
          <w:szCs w:val="32"/>
          <w:lang w:val="en-US" w:eastAsia="zh-CN" w:bidi="ar-SA"/>
        </w:rPr>
        <w:t>环境风险应急预案，依法开展应急演练，确保突发事故状态下的次生环境影响程度可控</w:t>
      </w:r>
      <w:r>
        <w:rPr>
          <w:rFonts w:hint="eastAsia" w:ascii="仿宋_GB2312" w:hAnsi="仿宋_GB2312" w:eastAsia="仿宋_GB2312" w:cs="仿宋_GB2312"/>
          <w:color w:val="auto"/>
          <w:kern w:val="2"/>
          <w:sz w:val="32"/>
          <w:szCs w:val="32"/>
          <w:lang w:val="en-US" w:eastAsia="zh-CN" w:bidi="ar-SA"/>
        </w:rPr>
        <w:t>。</w:t>
      </w:r>
      <w:r>
        <w:rPr>
          <w:rFonts w:hint="default" w:ascii="仿宋_GB2312" w:hAnsi="仿宋_GB2312" w:eastAsia="仿宋_GB2312" w:cs="仿宋_GB2312"/>
          <w:color w:val="auto"/>
          <w:kern w:val="2"/>
          <w:sz w:val="32"/>
          <w:szCs w:val="32"/>
          <w:lang w:val="en-US" w:eastAsia="zh-CN" w:bidi="ar-SA"/>
        </w:rPr>
        <w:t>本</w:t>
      </w:r>
      <w:r>
        <w:rPr>
          <w:rFonts w:hint="eastAsia" w:ascii="仿宋_GB2312" w:hAnsi="仿宋_GB2312" w:eastAsia="仿宋_GB2312" w:cs="仿宋_GB2312"/>
          <w:color w:val="auto"/>
          <w:kern w:val="2"/>
          <w:sz w:val="32"/>
          <w:szCs w:val="32"/>
          <w:lang w:val="en-US" w:eastAsia="zh-CN" w:bidi="ar-SA"/>
        </w:rPr>
        <w:t>项目以生产车间（闪蒸造粒车间）设置50米</w:t>
      </w:r>
      <w:r>
        <w:rPr>
          <w:rFonts w:hint="default" w:ascii="仿宋_GB2312" w:hAnsi="仿宋_GB2312" w:eastAsia="仿宋_GB2312" w:cs="仿宋_GB2312"/>
          <w:color w:val="auto"/>
          <w:kern w:val="2"/>
          <w:sz w:val="32"/>
          <w:szCs w:val="32"/>
          <w:lang w:val="en-US" w:eastAsia="zh-CN" w:bidi="ar-SA"/>
        </w:rPr>
        <w:t>卫生防护距离</w:t>
      </w:r>
      <w:r>
        <w:rPr>
          <w:rFonts w:hint="eastAsia" w:ascii="仿宋_GB2312" w:hAnsi="仿宋_GB2312" w:eastAsia="仿宋_GB2312" w:cs="仿宋_GB2312"/>
          <w:color w:val="auto"/>
          <w:kern w:val="2"/>
          <w:sz w:val="32"/>
          <w:szCs w:val="32"/>
          <w:lang w:val="en-US" w:eastAsia="zh-CN" w:bidi="ar-SA"/>
        </w:rPr>
        <w:t>。你公司应主动告知当地政府做好环境防护距离内规划控制工作，不得在防护范围内建设居民住宅、医院、学校等环境敏感建筑物。园区应建立风险防控体系，完善公共应急事故池、园区污水截止阀等设施，确保事故状态下及时阻止污水流向外环境。</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三、环境管理要求</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项目建设过程中应严格执行环境保护“三同时”制度。项目建成后，及时申请排污许可证，项目竣工后应及时对配套建设的环境保护设施进行验收，验收合格后方可使用。如有环境功能区划调整、新标准制定实施等情况，按照要求变更执行标准。</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四、环评执行标准</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ascii="楷体" w:hAnsi="楷体" w:eastAsia="楷体" w:cs="楷体"/>
          <w:color w:val="auto"/>
          <w:kern w:val="2"/>
          <w:sz w:val="32"/>
          <w:szCs w:val="32"/>
        </w:rPr>
      </w:pPr>
      <w:r>
        <w:rPr>
          <w:rFonts w:ascii="楷体" w:hAnsi="楷体" w:eastAsia="楷体" w:cs="楷体"/>
          <w:color w:val="auto"/>
          <w:kern w:val="2"/>
          <w:sz w:val="32"/>
          <w:szCs w:val="32"/>
        </w:rPr>
        <w:t>1.</w:t>
      </w:r>
      <w:r>
        <w:rPr>
          <w:rFonts w:hint="eastAsia" w:ascii="楷体" w:hAnsi="楷体" w:eastAsia="楷体" w:cs="楷体"/>
          <w:color w:val="auto"/>
          <w:kern w:val="2"/>
          <w:sz w:val="32"/>
          <w:szCs w:val="32"/>
        </w:rPr>
        <w:t>废气排放</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项目北厂区废气</w:t>
      </w:r>
      <w:r>
        <w:rPr>
          <w:rFonts w:hint="default" w:ascii="仿宋_GB2312" w:hAnsi="仿宋_GB2312" w:eastAsia="仿宋_GB2312" w:cs="仿宋_GB2312"/>
          <w:color w:val="auto"/>
          <w:sz w:val="32"/>
          <w:szCs w:val="32"/>
          <w:lang w:val="en-US" w:eastAsia="zh-CN"/>
        </w:rPr>
        <w:t>非甲烷总烃排放执行《大气污染物综合排放标准》（GB 16297-1996）表2标准限值</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厂区内非甲烷总烃无组织排放执行《挥发性有机物无组织排放控制标准》(GB37822-2019)表A1厂区内VOCs无组织排放限值</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厂区无组织氯乙烯、氯化氢执行《大气污染物综合排放标准》</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GB16297-1996</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表2标准限值。</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项目南厂区废气</w:t>
      </w:r>
      <w:r>
        <w:rPr>
          <w:rFonts w:hint="default" w:ascii="仿宋_GB2312" w:hAnsi="仿宋_GB2312" w:eastAsia="仿宋_GB2312" w:cs="仿宋_GB2312"/>
          <w:color w:val="auto"/>
          <w:sz w:val="32"/>
          <w:szCs w:val="32"/>
          <w:lang w:val="en-US" w:eastAsia="zh-CN"/>
        </w:rPr>
        <w:t>颗粒物排放执行《大气污染物综合排放标准》（GB 16297-1996）表2标准限值</w:t>
      </w:r>
      <w:r>
        <w:rPr>
          <w:rFonts w:hint="eastAsia" w:ascii="仿宋_GB2312" w:hAnsi="仿宋_GB2312" w:eastAsia="仿宋_GB2312" w:cs="仿宋_GB2312"/>
          <w:color w:val="auto"/>
          <w:sz w:val="32"/>
          <w:szCs w:val="32"/>
          <w:lang w:val="en-US" w:eastAsia="zh-CN"/>
        </w:rPr>
        <w:t>；DMAC</w:t>
      </w:r>
      <w:r>
        <w:rPr>
          <w:rFonts w:hint="default" w:ascii="仿宋_GB2312" w:hAnsi="仿宋_GB2312" w:eastAsia="仿宋_GB2312" w:cs="仿宋_GB2312"/>
          <w:color w:val="auto"/>
          <w:sz w:val="32"/>
          <w:szCs w:val="32"/>
          <w:lang w:val="en-US" w:eastAsia="zh-CN"/>
        </w:rPr>
        <w:t>排放执行</w:t>
      </w:r>
      <w:r>
        <w:rPr>
          <w:rFonts w:hint="eastAsia" w:ascii="仿宋_GB2312" w:hAnsi="仿宋_GB2312" w:eastAsia="仿宋_GB2312" w:cs="仿宋_GB2312"/>
          <w:color w:val="auto"/>
          <w:sz w:val="32"/>
          <w:szCs w:val="32"/>
          <w:lang w:val="en-US" w:eastAsia="zh-CN"/>
        </w:rPr>
        <w:t>《石油化学工业污染物排放标准》（GB31571-2015）中相关标准中限值要求；</w:t>
      </w:r>
      <w:r>
        <w:rPr>
          <w:rFonts w:hint="default" w:ascii="仿宋_GB2312" w:hAnsi="仿宋_GB2312" w:eastAsia="仿宋_GB2312" w:cs="仿宋_GB2312"/>
          <w:color w:val="auto"/>
          <w:sz w:val="32"/>
          <w:szCs w:val="32"/>
          <w:lang w:val="en-US" w:eastAsia="zh-CN"/>
        </w:rPr>
        <w:t>厂区内非甲烷总烃无组织排放执行《挥发性有机物无组织排放控制标准》(GB37822-2019)表A1厂区内VOCs无组织排放限值</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厂区无组织颗粒物执行《大气污染物综合排放标准》</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GB16297-1996</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表2标准限值。</w:t>
      </w:r>
    </w:p>
    <w:tbl>
      <w:tblPr>
        <w:tblStyle w:val="17"/>
        <w:tblpPr w:leftFromText="180" w:rightFromText="180" w:vertAnchor="text" w:horzAnchor="page" w:tblpX="1570" w:tblpY="109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keepNext w:val="0"/>
              <w:keepLines w:val="0"/>
              <w:pageBreakBefore w:val="0"/>
              <w:widowControl w:val="0"/>
              <w:tabs>
                <w:tab w:val="left" w:pos="3990"/>
              </w:tabs>
              <w:kinsoku/>
              <w:wordWrap/>
              <w:overflowPunct/>
              <w:topLinePunct/>
              <w:autoSpaceDE/>
              <w:autoSpaceDN/>
              <w:bidi w:val="0"/>
              <w:adjustRightInd/>
              <w:snapToGrid/>
              <w:spacing w:line="560" w:lineRule="exact"/>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抄送：</w:t>
            </w:r>
            <w:r>
              <w:rPr>
                <w:rFonts w:hint="eastAsia" w:ascii="仿宋_GB2312" w:hAnsi="宋?" w:eastAsia="仿宋_GB2312"/>
                <w:color w:val="auto"/>
                <w:sz w:val="32"/>
                <w:szCs w:val="32"/>
              </w:rPr>
              <w:t>潘集生态环境保护综合行政执法大队、</w:t>
            </w:r>
            <w:r>
              <w:rPr>
                <w:rFonts w:hint="eastAsia" w:ascii="仿宋_GB2312" w:hAnsi="宋?" w:eastAsia="仿宋_GB2312"/>
                <w:color w:val="auto"/>
                <w:sz w:val="32"/>
                <w:szCs w:val="32"/>
                <w:lang w:eastAsia="zh-CN"/>
              </w:rPr>
              <w:t>安徽鑫辉宇环境工程有限公司</w:t>
            </w:r>
            <w:r>
              <w:rPr>
                <w:rFonts w:hint="eastAsia" w:ascii="仿宋_GB2312" w:hAnsi="宋?" w:eastAsia="仿宋_GB2312"/>
                <w:color w:val="auto"/>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keepNext w:val="0"/>
              <w:keepLines w:val="0"/>
              <w:pageBreakBefore w:val="0"/>
              <w:widowControl w:val="0"/>
              <w:tabs>
                <w:tab w:val="left" w:pos="3990"/>
              </w:tabs>
              <w:kinsoku/>
              <w:wordWrap/>
              <w:overflowPunct/>
              <w:topLinePunct/>
              <w:autoSpaceDE/>
              <w:autoSpaceDN/>
              <w:bidi w:val="0"/>
              <w:adjustRightInd/>
              <w:snapToGrid/>
              <w:spacing w:line="560" w:lineRule="exact"/>
              <w:jc w:val="left"/>
              <w:textAlignment w:val="auto"/>
              <w:rPr>
                <w:rFonts w:ascii="仿宋_GB2312" w:hAnsi="仿宋" w:eastAsia="仿宋_GB2312"/>
                <w:color w:val="auto"/>
                <w:sz w:val="32"/>
                <w:szCs w:val="32"/>
              </w:rPr>
            </w:pPr>
            <w:r>
              <w:rPr>
                <w:rFonts w:hint="eastAsia" w:ascii="仿宋_GB2312" w:hAnsi="仿宋" w:eastAsia="仿宋_GB2312"/>
                <w:color w:val="auto"/>
                <w:sz w:val="32"/>
                <w:szCs w:val="32"/>
              </w:rPr>
              <w:t>淮南市潘集区生态环境分局</w:t>
            </w:r>
            <w:r>
              <w:rPr>
                <w:rFonts w:ascii="仿宋_GB2312" w:hAnsi="仿宋" w:eastAsia="仿宋_GB2312"/>
                <w:color w:val="auto"/>
                <w:sz w:val="32"/>
                <w:szCs w:val="32"/>
              </w:rPr>
              <w:t xml:space="preserve">           </w:t>
            </w:r>
            <w:r>
              <w:rPr>
                <w:rFonts w:hint="eastAsia" w:ascii="仿宋_GB2312" w:hAnsi="仿宋" w:eastAsia="仿宋_GB2312"/>
                <w:color w:val="auto"/>
                <w:sz w:val="32"/>
                <w:szCs w:val="32"/>
                <w:lang w:val="en-US" w:eastAsia="zh-CN"/>
              </w:rPr>
              <w:t xml:space="preserve"> </w:t>
            </w:r>
            <w:r>
              <w:rPr>
                <w:rFonts w:ascii="仿宋_GB2312" w:hAnsi="仿宋" w:eastAsia="仿宋_GB2312"/>
                <w:color w:val="auto"/>
                <w:sz w:val="32"/>
                <w:szCs w:val="32"/>
              </w:rPr>
              <w:t>20</w:t>
            </w:r>
            <w:r>
              <w:rPr>
                <w:rFonts w:ascii="仿宋_GB2312" w:hAnsi="仿宋" w:eastAsia="仿宋_GB2312" w:cs="宋?"/>
                <w:color w:val="auto"/>
                <w:sz w:val="32"/>
                <w:szCs w:val="32"/>
              </w:rPr>
              <w:t>2</w:t>
            </w:r>
            <w:r>
              <w:rPr>
                <w:rFonts w:hint="eastAsia" w:ascii="仿宋_GB2312" w:hAnsi="仿宋" w:eastAsia="仿宋_GB2312" w:cs="宋?"/>
                <w:color w:val="auto"/>
                <w:sz w:val="32"/>
                <w:szCs w:val="32"/>
                <w:lang w:val="en-US" w:eastAsia="zh-CN"/>
              </w:rPr>
              <w:t>4</w:t>
            </w:r>
            <w:r>
              <w:rPr>
                <w:rFonts w:hint="eastAsia" w:ascii="仿宋_GB2312" w:hAnsi="仿宋" w:eastAsia="仿宋_GB2312" w:cs="宋?"/>
                <w:color w:val="auto"/>
                <w:sz w:val="32"/>
                <w:szCs w:val="32"/>
              </w:rPr>
              <w:t>年</w:t>
            </w:r>
            <w:r>
              <w:rPr>
                <w:rFonts w:hint="eastAsia" w:ascii="仿宋_GB2312" w:hAnsi="仿宋" w:eastAsia="仿宋_GB2312" w:cs="宋?"/>
                <w:color w:val="auto"/>
                <w:sz w:val="32"/>
                <w:szCs w:val="32"/>
                <w:lang w:val="en-US" w:eastAsia="zh-CN"/>
              </w:rPr>
              <w:t>4</w:t>
            </w:r>
            <w:r>
              <w:rPr>
                <w:rFonts w:hint="eastAsia" w:ascii="仿宋_GB2312" w:hAnsi="仿宋" w:eastAsia="仿宋_GB2312" w:cs="宋?"/>
                <w:color w:val="auto"/>
                <w:sz w:val="32"/>
                <w:szCs w:val="32"/>
              </w:rPr>
              <w:t>月</w:t>
            </w:r>
            <w:r>
              <w:rPr>
                <w:rFonts w:hint="eastAsia" w:ascii="仿宋_GB2312" w:hAnsi="仿宋" w:eastAsia="仿宋_GB2312" w:cs="宋?"/>
                <w:color w:val="auto"/>
                <w:sz w:val="32"/>
                <w:szCs w:val="32"/>
                <w:lang w:val="en-US" w:eastAsia="zh-CN"/>
              </w:rPr>
              <w:t>11</w:t>
            </w:r>
            <w:r>
              <w:rPr>
                <w:rFonts w:hint="eastAsia" w:ascii="仿宋_GB2312" w:hAnsi="仿宋" w:eastAsia="仿宋_GB2312"/>
                <w:color w:val="auto"/>
                <w:sz w:val="32"/>
                <w:szCs w:val="32"/>
              </w:rPr>
              <w:t>日印发</w:t>
            </w:r>
          </w:p>
        </w:tc>
      </w:tr>
    </w:tbl>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ascii="楷体" w:hAnsi="楷体" w:eastAsia="楷体" w:cs="楷体"/>
          <w:color w:val="auto"/>
          <w:sz w:val="32"/>
          <w:szCs w:val="32"/>
        </w:rPr>
      </w:pPr>
      <w:r>
        <w:rPr>
          <w:rFonts w:ascii="楷体" w:hAnsi="楷体" w:eastAsia="楷体" w:cs="楷体"/>
          <w:color w:val="auto"/>
          <w:sz w:val="32"/>
          <w:szCs w:val="32"/>
        </w:rPr>
        <w:t>2.</w:t>
      </w:r>
      <w:r>
        <w:rPr>
          <w:rFonts w:hint="eastAsia" w:ascii="楷体" w:hAnsi="楷体" w:eastAsia="楷体" w:cs="楷体"/>
          <w:color w:val="auto"/>
          <w:sz w:val="32"/>
          <w:szCs w:val="32"/>
        </w:rPr>
        <w:t>污水排放</w:t>
      </w:r>
    </w:p>
    <w:p>
      <w:pPr>
        <w:keepNext w:val="0"/>
        <w:keepLines w:val="0"/>
        <w:pageBreakBefore w:val="0"/>
        <w:widowControl w:val="0"/>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项目废水</w:t>
      </w:r>
      <w:r>
        <w:rPr>
          <w:rFonts w:hint="eastAsia" w:ascii="仿宋_GB2312" w:hAnsi="仿宋_GB2312" w:eastAsia="仿宋_GB2312" w:cs="仿宋_GB2312"/>
          <w:color w:val="auto"/>
          <w:sz w:val="32"/>
          <w:szCs w:val="32"/>
          <w:lang w:val="en-US" w:eastAsia="zh-CN"/>
        </w:rPr>
        <w:t>执行《污水综合排放标准》(GB8978-1996)三级标准及煤化工园区污水处理厂接管标准最严值</w:t>
      </w:r>
      <w:r>
        <w:rPr>
          <w:rFonts w:hint="default" w:ascii="仿宋_GB2312" w:hAnsi="仿宋_GB2312" w:eastAsia="仿宋_GB2312" w:cs="仿宋_GB2312"/>
          <w:color w:val="auto"/>
          <w:sz w:val="32"/>
          <w:szCs w:val="32"/>
          <w:lang w:val="en-US" w:eastAsia="zh-CN"/>
        </w:rPr>
        <w:t>。</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ascii="楷体" w:hAnsi="楷体" w:eastAsia="楷体" w:cs="楷体"/>
          <w:color w:val="auto"/>
          <w:sz w:val="32"/>
          <w:szCs w:val="32"/>
        </w:rPr>
      </w:pPr>
      <w:r>
        <w:rPr>
          <w:rFonts w:ascii="楷体" w:hAnsi="楷体" w:eastAsia="楷体" w:cs="楷体"/>
          <w:color w:val="auto"/>
          <w:sz w:val="32"/>
          <w:szCs w:val="32"/>
        </w:rPr>
        <w:t>3.</w:t>
      </w:r>
      <w:r>
        <w:rPr>
          <w:rFonts w:hint="eastAsia" w:ascii="楷体" w:hAnsi="楷体" w:eastAsia="楷体" w:cs="楷体"/>
          <w:color w:val="auto"/>
          <w:sz w:val="32"/>
          <w:szCs w:val="32"/>
        </w:rPr>
        <w:t>声环境及噪声排放</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项目营运期厂界噪声执行《工业企业厂界环境噪声排放标准》（</w:t>
      </w:r>
      <w:r>
        <w:rPr>
          <w:rFonts w:ascii="仿宋_GB2312" w:hAnsi="仿宋_GB2312" w:eastAsia="仿宋_GB2312" w:cs="仿宋_GB2312"/>
          <w:color w:val="auto"/>
          <w:kern w:val="2"/>
          <w:sz w:val="32"/>
          <w:szCs w:val="32"/>
        </w:rPr>
        <w:t>GB12348-2008</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类标准。</w:t>
      </w:r>
    </w:p>
    <w:p>
      <w:pPr>
        <w:pStyle w:val="15"/>
        <w:keepNext w:val="0"/>
        <w:keepLines w:val="0"/>
        <w:pageBreakBefore w:val="0"/>
        <w:widowControl w:val="0"/>
        <w:kinsoku/>
        <w:wordWrap/>
        <w:overflowPunct/>
        <w:topLinePunct/>
        <w:autoSpaceDE/>
        <w:autoSpaceDN/>
        <w:bidi w:val="0"/>
        <w:adjustRightInd/>
        <w:snapToGrid/>
        <w:spacing w:beforeAutospacing="0" w:afterAutospacing="0" w:line="56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一般工业固体废物存放须执行《一般工业固体废物贮存和填埋污染控制标准》（</w:t>
      </w:r>
      <w:r>
        <w:rPr>
          <w:rFonts w:ascii="仿宋_GB2312" w:hAnsi="仿宋_GB2312" w:eastAsia="仿宋_GB2312" w:cs="仿宋_GB2312"/>
          <w:color w:val="auto"/>
          <w:sz w:val="32"/>
          <w:szCs w:val="32"/>
        </w:rPr>
        <w:t>GB18599-2020</w:t>
      </w:r>
      <w:r>
        <w:rPr>
          <w:rFonts w:hint="eastAsia" w:ascii="仿宋_GB2312" w:hAnsi="仿宋_GB2312" w:eastAsia="仿宋_GB2312" w:cs="仿宋_GB2312"/>
          <w:color w:val="auto"/>
          <w:sz w:val="32"/>
          <w:szCs w:val="32"/>
        </w:rPr>
        <w:t>）；危险废物贮存执行《危险废物贮存污染控制标准》（</w:t>
      </w:r>
      <w:r>
        <w:rPr>
          <w:rFonts w:ascii="仿宋_GB2312" w:hAnsi="仿宋_GB2312" w:eastAsia="仿宋_GB2312" w:cs="仿宋_GB2312"/>
          <w:color w:val="auto"/>
          <w:sz w:val="32"/>
          <w:szCs w:val="32"/>
        </w:rPr>
        <w:t>GB18597-2023</w:t>
      </w:r>
      <w:r>
        <w:rPr>
          <w:rFonts w:hint="eastAsia" w:ascii="仿宋_GB2312" w:hAnsi="仿宋_GB2312" w:eastAsia="仿宋_GB2312" w:cs="仿宋_GB2312"/>
          <w:color w:val="auto"/>
          <w:sz w:val="32"/>
          <w:szCs w:val="32"/>
        </w:rPr>
        <w:t>）中的相关规定。</w:t>
      </w:r>
    </w:p>
    <w:p>
      <w:pPr>
        <w:keepNext w:val="0"/>
        <w:keepLines w:val="0"/>
        <w:pageBreakBefore w:val="0"/>
        <w:widowControl w:val="0"/>
        <w:tabs>
          <w:tab w:val="left" w:pos="3990"/>
        </w:tabs>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5.如有环境功能区划调整、新标准制定实施等情况，按照要求变更执行标准。</w:t>
      </w:r>
    </w:p>
    <w:p>
      <w:pPr>
        <w:keepNext w:val="0"/>
        <w:keepLines w:val="0"/>
        <w:pageBreakBefore w:val="0"/>
        <w:widowControl w:val="0"/>
        <w:tabs>
          <w:tab w:val="left" w:pos="3990"/>
        </w:tabs>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五、请潘集生态环境保护综合行政执法大队做好工程施工期和运营期的事中事后生态环境监管工作。</w:t>
      </w:r>
    </w:p>
    <w:p>
      <w:pPr>
        <w:keepNext w:val="0"/>
        <w:keepLines w:val="0"/>
        <w:pageBreakBefore w:val="0"/>
        <w:widowControl w:val="0"/>
        <w:tabs>
          <w:tab w:val="left" w:pos="3990"/>
        </w:tabs>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tabs>
          <w:tab w:val="left" w:pos="3990"/>
        </w:tabs>
        <w:kinsoku/>
        <w:wordWrap/>
        <w:overflowPunct/>
        <w:topLinePunct/>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tabs>
          <w:tab w:val="left" w:pos="3990"/>
        </w:tabs>
        <w:kinsoku/>
        <w:wordWrap/>
        <w:overflowPunct/>
        <w:topLinePunct/>
        <w:autoSpaceDE/>
        <w:autoSpaceDN/>
        <w:bidi w:val="0"/>
        <w:adjustRightInd/>
        <w:snapToGrid/>
        <w:spacing w:line="560" w:lineRule="exact"/>
        <w:ind w:firstLine="640" w:firstLineChars="200"/>
        <w:jc w:val="center"/>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w:t>
      </w:r>
      <w:bookmarkStart w:id="0" w:name="_GoBack"/>
      <w:bookmarkEnd w:id="0"/>
      <w:r>
        <w:rPr>
          <w:rFonts w:ascii="仿宋_GB2312" w:hAnsi="仿宋" w:eastAsia="仿宋_GB2312"/>
          <w:color w:val="auto"/>
          <w:sz w:val="32"/>
          <w:szCs w:val="32"/>
        </w:rPr>
        <w:t>202</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11</w:t>
      </w:r>
      <w:r>
        <w:rPr>
          <w:rFonts w:hint="eastAsia" w:ascii="仿宋_GB2312" w:hAnsi="仿宋" w:eastAsia="仿宋_GB2312"/>
          <w:color w:val="auto"/>
          <w:sz w:val="32"/>
          <w:szCs w:val="32"/>
        </w:rPr>
        <w:t>日</w:t>
      </w:r>
      <w:r>
        <w:rPr>
          <w:rFonts w:ascii="仿宋_GB2312" w:hAnsi="仿宋" w:eastAsia="仿宋_GB2312"/>
          <w:color w:val="auto"/>
          <w:sz w:val="32"/>
          <w:szCs w:val="32"/>
        </w:rPr>
        <w:t xml:space="preserve"> </w:t>
      </w:r>
    </w:p>
    <w:p>
      <w:pPr>
        <w:keepNext w:val="0"/>
        <w:keepLines w:val="0"/>
        <w:pageBreakBefore w:val="0"/>
        <w:widowControl w:val="0"/>
        <w:tabs>
          <w:tab w:val="left" w:pos="3990"/>
        </w:tabs>
        <w:kinsoku/>
        <w:wordWrap w:val="0"/>
        <w:overflowPunct/>
        <w:topLinePunct/>
        <w:autoSpaceDE/>
        <w:autoSpaceDN/>
        <w:bidi w:val="0"/>
        <w:adjustRightInd/>
        <w:snapToGrid/>
        <w:spacing w:line="540" w:lineRule="exact"/>
        <w:jc w:val="both"/>
        <w:textAlignment w:val="auto"/>
        <w:rPr>
          <w:rFonts w:hint="eastAsia" w:ascii="仿宋_GB2312" w:hAnsi="仿宋" w:eastAsia="仿宋_GB2312"/>
          <w:color w:val="auto"/>
          <w:sz w:val="32"/>
          <w:szCs w:val="32"/>
          <w:lang w:val="en-US" w:eastAsia="zh-CN"/>
        </w:rPr>
      </w:pPr>
    </w:p>
    <w:p>
      <w:pPr>
        <w:keepNext w:val="0"/>
        <w:keepLines w:val="0"/>
        <w:pageBreakBefore w:val="0"/>
        <w:widowControl w:val="0"/>
        <w:tabs>
          <w:tab w:val="left" w:pos="3990"/>
        </w:tabs>
        <w:kinsoku/>
        <w:wordWrap/>
        <w:overflowPunct/>
        <w:topLinePunct/>
        <w:autoSpaceDE/>
        <w:autoSpaceDN/>
        <w:bidi w:val="0"/>
        <w:adjustRightInd/>
        <w:snapToGrid/>
        <w:spacing w:line="540" w:lineRule="exact"/>
        <w:ind w:firstLine="640" w:firstLineChars="200"/>
        <w:jc w:val="left"/>
        <w:textAlignment w:val="auto"/>
      </w:pPr>
      <w:r>
        <w:rPr>
          <w:rFonts w:hint="eastAsia" w:ascii="仿宋_GB2312" w:hAnsi="仿宋" w:eastAsia="仿宋_GB2312"/>
          <w:color w:val="auto"/>
          <w:sz w:val="32"/>
          <w:szCs w:val="32"/>
          <w:lang w:val="en-US" w:eastAsia="zh-CN"/>
        </w:rPr>
        <w:t xml:space="preserve">                                  </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4C3D71-6D3F-44A6-B6D8-6A372583528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
    <w:altName w:val="宋体"/>
    <w:panose1 w:val="00000000000000000000"/>
    <w:charset w:val="81"/>
    <w:family w:val="auto"/>
    <w:pitch w:val="default"/>
    <w:sig w:usb0="00000000" w:usb1="00000000" w:usb2="00000010" w:usb3="00000000" w:csb0="00080000" w:csb1="00000000"/>
    <w:embedRegular r:id="rId2" w:fontKey="{47318E3A-C2AB-46CC-8C0C-2A691919B199}"/>
  </w:font>
  <w:font w:name="monospace">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Microsoft Uighur">
    <w:altName w:val="Trebuchet MS"/>
    <w:panose1 w:val="02000000000000000000"/>
    <w:charset w:val="00"/>
    <w:family w:val="auto"/>
    <w:pitch w:val="default"/>
    <w:sig w:usb0="00000000" w:usb1="00000000" w:usb2="00000008" w:usb3="00000000" w:csb0="00000041" w:csb1="00000000"/>
  </w:font>
  <w:font w:name="仿宋_GB2312">
    <w:panose1 w:val="02010609030101010101"/>
    <w:charset w:val="86"/>
    <w:family w:val="modern"/>
    <w:pitch w:val="default"/>
    <w:sig w:usb0="00000001" w:usb1="080E0000" w:usb2="00000000" w:usb3="00000000" w:csb0="00040000" w:csb1="00000000"/>
    <w:embedRegular r:id="rId3" w:fontKey="{51F1D38D-DBD2-4157-A302-502EB3832905}"/>
  </w:font>
  <w:font w:name="方正小标宋简体">
    <w:panose1 w:val="02000000000000000000"/>
    <w:charset w:val="86"/>
    <w:family w:val="auto"/>
    <w:pitch w:val="default"/>
    <w:sig w:usb0="00000001" w:usb1="08000000" w:usb2="00000000" w:usb3="00000000" w:csb0="00040000" w:csb1="00000000"/>
    <w:embedRegular r:id="rId4" w:fontKey="{F8271AD4-2DC9-4BF8-8A56-9FC7BCEDFEFF}"/>
  </w:font>
  <w:font w:name="楷体">
    <w:panose1 w:val="02010609060101010101"/>
    <w:charset w:val="86"/>
    <w:family w:val="modern"/>
    <w:pitch w:val="default"/>
    <w:sig w:usb0="800002BF" w:usb1="38CF7CFA" w:usb2="00000016" w:usb3="00000000" w:csb0="00040001" w:csb1="00000000"/>
    <w:embedRegular r:id="rId5" w:fontKey="{E98B93A9-C759-4A7B-9E1D-BC27507FA925}"/>
  </w:font>
  <w:font w:name="仿宋">
    <w:panose1 w:val="02010609060101010101"/>
    <w:charset w:val="86"/>
    <w:family w:val="auto"/>
    <w:pitch w:val="default"/>
    <w:sig w:usb0="800002BF" w:usb1="38CF7CFA" w:usb2="00000016" w:usb3="00000000" w:csb0="00040001" w:csb1="00000000"/>
    <w:embedRegular r:id="rId6" w:fontKey="{77F45831-90E0-43A6-B021-2232F75E5BBF}"/>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862CA9"/>
    <w:multiLevelType w:val="multilevel"/>
    <w:tmpl w:val="41862CA9"/>
    <w:lvl w:ilvl="0" w:tentative="0">
      <w:start w:val="1"/>
      <w:numFmt w:val="decimal"/>
      <w:suff w:val="space"/>
      <w:lvlText w:val="%1"/>
      <w:lvlJc w:val="left"/>
      <w:rPr>
        <w:rFonts w:hint="eastAsia" w:cs="Times New Roman"/>
        <w:sz w:val="30"/>
        <w:szCs w:val="30"/>
      </w:rPr>
    </w:lvl>
    <w:lvl w:ilvl="1" w:tentative="0">
      <w:start w:val="1"/>
      <w:numFmt w:val="decimal"/>
      <w:pStyle w:val="45"/>
      <w:suff w:val="space"/>
      <w:lvlText w:val="%1.%2"/>
      <w:lvlJc w:val="left"/>
      <w:pPr>
        <w:ind w:left="1560"/>
      </w:pPr>
      <w:rPr>
        <w:rFonts w:hint="default" w:ascii="Arial" w:hAnsi="Arial" w:cs="Times New Roman"/>
      </w:rPr>
    </w:lvl>
    <w:lvl w:ilvl="2" w:tentative="0">
      <w:start w:val="1"/>
      <w:numFmt w:val="decimal"/>
      <w:suff w:val="space"/>
      <w:lvlText w:val="%1.%2.%3"/>
      <w:lvlJc w:val="left"/>
      <w:pPr>
        <w:ind w:left="994" w:hanging="426"/>
      </w:pPr>
      <w:rPr>
        <w:rFonts w:hint="default" w:ascii="Arial" w:hAnsi="Arial" w:cs="Times New Roman"/>
      </w:rPr>
    </w:lvl>
    <w:lvl w:ilvl="3" w:tentative="0">
      <w:start w:val="1"/>
      <w:numFmt w:val="decimal"/>
      <w:suff w:val="nothing"/>
      <w:lvlText w:val="%1.%2.%3.%4"/>
      <w:lvlJc w:val="left"/>
      <w:pPr>
        <w:ind w:left="851" w:hanging="851"/>
      </w:pPr>
      <w:rPr>
        <w:rFonts w:hint="eastAsia" w:ascii="Arial" w:hAnsi="Arial"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OGExZjcxYjAwMDUzNDE1NTkxNjI4ZTVkNzhlODgifQ=="/>
  </w:docVars>
  <w:rsids>
    <w:rsidRoot w:val="001F5F08"/>
    <w:rsid w:val="00025626"/>
    <w:rsid w:val="0004289B"/>
    <w:rsid w:val="000446B8"/>
    <w:rsid w:val="001F0554"/>
    <w:rsid w:val="001F5F08"/>
    <w:rsid w:val="00302AC2"/>
    <w:rsid w:val="0040570B"/>
    <w:rsid w:val="00417C36"/>
    <w:rsid w:val="00494390"/>
    <w:rsid w:val="00497C0C"/>
    <w:rsid w:val="00516385"/>
    <w:rsid w:val="00552767"/>
    <w:rsid w:val="00593CFD"/>
    <w:rsid w:val="00635A69"/>
    <w:rsid w:val="006B086E"/>
    <w:rsid w:val="006C68E2"/>
    <w:rsid w:val="007A4E1A"/>
    <w:rsid w:val="007F65B8"/>
    <w:rsid w:val="00801FF4"/>
    <w:rsid w:val="008E7BD7"/>
    <w:rsid w:val="00903F5E"/>
    <w:rsid w:val="009553C5"/>
    <w:rsid w:val="00984F4E"/>
    <w:rsid w:val="00B40801"/>
    <w:rsid w:val="00B41592"/>
    <w:rsid w:val="00BF2253"/>
    <w:rsid w:val="00BF239A"/>
    <w:rsid w:val="00CE40C2"/>
    <w:rsid w:val="00CE5519"/>
    <w:rsid w:val="00D2131C"/>
    <w:rsid w:val="00D50F09"/>
    <w:rsid w:val="00D572AA"/>
    <w:rsid w:val="00DD67F4"/>
    <w:rsid w:val="00DE039B"/>
    <w:rsid w:val="00DF6DE1"/>
    <w:rsid w:val="00ED3938"/>
    <w:rsid w:val="010E6E1A"/>
    <w:rsid w:val="023D46EC"/>
    <w:rsid w:val="02AA7663"/>
    <w:rsid w:val="046E56D3"/>
    <w:rsid w:val="066426DE"/>
    <w:rsid w:val="07442CA3"/>
    <w:rsid w:val="08534C69"/>
    <w:rsid w:val="085B126A"/>
    <w:rsid w:val="0A285C81"/>
    <w:rsid w:val="0A4B6701"/>
    <w:rsid w:val="0A7E1D45"/>
    <w:rsid w:val="0AC534D0"/>
    <w:rsid w:val="0B215C77"/>
    <w:rsid w:val="0BB73761"/>
    <w:rsid w:val="0BD32D4F"/>
    <w:rsid w:val="0BEF4541"/>
    <w:rsid w:val="0C2115B1"/>
    <w:rsid w:val="0C952E53"/>
    <w:rsid w:val="0DBF7D6C"/>
    <w:rsid w:val="0DD73781"/>
    <w:rsid w:val="0E64787D"/>
    <w:rsid w:val="0EE011F0"/>
    <w:rsid w:val="0F6464F2"/>
    <w:rsid w:val="0FE53F40"/>
    <w:rsid w:val="106A37BE"/>
    <w:rsid w:val="10A40EB5"/>
    <w:rsid w:val="119B7E01"/>
    <w:rsid w:val="12485CC1"/>
    <w:rsid w:val="129548B8"/>
    <w:rsid w:val="12C43900"/>
    <w:rsid w:val="13845DC6"/>
    <w:rsid w:val="141D0C6C"/>
    <w:rsid w:val="14C70D73"/>
    <w:rsid w:val="14E336E2"/>
    <w:rsid w:val="151A35D6"/>
    <w:rsid w:val="1574547C"/>
    <w:rsid w:val="15E27C1E"/>
    <w:rsid w:val="15F92BE9"/>
    <w:rsid w:val="188D2EE4"/>
    <w:rsid w:val="1932637F"/>
    <w:rsid w:val="19A82CFA"/>
    <w:rsid w:val="1B1A1616"/>
    <w:rsid w:val="1B957F6D"/>
    <w:rsid w:val="1C9F5D66"/>
    <w:rsid w:val="1DC82F38"/>
    <w:rsid w:val="1DE1641B"/>
    <w:rsid w:val="1E293845"/>
    <w:rsid w:val="1F75284B"/>
    <w:rsid w:val="1FF70D56"/>
    <w:rsid w:val="20333F92"/>
    <w:rsid w:val="20EF5398"/>
    <w:rsid w:val="217C5AED"/>
    <w:rsid w:val="21821CC3"/>
    <w:rsid w:val="21A659B2"/>
    <w:rsid w:val="23825FAA"/>
    <w:rsid w:val="23DC038B"/>
    <w:rsid w:val="240F69AC"/>
    <w:rsid w:val="24590BBF"/>
    <w:rsid w:val="246D3164"/>
    <w:rsid w:val="24954FC1"/>
    <w:rsid w:val="24CD530F"/>
    <w:rsid w:val="254C2D14"/>
    <w:rsid w:val="268D42D9"/>
    <w:rsid w:val="26BD54D4"/>
    <w:rsid w:val="27383550"/>
    <w:rsid w:val="27933E4C"/>
    <w:rsid w:val="279F13ED"/>
    <w:rsid w:val="2867160F"/>
    <w:rsid w:val="28BA7749"/>
    <w:rsid w:val="2A7C39FF"/>
    <w:rsid w:val="2BC72C7A"/>
    <w:rsid w:val="2D040A3E"/>
    <w:rsid w:val="2D492608"/>
    <w:rsid w:val="2D7030C7"/>
    <w:rsid w:val="2E9F292E"/>
    <w:rsid w:val="2F527179"/>
    <w:rsid w:val="3040463A"/>
    <w:rsid w:val="309657DE"/>
    <w:rsid w:val="30D14FE9"/>
    <w:rsid w:val="30D152B0"/>
    <w:rsid w:val="31AF476C"/>
    <w:rsid w:val="32292413"/>
    <w:rsid w:val="32762FE2"/>
    <w:rsid w:val="334B673C"/>
    <w:rsid w:val="353A0493"/>
    <w:rsid w:val="36B10C29"/>
    <w:rsid w:val="37502687"/>
    <w:rsid w:val="37CC58F9"/>
    <w:rsid w:val="37D4556B"/>
    <w:rsid w:val="38517D18"/>
    <w:rsid w:val="395076FE"/>
    <w:rsid w:val="39C76F9B"/>
    <w:rsid w:val="39D65A8A"/>
    <w:rsid w:val="3A786FE3"/>
    <w:rsid w:val="3B7364AD"/>
    <w:rsid w:val="3BB74AF9"/>
    <w:rsid w:val="3CC41E5B"/>
    <w:rsid w:val="3DB16390"/>
    <w:rsid w:val="3E372AC1"/>
    <w:rsid w:val="3E6B43BE"/>
    <w:rsid w:val="3EA14B41"/>
    <w:rsid w:val="3ED57651"/>
    <w:rsid w:val="3F263D3E"/>
    <w:rsid w:val="403A5899"/>
    <w:rsid w:val="40BE473B"/>
    <w:rsid w:val="40EB4D37"/>
    <w:rsid w:val="41804C4E"/>
    <w:rsid w:val="41964AFC"/>
    <w:rsid w:val="419E3214"/>
    <w:rsid w:val="41A70D3C"/>
    <w:rsid w:val="42772D26"/>
    <w:rsid w:val="443133A9"/>
    <w:rsid w:val="47ED774E"/>
    <w:rsid w:val="481C4C8B"/>
    <w:rsid w:val="49B06B1E"/>
    <w:rsid w:val="4A04505A"/>
    <w:rsid w:val="4A9D69E7"/>
    <w:rsid w:val="4ACE3700"/>
    <w:rsid w:val="5035480A"/>
    <w:rsid w:val="50920718"/>
    <w:rsid w:val="50B83BD1"/>
    <w:rsid w:val="50C35389"/>
    <w:rsid w:val="515A3A04"/>
    <w:rsid w:val="52694A4C"/>
    <w:rsid w:val="526E6387"/>
    <w:rsid w:val="52CA350C"/>
    <w:rsid w:val="5312395E"/>
    <w:rsid w:val="535D3826"/>
    <w:rsid w:val="53DB785D"/>
    <w:rsid w:val="54FC2B69"/>
    <w:rsid w:val="5633436B"/>
    <w:rsid w:val="56866B29"/>
    <w:rsid w:val="56BB1667"/>
    <w:rsid w:val="56DD2D20"/>
    <w:rsid w:val="572124B9"/>
    <w:rsid w:val="592604A1"/>
    <w:rsid w:val="5A6F03E0"/>
    <w:rsid w:val="5B445736"/>
    <w:rsid w:val="5C40250C"/>
    <w:rsid w:val="5C581DAA"/>
    <w:rsid w:val="5CBE5B81"/>
    <w:rsid w:val="5D184E51"/>
    <w:rsid w:val="5D981ED0"/>
    <w:rsid w:val="5E47277C"/>
    <w:rsid w:val="5F335794"/>
    <w:rsid w:val="5F9428EC"/>
    <w:rsid w:val="601603D0"/>
    <w:rsid w:val="60411944"/>
    <w:rsid w:val="60940AF0"/>
    <w:rsid w:val="61B53002"/>
    <w:rsid w:val="625721D1"/>
    <w:rsid w:val="630A47EB"/>
    <w:rsid w:val="635F2E57"/>
    <w:rsid w:val="63B81F97"/>
    <w:rsid w:val="64204507"/>
    <w:rsid w:val="65CE2C50"/>
    <w:rsid w:val="66C52699"/>
    <w:rsid w:val="676F3EFE"/>
    <w:rsid w:val="677A27ED"/>
    <w:rsid w:val="6AD024B2"/>
    <w:rsid w:val="6C7518DF"/>
    <w:rsid w:val="6DA1634A"/>
    <w:rsid w:val="6E0A3A7A"/>
    <w:rsid w:val="6E31797E"/>
    <w:rsid w:val="6EE81A6F"/>
    <w:rsid w:val="6F176B74"/>
    <w:rsid w:val="705F5D93"/>
    <w:rsid w:val="70A93382"/>
    <w:rsid w:val="71933DB2"/>
    <w:rsid w:val="730E294B"/>
    <w:rsid w:val="731358A4"/>
    <w:rsid w:val="739F43E1"/>
    <w:rsid w:val="74F9380D"/>
    <w:rsid w:val="75F70D28"/>
    <w:rsid w:val="760B5B9A"/>
    <w:rsid w:val="764457E3"/>
    <w:rsid w:val="77044A93"/>
    <w:rsid w:val="774775B5"/>
    <w:rsid w:val="77892AF1"/>
    <w:rsid w:val="77ED5961"/>
    <w:rsid w:val="78484242"/>
    <w:rsid w:val="784E6060"/>
    <w:rsid w:val="78EA2375"/>
    <w:rsid w:val="799B3C4D"/>
    <w:rsid w:val="79C403DE"/>
    <w:rsid w:val="79D833A4"/>
    <w:rsid w:val="7ACD0A2E"/>
    <w:rsid w:val="7B05641A"/>
    <w:rsid w:val="7B155A38"/>
    <w:rsid w:val="7DB55ED6"/>
    <w:rsid w:val="7DF5118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uiPriority="99" w:name="HTML Cite" w:locked="1"/>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 w:cs="Times New Roman"/>
      <w:kern w:val="2"/>
      <w:sz w:val="21"/>
      <w:szCs w:val="24"/>
      <w:lang w:val="en-US" w:eastAsia="zh-CN" w:bidi="ar-SA"/>
    </w:rPr>
  </w:style>
  <w:style w:type="paragraph" w:styleId="2">
    <w:name w:val="heading 1"/>
    <w:basedOn w:val="1"/>
    <w:next w:val="1"/>
    <w:link w:val="31"/>
    <w:autoRedefine/>
    <w:qFormat/>
    <w:uiPriority w:val="99"/>
    <w:pPr>
      <w:spacing w:beforeAutospacing="1" w:afterAutospacing="1"/>
      <w:jc w:val="left"/>
      <w:outlineLvl w:val="0"/>
    </w:pPr>
    <w:rPr>
      <w:rFonts w:ascii="宋?" w:hAnsi="宋?"/>
      <w:b/>
      <w:bCs/>
      <w:kern w:val="44"/>
      <w:sz w:val="48"/>
      <w:szCs w:val="48"/>
    </w:rPr>
  </w:style>
  <w:style w:type="paragraph" w:styleId="3">
    <w:name w:val="heading 2"/>
    <w:basedOn w:val="1"/>
    <w:next w:val="1"/>
    <w:link w:val="32"/>
    <w:autoRedefine/>
    <w:qFormat/>
    <w:uiPriority w:val="99"/>
    <w:pPr>
      <w:keepNext/>
      <w:keepLines/>
      <w:spacing w:before="260" w:after="260" w:line="416" w:lineRule="auto"/>
      <w:outlineLvl w:val="1"/>
    </w:pPr>
    <w:rPr>
      <w:rFonts w:ascii="Arial" w:hAnsi="Arial" w:eastAsia="黑体"/>
      <w:b/>
      <w:bCs/>
      <w:sz w:val="32"/>
      <w:szCs w:val="32"/>
    </w:rPr>
  </w:style>
  <w:style w:type="character" w:default="1" w:styleId="19">
    <w:name w:val="Default Paragraph Font"/>
    <w:autoRedefine/>
    <w:semiHidden/>
    <w:qFormat/>
    <w:uiPriority w:val="99"/>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semiHidden/>
    <w:qFormat/>
    <w:locked/>
    <w:uiPriority w:val="0"/>
    <w:pPr>
      <w:jc w:val="left"/>
    </w:pPr>
    <w:rPr>
      <w:szCs w:val="20"/>
    </w:rPr>
  </w:style>
  <w:style w:type="paragraph" w:styleId="5">
    <w:name w:val="Salutation"/>
    <w:basedOn w:val="1"/>
    <w:next w:val="1"/>
    <w:link w:val="33"/>
    <w:autoRedefine/>
    <w:qFormat/>
    <w:uiPriority w:val="99"/>
    <w:rPr>
      <w:sz w:val="24"/>
    </w:rPr>
  </w:style>
  <w:style w:type="paragraph" w:styleId="6">
    <w:name w:val="Body Text"/>
    <w:basedOn w:val="1"/>
    <w:next w:val="7"/>
    <w:link w:val="34"/>
    <w:autoRedefine/>
    <w:qFormat/>
    <w:uiPriority w:val="99"/>
    <w:pPr>
      <w:widowControl/>
      <w:snapToGrid w:val="0"/>
      <w:spacing w:before="60" w:after="160" w:line="259" w:lineRule="auto"/>
      <w:ind w:right="113"/>
    </w:pPr>
    <w:rPr>
      <w:kern w:val="0"/>
      <w:sz w:val="18"/>
      <w:szCs w:val="20"/>
    </w:rPr>
  </w:style>
  <w:style w:type="paragraph" w:customStyle="1" w:styleId="7">
    <w:name w:val="xl27"/>
    <w:basedOn w:val="1"/>
    <w:next w:val="8"/>
    <w:autoRedefine/>
    <w:qFormat/>
    <w:uiPriority w:val="99"/>
    <w:pPr>
      <w:widowControl/>
      <w:spacing w:before="100" w:beforeAutospacing="1" w:after="100" w:afterAutospacing="1"/>
      <w:jc w:val="left"/>
    </w:pPr>
    <w:rPr>
      <w:color w:val="FF0000"/>
      <w:kern w:val="0"/>
      <w:sz w:val="24"/>
    </w:rPr>
  </w:style>
  <w:style w:type="paragraph" w:customStyle="1" w:styleId="8">
    <w:name w:val="A正文"/>
    <w:basedOn w:val="1"/>
    <w:autoRedefine/>
    <w:qFormat/>
    <w:uiPriority w:val="0"/>
    <w:pPr>
      <w:widowControl/>
      <w:overflowPunct w:val="0"/>
      <w:autoSpaceDE w:val="0"/>
      <w:autoSpaceDN w:val="0"/>
      <w:jc w:val="left"/>
      <w:textAlignment w:val="baseline"/>
    </w:pPr>
  </w:style>
  <w:style w:type="paragraph" w:styleId="9">
    <w:name w:val="Body Text Indent"/>
    <w:basedOn w:val="1"/>
    <w:next w:val="1"/>
    <w:link w:val="35"/>
    <w:autoRedefine/>
    <w:qFormat/>
    <w:uiPriority w:val="99"/>
    <w:pPr>
      <w:spacing w:line="560" w:lineRule="exact"/>
      <w:ind w:firstLine="567"/>
    </w:pPr>
    <w:rPr>
      <w:rFonts w:ascii="宋?" w:hAnsi="宋?"/>
      <w:sz w:val="28"/>
    </w:rPr>
  </w:style>
  <w:style w:type="paragraph" w:styleId="10">
    <w:name w:val="Plain Text"/>
    <w:basedOn w:val="1"/>
    <w:next w:val="5"/>
    <w:link w:val="36"/>
    <w:autoRedefine/>
    <w:qFormat/>
    <w:uiPriority w:val="99"/>
    <w:rPr>
      <w:rFonts w:ascii="宋?" w:hAnsi="Courier New"/>
      <w:sz w:val="24"/>
      <w:szCs w:val="20"/>
    </w:rPr>
  </w:style>
  <w:style w:type="paragraph" w:styleId="11">
    <w:name w:val="Body Text Indent 2"/>
    <w:basedOn w:val="1"/>
    <w:link w:val="37"/>
    <w:autoRedefine/>
    <w:qFormat/>
    <w:uiPriority w:val="99"/>
    <w:pPr>
      <w:spacing w:line="400" w:lineRule="exact"/>
      <w:ind w:firstLine="573"/>
    </w:pPr>
    <w:rPr>
      <w:rFonts w:ascii="宋?" w:hAnsi="宋?"/>
      <w:sz w:val="28"/>
    </w:rPr>
  </w:style>
  <w:style w:type="paragraph" w:styleId="12">
    <w:name w:val="footer"/>
    <w:basedOn w:val="1"/>
    <w:link w:val="39"/>
    <w:autoRedefine/>
    <w:qFormat/>
    <w:uiPriority w:val="99"/>
    <w:pPr>
      <w:tabs>
        <w:tab w:val="center" w:pos="4153"/>
        <w:tab w:val="right" w:pos="8306"/>
      </w:tabs>
      <w:snapToGrid w:val="0"/>
      <w:jc w:val="left"/>
    </w:pPr>
    <w:rPr>
      <w:sz w:val="18"/>
    </w:rPr>
  </w:style>
  <w:style w:type="paragraph" w:styleId="13">
    <w:name w:val="header"/>
    <w:basedOn w:val="1"/>
    <w:link w:val="40"/>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Body Text 2"/>
    <w:basedOn w:val="1"/>
    <w:next w:val="1"/>
    <w:link w:val="41"/>
    <w:autoRedefine/>
    <w:qFormat/>
    <w:uiPriority w:val="99"/>
  </w:style>
  <w:style w:type="paragraph" w:styleId="15">
    <w:name w:val="Normal (Web)"/>
    <w:basedOn w:val="1"/>
    <w:autoRedefine/>
    <w:qFormat/>
    <w:uiPriority w:val="99"/>
    <w:pPr>
      <w:spacing w:beforeAutospacing="1" w:afterAutospacing="1"/>
      <w:jc w:val="left"/>
    </w:pPr>
    <w:rPr>
      <w:kern w:val="0"/>
      <w:sz w:val="24"/>
    </w:rPr>
  </w:style>
  <w:style w:type="paragraph" w:styleId="16">
    <w:name w:val="Body Text First Indent 2"/>
    <w:basedOn w:val="1"/>
    <w:next w:val="1"/>
    <w:link w:val="38"/>
    <w:autoRedefine/>
    <w:qFormat/>
    <w:uiPriority w:val="99"/>
    <w:pPr>
      <w:spacing w:after="120" w:line="240" w:lineRule="auto"/>
      <w:ind w:left="420" w:leftChars="200" w:firstLine="420"/>
    </w:pPr>
    <w:rPr>
      <w:sz w:val="21"/>
    </w:rPr>
  </w:style>
  <w:style w:type="table" w:styleId="18">
    <w:name w:val="Table Grid"/>
    <w:basedOn w:val="17"/>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autoRedefine/>
    <w:qFormat/>
    <w:uiPriority w:val="99"/>
    <w:rPr>
      <w:rFonts w:cs="Times New Roman"/>
      <w:b/>
      <w:bCs/>
    </w:rPr>
  </w:style>
  <w:style w:type="character" w:styleId="21">
    <w:name w:val="FollowedHyperlink"/>
    <w:basedOn w:val="19"/>
    <w:autoRedefine/>
    <w:qFormat/>
    <w:uiPriority w:val="99"/>
    <w:rPr>
      <w:rFonts w:cs="Times New Roman"/>
      <w:color w:val="333333"/>
      <w:u w:val="none"/>
    </w:rPr>
  </w:style>
  <w:style w:type="character" w:styleId="22">
    <w:name w:val="Emphasis"/>
    <w:basedOn w:val="19"/>
    <w:autoRedefine/>
    <w:qFormat/>
    <w:uiPriority w:val="99"/>
    <w:rPr>
      <w:rFonts w:cs="Times New Roman"/>
      <w:i/>
    </w:rPr>
  </w:style>
  <w:style w:type="character" w:styleId="23">
    <w:name w:val="HTML Definition"/>
    <w:basedOn w:val="19"/>
    <w:autoRedefine/>
    <w:qFormat/>
    <w:uiPriority w:val="99"/>
    <w:rPr>
      <w:rFonts w:cs="Times New Roman"/>
      <w:i/>
      <w:iCs/>
    </w:rPr>
  </w:style>
  <w:style w:type="character" w:styleId="24">
    <w:name w:val="HTML Acronym"/>
    <w:basedOn w:val="19"/>
    <w:autoRedefine/>
    <w:qFormat/>
    <w:uiPriority w:val="99"/>
    <w:rPr>
      <w:rFonts w:cs="Times New Roman"/>
    </w:rPr>
  </w:style>
  <w:style w:type="character" w:styleId="25">
    <w:name w:val="Hyperlink"/>
    <w:basedOn w:val="19"/>
    <w:autoRedefine/>
    <w:qFormat/>
    <w:uiPriority w:val="99"/>
    <w:rPr>
      <w:rFonts w:cs="Times New Roman"/>
      <w:color w:val="333333"/>
      <w:u w:val="none"/>
    </w:rPr>
  </w:style>
  <w:style w:type="character" w:styleId="26">
    <w:name w:val="HTML Code"/>
    <w:basedOn w:val="19"/>
    <w:autoRedefine/>
    <w:qFormat/>
    <w:uiPriority w:val="99"/>
    <w:rPr>
      <w:rFonts w:ascii="monospace" w:hAnsi="monospace" w:cs="monospace"/>
      <w:sz w:val="21"/>
      <w:szCs w:val="21"/>
    </w:rPr>
  </w:style>
  <w:style w:type="character" w:styleId="27">
    <w:name w:val="annotation reference"/>
    <w:basedOn w:val="19"/>
    <w:autoRedefine/>
    <w:semiHidden/>
    <w:qFormat/>
    <w:uiPriority w:val="99"/>
    <w:rPr>
      <w:rFonts w:cs="Times New Roman"/>
      <w:sz w:val="21"/>
    </w:rPr>
  </w:style>
  <w:style w:type="character" w:styleId="28">
    <w:name w:val="HTML Keyboard"/>
    <w:basedOn w:val="19"/>
    <w:autoRedefine/>
    <w:qFormat/>
    <w:uiPriority w:val="99"/>
    <w:rPr>
      <w:rFonts w:ascii="monospace" w:hAnsi="monospace" w:cs="monospace"/>
      <w:sz w:val="21"/>
      <w:szCs w:val="21"/>
    </w:rPr>
  </w:style>
  <w:style w:type="character" w:styleId="29">
    <w:name w:val="HTML Sample"/>
    <w:basedOn w:val="19"/>
    <w:autoRedefine/>
    <w:qFormat/>
    <w:uiPriority w:val="99"/>
    <w:rPr>
      <w:rFonts w:ascii="monospace" w:hAnsi="monospace" w:cs="monospace"/>
      <w:sz w:val="21"/>
      <w:szCs w:val="21"/>
    </w:rPr>
  </w:style>
  <w:style w:type="paragraph" w:customStyle="1" w:styleId="30">
    <w:name w:val="正文 首行缩进:  2 字符"/>
    <w:basedOn w:val="1"/>
    <w:autoRedefine/>
    <w:qFormat/>
    <w:uiPriority w:val="99"/>
    <w:pPr>
      <w:ind w:firstLine="579" w:firstLineChars="200"/>
    </w:pPr>
    <w:rPr>
      <w:sz w:val="28"/>
      <w:szCs w:val="20"/>
    </w:rPr>
  </w:style>
  <w:style w:type="character" w:customStyle="1" w:styleId="31">
    <w:name w:val="Heading 1 Char"/>
    <w:basedOn w:val="19"/>
    <w:link w:val="2"/>
    <w:autoRedefine/>
    <w:qFormat/>
    <w:locked/>
    <w:uiPriority w:val="99"/>
    <w:rPr>
      <w:rFonts w:ascii="Calibri" w:hAnsi="Calibri" w:cs="Times New Roman"/>
      <w:b/>
      <w:bCs/>
      <w:kern w:val="44"/>
      <w:sz w:val="44"/>
      <w:szCs w:val="44"/>
    </w:rPr>
  </w:style>
  <w:style w:type="character" w:customStyle="1" w:styleId="32">
    <w:name w:val="Heading 2 Char"/>
    <w:basedOn w:val="19"/>
    <w:link w:val="3"/>
    <w:autoRedefine/>
    <w:semiHidden/>
    <w:qFormat/>
    <w:locked/>
    <w:uiPriority w:val="99"/>
    <w:rPr>
      <w:rFonts w:ascii="Cambria" w:hAnsi="Cambria" w:eastAsia="宋?" w:cs="Times New Roman"/>
      <w:b/>
      <w:bCs/>
      <w:sz w:val="32"/>
      <w:szCs w:val="32"/>
    </w:rPr>
  </w:style>
  <w:style w:type="character" w:customStyle="1" w:styleId="33">
    <w:name w:val="Salutation Char"/>
    <w:basedOn w:val="19"/>
    <w:link w:val="5"/>
    <w:autoRedefine/>
    <w:semiHidden/>
    <w:qFormat/>
    <w:locked/>
    <w:uiPriority w:val="99"/>
    <w:rPr>
      <w:rFonts w:ascii="Calibri" w:hAnsi="Calibri" w:cs="Times New Roman"/>
      <w:sz w:val="24"/>
      <w:szCs w:val="24"/>
    </w:rPr>
  </w:style>
  <w:style w:type="character" w:customStyle="1" w:styleId="34">
    <w:name w:val="Body Text Char"/>
    <w:basedOn w:val="19"/>
    <w:link w:val="6"/>
    <w:autoRedefine/>
    <w:semiHidden/>
    <w:qFormat/>
    <w:locked/>
    <w:uiPriority w:val="99"/>
    <w:rPr>
      <w:rFonts w:ascii="Calibri" w:hAnsi="Calibri" w:cs="Times New Roman"/>
      <w:sz w:val="24"/>
      <w:szCs w:val="24"/>
    </w:rPr>
  </w:style>
  <w:style w:type="character" w:customStyle="1" w:styleId="35">
    <w:name w:val="Body Text Indent Char"/>
    <w:basedOn w:val="19"/>
    <w:link w:val="9"/>
    <w:autoRedefine/>
    <w:semiHidden/>
    <w:qFormat/>
    <w:locked/>
    <w:uiPriority w:val="99"/>
    <w:rPr>
      <w:rFonts w:ascii="Calibri" w:hAnsi="Calibri" w:cs="Times New Roman"/>
      <w:sz w:val="24"/>
      <w:szCs w:val="24"/>
    </w:rPr>
  </w:style>
  <w:style w:type="character" w:customStyle="1" w:styleId="36">
    <w:name w:val="Plain Text Char"/>
    <w:basedOn w:val="19"/>
    <w:link w:val="10"/>
    <w:autoRedefine/>
    <w:semiHidden/>
    <w:qFormat/>
    <w:locked/>
    <w:uiPriority w:val="99"/>
    <w:rPr>
      <w:rFonts w:ascii="宋?" w:hAnsi="Courier New" w:cs="Courier New"/>
      <w:sz w:val="21"/>
      <w:szCs w:val="21"/>
    </w:rPr>
  </w:style>
  <w:style w:type="character" w:customStyle="1" w:styleId="37">
    <w:name w:val="Body Text Indent 2 Char"/>
    <w:basedOn w:val="19"/>
    <w:link w:val="11"/>
    <w:autoRedefine/>
    <w:semiHidden/>
    <w:qFormat/>
    <w:locked/>
    <w:uiPriority w:val="99"/>
    <w:rPr>
      <w:rFonts w:ascii="Calibri" w:hAnsi="Calibri" w:cs="Times New Roman"/>
      <w:sz w:val="24"/>
      <w:szCs w:val="24"/>
    </w:rPr>
  </w:style>
  <w:style w:type="character" w:customStyle="1" w:styleId="38">
    <w:name w:val="Body Text First Indent 2 Char"/>
    <w:basedOn w:val="35"/>
    <w:link w:val="16"/>
    <w:autoRedefine/>
    <w:semiHidden/>
    <w:qFormat/>
    <w:locked/>
    <w:uiPriority w:val="99"/>
  </w:style>
  <w:style w:type="character" w:customStyle="1" w:styleId="39">
    <w:name w:val="Footer Char"/>
    <w:basedOn w:val="19"/>
    <w:link w:val="12"/>
    <w:autoRedefine/>
    <w:semiHidden/>
    <w:qFormat/>
    <w:locked/>
    <w:uiPriority w:val="99"/>
    <w:rPr>
      <w:rFonts w:ascii="Calibri" w:hAnsi="Calibri" w:cs="Times New Roman"/>
      <w:sz w:val="18"/>
      <w:szCs w:val="18"/>
    </w:rPr>
  </w:style>
  <w:style w:type="character" w:customStyle="1" w:styleId="40">
    <w:name w:val="Header Char"/>
    <w:basedOn w:val="19"/>
    <w:link w:val="13"/>
    <w:autoRedefine/>
    <w:semiHidden/>
    <w:qFormat/>
    <w:locked/>
    <w:uiPriority w:val="99"/>
    <w:rPr>
      <w:rFonts w:ascii="Calibri" w:hAnsi="Calibri" w:cs="Times New Roman"/>
      <w:sz w:val="18"/>
      <w:szCs w:val="18"/>
    </w:rPr>
  </w:style>
  <w:style w:type="character" w:customStyle="1" w:styleId="41">
    <w:name w:val="Body Text 2 Char"/>
    <w:basedOn w:val="19"/>
    <w:link w:val="14"/>
    <w:autoRedefine/>
    <w:semiHidden/>
    <w:qFormat/>
    <w:locked/>
    <w:uiPriority w:val="99"/>
    <w:rPr>
      <w:rFonts w:ascii="Calibri" w:hAnsi="Calibri" w:cs="Times New Roman"/>
      <w:sz w:val="24"/>
      <w:szCs w:val="24"/>
    </w:rPr>
  </w:style>
  <w:style w:type="paragraph" w:customStyle="1" w:styleId="42">
    <w:name w:val="Default"/>
    <w:basedOn w:val="43"/>
    <w:next w:val="44"/>
    <w:autoRedefine/>
    <w:qFormat/>
    <w:uiPriority w:val="99"/>
    <w:pPr>
      <w:autoSpaceDE w:val="0"/>
      <w:autoSpaceDN w:val="0"/>
      <w:adjustRightInd w:val="0"/>
    </w:pPr>
    <w:rPr>
      <w:kern w:val="0"/>
      <w:sz w:val="24"/>
    </w:rPr>
  </w:style>
  <w:style w:type="paragraph" w:customStyle="1" w:styleId="43">
    <w:name w:val="批注文字1"/>
    <w:autoRedefine/>
    <w:qFormat/>
    <w:uiPriority w:val="99"/>
    <w:pPr>
      <w:widowControl w:val="0"/>
    </w:pPr>
    <w:rPr>
      <w:rFonts w:ascii="Times New Roman" w:hAnsi="Times New Roman" w:eastAsia="宋?" w:cs="Times New Roman"/>
      <w:color w:val="000000"/>
      <w:kern w:val="2"/>
      <w:sz w:val="21"/>
      <w:szCs w:val="24"/>
      <w:lang w:val="en-US" w:eastAsia="zh-CN" w:bidi="ar-SA"/>
    </w:rPr>
  </w:style>
  <w:style w:type="paragraph" w:customStyle="1" w:styleId="44">
    <w:name w:val="1正文段落"/>
    <w:basedOn w:val="1"/>
    <w:autoRedefine/>
    <w:qFormat/>
    <w:uiPriority w:val="99"/>
    <w:pPr>
      <w:widowControl/>
      <w:snapToGrid w:val="0"/>
      <w:ind w:firstLine="480"/>
      <w:jc w:val="left"/>
    </w:pPr>
    <w:rPr>
      <w:kern w:val="0"/>
      <w:szCs w:val="20"/>
    </w:rPr>
  </w:style>
  <w:style w:type="paragraph" w:customStyle="1" w:styleId="45">
    <w:name w:val="标题2"/>
    <w:basedOn w:val="3"/>
    <w:autoRedefine/>
    <w:qFormat/>
    <w:uiPriority w:val="99"/>
    <w:pPr>
      <w:numPr>
        <w:ilvl w:val="1"/>
        <w:numId w:val="1"/>
      </w:numPr>
      <w:spacing w:line="440" w:lineRule="exact"/>
    </w:pPr>
    <w:rPr>
      <w:kern w:val="0"/>
    </w:rPr>
  </w:style>
  <w:style w:type="paragraph" w:customStyle="1" w:styleId="46">
    <w:name w:val="样式 正文文本缩进 + 行距: 1.5 倍行距"/>
    <w:basedOn w:val="9"/>
    <w:autoRedefine/>
    <w:qFormat/>
    <w:uiPriority w:val="99"/>
    <w:pPr>
      <w:ind w:left="90" w:leftChars="32" w:firstLine="560"/>
    </w:pPr>
  </w:style>
  <w:style w:type="paragraph" w:customStyle="1" w:styleId="47">
    <w:name w:val="样式 小四 行距: 1.5 倍行距"/>
    <w:basedOn w:val="1"/>
    <w:autoRedefine/>
    <w:qFormat/>
    <w:uiPriority w:val="99"/>
    <w:pPr>
      <w:ind w:firstLine="480" w:firstLineChars="200"/>
    </w:pPr>
    <w:rPr>
      <w:rFonts w:cs="宋?"/>
    </w:rPr>
  </w:style>
  <w:style w:type="paragraph" w:customStyle="1" w:styleId="48">
    <w:name w:val="图、表内容"/>
    <w:basedOn w:val="1"/>
    <w:autoRedefine/>
    <w:qFormat/>
    <w:uiPriority w:val="99"/>
    <w:pPr>
      <w:jc w:val="center"/>
    </w:pPr>
  </w:style>
  <w:style w:type="paragraph" w:customStyle="1" w:styleId="49">
    <w:name w:val="4正文文本"/>
    <w:basedOn w:val="1"/>
    <w:autoRedefine/>
    <w:qFormat/>
    <w:uiPriority w:val="99"/>
    <w:pPr>
      <w:spacing w:line="360" w:lineRule="auto"/>
      <w:ind w:firstLine="840" w:firstLineChars="200"/>
      <w:jc w:val="left"/>
    </w:pPr>
    <w:rPr>
      <w:sz w:val="24"/>
    </w:rPr>
  </w:style>
  <w:style w:type="paragraph" w:customStyle="1" w:styleId="50">
    <w:name w:val="2工程内容及规模"/>
    <w:basedOn w:val="1"/>
    <w:autoRedefine/>
    <w:qFormat/>
    <w:uiPriority w:val="99"/>
    <w:pPr>
      <w:spacing w:line="360" w:lineRule="auto"/>
      <w:jc w:val="left"/>
      <w:outlineLvl w:val="1"/>
    </w:pPr>
    <w:rPr>
      <w:b/>
      <w:sz w:val="28"/>
      <w:szCs w:val="28"/>
    </w:rPr>
  </w:style>
  <w:style w:type="character" w:customStyle="1" w:styleId="51">
    <w:name w:val="msg-box"/>
    <w:basedOn w:val="19"/>
    <w:autoRedefine/>
    <w:qFormat/>
    <w:uiPriority w:val="99"/>
    <w:rPr>
      <w:rFonts w:cs="Times New Roman"/>
    </w:rPr>
  </w:style>
  <w:style w:type="character" w:customStyle="1" w:styleId="52">
    <w:name w:val="red2"/>
    <w:basedOn w:val="19"/>
    <w:autoRedefine/>
    <w:qFormat/>
    <w:uiPriority w:val="99"/>
    <w:rPr>
      <w:rFonts w:cs="Times New Roman"/>
      <w:color w:val="FF0000"/>
    </w:rPr>
  </w:style>
  <w:style w:type="character" w:customStyle="1" w:styleId="53">
    <w:name w:val="c2"/>
    <w:basedOn w:val="19"/>
    <w:autoRedefine/>
    <w:qFormat/>
    <w:uiPriority w:val="99"/>
    <w:rPr>
      <w:rFonts w:cs="Times New Roman"/>
    </w:rPr>
  </w:style>
  <w:style w:type="character" w:customStyle="1" w:styleId="54">
    <w:name w:val="c3"/>
    <w:basedOn w:val="19"/>
    <w:autoRedefine/>
    <w:qFormat/>
    <w:uiPriority w:val="99"/>
    <w:rPr>
      <w:rFonts w:cs="Times New Roman"/>
    </w:rPr>
  </w:style>
  <w:style w:type="character" w:customStyle="1" w:styleId="55">
    <w:name w:val="right2"/>
    <w:basedOn w:val="19"/>
    <w:autoRedefine/>
    <w:qFormat/>
    <w:uiPriority w:val="99"/>
    <w:rPr>
      <w:rFonts w:cs="Times New Roman"/>
      <w:color w:val="A1A1A1"/>
    </w:rPr>
  </w:style>
  <w:style w:type="character" w:customStyle="1" w:styleId="56">
    <w:name w:val="hit"/>
    <w:basedOn w:val="19"/>
    <w:autoRedefine/>
    <w:qFormat/>
    <w:uiPriority w:val="99"/>
    <w:rPr>
      <w:rFonts w:cs="Times New Roman"/>
    </w:rPr>
  </w:style>
  <w:style w:type="character" w:customStyle="1" w:styleId="57">
    <w:name w:val="c1"/>
    <w:basedOn w:val="19"/>
    <w:autoRedefine/>
    <w:qFormat/>
    <w:uiPriority w:val="99"/>
    <w:rPr>
      <w:rFonts w:cs="Times New Roman"/>
    </w:rPr>
  </w:style>
  <w:style w:type="character" w:customStyle="1" w:styleId="58">
    <w:name w:val="right"/>
    <w:basedOn w:val="19"/>
    <w:autoRedefine/>
    <w:qFormat/>
    <w:uiPriority w:val="99"/>
    <w:rPr>
      <w:rFonts w:cs="Times New Roman"/>
      <w:color w:val="A1A1A1"/>
    </w:rPr>
  </w:style>
  <w:style w:type="character" w:customStyle="1" w:styleId="59">
    <w:name w:val="red"/>
    <w:basedOn w:val="19"/>
    <w:autoRedefine/>
    <w:qFormat/>
    <w:uiPriority w:val="99"/>
    <w:rPr>
      <w:rFonts w:cs="Times New Roman"/>
      <w:color w:val="FF0000"/>
    </w:rPr>
  </w:style>
  <w:style w:type="character" w:customStyle="1" w:styleId="60">
    <w:name w:val="msg-box16"/>
    <w:basedOn w:val="19"/>
    <w:autoRedefine/>
    <w:qFormat/>
    <w:uiPriority w:val="99"/>
    <w:rPr>
      <w:rFonts w:cs="Times New Roman"/>
    </w:rPr>
  </w:style>
  <w:style w:type="paragraph" w:customStyle="1" w:styleId="61">
    <w:name w:val="表格"/>
    <w:basedOn w:val="10"/>
    <w:autoRedefine/>
    <w:qFormat/>
    <w:uiPriority w:val="99"/>
    <w:pPr>
      <w:suppressAutoHyphens/>
      <w:jc w:val="center"/>
    </w:pPr>
    <w:rPr>
      <w:rFonts w:ascii="Times New Roman" w:hAnsi="Times New Roman"/>
      <w:sz w:val="21"/>
      <w:szCs w:val="21"/>
    </w:rPr>
  </w:style>
  <w:style w:type="paragraph" w:customStyle="1" w:styleId="62">
    <w:name w:val="0正文"/>
    <w:autoRedefine/>
    <w:qFormat/>
    <w:uiPriority w:val="99"/>
    <w:pPr>
      <w:widowControl w:val="0"/>
      <w:spacing w:line="360" w:lineRule="auto"/>
      <w:ind w:firstLine="720" w:firstLineChars="200"/>
    </w:pPr>
    <w:rPr>
      <w:rFonts w:ascii="Times New Roman" w:hAnsi="Times New Roman" w:eastAsia="宋?" w:cs="Microsoft Uighur"/>
      <w:kern w:val="0"/>
      <w:sz w:val="24"/>
      <w:szCs w:val="22"/>
      <w:lang w:val="en-US" w:eastAsia="zh-CN" w:bidi="ar-SA"/>
    </w:rPr>
  </w:style>
  <w:style w:type="paragraph" w:customStyle="1" w:styleId="63">
    <w:name w:val="Body text|1"/>
    <w:basedOn w:val="1"/>
    <w:autoRedefine/>
    <w:qFormat/>
    <w:uiPriority w:val="0"/>
    <w:pPr>
      <w:spacing w:line="276" w:lineRule="auto"/>
      <w:ind w:firstLine="400"/>
    </w:pPr>
    <w:rPr>
      <w:rFonts w:ascii="宋体" w:hAnsi="宋体" w:eastAsia="宋体" w:cs="宋体"/>
      <w:sz w:val="30"/>
      <w:szCs w:val="30"/>
      <w:lang w:val="zh-TW" w:eastAsia="zh-TW" w:bidi="zh-TW"/>
    </w:rPr>
  </w:style>
  <w:style w:type="paragraph" w:customStyle="1" w:styleId="64">
    <w:name w:val="表格内容"/>
    <w:autoRedefine/>
    <w:qFormat/>
    <w:uiPriority w:val="99"/>
    <w:pPr>
      <w:widowControl w:val="0"/>
      <w:spacing w:before="20" w:beforeLines="20" w:after="20" w:afterLines="20"/>
      <w:jc w:val="center"/>
    </w:pPr>
    <w:rPr>
      <w:rFonts w:ascii="Times New Roman" w:hAnsi="Times New Roman" w:eastAsia="仿宋_GB2312"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418</Words>
  <Characters>2386</Characters>
  <Lines>0</Lines>
  <Paragraphs>0</Paragraphs>
  <TotalTime>89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2022-04-24T06:39:00Z</dcterms:created>
  <dc:creator>Administrator</dc:creator>
  <cp:lastModifiedBy>口水娃</cp:lastModifiedBy>
  <cp:lastPrinted>2024-04-07T06:02:00Z</cp:lastPrinted>
  <dcterms:modified xsi:type="dcterms:W3CDTF">2024-04-11T05:56:24Z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commondata">
    <vt:lpwstr>eyJoZGlkIjoiY2NiMWViOGJjZDNmMjBiMmJkNmI0OTVhMmFlMmE5ZjcifQ==</vt:lpwstr>
  </property>
  <property fmtid="{D5CDD505-2E9C-101B-9397-08002B2CF9AE}" pid="4" name="ICV">
    <vt:lpwstr>859090FD50574FF48D607C0D219436F0_13</vt:lpwstr>
  </property>
</Properties>
</file>