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r>
        <w:rPr>
          <w:rFonts w:ascii="Times New Roman" w:hAnsi="Times New Roman" w:cs="Times New Roman"/>
          <w:sz w:val="32"/>
          <w:szCs w:val="32"/>
        </w:rPr>
        <w:t>附件1：</w:t>
      </w:r>
    </w:p>
    <w:tbl>
      <w:tblPr>
        <w:tblStyle w:val="8"/>
        <w:tblW w:w="48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2006"/>
        <w:gridCol w:w="4036"/>
        <w:gridCol w:w="4245"/>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5000" w:type="pct"/>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ind w:firstLine="560"/>
              <w:jc w:val="center"/>
              <w:textAlignment w:val="center"/>
              <w:rPr>
                <w:rFonts w:ascii="Times New Roman" w:hAnsi="Times New Roman" w:eastAsia="宋体" w:cs="Times New Roman"/>
                <w:kern w:val="0"/>
                <w:sz w:val="20"/>
                <w:szCs w:val="20"/>
              </w:rPr>
            </w:pPr>
            <w:r>
              <w:rPr>
                <w:rFonts w:ascii="Times New Roman" w:hAnsi="Times New Roman" w:eastAsia="宋体" w:cs="Times New Roman"/>
                <w:sz w:val="20"/>
                <w:szCs w:val="20"/>
              </w:rPr>
              <w:t>淮南中建材腾锋环保科技有限公司挂牌督办问题6月份整改进度明细表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289" w:type="pct"/>
            <w:tcBorders>
              <w:top w:val="single" w:color="auto" w:sz="4" w:space="0"/>
              <w:tl2br w:val="nil"/>
              <w:tr2bl w:val="nil"/>
            </w:tcBorders>
            <w:vAlign w:val="center"/>
          </w:tcPr>
          <w:p>
            <w:pPr>
              <w:widowControl/>
              <w:adjustRightInd w:val="0"/>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序号</w:t>
            </w:r>
          </w:p>
        </w:tc>
        <w:tc>
          <w:tcPr>
            <w:tcW w:w="729"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问题清单内容</w:t>
            </w:r>
          </w:p>
        </w:tc>
        <w:tc>
          <w:tcPr>
            <w:tcW w:w="1467"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问题表述</w:t>
            </w:r>
          </w:p>
        </w:tc>
        <w:tc>
          <w:tcPr>
            <w:tcW w:w="1543"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整改措施</w:t>
            </w:r>
          </w:p>
        </w:tc>
        <w:tc>
          <w:tcPr>
            <w:tcW w:w="970"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1</w:t>
            </w:r>
          </w:p>
        </w:tc>
        <w:tc>
          <w:tcPr>
            <w:tcW w:w="729" w:type="pct"/>
            <w:vMerge w:val="restart"/>
            <w:tcBorders>
              <w:tl2br w:val="nil"/>
              <w:tr2bl w:val="nil"/>
            </w:tcBorders>
            <w:shd w:val="clear" w:color="auto" w:fill="auto"/>
            <w:noWrap/>
            <w:vAlign w:val="center"/>
          </w:tcPr>
          <w:p>
            <w:pPr>
              <w:widowControl/>
              <w:adjustRightInd w:val="0"/>
              <w:snapToGrid w:val="0"/>
              <w:ind w:firstLine="36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共性问题</w:t>
            </w:r>
          </w:p>
        </w:tc>
        <w:tc>
          <w:tcPr>
            <w:tcW w:w="1467" w:type="pct"/>
            <w:vMerge w:val="restar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此次挂牌督办的问题：未按照许可证规定从事处置危险废物经营活动、未执行危险废物转移联单制度、在接受监督检查时弄虚作假、未按照国家环境保护标准处置危险废物、废气污染防治设施不正常运行、自动监测设施不正常运行六项问题。</w:t>
            </w:r>
          </w:p>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公司内部从总体上进行了深入剖析、研究，深挖问题产生的根本原因，对问题产生的共性方面原因进行了梳理，找准切入点，对症下药，确保问题能够从本质上得到解决。</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公司自行停产整顿，暂时停止生产经营活动，全力以赴对问题进行彻底整改。</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公司管理层要进行深刻反思，对此次挂牌问题产生的根本原因进行分析，认真深入学习习近平生态文明思想，牢固树立绿水青山就是金山银山的环保理念，建立环保管理红线意识、底线意识。</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对公司管理层组织开展《中华人民共和国环境保护法》《中华人民共和国固体废物污染环境防治法》《危险废物转移管理办法》等法律法规、技术规范的专项学习，提高管理层人员环保法律意识。</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重新对公司环保管理体系重新梳理，制定公司年度环境管理目标、方针政策，形成有效文件发布实施，对现有环保管理制度按照最新法律法规、技术规范要求重新进行修订，完善对环保违规行为有效的惩处措施，确保制度符合公司实际需要，能够有效执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2</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未按照许可证规定从事处置危险废物经营活动</w:t>
            </w:r>
          </w:p>
        </w:tc>
        <w:tc>
          <w:tcPr>
            <w:tcW w:w="1467" w:type="pct"/>
            <w:vMerge w:val="restar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该企业危险废物经营许可证载明的经营范围是收集、贮存和利用。2023年11月，该企业未执行危险废物转移联单制度，擅自从安徽沛成医药科技有限公司转移含甲醇和三羟甲基氨基甲烷的危险废物(HW02医药废物)32.97吨，并违法进行焚烧处置。</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r>
              <w:rPr>
                <w:rFonts w:ascii="Times New Roman" w:hAnsi="Times New Roman" w:eastAsia="宋体" w:cs="Times New Roman"/>
                <w:kern w:val="0"/>
                <w:sz w:val="20"/>
                <w:szCs w:val="20"/>
              </w:rPr>
              <w:br w:type="textWrapping"/>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开展内部自查，对签订的合同重新进行合规性评估，对不符合环评要求的品种物料由安环部门进行确认禁止入厂，严格按照规定开展生产经营活动。</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焚烧车间建立相关物料接收审批制度，由生产车间发起，经焚烧车间、生产保障部、分管领导审批后，方可接收物料进行焚烧处置，否则不予处置，避免类似事件再次发生。</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3</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未执行危险废物转移联单制度</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经查，2023年8月，该企业未执行危险废物转移联单制度,擅自从淮北龙溪生物科技有限公司转移含甲基叔丁基醚危险废物(HWO6废有机溶剂与含有机溶剂废物)79.35吨。</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4</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在接受监督检查时弄虚作假</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为掩盖违法转移处置危险废物等环境违法行为，将实际的物料名称及数量台账，伪造成其他原料名称、数量入库并记录台账。如，将实际入库的DMF、DMAC等溶剂记录为丙三醇、乙二醇等物质，涉嫌伪造篡改台账。</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严把物料入厂关，严格按照环评批复要求、范围合法经营，从源头杜绝超范围物料入厂。</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根据公司各部门工作职责范围，严格、仔细认真编制物料出入厂各环节台账，按照职责分工重新建立《物料入厂管理制度》，认真、落实执行，杜绝再次出现伪造、篡改台账等行为。</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定期由公司安环部组织开展物料入厂全流程台账专项检查，对物料入厂名称、数量、去向等仔细核对，形成检查记录，发现问题及时纠正、整改。</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5</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未按照国家环境保护标准处置危险废物</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调阅该企业焚烧炉生产运行的记录台账，发现2022年1至10月焚烧炉二燃室(高温段)温度低于1000摄氏度。2024年1月3日，执法人员现场检查发现炉膛内正常燃烧时的二燃室(高温段)测点温度为1040摄氏度，焚烧炉工况不符合《危险废物焚烧污染控制标准》(GB18484-2020)规定的焚烧炉高温段温度≥1100摄氏度的要求</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对整个焚烧系统进行自查摸排，对查出的问题分析原因，按照相关国家标准进行整改，后续定期开展危险废物焚烧专项检查，排查焚烧车间可能存在的问题，及时消除解决。</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定期对焚烧系统各测温设备进行检查、校正或按照不低于一年一次的频率更换一燃室、二燃室测温设备，保证温度测量准确性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加强对焚烧车间管理，强化业务知识培训，对焚烧车间全员开展危险废物焚烧专业知识培训，确保岗位员工具备相应的能力，从而保障整个危废焚烧过程符合《危险废物焚烧污染控制标准》（GB18484-2020）相关要求</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设备高温段提标管理，在《危险废物焚烧污染控制标准》（GB18484-2020）高温度段基础上将最低温度提高50摄氏度，即控制温度大于1150摄氏度，避免热电偶出现测量漂移或测温失真带来测量误差，导致实际温度低于1100摄氏度。</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6</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废气污染防治设施不正常运行</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经查，该企业脱硝设施长期不运行，未建立脱硝设施运行管理制度，无专用管理台账，涉嫌不正常运行废气污染防治设施</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对整个脱硝系统进行彻底检查及维护保养，采购补充尿素等脱硝剂，对系统进行试运转调试，保障脱硝系统能够正常运行。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建立健全脱硝设施管理制度，经公司内部审核批准后发布实施，安环部定期检查督促落实执行情况。</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建立脱硝设施运行管理台账，督促焚烧车间员工认真规范、填写，记录定期归档存储。</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对焚烧车间岗位员工开展脱硝设施运行专业知识培训，加强对环保设施运行的监督管理，定期巡查设施的运行情况，确保环保设施的正常运行。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7</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自动监测设施不正常运行</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焚烧炉配套的烟气自动监测设备采样管长期堵塞,2022年1月26日至2024年1月3日检查时，氮氧化物实测浓度维持在10mg/m³左右。执法人员会同设备厂家技术人员现场对自动监测设备的采样管进行疏通，结果显示氮氧化物排放浓度最高达到150mg/m³，涉嫌自动监测设施不正常运行</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邀请设备厂家和运维单位技术人员到厂对自动监测设备进行全面、细致排查，对于损坏的设备及时进行采购、更换。</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加强在线监测设备管理，建立《污染源在线监测设备管理制度》，严格执行落实。</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对于烟气监测设备易损、易堵件建立备件库及台账，保障再次出现问题，能够及时进行更换，确保系统正常稳定运行。</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加强业务能力培训，对烟气在线监测设备管理人员开展专项培训，提升在线设备管理水平。</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bl>
    <w:tbl>
      <w:tblPr>
        <w:tblStyle w:val="8"/>
        <w:tblpPr w:leftFromText="144" w:rightFromText="144" w:vertAnchor="text" w:horzAnchor="page" w:tblpX="1686" w:tblpY="152"/>
        <w:tblOverlap w:val="never"/>
        <w:tblW w:w="13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10"/>
        <w:gridCol w:w="4035"/>
        <w:gridCol w:w="4186"/>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13712" w:type="dxa"/>
            <w:gridSpan w:val="5"/>
            <w:vAlign w:val="center"/>
          </w:tcPr>
          <w:p>
            <w:pPr>
              <w:widowControl/>
              <w:adjustRightInd w:val="0"/>
              <w:snapToGrid w:val="0"/>
              <w:ind w:firstLine="56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淮南中建材腾锋环保科技有限公司举一反三问题6月份整改进度明细表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0" w:type="dxa"/>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010"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问题内容</w:t>
            </w:r>
          </w:p>
        </w:tc>
        <w:tc>
          <w:tcPr>
            <w:tcW w:w="4035"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问题表述</w:t>
            </w:r>
          </w:p>
        </w:tc>
        <w:tc>
          <w:tcPr>
            <w:tcW w:w="4186"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整改措施</w:t>
            </w:r>
          </w:p>
        </w:tc>
        <w:tc>
          <w:tcPr>
            <w:tcW w:w="2691" w:type="dxa"/>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1</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w:t>
            </w:r>
          </w:p>
        </w:tc>
        <w:tc>
          <w:tcPr>
            <w:tcW w:w="4035"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初期雨水池积水未及时处理,池内存在异味，易造成异味扩散。</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及时对初期雨水池内积水进行处理，全部抽至污水处理站处理。</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noWrap/>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对初期雨水池进行清刷，内部积存淤泥清理干净，消除池内异味。</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加强初期雨水池日常监管，每日进行巡查，发现异常情况及时处理，避免类似事件再次发生。</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2</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污水处理站存在异味，现有废气治污设施处理效果不佳，容易造成异味扩散。</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污水处理站异味，容易造成异味扩散,影响周边环境。</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调整污水处理站臭气处理方式，将污水处理站废气治理分两部分进行，新增一路管线连接至厂区废气管路，将调节池、曝气池等池内高浓度气体引至焚烧炉焚烧处置，污水处理站上部空间低浓气体引至现有废气治理设施处理，将高浓度废气与低浓度废气分开处理，提高废气处理效率，避免废气扩散。</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加强对两处废气治理设施的监管，保证其正常运转。</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对污水处理设施加大监管力度，保证污水处理设施时刻正常运转，提高污水处理效率，从源头降低异味产生。</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避免有恶臭气味的物料入厂生产经营，从物料角度降低控制异味。</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3</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焚烧车间布袋除尘器出料时螺旋输送机下料口容易堵塞，需要人工清理，造成飞灰扩散，散落地面。</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焚烧车间布袋除尘器出料口地面存在飘落飞灰。</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联系设备厂家，更换布袋除尘器下方螺旋输送机。</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螺旋输送机外部加装保温措施，保障在其内部表面上附着的飞灰均匀落下，减少堵塞及人工清理现象，有效控制飞灰扩散。</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加强对螺旋输送机运行检查及维护保养，发现异常及时解决，保障设备正常运行。</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4</w:t>
            </w:r>
          </w:p>
        </w:tc>
        <w:tc>
          <w:tcPr>
            <w:tcW w:w="2010"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焚焚烧车间废料计量装置不准确，无法正确计量废料进料量.</w:t>
            </w:r>
          </w:p>
        </w:tc>
        <w:tc>
          <w:tcPr>
            <w:tcW w:w="403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造成焚烧车间无法正确计量废料进料量。</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选用合适的流量计，对原进料管线安装的流量计进行更换。</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5</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生产车间一层原料暂存罐离心泵渗漏。</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原料暂存罐离心泵渗漏现象,造成异味飘散。</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对渗漏离心泵机封进行维修，及时消除渗漏点。</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加强离心泵维护保养，定期对厂区各部位打料泵易出现渗漏的部位加强巡查。</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6</w:t>
            </w:r>
          </w:p>
        </w:tc>
        <w:tc>
          <w:tcPr>
            <w:tcW w:w="2010"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厂界无组织废气管控不到位</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一是生产保障部装卸人员，严格按照装卸操作规程要求，按章作业，减少违规操作造成的异味飘散;二是生产保障部现场人员加强对储罐呼吸阀，安全附件及设备管线日常巡检,避免应设备损坏或运行不正常导致的无组织排放;三是甲类车间严格规范操作，避免“跑冒滴漏”现象;四是甲类车间合理安排生产计划，减少倒罐、洗罐作业;五是加强焚烧炉设备日常巡检和维护保养，避免因烟气腐蚀造成设备“跑冒滴漏”，造成异味飘散现象;六是公司加强环保监管，采用定期和不定期方式对罐区、污水处理站等重点区域加强督导检查。</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生产保障部装卸人员，严格按照装卸操作规程要求，按章作业，减少违规操作造成的异味飘散。</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生产保障部现场人员加强对储罐呼吸阀、安全附件及设备管线日常巡检，避免应设备损坏或运行不正常导致的无组织排放。</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甲类车间严格规范操作，避免“跑冒滴漏现象。</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甲类车间合理安排生产计划，减少倒罐、洗罐作业。</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加强焚烧炉设备日常巡检和维护保养，避免因烟气腐蚀造成设备“跑冒滴漏”，造成异味飘散现象。</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公司加强环保监管，采用定期和不定期方式对罐区、污水处理站等重点区域加强督导检查，及时发现隐患、消除隐患。</w:t>
            </w:r>
          </w:p>
        </w:tc>
        <w:tc>
          <w:tcPr>
            <w:tcW w:w="2691" w:type="dxa"/>
            <w:shd w:val="clear" w:color="auto" w:fill="auto"/>
            <w:noWrap/>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定期开展泄露检测（LDAR），不断查找泄露源，对无组织排放实施控制。</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定期聘请第三方检测机构开展厂区无组织检测，确保排放达标。</w:t>
            </w:r>
          </w:p>
        </w:tc>
        <w:tc>
          <w:tcPr>
            <w:tcW w:w="2691" w:type="dxa"/>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bl>
    <w:tbl>
      <w:tblPr>
        <w:tblStyle w:val="8"/>
        <w:tblpPr w:leftFromText="144" w:rightFromText="144" w:vertAnchor="text" w:horzAnchor="page" w:tblpX="1635" w:tblpY="1725"/>
        <w:tblOverlap w:val="never"/>
        <w:tblW w:w="13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984"/>
        <w:gridCol w:w="4111"/>
        <w:gridCol w:w="4111"/>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3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ascii="宋体" w:hAnsi="宋体" w:eastAsia="宋体" w:cs="宋体"/>
                <w:color w:val="000000"/>
                <w:kern w:val="0"/>
                <w:sz w:val="21"/>
                <w:szCs w:val="21"/>
              </w:rPr>
            </w:pPr>
            <w:r>
              <w:rPr>
                <w:rFonts w:hint="eastAsia" w:eastAsia="宋体"/>
                <w:b w:val="0"/>
                <w:bCs w:val="0"/>
                <w:sz w:val="20"/>
                <w:szCs w:val="20"/>
              </w:rPr>
              <w:t>淮南中建材腾锋环保科技有限公司环保管理能力提升</w:t>
            </w:r>
            <w:r>
              <w:rPr>
                <w:rFonts w:eastAsia="宋体"/>
                <w:b w:val="0"/>
                <w:bCs w:val="0"/>
                <w:sz w:val="20"/>
                <w:szCs w:val="20"/>
              </w:rPr>
              <w:t>6月份整改进度明细表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jc w:val="center"/>
              <w:rPr>
                <w:rFonts w:eastAsia="宋体"/>
                <w:b w:val="0"/>
                <w:bCs w:val="0"/>
                <w:sz w:val="20"/>
                <w:szCs w:val="20"/>
              </w:rPr>
            </w:pPr>
            <w:r>
              <w:rPr>
                <w:rFonts w:hint="eastAsia" w:eastAsia="宋体"/>
                <w:b w:val="0"/>
                <w:bCs w:val="0"/>
                <w:sz w:val="20"/>
                <w:szCs w:val="20"/>
              </w:rPr>
              <w:t>问题内容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jc w:val="center"/>
              <w:rPr>
                <w:rFonts w:eastAsia="宋体"/>
                <w:b w:val="0"/>
                <w:bCs w:val="0"/>
                <w:sz w:val="20"/>
                <w:szCs w:val="20"/>
              </w:rPr>
            </w:pPr>
            <w:r>
              <w:rPr>
                <w:rFonts w:hint="eastAsia" w:eastAsia="宋体"/>
                <w:b w:val="0"/>
                <w:bCs w:val="0"/>
                <w:sz w:val="20"/>
                <w:szCs w:val="20"/>
              </w:rPr>
              <w:t>问题表述</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jc w:val="center"/>
              <w:rPr>
                <w:rFonts w:eastAsia="宋体"/>
                <w:b w:val="0"/>
                <w:bCs w:val="0"/>
                <w:sz w:val="20"/>
                <w:szCs w:val="20"/>
              </w:rPr>
            </w:pPr>
            <w:r>
              <w:rPr>
                <w:rFonts w:hint="eastAsia" w:eastAsia="宋体"/>
                <w:b w:val="0"/>
                <w:bCs w:val="0"/>
                <w:sz w:val="20"/>
                <w:szCs w:val="20"/>
              </w:rPr>
              <w:t>整改措施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jc w:val="center"/>
              <w:rPr>
                <w:rFonts w:eastAsia="宋体"/>
                <w:b w:val="0"/>
                <w:bCs w:val="0"/>
                <w:sz w:val="20"/>
                <w:szCs w:val="20"/>
              </w:rPr>
            </w:pPr>
            <w:r>
              <w:rPr>
                <w:rFonts w:hint="eastAsia" w:eastAsia="宋体"/>
                <w:b w:val="0"/>
                <w:bCs w:val="0"/>
                <w:sz w:val="20"/>
                <w:szCs w:val="20"/>
              </w:rPr>
              <w:t>整改进展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eastAsia="宋体"/>
                <w:b w:val="0"/>
                <w:bCs w:val="0"/>
                <w:sz w:val="20"/>
                <w:szCs w:val="20"/>
              </w:rPr>
            </w:pPr>
            <w:r>
              <w:rPr>
                <w:rFonts w:eastAsia="宋体"/>
                <w:b w:val="0"/>
                <w:bCs w:val="0"/>
                <w:sz w:val="20"/>
                <w:szCs w:val="20"/>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环保管理合规性审查。</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统性识别公司生产经营活动涉及的法律法规与标准规范，列出合规性清单，对照清单逐项查验，梳理公司当前可能存在的环境合规性风险，对不符合项彻底进行整改。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建立合规清单，对照排查不符合项，并落实整改。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eastAsia="宋体"/>
                <w:b w:val="0"/>
                <w:bCs w:val="0"/>
                <w:sz w:val="20"/>
                <w:szCs w:val="20"/>
              </w:rPr>
            </w:pPr>
            <w:r>
              <w:rPr>
                <w:rFonts w:eastAsia="宋体"/>
                <w:b w:val="0"/>
                <w:bCs w:val="0"/>
                <w:sz w:val="20"/>
                <w:szCs w:val="20"/>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强化环保管理体系有效运行。</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公司根据自身的实际情况，建立一套符合国家环保法律法规和行业标准的环保管理体系，确保环保工作的有序进行。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完善内部环保管理组织架构，统筹负责公司环保工作的日常管理和监督工作。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根据环保法律法规要求，补充完善公司内部环保管理制度，明确各部门、各岗位的环保职责，确保环保工作能够落实到实处根据环保法律法规要求，补充完善公司内部环保管理制度，明确各部门、各岗位的环保职责，确保环保工作能够落实到实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强化环保目标责任制，将环保目标分解到各个部门和员工，并建立相应的考核机制，确保环保目标的实现。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建立健全环保档案，对环保工作的各个方面进行详细记录，为环保管理体系的有效运行提供数据支持。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加强与政府部门的沟通协调，生态环境保护部门保持密切联系，及时了解国家环保政策的变化，确保企业的环保管理体系符合政策要求。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持续</w:t>
            </w:r>
            <w:r>
              <w:rPr>
                <w:rFonts w:eastAsia="宋体"/>
                <w:b w:val="0"/>
                <w:bCs w:val="0"/>
                <w:sz w:val="20"/>
                <w:szCs w:val="20"/>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加强内部审计和外部审核，定期对环保管理体系进行内部审计和外部审核，找出管理体系中的不足之处，不断改进和完善，确保环保管理体系的有效运行。</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持续</w:t>
            </w:r>
            <w:r>
              <w:rPr>
                <w:rFonts w:eastAsia="宋体"/>
                <w:b w:val="0"/>
                <w:bCs w:val="0"/>
                <w:sz w:val="20"/>
                <w:szCs w:val="20"/>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eastAsia="宋体"/>
                <w:b w:val="0"/>
                <w:bCs w:val="0"/>
                <w:sz w:val="20"/>
                <w:szCs w:val="20"/>
              </w:rPr>
            </w:pPr>
            <w:r>
              <w:rPr>
                <w:rFonts w:eastAsia="宋体"/>
                <w:b w:val="0"/>
                <w:bCs w:val="0"/>
                <w:sz w:val="20"/>
                <w:szCs w:val="20"/>
              </w:rPr>
              <w:t>3</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建立完善的环保设施运行管理制度，确保环保设施管理符合国家环保法律法规和行业标准的管理要求。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建立健全环保设施运行档案，对环保设施的运行、维护和检修进行详细记录，为环保设施的监督管理提供数据支持。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定期对环保设施运行进行监测，及时掌握设施运行状况，为环保设施的监督管理提供依据。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持续</w:t>
            </w:r>
            <w:r>
              <w:rPr>
                <w:rFonts w:eastAsia="宋体"/>
                <w:b w:val="0"/>
                <w:bCs w:val="0"/>
                <w:sz w:val="20"/>
                <w:szCs w:val="20"/>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eastAsia="宋体"/>
                <w:b w:val="0"/>
                <w:bCs w:val="0"/>
                <w:sz w:val="20"/>
                <w:szCs w:val="20"/>
              </w:rPr>
            </w:pPr>
            <w:r>
              <w:rPr>
                <w:rFonts w:eastAsia="宋体"/>
                <w:b w:val="0"/>
                <w:bCs w:val="0"/>
                <w:sz w:val="20"/>
                <w:szCs w:val="20"/>
              </w:rPr>
              <w:t>4</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公司计划聘请第三方环保管家，以驻厂督导方式，指导提升公司环保管理能力。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大力度开展环境隐患排查治理，采取每月开展环保综合检查、每日实行专职环保员现场巡查，重点部位重点检查的方式，对公司存在的环境隐患问题及时发现及时整改，消除可能存在的环境风险，必要时聘请第三方环保机构或环保专家到厂开展专项检查，消除环保隐患及环保风险。</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持续</w:t>
            </w:r>
            <w:r>
              <w:rPr>
                <w:rFonts w:eastAsia="宋体"/>
                <w:b w:val="0"/>
                <w:bCs w:val="0"/>
                <w:sz w:val="20"/>
                <w:szCs w:val="20"/>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firstLine="420"/>
              <w:jc w:val="center"/>
              <w:rPr>
                <w:rFonts w:eastAsia="宋体"/>
                <w:b w:val="0"/>
                <w:bCs w:val="0"/>
                <w:sz w:val="20"/>
                <w:szCs w:val="20"/>
              </w:rPr>
            </w:pPr>
            <w:r>
              <w:rPr>
                <w:rFonts w:eastAsia="宋体"/>
                <w:b w:val="0"/>
                <w:bCs w:val="0"/>
                <w:sz w:val="20"/>
                <w:szCs w:val="20"/>
              </w:rPr>
              <w:t>5</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根据公司实际运营需要，制定培训计划，定期对员工开展环保法律法规及技术规范的培训，让员工能够全面了解和掌握相关环保法律法规及政策。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持续</w:t>
            </w:r>
            <w:r>
              <w:rPr>
                <w:rFonts w:eastAsia="宋体"/>
                <w:b w:val="0"/>
                <w:bCs w:val="0"/>
                <w:sz w:val="20"/>
                <w:szCs w:val="20"/>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after="0" w:line="240" w:lineRule="auto"/>
              <w:ind w:left="0" w:leftChars="0"/>
              <w:rPr>
                <w:rFonts w:eastAsia="宋体"/>
                <w:b w:val="0"/>
                <w:bCs w:val="0"/>
                <w:sz w:val="20"/>
                <w:szCs w:val="20"/>
              </w:rPr>
            </w:pPr>
            <w:r>
              <w:rPr>
                <w:rFonts w:hint="eastAsia" w:eastAsia="宋体"/>
                <w:b w:val="0"/>
                <w:bCs w:val="0"/>
                <w:sz w:val="20"/>
                <w:szCs w:val="20"/>
              </w:rPr>
              <w:t>加强公司中高层管理人员培训，组织相关人员参与政府部门及第三方环保机构组织的培训会议，提高公司管理层人员的环保水平、环保技能。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eastAsia="宋体"/>
                <w:b w:val="0"/>
                <w:bCs w:val="0"/>
                <w:sz w:val="20"/>
                <w:szCs w:val="20"/>
              </w:rPr>
              <w:t>持续</w:t>
            </w:r>
            <w:r>
              <w:rPr>
                <w:rFonts w:eastAsia="宋体"/>
                <w:b w:val="0"/>
                <w:bCs w:val="0"/>
                <w:sz w:val="20"/>
                <w:szCs w:val="20"/>
              </w:rPr>
              <w:t>保持。</w:t>
            </w:r>
          </w:p>
        </w:tc>
      </w:tr>
    </w:tbl>
    <w:p>
      <w:pPr>
        <w:rPr>
          <w:rFonts w:ascii="Times New Roman" w:hAnsi="Times New Roman" w:cs="Times New Roman"/>
          <w:sz w:val="32"/>
          <w:szCs w:val="32"/>
        </w:rPr>
      </w:pPr>
    </w:p>
    <w:p>
      <w:pPr>
        <w:pStyle w:val="10"/>
        <w:ind w:firstLine="0" w:firstLineChars="0"/>
        <w:rPr>
          <w:rFonts w:ascii="Times New Roman" w:hAnsi="Times New Roman" w:eastAsia="仿宋"/>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等线">
    <w:altName w:val="方正小标宋简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33475" cy="203835"/>
              <wp:effectExtent l="0" t="0" r="0" b="0"/>
              <wp:wrapNone/>
              <wp:docPr id="4" name="_x0000_s1025"/>
              <wp:cNvGraphicFramePr/>
              <a:graphic xmlns:a="http://schemas.openxmlformats.org/drawingml/2006/main">
                <a:graphicData uri="http://schemas.microsoft.com/office/word/2010/wordprocessingShape">
                  <wps:wsp>
                    <wps:cNvSpPr/>
                    <wps:spPr>
                      <a:xfrm>
                        <a:off x="0" y="0"/>
                        <a:ext cx="1133475" cy="203590"/>
                      </a:xfrm>
                      <a:prstGeom prst="rect">
                        <a:avLst/>
                      </a:prstGeom>
                      <a:noFill/>
                      <a:ln w="9525" cap="flat" cmpd="sng">
                        <a:noFill/>
                        <a:prstDash val="solid"/>
                        <a:miter/>
                      </a:ln>
                    </wps:spPr>
                    <wps:txbx>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6.05pt;width:89.25pt;mso-position-horizontal:center;mso-position-horizontal-relative:margin;mso-wrap-style:none;z-index:251659264;mso-width-relative:page;mso-height-relative:page;" filled="f" stroked="f" coordsize="21600,21600" o:gfxdata="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14ONMAAAAEAQAADwAAAAAAAAABACAAAAAiAAAAZHJzL2Rvd25yZXYueG1sUEsB&#10;AhQAFAAAAAgAh07iQEgqw7D6AQAA9gMAAA4AAAAAAAAAAQAgAAAAIgEAAGRycy9lMm9Eb2MueG1s&#10;UEsFBgAAAAAGAAYAWQEAAI4FAAAAAA==&#10;">
              <v:fill on="f" focussize="0,0"/>
              <v:stroke on="f" joinstyle="miter"/>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mRlMDU5NzFmMDExYTBlZWI5MjNlOWM0NDM1YWEifQ=="/>
  </w:docVars>
  <w:rsids>
    <w:rsidRoot w:val="00000000"/>
    <w:rsid w:val="45C50B85"/>
    <w:rsid w:val="5F114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2"/>
    <w:basedOn w:val="1"/>
    <w:uiPriority w:val="0"/>
    <w:pPr>
      <w:spacing w:after="120" w:line="480" w:lineRule="auto"/>
      <w:ind w:left="200" w:leftChars="200"/>
    </w:pPr>
    <w:rPr>
      <w:rFonts w:ascii="Times New Roman" w:hAnsi="Times New Roman" w:eastAsia="仿宋_GB2312" w:cs="Times New Roman"/>
      <w:b/>
      <w:bCs/>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jc w:val="center"/>
    </w:pPr>
    <w:rPr>
      <w:sz w:val="18"/>
      <w:szCs w:val="18"/>
    </w:rPr>
  </w:style>
  <w:style w:type="paragraph" w:customStyle="1" w:styleId="10">
    <w:name w:val="正文文本缩进 21"/>
    <w:basedOn w:val="1"/>
    <w:uiPriority w:val="0"/>
    <w:pPr>
      <w:spacing w:line="590" w:lineRule="exact"/>
      <w:ind w:firstLine="200" w:firstLineChars="200"/>
    </w:pPr>
    <w:rPr>
      <w:rFonts w:ascii="Calibri" w:hAnsi="Calibri" w:eastAsia="方正仿宋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C062B-ACAB-4196-B4FE-233D01A6482F}">
  <ds:schemaRefs/>
</ds:datastoreItem>
</file>

<file path=docProps/app.xml><?xml version="1.0" encoding="utf-8"?>
<Properties xmlns="http://schemas.openxmlformats.org/officeDocument/2006/extended-properties" xmlns:vt="http://schemas.openxmlformats.org/officeDocument/2006/docPropsVTypes">
  <Template>Normal.eit</Template>
  <Pages>11</Pages>
  <Words>10812</Words>
  <Characters>11021</Characters>
  <Lines>0</Lines>
  <Paragraphs>33</Paragraphs>
  <TotalTime>1267</TotalTime>
  <ScaleCrop>false</ScaleCrop>
  <LinksUpToDate>false</LinksUpToDate>
  <CharactersWithSpaces>11022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2024-03-26T03:54:00Z</dcterms:created>
  <dc:creator>春 韩</dc:creator>
  <cp:lastModifiedBy>曦漫</cp:lastModifiedBy>
  <cp:lastPrinted>2024-05-27T09:07:00Z</cp:lastPrinted>
  <dcterms:modified xsi:type="dcterms:W3CDTF">2024-07-01T03:34:03Z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E77AEAB0943D4A64A0B0A90832FFA3BA_13</vt:lpwstr>
  </property>
</Properties>
</file>