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32"/>
          <w:szCs w:val="32"/>
        </w:rPr>
      </w:pPr>
      <w:bookmarkStart w:id="0" w:name="_GoBack"/>
      <w:bookmarkEnd w:id="0"/>
      <w:r>
        <w:rPr>
          <w:rFonts w:ascii="Times New Roman" w:hAnsi="Times New Roman" w:cs="Times New Roman"/>
          <w:sz w:val="32"/>
          <w:szCs w:val="32"/>
        </w:rPr>
        <w:t>附件2：</w:t>
      </w:r>
    </w:p>
    <w:tbl>
      <w:tblPr>
        <w:tblStyle w:val="8"/>
        <w:tblW w:w="13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92"/>
        <w:gridCol w:w="2224"/>
        <w:gridCol w:w="6667"/>
        <w:gridCol w:w="3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blHeader/>
          <w:jc w:val="center"/>
        </w:trPr>
        <w:tc>
          <w:tcPr>
            <w:tcW w:w="13931" w:type="dxa"/>
            <w:gridSpan w:val="5"/>
            <w:shd w:val="clear" w:color="auto" w:fill="auto"/>
            <w:vAlign w:val="center"/>
          </w:tcPr>
          <w:p>
            <w:pPr>
              <w:autoSpaceDE w:val="0"/>
              <w:autoSpaceDN w:val="0"/>
              <w:jc w:val="center"/>
              <w:rPr>
                <w:rFonts w:ascii="Times New Roman" w:hAnsi="Times New Roman" w:eastAsia="宋体" w:cs="Times New Roman"/>
                <w:snapToGrid w:val="0"/>
                <w:kern w:val="0"/>
                <w:sz w:val="20"/>
                <w:szCs w:val="20"/>
                <w:lang w:val="zh-CN" w:bidi="zh-CN"/>
              </w:rPr>
            </w:pPr>
            <w:r>
              <w:rPr>
                <w:rFonts w:ascii="Times New Roman" w:hAnsi="Times New Roman" w:eastAsia="宋体" w:cs="Times New Roman"/>
                <w:sz w:val="20"/>
                <w:szCs w:val="20"/>
              </w:rPr>
              <w:t>安徽东华通源生态科技有限公司挂牌督办问题6月份整改进度明细表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96" w:type="dxa"/>
            <w:shd w:val="clear" w:color="auto" w:fill="auto"/>
            <w:vAlign w:val="center"/>
          </w:tcPr>
          <w:p>
            <w:pPr>
              <w:autoSpaceDE w:val="0"/>
              <w:autoSpaceDN w:val="0"/>
              <w:jc w:val="center"/>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序号</w:t>
            </w:r>
          </w:p>
        </w:tc>
        <w:tc>
          <w:tcPr>
            <w:tcW w:w="992" w:type="dxa"/>
            <w:tcBorders>
              <w:top w:val="single" w:color="auto" w:sz="4" w:space="0"/>
              <w:left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问题清单内容</w:t>
            </w:r>
          </w:p>
        </w:tc>
        <w:tc>
          <w:tcPr>
            <w:tcW w:w="2224" w:type="dxa"/>
            <w:tcBorders>
              <w:top w:val="single" w:color="auto" w:sz="4" w:space="0"/>
              <w:left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问题描述</w:t>
            </w: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整改措施</w:t>
            </w:r>
          </w:p>
        </w:tc>
        <w:tc>
          <w:tcPr>
            <w:tcW w:w="3352" w:type="dxa"/>
            <w:shd w:val="clear" w:color="auto" w:fill="auto"/>
            <w:vAlign w:val="center"/>
          </w:tcPr>
          <w:p>
            <w:pPr>
              <w:autoSpaceDE w:val="0"/>
              <w:autoSpaceDN w:val="0"/>
              <w:jc w:val="center"/>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整改进度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6" w:type="dxa"/>
            <w:vMerge w:val="restart"/>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1</w:t>
            </w:r>
          </w:p>
        </w:tc>
        <w:tc>
          <w:tcPr>
            <w:tcW w:w="992"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督办问题一：未按照国家环境保护标准处置危险废物。</w:t>
            </w:r>
          </w:p>
          <w:p>
            <w:pPr>
              <w:autoSpaceDE w:val="0"/>
              <w:autoSpaceDN w:val="0"/>
              <w:ind w:firstLine="480"/>
              <w:rPr>
                <w:rFonts w:ascii="Times New Roman" w:hAnsi="Times New Roman" w:eastAsia="宋体" w:cs="Times New Roman"/>
                <w:snapToGrid w:val="0"/>
                <w:kern w:val="0"/>
                <w:sz w:val="20"/>
                <w:szCs w:val="20"/>
                <w:lang w:val="zh-CN" w:bidi="zh-CN"/>
              </w:rPr>
            </w:pPr>
          </w:p>
        </w:tc>
        <w:tc>
          <w:tcPr>
            <w:tcW w:w="2224" w:type="dxa"/>
            <w:vMerge w:val="restart"/>
            <w:tcBorders>
              <w:top w:val="single" w:color="auto" w:sz="4" w:space="0"/>
              <w:left w:val="single" w:color="auto" w:sz="4" w:space="0"/>
              <w:right w:val="single" w:color="auto" w:sz="4" w:space="0"/>
            </w:tcBorders>
            <w:shd w:val="clear" w:color="auto" w:fill="auto"/>
            <w:vAlign w:val="center"/>
          </w:tcPr>
          <w:p>
            <w:pPr>
              <w:kinsoku w:val="0"/>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经调阅该企业危险废物经营许可证及危险废物出库台账，发现该企业于2023年将液态的192.3吨废母液（企业解释作为螯合剂）与其他危险废物混合固化后填埋，不符合《危险废物填埋污染控制标准》（GB1859-2019）6.1规定的液态废物不得填埋的要求。</w:t>
            </w: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1.停止将废母液与其他危险废物混合固化后填埋，邀请环保技术和法律专家提供技术指导、优化废母液的处置方式。</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2.全面排查公司2023年以来废母液的处置情况，将生产记录和相关检测报告整理完善。</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r>
              <w:rPr>
                <w:rFonts w:ascii="Times New Roman" w:hAnsi="Times New Roman" w:eastAsia="宋体" w:cs="Times New Roman"/>
                <w:snapToGrid w:val="0"/>
                <w:kern w:val="0"/>
                <w:sz w:val="20"/>
                <w:szCs w:val="20"/>
                <w:lang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4"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3.</w:t>
            </w:r>
            <w:r>
              <w:rPr>
                <w:rFonts w:ascii="Times New Roman" w:hAnsi="Times New Roman" w:eastAsia="宋体" w:cs="Times New Roman"/>
                <w:snapToGrid w:val="0"/>
                <w:kern w:val="0"/>
                <w:sz w:val="20"/>
                <w:szCs w:val="20"/>
                <w:lang w:bidi="zh-CN"/>
              </w:rPr>
              <w:t>根据法律法规和行业标准以及环评文件要求，制定完善的危险废物分类管理、分类处置的操作规程，建立危险废物处置事前审查、事中检查、事后复核的合规管理制度。邀请市、区生态环境主管部门以及环保技术和法律专家对操作规程的可行性、合规性进行论证。</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highlight w:val="none"/>
                <w:lang w:val="en-US" w:eastAsia="zh-CN" w:bidi="zh-CN"/>
              </w:rPr>
              <w:t>整改中，（1）修订并重新发布了《危险废物分区、分类贮存规定》《焚烧车间管理制度汇编》《焚烧车间运行操作规程》《固化车间管理规定》；（2）环保合规服务团队完成危险废物处置企业固危废管理相关法律法规、技术规范收集整理，完成环评文件关于危险废物分类管理、分类处置要求梳理，完成《合规义务清单（初稿）》《合规风险清单（初稿）》编制；（3）环保合规服务团队正在对修订后制度、规程进行合规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4.</w:t>
            </w:r>
            <w:r>
              <w:rPr>
                <w:rFonts w:ascii="Times New Roman" w:hAnsi="Times New Roman" w:eastAsia="宋体" w:cs="Times New Roman"/>
                <w:snapToGrid w:val="0"/>
                <w:kern w:val="0"/>
                <w:sz w:val="20"/>
                <w:szCs w:val="20"/>
                <w:lang w:bidi="zh-CN"/>
              </w:rPr>
              <w:t>制定法律知识和技术标准的培训计划，针对不同岗位合理设置培训课程，提高员工识别、处置合规风险的能力。</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highlight w:val="none"/>
                <w:lang w:val="en-US" w:eastAsia="zh-CN" w:bidi="zh-CN"/>
              </w:rPr>
              <w:t>已完成</w:t>
            </w:r>
            <w:r>
              <w:rPr>
                <w:rFonts w:ascii="Times New Roman" w:hAnsi="Times New Roman" w:eastAsia="宋体" w:cs="Times New Roman"/>
                <w:snapToGrid w:val="0"/>
                <w:kern w:val="0"/>
                <w:sz w:val="20"/>
                <w:szCs w:val="20"/>
                <w:highlight w:val="none"/>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5.聘请具有资质的环境检测机构、鉴定评估机构针对2023年废母液与其他危险废物混合固化后填埋对填埋场及周边环境是否造成不利影响以及可能造成影响的范围开展环境检测和生态环境损害鉴定评估，制定处置和修复治理方案，并就方案组织专家评审修改版。</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highlight w:val="none"/>
                <w:lang w:val="en-US" w:eastAsia="zh-CN" w:bidi="zh-CN"/>
              </w:rPr>
              <w:t>整改中，6月18日向鉴定评估提交鉴定评估需要材料；6月20日起草《生态环境损害预赔偿协议》并提交淮南市生态环境局。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6.根据专家意见对处置和修复治理方案进行修订完善，报市、区生态环境主管部门同意后实施。根据方案及生态环境主管部门意见，对存在废母液与其他危险废物固化填埋的区域，采取挖掘后规范处置（如需要）、自然修复并长期监控、替代修复等措施，消除、减少环境影响。对于无法修复的，主动承担生态环境损害赔偿责任。</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整改中</w:t>
            </w:r>
            <w:r>
              <w:rPr>
                <w:rFonts w:ascii="Times New Roman" w:hAnsi="Times New Roman" w:eastAsia="宋体" w:cs="Times New Roman"/>
                <w:snapToGrid w:val="0"/>
                <w:kern w:val="0"/>
                <w:sz w:val="20"/>
                <w:szCs w:val="20"/>
                <w:lang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6" w:type="dxa"/>
            <w:vMerge w:val="restart"/>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2</w:t>
            </w:r>
          </w:p>
        </w:tc>
        <w:tc>
          <w:tcPr>
            <w:tcW w:w="992"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督办问题二：污染防治措施不到位</w:t>
            </w:r>
          </w:p>
        </w:tc>
        <w:tc>
          <w:tcPr>
            <w:tcW w:w="2224"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该企业恶臭气体和挥发性有机物收集处理设施建设不完善，无组织排放严重。固化车间刺激性气味明显，大量废母液存在跑冒滴漏现场。物料暂存库、卸料区、稳固化车间、焚烧预处理车间等门窗密封不严，废气收集效果差，厂区内异味明显。</w:t>
            </w: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1.立即采取相应措施，减少生产经营期间的恶臭气体产生，确保恶臭气体达标排放。</w:t>
            </w:r>
          </w:p>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（1）暂停异味较大物料的收运，从源头减少恶臭气体的产生。</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（2）在合理配伍基础上，加快贮存物料的处置，减少仓库库存量，减少恶臭气体的产生量。</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（3）邀请废气收集处理设施厂家对现有设备进行检查，排除设备漏风、堵灰等故障和隐患。</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（4）针对填埋场气体无组织排放带来的异味问题，采取覆盖等措施，合理安排填埋作业时间，避免阴雨天和大风天气作业，减少恶臭气体外溢。</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已完成并持续保持。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2.升级改造恶臭气体和挥发性有机物收集处理设施，提升废气收集效率，降低无组织排放浓度，确保稳定达标排放。</w:t>
            </w:r>
          </w:p>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（1）委托第三方设计机构对现有恶臭气体和挥发性有机物收集处理设施的性能进行检查。</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委托环保技术咨询机构开展环境影响后评价，将现有恶臭气体和挥发性有机物收集处理设施存在问题作为环境影响后评价调查的重点内容之一，提出补救或改进措施。</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highlight w:val="none"/>
                <w:lang w:val="en-US" w:eastAsia="zh-CN" w:bidi="zh-CN"/>
              </w:rPr>
              <w:t>已完成，</w:t>
            </w:r>
            <w:r>
              <w:rPr>
                <w:rFonts w:ascii="Times New Roman" w:hAnsi="Times New Roman" w:eastAsia="宋体" w:cs="Times New Roman"/>
                <w:snapToGrid w:val="0"/>
                <w:kern w:val="0"/>
                <w:sz w:val="20"/>
                <w:szCs w:val="20"/>
                <w:highlight w:val="none"/>
                <w:lang w:val="en-US" w:eastAsia="zh-CN" w:bidi="zh-CN"/>
              </w:rPr>
              <w:t>环保技术咨询机构已</w:t>
            </w:r>
            <w:r>
              <w:rPr>
                <w:rFonts w:hint="eastAsia" w:ascii="Times New Roman" w:hAnsi="Times New Roman" w:eastAsia="宋体" w:cs="Times New Roman"/>
                <w:snapToGrid w:val="0"/>
                <w:kern w:val="0"/>
                <w:sz w:val="20"/>
                <w:szCs w:val="20"/>
                <w:highlight w:val="none"/>
                <w:lang w:val="en-US" w:eastAsia="zh-CN" w:bidi="zh-CN"/>
              </w:rPr>
              <w:t>完成环境影响</w:t>
            </w:r>
            <w:r>
              <w:rPr>
                <w:rFonts w:ascii="Times New Roman" w:hAnsi="Times New Roman" w:eastAsia="宋体" w:cs="Times New Roman"/>
                <w:snapToGrid w:val="0"/>
                <w:kern w:val="0"/>
                <w:sz w:val="20"/>
                <w:szCs w:val="20"/>
                <w:highlight w:val="none"/>
                <w:lang w:val="en-US" w:eastAsia="zh-CN" w:bidi="zh-CN"/>
              </w:rPr>
              <w:t>后评价的全面检测工作</w:t>
            </w:r>
            <w:r>
              <w:rPr>
                <w:rFonts w:hint="eastAsia" w:ascii="Times New Roman" w:hAnsi="Times New Roman" w:eastAsia="宋体" w:cs="Times New Roman"/>
                <w:snapToGrid w:val="0"/>
                <w:kern w:val="0"/>
                <w:sz w:val="20"/>
                <w:szCs w:val="20"/>
                <w:highlight w:val="none"/>
                <w:lang w:val="en-US" w:eastAsia="zh-CN" w:bidi="zh-CN"/>
              </w:rPr>
              <w:t>，并提出补救和改进措施。6月20日召开专家评审会。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与第三方设计机构、环保技术咨询机构会商讨论工艺改进方案、分析方案可行性。</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（2）委托第三方设计机构进行改造方案设计，提交改造方案和设计文件，并报市、区生态环境主管部门审核。</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将环境影响后评价文件报市、区生态环境主管部门备案，接受生态环境主管部门的监督检查。</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整改中，正在准备专家评审后报生态环境主管部门备案。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（3）实施环保设施改造方案，落实环境影响后评价提出的环境保护补救方案和改进措施，具体包括：</w:t>
            </w:r>
          </w:p>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提升料坑除臭系统性能，提高风机参数，优化布风管道；</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提升危险废物暂存库除臭系统性能，改造风管布置，增加调风装置；</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highlight w:val="none"/>
                <w:lang w:val="en-US" w:eastAsia="zh-CN" w:bidi="zh-CN"/>
              </w:rPr>
              <w:t>整改中</w:t>
            </w:r>
            <w:r>
              <w:rPr>
                <w:rFonts w:ascii="Times New Roman" w:hAnsi="Times New Roman" w:eastAsia="宋体" w:cs="Times New Roman"/>
                <w:snapToGrid w:val="0"/>
                <w:kern w:val="0"/>
                <w:sz w:val="20"/>
                <w:szCs w:val="20"/>
                <w:highlight w:val="none"/>
                <w:lang w:val="en-US" w:eastAsia="zh-CN" w:bidi="zh-CN"/>
              </w:rPr>
              <w:t>，</w:t>
            </w:r>
            <w:r>
              <w:rPr>
                <w:rFonts w:hint="eastAsia" w:ascii="Times New Roman" w:hAnsi="Times New Roman" w:eastAsia="宋体" w:cs="Times New Roman"/>
                <w:snapToGrid w:val="0"/>
                <w:kern w:val="0"/>
                <w:sz w:val="20"/>
                <w:szCs w:val="20"/>
                <w:highlight w:val="none"/>
                <w:lang w:val="en-US" w:eastAsia="zh-CN" w:bidi="zh-CN"/>
              </w:rPr>
              <w:t>已完成暂存库除臭系统设计、招标，风管和调风装置正在安装、调试。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提升固化车间除臭系统性能，增加隔离措施，增加除臭装置；</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highlight w:val="none"/>
                <w:lang w:val="en-US" w:eastAsia="zh-CN" w:bidi="zh-CN"/>
              </w:rPr>
              <w:t>整改中，（1）</w:t>
            </w:r>
            <w:r>
              <w:rPr>
                <w:rFonts w:ascii="Times New Roman" w:hAnsi="Times New Roman" w:eastAsia="宋体" w:cs="Times New Roman"/>
                <w:snapToGrid w:val="0"/>
                <w:kern w:val="0"/>
                <w:sz w:val="20"/>
                <w:szCs w:val="20"/>
                <w:highlight w:val="none"/>
                <w:lang w:val="en-US" w:eastAsia="zh-CN" w:bidi="zh-CN"/>
              </w:rPr>
              <w:t>已增加临时应急喷淋设施</w:t>
            </w:r>
            <w:r>
              <w:rPr>
                <w:rFonts w:hint="eastAsia" w:ascii="Times New Roman" w:hAnsi="Times New Roman" w:eastAsia="宋体" w:cs="Times New Roman"/>
                <w:snapToGrid w:val="0"/>
                <w:kern w:val="0"/>
                <w:sz w:val="20"/>
                <w:szCs w:val="20"/>
                <w:highlight w:val="none"/>
                <w:lang w:val="en-US" w:eastAsia="zh-CN" w:bidi="zh-CN"/>
              </w:rPr>
              <w:t>；（2）固化车间除臭系统</w:t>
            </w:r>
            <w:r>
              <w:rPr>
                <w:rFonts w:ascii="Times New Roman" w:hAnsi="Times New Roman" w:eastAsia="宋体" w:cs="Times New Roman"/>
                <w:snapToGrid w:val="0"/>
                <w:kern w:val="0"/>
                <w:sz w:val="20"/>
                <w:szCs w:val="20"/>
                <w:highlight w:val="none"/>
                <w:lang w:val="en-US" w:eastAsia="zh-CN" w:bidi="zh-CN"/>
              </w:rPr>
              <w:t>改造设施</w:t>
            </w:r>
            <w:r>
              <w:rPr>
                <w:rFonts w:hint="eastAsia" w:ascii="Times New Roman" w:hAnsi="Times New Roman" w:eastAsia="宋体" w:cs="Times New Roman"/>
                <w:snapToGrid w:val="0"/>
                <w:kern w:val="0"/>
                <w:sz w:val="20"/>
                <w:szCs w:val="20"/>
                <w:highlight w:val="none"/>
                <w:lang w:val="en-US" w:eastAsia="zh-CN" w:bidi="zh-CN"/>
              </w:rPr>
              <w:t>方案已论证、招标已完成，除臭设备正在安装。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对暂存库、焚烧预处理和固化车间门窗升级改造，更换密封性更好的快速卷帘门等。</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已完成</w:t>
            </w:r>
            <w:r>
              <w:rPr>
                <w:rFonts w:hint="eastAsia" w:ascii="Times New Roman" w:hAnsi="Times New Roman" w:eastAsia="宋体" w:cs="Times New Roman"/>
                <w:snapToGrid w:val="0"/>
                <w:kern w:val="0"/>
                <w:sz w:val="20"/>
                <w:szCs w:val="20"/>
                <w:lang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（4）购买小型喷雾机，及时喷洒除臭药剂，降低恶臭气体无组织排放浓度。</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3.健全合规管理体系、增强员工合规意识、严格合规制度落实，避免操作不当造成跑冒滴漏、恶臭气体外溢。</w:t>
            </w:r>
          </w:p>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1）建立市场部、技术中心（危险废物暂存库）、生产车间的信息沟通与协调机制，在危险废物收运前做好物料对厂区大气等环境的影响程度、处置难度、处置周期的分析研判，合理统筹收运计划、生产调度，对危险废物暂存库、固化车间、焚烧车间的待生产物料数量进行控制，避免物料积压，减少恶臭气体产生量。</w:t>
            </w:r>
          </w:p>
        </w:tc>
        <w:tc>
          <w:tcPr>
            <w:tcW w:w="3352" w:type="dxa"/>
            <w:shd w:val="clear" w:color="auto" w:fill="auto"/>
            <w:vAlign w:val="center"/>
          </w:tcPr>
          <w:p>
            <w:pPr>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highlight w:val="none"/>
                <w:lang w:val="en-US" w:eastAsia="zh-CN" w:bidi="zh-CN"/>
              </w:rPr>
              <w:t>已完成</w:t>
            </w:r>
            <w:r>
              <w:rPr>
                <w:rFonts w:hint="eastAsia" w:ascii="Times New Roman" w:hAnsi="Times New Roman" w:eastAsia="宋体" w:cs="Times New Roman"/>
                <w:snapToGrid w:val="0"/>
                <w:kern w:val="0"/>
                <w:sz w:val="20"/>
                <w:szCs w:val="20"/>
                <w:highlight w:val="none"/>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2）优化作业流程，强化制度建设。对危险废物收运、贮存、固化、焚烧、填埋等作业流程进行梳理，针对易产生跑冒滴漏、恶臭气体外溢的环节优化作业流程、细化操作规程，明确部门、岗位职责，建立环境卫生和跑冒滴漏现象巡查、检查、考核与奖惩机制。</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（3）加强培训，提高管理人员及操作人员的合规意识和环境管理能力，营造“人人合规、事事合规、时时合规”的企业文化。</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696" w:type="dxa"/>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3</w:t>
            </w:r>
          </w:p>
        </w:tc>
        <w:tc>
          <w:tcPr>
            <w:tcW w:w="992"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举一反三问题一</w:t>
            </w:r>
          </w:p>
        </w:tc>
        <w:tc>
          <w:tcPr>
            <w:tcW w:w="2224"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危险废物台账管理分散，归档不完整、不规范。</w:t>
            </w: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1.对公司执行《危险废物管理计划和管理台账制定技术导则（HJ 1259—2022）》情况进行复查，核对省固废系统和厂内记录，核对联单记录和处理记录，全面梳理公司管理台账。</w:t>
            </w:r>
          </w:p>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2.市场部、技术中心和生产部从危废源头进厂开始检查、安环部复核，确保记录完整、真实，固废系统电子台账、危废联单和厂内纸质记录一一对应，梳理后进行完整、归档，做到可追溯、可查询。</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highlight w:val="none"/>
                <w:lang w:val="en-US" w:eastAsia="zh-CN" w:bidi="zh-CN"/>
              </w:rPr>
              <w:t>已完成</w:t>
            </w:r>
            <w:r>
              <w:rPr>
                <w:rFonts w:ascii="Times New Roman" w:hAnsi="Times New Roman" w:eastAsia="宋体" w:cs="Times New Roman"/>
                <w:snapToGrid w:val="0"/>
                <w:kern w:val="0"/>
                <w:sz w:val="20"/>
                <w:szCs w:val="20"/>
                <w:highlight w:val="none"/>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96" w:type="dxa"/>
            <w:vMerge w:val="restart"/>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4</w:t>
            </w:r>
          </w:p>
        </w:tc>
        <w:tc>
          <w:tcPr>
            <w:tcW w:w="992"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举一反三问题二</w:t>
            </w:r>
          </w:p>
        </w:tc>
        <w:tc>
          <w:tcPr>
            <w:tcW w:w="2224"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未设置物流专用运输通道，厂内运输跑冒滴漏严重</w:t>
            </w: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1.设置仓库至填埋场、焚烧车间至填埋场、固化车间至填埋场指定路线。</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2.完善车辆防抛洒措施，减少路面抛洒。</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3.指定专人负责在物流运输后及时打扫。</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6" w:type="dxa"/>
            <w:vMerge w:val="restart"/>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5</w:t>
            </w:r>
          </w:p>
        </w:tc>
        <w:tc>
          <w:tcPr>
            <w:tcW w:w="992"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举一反三问题三</w:t>
            </w:r>
          </w:p>
        </w:tc>
        <w:tc>
          <w:tcPr>
            <w:tcW w:w="2224"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厂区存在露天堆放吨桶现象。</w:t>
            </w: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1.立即将露天堆放的吨桶转运至规范贮存场所。</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2.加强员工培训，修改完善操作规程，严禁在没有防护措施的情况下临时堆放危险废物。</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96" w:type="dxa"/>
            <w:vMerge w:val="restart"/>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6</w:t>
            </w:r>
          </w:p>
        </w:tc>
        <w:tc>
          <w:tcPr>
            <w:tcW w:w="992"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举一反三问题四</w:t>
            </w:r>
          </w:p>
        </w:tc>
        <w:tc>
          <w:tcPr>
            <w:tcW w:w="2224"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危险废物暂存库管理不规范，存在渗滤液收集设施不完善、危险废物分区标识设置不规范问题</w:t>
            </w: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1.对液态危险废物以及可能产生渗滤液的危险废物包装物底部严格按照标准要求，加强防渗漏措施，防止液态危险废物、渗滤液泄露造成污染。</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2.对厂区危废储存设施和储存的物料进行标识、标签的合规设置。</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3.加强运输公司培训，从转移过程把控危险废物标签的合规设置。</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96" w:type="dxa"/>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7</w:t>
            </w:r>
          </w:p>
        </w:tc>
        <w:tc>
          <w:tcPr>
            <w:tcW w:w="992"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举一反三问题五</w:t>
            </w:r>
          </w:p>
        </w:tc>
        <w:tc>
          <w:tcPr>
            <w:tcW w:w="2224"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厂区内绿化养护不足。</w:t>
            </w: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对厂区内绿化环境进行全面升级改造，在厂区周围种植水杉、藤蔓类植物，逐步形成“绿色工厂”。</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696" w:type="dxa"/>
            <w:vMerge w:val="restart"/>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8</w:t>
            </w:r>
          </w:p>
        </w:tc>
        <w:tc>
          <w:tcPr>
            <w:tcW w:w="992"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长效机制一</w:t>
            </w:r>
          </w:p>
        </w:tc>
        <w:tc>
          <w:tcPr>
            <w:tcW w:w="2224"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坚持依法治企，强化合规经营。针对这次督办，公司已经聘请环保专项合规团队，对经营中的环境问题进行专项环保合规整改，搭建合规管理体系，进一步完善和促进公司合法合规经营。</w:t>
            </w: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1.开展合规管理现状调查。依托第三方专业机构，对环保合规管理现状全面调查，分析公司合规管理现状与合规管理目标之间的差距，明确环保合规管理的重点任务、重点环节和重点岗位。</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2.建立合规管理组织体系。识别和梳理公司环保管理工作事项、岗位与人员配置、职责权限分配情况，调整环保管理组织结构，制作各环保工作岗位的职责清单，明确各岗位环保管理的工作内容、工作要求、工作方法、违规责任。</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3.完善环保合规制度体系。对现有合规管理制度、环保管理制度，逐项出具合规审查意见，提出补充、修改、完善建议。</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highlight w:val="none"/>
                <w:lang w:val="en-US" w:eastAsia="zh-CN" w:bidi="zh-CN"/>
              </w:rPr>
              <w:t>整改中，已委托环保合规服务团队完成公司环保管理制度的收集，编制并提交《环境保护规章制度合规审查报告（初稿）》。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4.建立环保合规运行机制并开展试运行。建立合规义务识别、合规风险评估预警、合规检查、合规调查与奖惩、合规报告等机制，并开展试运行。</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696" w:type="dxa"/>
            <w:vMerge w:val="continue"/>
            <w:shd w:val="clear" w:color="auto" w:fill="auto"/>
            <w:vAlign w:val="center"/>
          </w:tcPr>
          <w:p/>
        </w:tc>
        <w:tc>
          <w:tcPr>
            <w:tcW w:w="992" w:type="dxa"/>
            <w:vMerge w:val="continue"/>
            <w:tcBorders>
              <w:top w:val="single" w:color="auto" w:sz="4" w:space="0"/>
              <w:left w:val="single" w:color="auto" w:sz="4" w:space="0"/>
              <w:right w:val="single" w:color="auto" w:sz="4" w:space="0"/>
            </w:tcBorders>
            <w:shd w:val="clear" w:color="auto" w:fill="auto"/>
            <w:vAlign w:val="center"/>
          </w:tcPr>
          <w:p/>
        </w:tc>
        <w:tc>
          <w:tcPr>
            <w:tcW w:w="2224" w:type="dxa"/>
            <w:vMerge w:val="continue"/>
            <w:tcBorders>
              <w:top w:val="single" w:color="auto" w:sz="4" w:space="0"/>
              <w:left w:val="single" w:color="auto" w:sz="4" w:space="0"/>
              <w:right w:val="single" w:color="auto" w:sz="4" w:space="0"/>
            </w:tcBorders>
            <w:shd w:val="clear" w:color="auto" w:fill="auto"/>
            <w:vAlign w:val="center"/>
          </w:tcP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5.持续提升合规管理水平。对合规组织体系、合规制度体系、合规运行机制的建设运行情况进行总结，对合规管理体系的有效性进行评估，对后续合规管理工作提出完善建议。</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highlight w:val="none"/>
                <w:lang w:val="en-US" w:eastAsia="zh-CN" w:bidi="zh-CN"/>
              </w:rPr>
              <w:t>整改中，正在组织开展环保合规自查，对合规组织体系、制度体系、运行机制的建设运行情况进行总结；收集有关资料，对合规体系有效性进行评估。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696" w:type="dxa"/>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9</w:t>
            </w:r>
          </w:p>
        </w:tc>
        <w:tc>
          <w:tcPr>
            <w:tcW w:w="992"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长效机制二</w:t>
            </w:r>
          </w:p>
        </w:tc>
        <w:tc>
          <w:tcPr>
            <w:tcW w:w="2224"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聘请环境后评价技术咨询单位，对公司现存问题对照环评文件和现行法律法规、标准规范、属地要求，进行深入全面的梳理排查</w:t>
            </w: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依托第三方专业机构，对公司环评文件及现场环境情况进行梳理，整理现有环境问题并提出改进措施并进行可行性分析，出具环境影响后评价结论。</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highlight w:val="none"/>
                <w:lang w:val="en-US" w:eastAsia="zh-CN" w:bidi="zh-CN"/>
              </w:rPr>
              <w:t>已完成。5月9日已完成《环境影响后评价报告（初稿）》审议会，6月20日召开专家评审会。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96" w:type="dxa"/>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10</w:t>
            </w:r>
          </w:p>
        </w:tc>
        <w:tc>
          <w:tcPr>
            <w:tcW w:w="992"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长效机制三</w:t>
            </w:r>
          </w:p>
        </w:tc>
        <w:tc>
          <w:tcPr>
            <w:tcW w:w="2224"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引以为戒，全面提升企业能力和企业形象。与邻为善，多联互动，积极参与地方发展。</w:t>
            </w: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公司将加强与地方政府和临近居民组织的联系，适时邀请各方代表到公司访谈，根据意见进行持续改进改善。</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已完成并持续保持。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96" w:type="dxa"/>
            <w:shd w:val="clear" w:color="auto" w:fill="auto"/>
            <w:vAlign w:val="center"/>
          </w:tcPr>
          <w:p>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11</w:t>
            </w:r>
          </w:p>
        </w:tc>
        <w:tc>
          <w:tcPr>
            <w:tcW w:w="992" w:type="dxa"/>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长效机制四</w:t>
            </w:r>
          </w:p>
        </w:tc>
        <w:tc>
          <w:tcPr>
            <w:tcW w:w="2224" w:type="dxa"/>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加强与生态环境部门联系，寻求业务指导</w:t>
            </w:r>
          </w:p>
        </w:tc>
        <w:tc>
          <w:tcPr>
            <w:tcW w:w="6667" w:type="dxa"/>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积极主动联系生态环境部门进行监管，不避讳，不隐瞒。</w:t>
            </w:r>
          </w:p>
        </w:tc>
        <w:tc>
          <w:tcPr>
            <w:tcW w:w="3352" w:type="dxa"/>
            <w:shd w:val="clear" w:color="auto" w:fill="auto"/>
            <w:vAlign w:val="center"/>
          </w:tcPr>
          <w:p>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已完成并持续保持。</w:t>
            </w:r>
          </w:p>
        </w:tc>
      </w:tr>
    </w:tbl>
    <w:p>
      <w:pPr>
        <w:pStyle w:val="10"/>
        <w:ind w:firstLine="0" w:firstLineChars="0"/>
        <w:rPr>
          <w:rFonts w:ascii="Times New Roman" w:hAnsi="Times New Roman" w:eastAsia="仿宋"/>
          <w:szCs w:val="32"/>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等线">
    <w:altName w:val="方正小标宋简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33475" cy="203835"/>
              <wp:effectExtent l="0" t="0" r="0" b="0"/>
              <wp:wrapNone/>
              <wp:docPr id="4" name="_x0000_s1025"/>
              <wp:cNvGraphicFramePr/>
              <a:graphic xmlns:a="http://schemas.openxmlformats.org/drawingml/2006/main">
                <a:graphicData uri="http://schemas.microsoft.com/office/word/2010/wordprocessingShape">
                  <wps:wsp>
                    <wps:cNvSpPr/>
                    <wps:spPr>
                      <a:xfrm>
                        <a:off x="0" y="0"/>
                        <a:ext cx="1133475" cy="203590"/>
                      </a:xfrm>
                      <a:prstGeom prst="rect">
                        <a:avLst/>
                      </a:prstGeom>
                      <a:noFill/>
                      <a:ln w="9525" cap="flat" cmpd="sng">
                        <a:noFill/>
                        <a:prstDash val="solid"/>
                        <a:miter/>
                      </a:ln>
                    </wps:spPr>
                    <wps:txbx>
                      <w:txbxContent>
                        <w:p>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vert="horz" wrap="none" lIns="0" tIns="0" rIns="0" bIns="0" anchor="t" anchorCtr="0" upright="1">
                      <a:spAutoFit/>
                    </wps:bodyPr>
                  </wps:wsp>
                </a:graphicData>
              </a:graphic>
            </wp:anchor>
          </w:drawing>
        </mc:Choice>
        <mc:Fallback>
          <w:pict>
            <v:rect id="_x0000_s1025" o:spid="_x0000_s1026" o:spt="1" style="position:absolute;left:0pt;margin-top:0pt;height:16.05pt;width:89.25pt;mso-position-horizontal:center;mso-position-horizontal-relative:margin;mso-wrap-style:none;z-index:251659264;mso-width-relative:page;mso-height-relative:page;" filled="f" stroked="f" coordsize="21600,21600" o:gfxdata="UEsDBAoAAAAAAIdO4kAAAAAAAAAAAAAAAAAEAAAAZHJzL1BLAwQUAAAACACHTuJAGl14ONMAAAAE&#10;AQAADwAAAGRycy9kb3ducmV2LnhtbE2PzWrDMBCE74W+g9hCb41kh7bGsZxDIdCUXuL0ARRr/UOk&#10;lZGUOH37Krmkl4Vhhplvq/XFGnZGH0ZHErKFAIbUOj1SL+Fnv3kpgIWoSCvjCCX8YoB1/fhQqVK7&#10;mXZ4bmLPUgmFUkkYYpxKzkM7oFVh4Sak5HXOWxWT9D3XXs2p3BqeC/HGrRopLQxqwo8B22NzshL4&#10;vtnMRWO8cF959222n7sOnZTPT5lYAYt4ifcwXPETOtSJ6eBOpAMzEtIj8Xav3nvxCuwgYZlnwOuK&#10;/4ev/wBQSwMEFAAAAAgAh07iQEgqw7D6AQAA9gMAAA4AAABkcnMvZTJvRG9jLnhtbK1Ty27bMBC8&#10;F+g/ELzHkuy4TQTTQVAjRYGiDZD2HNAUJRHgC1zakvv1XVKyE6SXHKqDtBTJ2ZnhcHM3Gk2OMoBy&#10;ltFqUVIirXCNsh2jv389XN1QApHbhmtnJaMnCfRu+/HDZvC1XLre6UYGgiAW6sEz2sfo66IA0UvD&#10;YeG8tDjZumB4xGHoiibwAdGNLpZl+akYXGh8cEIC4N/dNElnxPAeQNe2SsidEwcjbZxQg9Q8oiTo&#10;lQe6zWzbVor4s21BRqIZRaUxv7EJ1vv0LrYbXneB+16JmQJ/D4U3mgxXFpteoHY8cnII6h8oo0Rw&#10;4Nq4EM4Uk5DsCKqoyjfePPXcy6wFrQZ/MR3+H6z4cXwMRDWMXlNiucEDfx5LfJ6hKpfr5M/gocZl&#10;T/4xzCPAMokd22DSF2WQMXt6ungqx0gE/qyq1er685oSgXPLcrW+zaYXL7t9gPhVOkNSwWjAM8tW&#10;8uN3iNgRl56XpGbWPSit87lpSwZGb9fIkwiOWWwxA1gaj3rAdhnm1foEs+PQkyPHOIDTqpkCYFSU&#10;SRy20hY/SfIkMlVx3I+z8r1rTugXXh9k2rvwh5IBw8OoxbtCif5m8WxSzs5FOBf7c8GtwI2MItGp&#10;/BKnPB58UF2PuFXmDf7+EFFrtiDRmHrP7DAOme4c3ZS31+O86uW6b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l14ONMAAAAEAQAADwAAAAAAAAABACAAAAAiAAAAZHJzL2Rvd25yZXYueG1sUEsB&#10;AhQAFAAAAAgAh07iQEgqw7D6AQAA9gMAAA4AAAAAAAAAAQAgAAAAIgEAAGRycy9lMm9Eb2MueG1s&#10;UEsFBgAAAAAGAAYAWQEAAI4FAAAAAA==&#10;">
              <v:fill on="f" focussize="0,0"/>
              <v:stroke on="f" joinstyle="miter"/>
              <v:imagedata o:title=""/>
              <o:lock v:ext="edit" aspectratio="f"/>
              <v:textbox inset="0mm,0mm,0mm,0mm" style="mso-fit-shape-to-text:t;">
                <w:txbxContent>
                  <w:p>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NmRlMDU5NzFmMDExYTBlZWI5MjNlOWM0NDM1YWEifQ=="/>
  </w:docVars>
  <w:rsids>
    <w:rsidRoot w:val="00000000"/>
    <w:rsid w:val="376A7A76"/>
    <w:rsid w:val="673C6A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Indent 2"/>
    <w:basedOn w:val="1"/>
    <w:uiPriority w:val="0"/>
    <w:pPr>
      <w:spacing w:after="120" w:line="480" w:lineRule="auto"/>
      <w:ind w:left="200" w:leftChars="200"/>
    </w:pPr>
    <w:rPr>
      <w:rFonts w:ascii="Times New Roman" w:hAnsi="Times New Roman" w:eastAsia="仿宋_GB2312" w:cs="Times New Roman"/>
      <w:b/>
      <w:bCs/>
      <w:sz w:val="32"/>
      <w:szCs w:val="32"/>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jc w:val="center"/>
    </w:pPr>
    <w:rPr>
      <w:sz w:val="18"/>
      <w:szCs w:val="18"/>
    </w:rPr>
  </w:style>
  <w:style w:type="paragraph" w:customStyle="1" w:styleId="10">
    <w:name w:val="正文文本缩进 21"/>
    <w:basedOn w:val="1"/>
    <w:uiPriority w:val="0"/>
    <w:pPr>
      <w:spacing w:line="590" w:lineRule="exact"/>
      <w:ind w:firstLine="200" w:firstLineChars="200"/>
    </w:pPr>
    <w:rPr>
      <w:rFonts w:ascii="Calibri" w:hAnsi="Calibri" w:eastAsia="方正仿宋_GBK"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BC062B-ACAB-4196-B4FE-233D01A6482F}">
  <ds:schemaRefs/>
</ds:datastoreItem>
</file>

<file path=docProps/app.xml><?xml version="1.0" encoding="utf-8"?>
<Properties xmlns="http://schemas.openxmlformats.org/officeDocument/2006/extended-properties" xmlns:vt="http://schemas.openxmlformats.org/officeDocument/2006/docPropsVTypes">
  <Template>Normal.eit</Template>
  <Pages>7</Pages>
  <Words>10812</Words>
  <Characters>11021</Characters>
  <Lines>0</Lines>
  <Paragraphs>33</Paragraphs>
  <TotalTime>1257</TotalTime>
  <ScaleCrop>false</ScaleCrop>
  <LinksUpToDate>false</LinksUpToDate>
  <CharactersWithSpaces>11022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2024-03-26T03:54:00Z</dcterms:created>
  <dc:creator>春 韩</dc:creator>
  <cp:lastModifiedBy>曦漫</cp:lastModifiedBy>
  <cp:lastPrinted>2024-05-27T09:07:00Z</cp:lastPrinted>
  <dcterms:modified xsi:type="dcterms:W3CDTF">2024-07-01T03:36:07Z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DDFFAAEB59E541B593989EBA516B461B_13</vt:lpwstr>
  </property>
</Properties>
</file>