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eastAsia="宋体"/>
          <w:color w:val="FF0000"/>
          <w:lang w:val="en-US" w:eastAsia="zh-CN"/>
        </w:rPr>
      </w:pPr>
    </w:p>
    <w:p>
      <w:pPr>
        <w:bidi w:val="0"/>
        <w:rPr>
          <w:rFonts w:hint="eastAsia"/>
          <w:color w:val="FF0000"/>
        </w:rPr>
      </w:pPr>
    </w:p>
    <w:p>
      <w:pPr>
        <w:bidi w:val="0"/>
        <w:rPr>
          <w:rFonts w:hint="eastAsia"/>
          <w:color w:val="FF0000"/>
        </w:rPr>
      </w:pPr>
    </w:p>
    <w:p>
      <w:pPr>
        <w:bidi w:val="0"/>
        <w:rPr>
          <w:color w:val="FF0000"/>
        </w:rPr>
      </w:pPr>
    </w:p>
    <w:p>
      <w:pPr>
        <w:bidi w:val="0"/>
        <w:rPr>
          <w:color w:val="FF0000"/>
        </w:rPr>
      </w:pPr>
    </w:p>
    <w:p>
      <w:pPr>
        <w:bidi w:val="0"/>
        <w:rPr>
          <w:color w:val="FF0000"/>
        </w:rPr>
      </w:pPr>
    </w:p>
    <w:p>
      <w:pPr>
        <w:bidi w:val="0"/>
        <w:rPr>
          <w:color w:val="FF0000"/>
        </w:rPr>
      </w:pPr>
    </w:p>
    <w:p>
      <w:pPr>
        <w:bidi w:val="0"/>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建设项目环境影响报告表</w:t>
      </w:r>
    </w:p>
    <w:p>
      <w:pPr>
        <w:adjustRightInd w:val="0"/>
        <w:snapToGrid w:val="0"/>
        <w:spacing w:before="192" w:beforeLines="80"/>
        <w:jc w:val="center"/>
        <w:rPr>
          <w:rFonts w:eastAsia="楷体"/>
          <w:bCs/>
          <w:color w:val="FF0000"/>
          <w:sz w:val="48"/>
          <w:szCs w:val="48"/>
        </w:rPr>
      </w:pPr>
      <w:r>
        <w:rPr>
          <w:rFonts w:eastAsia="楷体"/>
          <w:bCs/>
          <w:color w:val="auto"/>
          <w:sz w:val="48"/>
          <w:szCs w:val="48"/>
        </w:rPr>
        <w:t>（污染影响类）</w:t>
      </w:r>
    </w:p>
    <w:p>
      <w:pPr>
        <w:bidi w:val="0"/>
        <w:rPr>
          <w:color w:val="FF0000"/>
        </w:rPr>
      </w:pPr>
    </w:p>
    <w:p>
      <w:pPr>
        <w:jc w:val="both"/>
        <w:rPr>
          <w:rFonts w:eastAsia="仿宋"/>
          <w:color w:val="FF0000"/>
          <w:sz w:val="52"/>
          <w:szCs w:val="52"/>
        </w:rPr>
      </w:pPr>
    </w:p>
    <w:p>
      <w:pPr>
        <w:ind w:firstLine="1040"/>
        <w:rPr>
          <w:rFonts w:eastAsia="仿宋"/>
          <w:color w:val="FF0000"/>
          <w:sz w:val="44"/>
          <w:szCs w:val="44"/>
        </w:rPr>
      </w:pPr>
    </w:p>
    <w:p>
      <w:pPr>
        <w:ind w:firstLine="1040"/>
        <w:rPr>
          <w:rFonts w:eastAsia="仿宋"/>
          <w:color w:val="FF0000"/>
          <w:sz w:val="44"/>
          <w:szCs w:val="44"/>
        </w:rPr>
      </w:pPr>
    </w:p>
    <w:p>
      <w:pPr>
        <w:ind w:firstLine="1040"/>
        <w:rPr>
          <w:rFonts w:eastAsia="仿宋"/>
          <w:color w:val="FF0000"/>
          <w:sz w:val="44"/>
          <w:szCs w:val="44"/>
        </w:rPr>
      </w:pPr>
    </w:p>
    <w:p>
      <w:pPr>
        <w:ind w:firstLine="1040"/>
        <w:rPr>
          <w:rFonts w:eastAsia="仿宋"/>
          <w:color w:val="FF0000"/>
          <w:sz w:val="44"/>
          <w:szCs w:val="44"/>
        </w:rPr>
      </w:pPr>
    </w:p>
    <w:p>
      <w:pPr>
        <w:ind w:firstLine="1040"/>
        <w:rPr>
          <w:rFonts w:eastAsia="仿宋"/>
          <w:color w:val="FF0000"/>
          <w:sz w:val="44"/>
          <w:szCs w:val="44"/>
        </w:rPr>
      </w:pPr>
    </w:p>
    <w:p>
      <w:pPr>
        <w:ind w:firstLine="1040"/>
        <w:rPr>
          <w:rFonts w:eastAsia="仿宋"/>
          <w:color w:val="FF0000"/>
          <w:sz w:val="44"/>
          <w:szCs w:val="44"/>
        </w:rPr>
      </w:pPr>
    </w:p>
    <w:p>
      <w:pPr>
        <w:ind w:firstLine="1040"/>
        <w:rPr>
          <w:rFonts w:eastAsia="仿宋"/>
          <w:color w:val="FF0000"/>
          <w:sz w:val="44"/>
          <w:szCs w:val="44"/>
        </w:rPr>
      </w:pPr>
    </w:p>
    <w:tbl>
      <w:tblPr>
        <w:tblStyle w:val="44"/>
        <w:tblW w:w="7170" w:type="dxa"/>
        <w:jc w:val="center"/>
        <w:tblLayout w:type="fixed"/>
        <w:tblCellMar>
          <w:top w:w="0" w:type="dxa"/>
          <w:left w:w="108" w:type="dxa"/>
          <w:bottom w:w="0" w:type="dxa"/>
          <w:right w:w="108" w:type="dxa"/>
        </w:tblCellMar>
      </w:tblPr>
      <w:tblGrid>
        <w:gridCol w:w="2348"/>
        <w:gridCol w:w="4822"/>
      </w:tblGrid>
      <w:tr>
        <w:tblPrEx>
          <w:tblCellMar>
            <w:top w:w="0" w:type="dxa"/>
            <w:left w:w="108" w:type="dxa"/>
            <w:bottom w:w="0" w:type="dxa"/>
            <w:right w:w="108" w:type="dxa"/>
          </w:tblCellMar>
        </w:tblPrEx>
        <w:trPr>
          <w:trHeight w:val="698" w:hRule="atLeast"/>
          <w:jc w:val="center"/>
        </w:trPr>
        <w:tc>
          <w:tcPr>
            <w:tcW w:w="234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eastAsia="仿宋"/>
                <w:color w:val="auto"/>
                <w:sz w:val="36"/>
                <w:szCs w:val="36"/>
              </w:rPr>
            </w:pPr>
            <w:bookmarkStart w:id="0" w:name="_Hlk57884087"/>
            <w:r>
              <w:rPr>
                <w:rFonts w:eastAsia="仿宋"/>
                <w:color w:val="auto"/>
                <w:sz w:val="36"/>
                <w:szCs w:val="36"/>
              </w:rPr>
              <w:t>项目名称：</w:t>
            </w:r>
          </w:p>
        </w:tc>
        <w:tc>
          <w:tcPr>
            <w:tcW w:w="4822" w:type="dxa"/>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color w:val="auto"/>
                <w:sz w:val="36"/>
                <w:szCs w:val="36"/>
                <w:u w:val="none"/>
              </w:rPr>
            </w:pPr>
            <w:r>
              <w:rPr>
                <w:rFonts w:hint="eastAsia" w:ascii="仿宋" w:eastAsia="仿宋"/>
                <w:color w:val="auto"/>
                <w:sz w:val="32"/>
                <w:szCs w:val="36"/>
                <w:u w:val="none"/>
              </w:rPr>
              <w:t>科沛达半导体清洗设备制造项目</w:t>
            </w:r>
          </w:p>
        </w:tc>
      </w:tr>
      <w:tr>
        <w:tblPrEx>
          <w:tblCellMar>
            <w:top w:w="0" w:type="dxa"/>
            <w:left w:w="108" w:type="dxa"/>
            <w:bottom w:w="0" w:type="dxa"/>
            <w:right w:w="108" w:type="dxa"/>
          </w:tblCellMar>
        </w:tblPrEx>
        <w:trPr>
          <w:trHeight w:val="698" w:hRule="atLeast"/>
          <w:jc w:val="center"/>
        </w:trPr>
        <w:tc>
          <w:tcPr>
            <w:tcW w:w="234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eastAsia="仿宋"/>
                <w:color w:val="auto"/>
                <w:sz w:val="36"/>
                <w:szCs w:val="36"/>
              </w:rPr>
            </w:pPr>
            <w:r>
              <w:rPr>
                <w:rFonts w:eastAsia="仿宋"/>
                <w:color w:val="auto"/>
                <w:sz w:val="36"/>
                <w:szCs w:val="36"/>
              </w:rPr>
              <w:t>建设单位：</w:t>
            </w:r>
          </w:p>
        </w:tc>
        <w:tc>
          <w:tcPr>
            <w:tcW w:w="4822" w:type="dxa"/>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color w:val="auto"/>
                <w:sz w:val="36"/>
                <w:szCs w:val="36"/>
                <w:u w:val="none"/>
              </w:rPr>
            </w:pPr>
            <w:r>
              <w:rPr>
                <w:rFonts w:hint="eastAsia" w:ascii="仿宋" w:eastAsia="仿宋"/>
                <w:color w:val="auto"/>
                <w:sz w:val="32"/>
                <w:szCs w:val="36"/>
                <w:u w:val="none"/>
              </w:rPr>
              <w:t>科沛达半导体（安徽）有限公司</w:t>
            </w:r>
          </w:p>
        </w:tc>
      </w:tr>
      <w:tr>
        <w:tblPrEx>
          <w:tblCellMar>
            <w:top w:w="0" w:type="dxa"/>
            <w:left w:w="108" w:type="dxa"/>
            <w:bottom w:w="0" w:type="dxa"/>
            <w:right w:w="108" w:type="dxa"/>
          </w:tblCellMar>
        </w:tblPrEx>
        <w:trPr>
          <w:trHeight w:val="698" w:hRule="atLeast"/>
          <w:jc w:val="center"/>
        </w:trPr>
        <w:tc>
          <w:tcPr>
            <w:tcW w:w="234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eastAsia="仿宋"/>
                <w:color w:val="auto"/>
                <w:sz w:val="36"/>
                <w:szCs w:val="36"/>
              </w:rPr>
            </w:pPr>
            <w:r>
              <w:rPr>
                <w:rFonts w:eastAsia="仿宋"/>
                <w:color w:val="auto"/>
                <w:sz w:val="36"/>
                <w:szCs w:val="36"/>
              </w:rPr>
              <w:t>编制日期：</w:t>
            </w:r>
          </w:p>
        </w:tc>
        <w:tc>
          <w:tcPr>
            <w:tcW w:w="4822" w:type="dxa"/>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color w:val="auto"/>
                <w:sz w:val="32"/>
                <w:szCs w:val="32"/>
                <w:u w:val="none"/>
              </w:rPr>
            </w:pPr>
            <w:bookmarkStart w:id="1" w:name="_Toc36872067"/>
            <w:r>
              <w:rPr>
                <w:rFonts w:eastAsia="仿宋"/>
                <w:color w:val="auto"/>
                <w:sz w:val="32"/>
                <w:szCs w:val="32"/>
                <w:u w:val="none"/>
              </w:rPr>
              <w:t>202</w:t>
            </w:r>
            <w:r>
              <w:rPr>
                <w:rFonts w:hint="eastAsia" w:eastAsia="仿宋"/>
                <w:color w:val="auto"/>
                <w:sz w:val="32"/>
                <w:szCs w:val="32"/>
                <w:u w:val="none"/>
              </w:rPr>
              <w:t>4</w:t>
            </w:r>
            <w:r>
              <w:rPr>
                <w:rFonts w:eastAsia="仿宋"/>
                <w:color w:val="auto"/>
                <w:sz w:val="32"/>
                <w:szCs w:val="32"/>
                <w:u w:val="none"/>
              </w:rPr>
              <w:t>年</w:t>
            </w:r>
            <w:bookmarkEnd w:id="1"/>
            <w:r>
              <w:rPr>
                <w:rFonts w:hint="eastAsia" w:eastAsia="仿宋"/>
                <w:color w:val="auto"/>
                <w:sz w:val="32"/>
                <w:szCs w:val="32"/>
                <w:u w:val="none"/>
              </w:rPr>
              <w:t>5</w:t>
            </w:r>
            <w:r>
              <w:rPr>
                <w:rFonts w:eastAsia="仿宋"/>
                <w:color w:val="auto"/>
                <w:sz w:val="32"/>
                <w:szCs w:val="32"/>
                <w:u w:val="none"/>
              </w:rPr>
              <w:t>月</w:t>
            </w:r>
          </w:p>
        </w:tc>
      </w:tr>
    </w:tbl>
    <w:p>
      <w:pPr>
        <w:adjustRightInd w:val="0"/>
        <w:snapToGrid w:val="0"/>
        <w:spacing w:line="288" w:lineRule="auto"/>
        <w:ind w:firstLine="1040"/>
        <w:rPr>
          <w:rFonts w:eastAsia="仿宋"/>
          <w:color w:val="auto"/>
          <w:sz w:val="36"/>
          <w:szCs w:val="36"/>
          <w:u w:val="single"/>
        </w:rPr>
      </w:pPr>
    </w:p>
    <w:p>
      <w:pPr>
        <w:rPr>
          <w:rFonts w:eastAsia="仿宋"/>
          <w:color w:val="auto"/>
          <w:sz w:val="36"/>
          <w:szCs w:val="36"/>
        </w:rPr>
      </w:pPr>
    </w:p>
    <w:p>
      <w:pPr>
        <w:rPr>
          <w:rFonts w:eastAsia="仿宋"/>
          <w:color w:val="auto"/>
          <w:sz w:val="36"/>
          <w:szCs w:val="36"/>
        </w:rPr>
      </w:pPr>
    </w:p>
    <w:p>
      <w:pPr>
        <w:pStyle w:val="24"/>
        <w:ind w:firstLine="723"/>
        <w:rPr>
          <w:rFonts w:eastAsia="仿宋"/>
          <w:color w:val="auto"/>
          <w:sz w:val="36"/>
          <w:szCs w:val="36"/>
        </w:rPr>
      </w:pPr>
    </w:p>
    <w:bookmarkEnd w:id="0"/>
    <w:p>
      <w:pPr>
        <w:adjustRightInd w:val="0"/>
        <w:snapToGrid w:val="0"/>
        <w:spacing w:line="288" w:lineRule="auto"/>
        <w:jc w:val="center"/>
        <w:rPr>
          <w:rFonts w:eastAsia="楷体"/>
          <w:color w:val="auto"/>
          <w:sz w:val="36"/>
          <w:szCs w:val="36"/>
        </w:rPr>
      </w:pPr>
      <w:r>
        <w:rPr>
          <w:rFonts w:eastAsia="楷体"/>
          <w:color w:val="auto"/>
          <w:sz w:val="36"/>
          <w:szCs w:val="36"/>
        </w:rPr>
        <w:t>中华人民共和国生态环境部制</w:t>
      </w:r>
    </w:p>
    <w:p>
      <w:pPr>
        <w:adjustRightInd w:val="0"/>
        <w:snapToGrid w:val="0"/>
        <w:spacing w:line="288" w:lineRule="auto"/>
        <w:ind w:firstLine="1040"/>
        <w:rPr>
          <w:rFonts w:eastAsia="仿宋"/>
          <w:color w:val="FF0000"/>
          <w:sz w:val="36"/>
          <w:szCs w:val="36"/>
        </w:rPr>
        <w:sectPr>
          <w:footerReference r:id="rId3" w:type="default"/>
          <w:pgSz w:w="11906" w:h="16838"/>
          <w:pgMar w:top="1440" w:right="1800" w:bottom="1440" w:left="1800"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一、建设项目基本情况</w:t>
      </w:r>
    </w:p>
    <w:tbl>
      <w:tblPr>
        <w:tblStyle w:val="44"/>
        <w:tblW w:w="90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98"/>
        <w:gridCol w:w="2374"/>
        <w:gridCol w:w="2080"/>
        <w:gridCol w:w="32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8" w:type="dxa"/>
            <w:noWrap w:val="0"/>
            <w:tcMar>
              <w:top w:w="16" w:type="dxa"/>
              <w:left w:w="16" w:type="dxa"/>
              <w:right w:w="16" w:type="dxa"/>
            </w:tcMar>
            <w:vAlign w:val="center"/>
          </w:tcPr>
          <w:p>
            <w:pPr>
              <w:adjustRightInd w:val="0"/>
              <w:snapToGrid w:val="0"/>
              <w:jc w:val="center"/>
              <w:rPr>
                <w:color w:val="auto"/>
                <w:szCs w:val="21"/>
              </w:rPr>
            </w:pPr>
            <w:r>
              <w:rPr>
                <w:color w:val="auto"/>
                <w:szCs w:val="21"/>
              </w:rPr>
              <w:t>建设项目名称</w:t>
            </w:r>
          </w:p>
        </w:tc>
        <w:tc>
          <w:tcPr>
            <w:tcW w:w="7675" w:type="dxa"/>
            <w:gridSpan w:val="3"/>
            <w:noWrap w:val="0"/>
            <w:vAlign w:val="center"/>
          </w:tcPr>
          <w:p>
            <w:pPr>
              <w:adjustRightInd w:val="0"/>
              <w:snapToGrid w:val="0"/>
              <w:jc w:val="center"/>
              <w:rPr>
                <w:color w:val="auto"/>
                <w:szCs w:val="21"/>
              </w:rPr>
            </w:pPr>
            <w:r>
              <w:rPr>
                <w:rFonts w:hint="eastAsia"/>
                <w:color w:val="auto"/>
                <w:kern w:val="0"/>
                <w:szCs w:val="21"/>
              </w:rPr>
              <w:t>科沛达半导体清洗设备制造项目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8" w:type="dxa"/>
            <w:noWrap w:val="0"/>
            <w:tcMar>
              <w:top w:w="16" w:type="dxa"/>
              <w:left w:w="16" w:type="dxa"/>
              <w:right w:w="16" w:type="dxa"/>
            </w:tcMar>
            <w:vAlign w:val="center"/>
          </w:tcPr>
          <w:p>
            <w:pPr>
              <w:adjustRightInd w:val="0"/>
              <w:snapToGrid w:val="0"/>
              <w:jc w:val="center"/>
              <w:rPr>
                <w:color w:val="auto"/>
                <w:szCs w:val="21"/>
              </w:rPr>
            </w:pPr>
            <w:r>
              <w:rPr>
                <w:color w:val="auto"/>
                <w:szCs w:val="21"/>
              </w:rPr>
              <w:t>项目代码</w:t>
            </w:r>
          </w:p>
        </w:tc>
        <w:tc>
          <w:tcPr>
            <w:tcW w:w="7675" w:type="dxa"/>
            <w:gridSpan w:val="3"/>
            <w:noWrap w:val="0"/>
            <w:vAlign w:val="center"/>
          </w:tcPr>
          <w:p>
            <w:pPr>
              <w:adjustRightInd w:val="0"/>
              <w:snapToGrid w:val="0"/>
              <w:jc w:val="center"/>
              <w:rPr>
                <w:color w:val="auto"/>
                <w:szCs w:val="21"/>
              </w:rPr>
            </w:pPr>
            <w:r>
              <w:rPr>
                <w:rFonts w:hint="eastAsia"/>
                <w:color w:val="auto"/>
                <w:szCs w:val="21"/>
              </w:rPr>
              <w:t>2304-340403-04-05-570901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8" w:type="dxa"/>
            <w:noWrap w:val="0"/>
            <w:tcMar>
              <w:top w:w="16" w:type="dxa"/>
              <w:left w:w="16" w:type="dxa"/>
              <w:right w:w="16" w:type="dxa"/>
            </w:tcMar>
            <w:vAlign w:val="center"/>
          </w:tcPr>
          <w:p>
            <w:pPr>
              <w:adjustRightInd w:val="0"/>
              <w:snapToGrid w:val="0"/>
              <w:jc w:val="center"/>
              <w:rPr>
                <w:color w:val="auto"/>
                <w:szCs w:val="21"/>
              </w:rPr>
            </w:pPr>
            <w:r>
              <w:rPr>
                <w:color w:val="auto"/>
                <w:szCs w:val="21"/>
              </w:rPr>
              <w:t>建设单位联</w:t>
            </w:r>
          </w:p>
          <w:p>
            <w:pPr>
              <w:adjustRightInd w:val="0"/>
              <w:snapToGrid w:val="0"/>
              <w:jc w:val="center"/>
              <w:rPr>
                <w:color w:val="auto"/>
                <w:szCs w:val="21"/>
              </w:rPr>
            </w:pPr>
            <w:r>
              <w:rPr>
                <w:color w:val="auto"/>
                <w:szCs w:val="21"/>
              </w:rPr>
              <w:t>系人</w:t>
            </w:r>
          </w:p>
        </w:tc>
        <w:tc>
          <w:tcPr>
            <w:tcW w:w="2374" w:type="dxa"/>
            <w:noWrap w:val="0"/>
            <w:vAlign w:val="center"/>
          </w:tcPr>
          <w:p>
            <w:pPr>
              <w:adjustRightInd w:val="0"/>
              <w:snapToGrid w:val="0"/>
              <w:jc w:val="center"/>
              <w:rPr>
                <w:rFonts w:hint="default" w:eastAsia="宋体"/>
                <w:color w:val="auto"/>
                <w:szCs w:val="21"/>
                <w:lang w:val="en-US" w:eastAsia="zh-CN"/>
              </w:rPr>
            </w:pPr>
            <w:r>
              <w:rPr>
                <w:rFonts w:hint="default" w:eastAsia="宋体"/>
                <w:color w:val="auto"/>
                <w:szCs w:val="21"/>
                <w:lang w:val="en-US" w:eastAsia="zh-CN"/>
              </w:rPr>
              <w:t>李继忠</w:t>
            </w:r>
          </w:p>
        </w:tc>
        <w:tc>
          <w:tcPr>
            <w:tcW w:w="2080" w:type="dxa"/>
            <w:noWrap w:val="0"/>
            <w:vAlign w:val="center"/>
          </w:tcPr>
          <w:p>
            <w:pPr>
              <w:adjustRightInd w:val="0"/>
              <w:snapToGrid w:val="0"/>
              <w:jc w:val="center"/>
              <w:rPr>
                <w:color w:val="auto"/>
                <w:szCs w:val="21"/>
              </w:rPr>
            </w:pPr>
            <w:r>
              <w:rPr>
                <w:color w:val="auto"/>
                <w:szCs w:val="21"/>
              </w:rPr>
              <w:t>联系方式</w:t>
            </w:r>
          </w:p>
        </w:tc>
        <w:tc>
          <w:tcPr>
            <w:tcW w:w="3221"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w:t>
            </w:r>
            <w:bookmarkStart w:id="6" w:name="_GoBack"/>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8" w:type="dxa"/>
            <w:noWrap w:val="0"/>
            <w:tcMar>
              <w:top w:w="16" w:type="dxa"/>
              <w:left w:w="16" w:type="dxa"/>
              <w:right w:w="16" w:type="dxa"/>
            </w:tcMar>
            <w:vAlign w:val="center"/>
          </w:tcPr>
          <w:p>
            <w:pPr>
              <w:adjustRightInd w:val="0"/>
              <w:snapToGrid w:val="0"/>
              <w:jc w:val="center"/>
              <w:rPr>
                <w:color w:val="auto"/>
                <w:szCs w:val="21"/>
              </w:rPr>
            </w:pPr>
            <w:r>
              <w:rPr>
                <w:color w:val="auto"/>
                <w:szCs w:val="21"/>
              </w:rPr>
              <w:t>建设地点</w:t>
            </w:r>
          </w:p>
        </w:tc>
        <w:tc>
          <w:tcPr>
            <w:tcW w:w="7675" w:type="dxa"/>
            <w:gridSpan w:val="3"/>
            <w:noWrap w:val="0"/>
            <w:vAlign w:val="center"/>
          </w:tcPr>
          <w:p>
            <w:pPr>
              <w:adjustRightInd w:val="0"/>
              <w:snapToGrid w:val="0"/>
              <w:jc w:val="center"/>
              <w:rPr>
                <w:rFonts w:hint="eastAsia" w:eastAsia="宋体"/>
                <w:color w:val="auto"/>
                <w:szCs w:val="21"/>
                <w:lang w:eastAsia="zh-CN"/>
              </w:rPr>
            </w:pPr>
            <w:r>
              <w:rPr>
                <w:rFonts w:hint="eastAsia"/>
                <w:color w:val="auto"/>
                <w:kern w:val="0"/>
                <w:szCs w:val="21"/>
              </w:rPr>
              <w:t>安成经济开发区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8" w:type="dxa"/>
            <w:noWrap w:val="0"/>
            <w:tcMar>
              <w:top w:w="16" w:type="dxa"/>
              <w:left w:w="16" w:type="dxa"/>
              <w:right w:w="16" w:type="dxa"/>
            </w:tcMar>
            <w:vAlign w:val="center"/>
          </w:tcPr>
          <w:p>
            <w:pPr>
              <w:adjustRightInd w:val="0"/>
              <w:snapToGrid w:val="0"/>
              <w:jc w:val="center"/>
              <w:rPr>
                <w:color w:val="auto"/>
                <w:szCs w:val="21"/>
              </w:rPr>
            </w:pPr>
            <w:r>
              <w:rPr>
                <w:color w:val="auto"/>
                <w:szCs w:val="21"/>
              </w:rPr>
              <w:t>地理坐标</w:t>
            </w:r>
          </w:p>
        </w:tc>
        <w:tc>
          <w:tcPr>
            <w:tcW w:w="7675" w:type="dxa"/>
            <w:gridSpan w:val="3"/>
            <w:noWrap w:val="0"/>
            <w:vAlign w:val="center"/>
          </w:tcPr>
          <w:p>
            <w:pPr>
              <w:jc w:val="center"/>
              <w:rPr>
                <w:color w:val="auto"/>
                <w:szCs w:val="21"/>
              </w:rPr>
            </w:pPr>
            <w:r>
              <w:rPr>
                <w:color w:val="auto"/>
                <w:szCs w:val="21"/>
              </w:rPr>
              <w:t>（</w:t>
            </w:r>
            <w:r>
              <w:rPr>
                <w:rFonts w:hint="eastAsia"/>
                <w:color w:val="auto"/>
                <w:szCs w:val="21"/>
                <w:u w:val="single"/>
              </w:rPr>
              <w:t>116</w:t>
            </w:r>
            <w:r>
              <w:rPr>
                <w:rFonts w:hint="eastAsia"/>
                <w:color w:val="auto"/>
                <w:szCs w:val="21"/>
              </w:rPr>
              <w:t>度</w:t>
            </w:r>
            <w:r>
              <w:rPr>
                <w:rFonts w:hint="eastAsia"/>
                <w:color w:val="auto"/>
                <w:szCs w:val="21"/>
                <w:u w:val="single"/>
                <w:lang w:val="en-US" w:eastAsia="zh-CN"/>
              </w:rPr>
              <w:t>58</w:t>
            </w:r>
            <w:r>
              <w:rPr>
                <w:rFonts w:hint="eastAsia"/>
                <w:color w:val="auto"/>
                <w:szCs w:val="21"/>
              </w:rPr>
              <w:t>分</w:t>
            </w:r>
            <w:r>
              <w:rPr>
                <w:rFonts w:hint="eastAsia"/>
                <w:color w:val="auto"/>
                <w:szCs w:val="21"/>
                <w:u w:val="single"/>
                <w:lang w:val="en-US" w:eastAsia="zh-CN"/>
              </w:rPr>
              <w:t>9.375</w:t>
            </w:r>
            <w:r>
              <w:rPr>
                <w:rFonts w:hint="eastAsia"/>
                <w:color w:val="auto"/>
                <w:szCs w:val="21"/>
              </w:rPr>
              <w:t>秒，</w:t>
            </w:r>
            <w:r>
              <w:rPr>
                <w:rFonts w:hint="eastAsia"/>
                <w:color w:val="auto"/>
                <w:szCs w:val="21"/>
                <w:u w:val="single"/>
              </w:rPr>
              <w:t>32</w:t>
            </w:r>
            <w:r>
              <w:rPr>
                <w:rFonts w:hint="eastAsia"/>
                <w:color w:val="auto"/>
                <w:szCs w:val="21"/>
              </w:rPr>
              <w:t>度</w:t>
            </w:r>
            <w:r>
              <w:rPr>
                <w:rFonts w:hint="eastAsia"/>
                <w:color w:val="auto"/>
                <w:szCs w:val="21"/>
                <w:u w:val="single"/>
                <w:lang w:val="en-US" w:eastAsia="zh-CN"/>
              </w:rPr>
              <w:t>38</w:t>
            </w:r>
            <w:r>
              <w:rPr>
                <w:rFonts w:hint="eastAsia"/>
                <w:color w:val="auto"/>
                <w:szCs w:val="21"/>
              </w:rPr>
              <w:t>分</w:t>
            </w:r>
            <w:r>
              <w:rPr>
                <w:rFonts w:hint="eastAsia"/>
                <w:color w:val="auto"/>
                <w:szCs w:val="21"/>
                <w:u w:val="single"/>
                <w:lang w:val="en-US" w:eastAsia="zh-CN"/>
              </w:rPr>
              <w:t>36.848</w:t>
            </w:r>
            <w:r>
              <w:rPr>
                <w:rFonts w:hint="eastAsia"/>
                <w:color w:val="auto"/>
                <w:szCs w:val="21"/>
              </w:rPr>
              <w:t>秒</w:t>
            </w: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398" w:type="dxa"/>
            <w:noWrap w:val="0"/>
            <w:tcMar>
              <w:top w:w="16" w:type="dxa"/>
              <w:left w:w="16" w:type="dxa"/>
              <w:right w:w="16" w:type="dxa"/>
            </w:tcMar>
            <w:vAlign w:val="center"/>
          </w:tcPr>
          <w:p>
            <w:pPr>
              <w:adjustRightInd w:val="0"/>
              <w:snapToGrid w:val="0"/>
              <w:jc w:val="left"/>
              <w:rPr>
                <w:color w:val="auto"/>
                <w:szCs w:val="21"/>
              </w:rPr>
            </w:pPr>
            <w:r>
              <w:rPr>
                <w:color w:val="auto"/>
                <w:szCs w:val="21"/>
              </w:rPr>
              <w:t>国民经济行业类别</w:t>
            </w:r>
          </w:p>
        </w:tc>
        <w:tc>
          <w:tcPr>
            <w:tcW w:w="2374" w:type="dxa"/>
            <w:noWrap w:val="0"/>
            <w:vAlign w:val="center"/>
          </w:tcPr>
          <w:p>
            <w:pPr>
              <w:adjustRightInd w:val="0"/>
              <w:snapToGrid w:val="0"/>
              <w:jc w:val="center"/>
              <w:rPr>
                <w:color w:val="auto"/>
                <w:szCs w:val="21"/>
              </w:rPr>
            </w:pPr>
            <w:r>
              <w:rPr>
                <w:color w:val="auto"/>
                <w:szCs w:val="21"/>
              </w:rPr>
              <w:t>C</w:t>
            </w:r>
            <w:r>
              <w:rPr>
                <w:rFonts w:hint="eastAsia"/>
                <w:color w:val="auto"/>
                <w:szCs w:val="21"/>
              </w:rPr>
              <w:t>3</w:t>
            </w:r>
            <w:r>
              <w:rPr>
                <w:rFonts w:hint="eastAsia"/>
                <w:color w:val="auto"/>
                <w:szCs w:val="21"/>
                <w:lang w:val="en-US" w:eastAsia="zh-CN"/>
              </w:rPr>
              <w:t>562</w:t>
            </w:r>
            <w:r>
              <w:rPr>
                <w:rFonts w:hint="eastAsia"/>
                <w:color w:val="auto"/>
                <w:szCs w:val="21"/>
              </w:rPr>
              <w:t>半导体器件专用设备制造</w:t>
            </w:r>
          </w:p>
        </w:tc>
        <w:tc>
          <w:tcPr>
            <w:tcW w:w="2080" w:type="dxa"/>
            <w:noWrap w:val="0"/>
            <w:vAlign w:val="center"/>
          </w:tcPr>
          <w:p>
            <w:pPr>
              <w:adjustRightInd w:val="0"/>
              <w:snapToGrid w:val="0"/>
              <w:jc w:val="center"/>
              <w:rPr>
                <w:color w:val="auto"/>
                <w:szCs w:val="21"/>
              </w:rPr>
            </w:pPr>
            <w:bookmarkStart w:id="2" w:name="_Hlk49843745"/>
            <w:r>
              <w:rPr>
                <w:color w:val="auto"/>
                <w:szCs w:val="21"/>
              </w:rPr>
              <w:t>建设项目</w:t>
            </w:r>
          </w:p>
          <w:p>
            <w:pPr>
              <w:adjustRightInd w:val="0"/>
              <w:snapToGrid w:val="0"/>
              <w:jc w:val="center"/>
              <w:rPr>
                <w:color w:val="auto"/>
                <w:szCs w:val="21"/>
              </w:rPr>
            </w:pPr>
            <w:r>
              <w:rPr>
                <w:color w:val="auto"/>
                <w:szCs w:val="21"/>
              </w:rPr>
              <w:t>行业类别</w:t>
            </w:r>
            <w:bookmarkEnd w:id="2"/>
          </w:p>
        </w:tc>
        <w:tc>
          <w:tcPr>
            <w:tcW w:w="3221" w:type="dxa"/>
            <w:noWrap w:val="0"/>
            <w:vAlign w:val="center"/>
          </w:tcPr>
          <w:p>
            <w:pPr>
              <w:adjustRightInd w:val="0"/>
              <w:snapToGrid w:val="0"/>
              <w:jc w:val="center"/>
              <w:rPr>
                <w:color w:val="auto"/>
                <w:szCs w:val="21"/>
              </w:rPr>
            </w:pPr>
            <w:r>
              <w:rPr>
                <w:rFonts w:hint="eastAsia"/>
                <w:color w:val="auto"/>
                <w:szCs w:val="21"/>
              </w:rPr>
              <w:t>三十二、专用设备制造业 35</w:t>
            </w:r>
            <w:r>
              <w:rPr>
                <w:rFonts w:hint="eastAsia"/>
                <w:color w:val="auto"/>
                <w:szCs w:val="21"/>
                <w:lang w:eastAsia="zh-CN"/>
              </w:rPr>
              <w:t>－</w:t>
            </w:r>
            <w:r>
              <w:rPr>
                <w:rFonts w:hint="eastAsia"/>
                <w:color w:val="auto"/>
                <w:szCs w:val="21"/>
              </w:rPr>
              <w:t xml:space="preserve">70 电子和电工器械专用设备制造 </w:t>
            </w:r>
            <w:r>
              <w:rPr>
                <w:rFonts w:hint="default"/>
                <w:color w:val="auto"/>
                <w:szCs w:val="21"/>
              </w:rPr>
              <w:t>356</w:t>
            </w:r>
            <w:r>
              <w:rPr>
                <w:rFonts w:hint="eastAsia"/>
                <w:color w:val="auto"/>
                <w:szCs w:val="21"/>
                <w:lang w:val="en-US" w:eastAsia="zh-CN"/>
              </w:rPr>
              <w:t>-</w:t>
            </w:r>
            <w:r>
              <w:rPr>
                <w:rFonts w:hint="eastAsia"/>
                <w:color w:val="auto"/>
                <w:szCs w:val="21"/>
              </w:rPr>
              <w:t>其他（仅分割、焊接、组装的除外；年用非溶剂型低VOCs含量涂料10吨以下的除外）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1398" w:type="dxa"/>
            <w:noWrap w:val="0"/>
            <w:tcMar>
              <w:top w:w="16" w:type="dxa"/>
              <w:left w:w="16" w:type="dxa"/>
              <w:right w:w="16" w:type="dxa"/>
            </w:tcMar>
            <w:vAlign w:val="center"/>
          </w:tcPr>
          <w:p>
            <w:pPr>
              <w:adjustRightInd w:val="0"/>
              <w:snapToGrid w:val="0"/>
              <w:jc w:val="center"/>
              <w:rPr>
                <w:color w:val="auto"/>
                <w:szCs w:val="21"/>
              </w:rPr>
            </w:pPr>
            <w:r>
              <w:rPr>
                <w:color w:val="auto"/>
                <w:szCs w:val="21"/>
              </w:rPr>
              <w:t>建设性质</w:t>
            </w:r>
          </w:p>
        </w:tc>
        <w:tc>
          <w:tcPr>
            <w:tcW w:w="2374" w:type="dxa"/>
            <w:noWrap w:val="0"/>
            <w:vAlign w:val="center"/>
          </w:tcPr>
          <w:p>
            <w:pPr>
              <w:jc w:val="left"/>
              <w:rPr>
                <w:color w:val="auto"/>
                <w:szCs w:val="21"/>
              </w:rPr>
            </w:pPr>
            <w:r>
              <w:rPr>
                <w:color w:val="auto"/>
                <w:szCs w:val="21"/>
              </w:rPr>
              <w:sym w:font="Wingdings 2" w:char="0052"/>
            </w:r>
            <w:r>
              <w:rPr>
                <w:color w:val="auto"/>
                <w:szCs w:val="21"/>
              </w:rPr>
              <w:t>新建（迁建）</w:t>
            </w:r>
          </w:p>
          <w:p>
            <w:pPr>
              <w:jc w:val="left"/>
              <w:rPr>
                <w:color w:val="auto"/>
                <w:szCs w:val="21"/>
              </w:rPr>
            </w:pPr>
            <w:r>
              <w:rPr>
                <w:color w:val="auto"/>
                <w:szCs w:val="21"/>
              </w:rPr>
              <w:sym w:font="Wingdings 2" w:char="00A3"/>
            </w:r>
            <w:r>
              <w:rPr>
                <w:color w:val="auto"/>
                <w:szCs w:val="21"/>
              </w:rPr>
              <w:t>改建</w:t>
            </w:r>
          </w:p>
          <w:p>
            <w:pPr>
              <w:jc w:val="left"/>
              <w:rPr>
                <w:color w:val="auto"/>
                <w:szCs w:val="21"/>
              </w:rPr>
            </w:pPr>
            <w:r>
              <w:rPr>
                <w:color w:val="auto"/>
                <w:szCs w:val="21"/>
              </w:rPr>
              <w:sym w:font="Wingdings 2" w:char="00A3"/>
            </w:r>
            <w:r>
              <w:rPr>
                <w:color w:val="auto"/>
                <w:szCs w:val="21"/>
              </w:rPr>
              <w:t>扩建</w:t>
            </w:r>
          </w:p>
          <w:p>
            <w:pPr>
              <w:jc w:val="left"/>
              <w:rPr>
                <w:color w:val="auto"/>
                <w:szCs w:val="21"/>
              </w:rPr>
            </w:pPr>
            <w:r>
              <w:rPr>
                <w:color w:val="auto"/>
                <w:szCs w:val="21"/>
              </w:rPr>
              <w:sym w:font="Wingdings 2" w:char="00A3"/>
            </w:r>
            <w:r>
              <w:rPr>
                <w:color w:val="auto"/>
                <w:szCs w:val="21"/>
              </w:rPr>
              <w:t>技术改造</w:t>
            </w:r>
          </w:p>
        </w:tc>
        <w:tc>
          <w:tcPr>
            <w:tcW w:w="2080" w:type="dxa"/>
            <w:noWrap w:val="0"/>
            <w:vAlign w:val="center"/>
          </w:tcPr>
          <w:p>
            <w:pPr>
              <w:adjustRightInd w:val="0"/>
              <w:snapToGrid w:val="0"/>
              <w:jc w:val="center"/>
              <w:rPr>
                <w:color w:val="auto"/>
                <w:szCs w:val="21"/>
              </w:rPr>
            </w:pPr>
            <w:r>
              <w:rPr>
                <w:color w:val="auto"/>
                <w:szCs w:val="21"/>
              </w:rPr>
              <w:t>建设项目</w:t>
            </w:r>
          </w:p>
          <w:p>
            <w:pPr>
              <w:adjustRightInd w:val="0"/>
              <w:snapToGrid w:val="0"/>
              <w:jc w:val="center"/>
              <w:rPr>
                <w:color w:val="auto"/>
                <w:szCs w:val="21"/>
              </w:rPr>
            </w:pPr>
            <w:r>
              <w:rPr>
                <w:color w:val="auto"/>
                <w:szCs w:val="21"/>
              </w:rPr>
              <w:t>申报情形</w:t>
            </w:r>
          </w:p>
        </w:tc>
        <w:tc>
          <w:tcPr>
            <w:tcW w:w="3221" w:type="dxa"/>
            <w:noWrap w:val="0"/>
            <w:vAlign w:val="center"/>
          </w:tcPr>
          <w:p>
            <w:pPr>
              <w:jc w:val="left"/>
              <w:rPr>
                <w:color w:val="auto"/>
                <w:szCs w:val="21"/>
              </w:rPr>
            </w:pPr>
            <w:r>
              <w:rPr>
                <w:color w:val="auto"/>
                <w:szCs w:val="21"/>
              </w:rPr>
              <w:sym w:font="Wingdings 2" w:char="0052"/>
            </w:r>
            <w:r>
              <w:rPr>
                <w:color w:val="auto"/>
                <w:szCs w:val="21"/>
              </w:rPr>
              <w:t>首次申报项目</w:t>
            </w:r>
          </w:p>
          <w:p>
            <w:pPr>
              <w:jc w:val="left"/>
              <w:rPr>
                <w:color w:val="auto"/>
                <w:szCs w:val="21"/>
              </w:rPr>
            </w:pPr>
            <w:r>
              <w:rPr>
                <w:color w:val="auto"/>
                <w:szCs w:val="21"/>
              </w:rPr>
              <w:sym w:font="Wingdings 2" w:char="00A3"/>
            </w:r>
            <w:r>
              <w:rPr>
                <w:color w:val="auto"/>
                <w:szCs w:val="21"/>
              </w:rPr>
              <w:t>不予批准后再次申报项目</w:t>
            </w:r>
          </w:p>
          <w:p>
            <w:pPr>
              <w:jc w:val="left"/>
              <w:rPr>
                <w:color w:val="auto"/>
                <w:szCs w:val="21"/>
              </w:rPr>
            </w:pPr>
            <w:r>
              <w:rPr>
                <w:color w:val="auto"/>
                <w:szCs w:val="21"/>
              </w:rPr>
              <w:sym w:font="Wingdings 2" w:char="00A3"/>
            </w:r>
            <w:r>
              <w:rPr>
                <w:color w:val="auto"/>
                <w:szCs w:val="21"/>
              </w:rPr>
              <w:t>超五年重新审核项目</w:t>
            </w:r>
          </w:p>
          <w:p>
            <w:pPr>
              <w:jc w:val="left"/>
              <w:rPr>
                <w:color w:val="auto"/>
                <w:szCs w:val="21"/>
              </w:rPr>
            </w:pPr>
            <w:r>
              <w:rPr>
                <w:color w:val="auto"/>
                <w:szCs w:val="21"/>
              </w:rPr>
              <w:sym w:font="Wingdings 2" w:char="00A3"/>
            </w:r>
            <w:r>
              <w:rPr>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98" w:type="dxa"/>
            <w:noWrap w:val="0"/>
            <w:tcMar>
              <w:top w:w="16" w:type="dxa"/>
              <w:left w:w="16" w:type="dxa"/>
              <w:right w:w="16" w:type="dxa"/>
            </w:tcMar>
            <w:vAlign w:val="center"/>
          </w:tcPr>
          <w:p>
            <w:pPr>
              <w:adjustRightInd w:val="0"/>
              <w:snapToGrid w:val="0"/>
              <w:jc w:val="center"/>
              <w:rPr>
                <w:color w:val="auto"/>
                <w:szCs w:val="21"/>
              </w:rPr>
            </w:pPr>
            <w:r>
              <w:rPr>
                <w:color w:val="auto"/>
                <w:szCs w:val="21"/>
              </w:rPr>
              <w:t>项目审批</w:t>
            </w:r>
          </w:p>
          <w:p>
            <w:pPr>
              <w:adjustRightInd w:val="0"/>
              <w:snapToGrid w:val="0"/>
              <w:jc w:val="center"/>
              <w:rPr>
                <w:color w:val="auto"/>
                <w:szCs w:val="21"/>
              </w:rPr>
            </w:pPr>
            <w:r>
              <w:rPr>
                <w:color w:val="auto"/>
                <w:szCs w:val="21"/>
              </w:rPr>
              <w:t>（核准/备案）</w:t>
            </w:r>
          </w:p>
          <w:p>
            <w:pPr>
              <w:adjustRightInd w:val="0"/>
              <w:snapToGrid w:val="0"/>
              <w:jc w:val="center"/>
              <w:rPr>
                <w:color w:val="auto"/>
                <w:szCs w:val="21"/>
              </w:rPr>
            </w:pPr>
            <w:r>
              <w:rPr>
                <w:color w:val="auto"/>
                <w:szCs w:val="21"/>
              </w:rPr>
              <w:t>部门（选填）</w:t>
            </w:r>
          </w:p>
        </w:tc>
        <w:tc>
          <w:tcPr>
            <w:tcW w:w="2374" w:type="dxa"/>
            <w:noWrap w:val="0"/>
            <w:vAlign w:val="center"/>
          </w:tcPr>
          <w:p>
            <w:pPr>
              <w:adjustRightInd w:val="0"/>
              <w:snapToGrid w:val="0"/>
              <w:jc w:val="center"/>
              <w:rPr>
                <w:color w:val="auto"/>
                <w:szCs w:val="21"/>
              </w:rPr>
            </w:pPr>
            <w:r>
              <w:rPr>
                <w:rFonts w:hint="eastAsia" w:cs="宋体"/>
                <w:color w:val="auto"/>
                <w:szCs w:val="21"/>
              </w:rPr>
              <w:t>田家庵区发展改革委</w:t>
            </w:r>
          </w:p>
        </w:tc>
        <w:tc>
          <w:tcPr>
            <w:tcW w:w="2080" w:type="dxa"/>
            <w:noWrap w:val="0"/>
            <w:vAlign w:val="center"/>
          </w:tcPr>
          <w:p>
            <w:pPr>
              <w:adjustRightInd w:val="0"/>
              <w:snapToGrid w:val="0"/>
              <w:jc w:val="center"/>
              <w:rPr>
                <w:color w:val="auto"/>
                <w:szCs w:val="21"/>
              </w:rPr>
            </w:pPr>
            <w:r>
              <w:rPr>
                <w:color w:val="auto"/>
                <w:szCs w:val="21"/>
              </w:rPr>
              <w:t>项目审批（核准/</w:t>
            </w:r>
          </w:p>
          <w:p>
            <w:pPr>
              <w:adjustRightInd w:val="0"/>
              <w:snapToGrid w:val="0"/>
              <w:jc w:val="center"/>
              <w:rPr>
                <w:color w:val="auto"/>
                <w:szCs w:val="21"/>
              </w:rPr>
            </w:pPr>
            <w:r>
              <w:rPr>
                <w:color w:val="auto"/>
                <w:szCs w:val="21"/>
              </w:rPr>
              <w:t>备案）文号（选填）</w:t>
            </w:r>
          </w:p>
        </w:tc>
        <w:tc>
          <w:tcPr>
            <w:tcW w:w="3221" w:type="dxa"/>
            <w:noWrap w:val="0"/>
            <w:vAlign w:val="center"/>
          </w:tcPr>
          <w:p>
            <w:pPr>
              <w:adjustRightInd w:val="0"/>
              <w:snapToGrid w:val="0"/>
              <w:jc w:val="center"/>
              <w:rPr>
                <w:color w:val="auto"/>
                <w:szCs w:val="21"/>
              </w:rPr>
            </w:pPr>
            <w:r>
              <w:rPr>
                <w:rFonts w:hint="eastAsia"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8" w:type="dxa"/>
            <w:noWrap w:val="0"/>
            <w:tcMar>
              <w:top w:w="16" w:type="dxa"/>
              <w:left w:w="16" w:type="dxa"/>
              <w:right w:w="16" w:type="dxa"/>
            </w:tcMar>
            <w:vAlign w:val="center"/>
          </w:tcPr>
          <w:p>
            <w:pPr>
              <w:adjustRightInd w:val="0"/>
              <w:snapToGrid w:val="0"/>
              <w:jc w:val="center"/>
              <w:rPr>
                <w:color w:val="auto"/>
                <w:szCs w:val="21"/>
              </w:rPr>
            </w:pPr>
            <w:r>
              <w:rPr>
                <w:color w:val="auto"/>
                <w:szCs w:val="21"/>
              </w:rPr>
              <w:t>总投资（万元）</w:t>
            </w:r>
          </w:p>
        </w:tc>
        <w:tc>
          <w:tcPr>
            <w:tcW w:w="2374"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23000</w:t>
            </w:r>
          </w:p>
        </w:tc>
        <w:tc>
          <w:tcPr>
            <w:tcW w:w="2080" w:type="dxa"/>
            <w:noWrap w:val="0"/>
            <w:tcMar>
              <w:top w:w="16" w:type="dxa"/>
              <w:left w:w="16" w:type="dxa"/>
              <w:right w:w="16" w:type="dxa"/>
            </w:tcMar>
            <w:vAlign w:val="center"/>
          </w:tcPr>
          <w:p>
            <w:pPr>
              <w:adjustRightInd w:val="0"/>
              <w:snapToGrid w:val="0"/>
              <w:jc w:val="center"/>
              <w:rPr>
                <w:color w:val="auto"/>
                <w:szCs w:val="21"/>
              </w:rPr>
            </w:pPr>
            <w:r>
              <w:rPr>
                <w:color w:val="auto"/>
                <w:szCs w:val="21"/>
              </w:rPr>
              <w:t>环保投资（万元）</w:t>
            </w:r>
          </w:p>
        </w:tc>
        <w:tc>
          <w:tcPr>
            <w:tcW w:w="3221"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8" w:type="dxa"/>
            <w:noWrap w:val="0"/>
            <w:tcMar>
              <w:top w:w="16" w:type="dxa"/>
              <w:left w:w="16" w:type="dxa"/>
              <w:right w:w="16" w:type="dxa"/>
            </w:tcMar>
            <w:vAlign w:val="center"/>
          </w:tcPr>
          <w:p>
            <w:pPr>
              <w:adjustRightInd w:val="0"/>
              <w:snapToGrid w:val="0"/>
              <w:jc w:val="center"/>
              <w:rPr>
                <w:color w:val="auto"/>
                <w:szCs w:val="21"/>
              </w:rPr>
            </w:pPr>
            <w:r>
              <w:rPr>
                <w:color w:val="auto"/>
                <w:szCs w:val="21"/>
              </w:rPr>
              <w:t>环保投资占比（%）</w:t>
            </w:r>
          </w:p>
        </w:tc>
        <w:tc>
          <w:tcPr>
            <w:tcW w:w="2374"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4.35</w:t>
            </w:r>
          </w:p>
        </w:tc>
        <w:tc>
          <w:tcPr>
            <w:tcW w:w="2080" w:type="dxa"/>
            <w:noWrap w:val="0"/>
            <w:tcMar>
              <w:top w:w="16" w:type="dxa"/>
              <w:left w:w="16" w:type="dxa"/>
              <w:right w:w="16" w:type="dxa"/>
            </w:tcMar>
            <w:vAlign w:val="center"/>
          </w:tcPr>
          <w:p>
            <w:pPr>
              <w:adjustRightInd w:val="0"/>
              <w:snapToGrid w:val="0"/>
              <w:jc w:val="center"/>
              <w:rPr>
                <w:color w:val="auto"/>
                <w:szCs w:val="21"/>
              </w:rPr>
            </w:pPr>
            <w:r>
              <w:rPr>
                <w:color w:val="auto"/>
                <w:szCs w:val="21"/>
              </w:rPr>
              <w:t>施工工期</w:t>
            </w:r>
          </w:p>
        </w:tc>
        <w:tc>
          <w:tcPr>
            <w:tcW w:w="3221" w:type="dxa"/>
            <w:noWrap w:val="0"/>
            <w:vAlign w:val="center"/>
          </w:tcPr>
          <w:p>
            <w:pPr>
              <w:adjustRightInd w:val="0"/>
              <w:snapToGrid w:val="0"/>
              <w:jc w:val="center"/>
              <w:rPr>
                <w:color w:val="auto"/>
                <w:szCs w:val="21"/>
              </w:rPr>
            </w:pPr>
            <w:r>
              <w:rPr>
                <w:rFonts w:hint="eastAsia"/>
                <w:color w:val="auto"/>
                <w:szCs w:val="21"/>
                <w:lang w:val="en-US" w:eastAsia="zh-CN"/>
              </w:rPr>
              <w:t>6</w:t>
            </w:r>
            <w:r>
              <w:rPr>
                <w:rFonts w:hint="eastAsia"/>
                <w:color w:val="auto"/>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8" w:type="dxa"/>
            <w:noWrap w:val="0"/>
            <w:tcMar>
              <w:top w:w="16" w:type="dxa"/>
              <w:left w:w="16" w:type="dxa"/>
              <w:right w:w="16" w:type="dxa"/>
            </w:tcMar>
            <w:vAlign w:val="center"/>
          </w:tcPr>
          <w:p>
            <w:pPr>
              <w:adjustRightInd w:val="0"/>
              <w:snapToGrid w:val="0"/>
              <w:jc w:val="center"/>
              <w:rPr>
                <w:color w:val="auto"/>
                <w:szCs w:val="21"/>
              </w:rPr>
            </w:pPr>
            <w:r>
              <w:rPr>
                <w:color w:val="auto"/>
                <w:szCs w:val="21"/>
              </w:rPr>
              <w:t>是否开工建设</w:t>
            </w:r>
          </w:p>
        </w:tc>
        <w:tc>
          <w:tcPr>
            <w:tcW w:w="2374" w:type="dxa"/>
            <w:noWrap w:val="0"/>
            <w:vAlign w:val="center"/>
          </w:tcPr>
          <w:p>
            <w:pPr>
              <w:adjustRightInd w:val="0"/>
              <w:snapToGrid w:val="0"/>
              <w:rPr>
                <w:color w:val="auto"/>
                <w:szCs w:val="21"/>
              </w:rPr>
            </w:pPr>
            <w:r>
              <w:rPr>
                <w:color w:val="auto"/>
                <w:szCs w:val="21"/>
              </w:rPr>
              <w:sym w:font="Wingdings 2" w:char="0052"/>
            </w:r>
            <w:r>
              <w:rPr>
                <w:color w:val="auto"/>
                <w:szCs w:val="21"/>
              </w:rPr>
              <w:t>否</w:t>
            </w:r>
          </w:p>
          <w:p>
            <w:pPr>
              <w:adjustRightInd w:val="0"/>
              <w:snapToGrid w:val="0"/>
              <w:rPr>
                <w:color w:val="auto"/>
                <w:szCs w:val="21"/>
              </w:rPr>
            </w:pPr>
            <w:r>
              <w:rPr>
                <w:color w:val="auto"/>
                <w:szCs w:val="21"/>
              </w:rPr>
              <w:sym w:font="Wingdings 2" w:char="00A3"/>
            </w:r>
            <w:r>
              <w:rPr>
                <w:color w:val="auto"/>
                <w:szCs w:val="21"/>
              </w:rPr>
              <w:t>是：</w:t>
            </w:r>
            <w:r>
              <w:rPr>
                <w:color w:val="auto"/>
                <w:szCs w:val="21"/>
                <w:u w:val="single"/>
              </w:rPr>
              <w:t xml:space="preserve">             </w:t>
            </w:r>
          </w:p>
        </w:tc>
        <w:tc>
          <w:tcPr>
            <w:tcW w:w="2080" w:type="dxa"/>
            <w:noWrap w:val="0"/>
            <w:tcMar>
              <w:top w:w="16" w:type="dxa"/>
              <w:left w:w="16" w:type="dxa"/>
              <w:right w:w="16" w:type="dxa"/>
            </w:tcMar>
            <w:vAlign w:val="center"/>
          </w:tcPr>
          <w:p>
            <w:pPr>
              <w:adjustRightInd w:val="0"/>
              <w:snapToGrid w:val="0"/>
              <w:jc w:val="center"/>
              <w:rPr>
                <w:color w:val="auto"/>
                <w:spacing w:val="-6"/>
                <w:szCs w:val="21"/>
              </w:rPr>
            </w:pPr>
            <w:r>
              <w:rPr>
                <w:color w:val="auto"/>
                <w:spacing w:val="-6"/>
                <w:szCs w:val="21"/>
              </w:rPr>
              <w:t>用地（用海）</w:t>
            </w:r>
          </w:p>
          <w:p>
            <w:pPr>
              <w:adjustRightInd w:val="0"/>
              <w:snapToGrid w:val="0"/>
              <w:jc w:val="center"/>
              <w:rPr>
                <w:color w:val="auto"/>
                <w:szCs w:val="21"/>
              </w:rPr>
            </w:pPr>
            <w:r>
              <w:rPr>
                <w:color w:val="auto"/>
                <w:spacing w:val="-6"/>
                <w:szCs w:val="21"/>
              </w:rPr>
              <w:t>面积（m</w:t>
            </w:r>
            <w:r>
              <w:rPr>
                <w:color w:val="auto"/>
                <w:spacing w:val="-6"/>
                <w:szCs w:val="21"/>
                <w:vertAlign w:val="superscript"/>
              </w:rPr>
              <w:t>2</w:t>
            </w:r>
            <w:r>
              <w:rPr>
                <w:color w:val="auto"/>
                <w:spacing w:val="-6"/>
                <w:szCs w:val="21"/>
              </w:rPr>
              <w:t>）</w:t>
            </w:r>
          </w:p>
        </w:tc>
        <w:tc>
          <w:tcPr>
            <w:tcW w:w="3221"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8" w:type="dxa"/>
            <w:noWrap w:val="0"/>
            <w:vAlign w:val="center"/>
          </w:tcPr>
          <w:p>
            <w:pPr>
              <w:autoSpaceDE w:val="0"/>
              <w:autoSpaceDN w:val="0"/>
              <w:adjustRightInd w:val="0"/>
              <w:snapToGrid w:val="0"/>
              <w:jc w:val="center"/>
              <w:rPr>
                <w:color w:val="auto"/>
                <w:kern w:val="0"/>
                <w:szCs w:val="21"/>
              </w:rPr>
            </w:pPr>
            <w:r>
              <w:rPr>
                <w:color w:val="auto"/>
                <w:kern w:val="0"/>
                <w:szCs w:val="21"/>
              </w:rPr>
              <w:t>专项评价设置情况</w:t>
            </w:r>
          </w:p>
        </w:tc>
        <w:tc>
          <w:tcPr>
            <w:tcW w:w="7675"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专项评价设置情况如下：</w:t>
            </w:r>
          </w:p>
          <w:p>
            <w:pPr>
              <w:widowControl/>
              <w:autoSpaceDE w:val="0"/>
              <w:autoSpaceDN w:val="0"/>
              <w:adjustRightInd w:val="0"/>
              <w:snapToGrid w:val="0"/>
              <w:spacing w:line="360" w:lineRule="auto"/>
              <w:ind w:firstLine="0" w:firstLineChars="0"/>
              <w:jc w:val="center"/>
              <w:rPr>
                <w:rFonts w:hint="default"/>
                <w:b/>
                <w:color w:val="auto"/>
                <w:kern w:val="0"/>
                <w:szCs w:val="21"/>
                <w:lang w:val="en-US"/>
              </w:rPr>
            </w:pPr>
            <w:r>
              <w:rPr>
                <w:rFonts w:hint="eastAsia"/>
                <w:b/>
                <w:color w:val="auto"/>
                <w:kern w:val="0"/>
                <w:szCs w:val="21"/>
              </w:rPr>
              <w:t>表1-</w:t>
            </w:r>
            <w:r>
              <w:rPr>
                <w:rFonts w:hint="eastAsia"/>
                <w:b/>
                <w:color w:val="auto"/>
                <w:kern w:val="0"/>
                <w:szCs w:val="21"/>
                <w:lang w:val="en-US" w:eastAsia="zh-CN"/>
              </w:rPr>
              <w:t>1</w:t>
            </w:r>
            <w:r>
              <w:rPr>
                <w:rFonts w:hint="eastAsia"/>
                <w:b/>
                <w:color w:val="auto"/>
                <w:kern w:val="0"/>
                <w:szCs w:val="21"/>
              </w:rPr>
              <w:t xml:space="preserve">  </w:t>
            </w:r>
            <w:r>
              <w:rPr>
                <w:rFonts w:hint="eastAsia"/>
                <w:b/>
                <w:color w:val="auto"/>
                <w:kern w:val="0"/>
                <w:szCs w:val="21"/>
                <w:lang w:val="en-US" w:eastAsia="zh-CN"/>
              </w:rPr>
              <w:t>专项评价设置情况</w:t>
            </w:r>
          </w:p>
          <w:tbl>
            <w:tblPr>
              <w:tblStyle w:val="45"/>
              <w:tblW w:w="7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80"/>
              <w:gridCol w:w="2766"/>
              <w:gridCol w:w="3444"/>
              <w:gridCol w:w="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专项评价类别</w:t>
                  </w:r>
                </w:p>
              </w:tc>
              <w:tc>
                <w:tcPr>
                  <w:tcW w:w="276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设置原则</w:t>
                  </w:r>
                </w:p>
              </w:tc>
              <w:tc>
                <w:tcPr>
                  <w:tcW w:w="34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本项目情况</w:t>
                  </w:r>
                </w:p>
              </w:tc>
              <w:tc>
                <w:tcPr>
                  <w:tcW w:w="51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是否设置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大气</w:t>
                  </w:r>
                </w:p>
              </w:tc>
              <w:tc>
                <w:tcPr>
                  <w:tcW w:w="276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排放废气含有毒有害污染物、二噁英、苯并[a]芘、氰化物、氯气且厂界外500米范围内有环境空气保护目标的建设项目</w:t>
                  </w:r>
                </w:p>
              </w:tc>
              <w:tc>
                <w:tcPr>
                  <w:tcW w:w="34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color w:val="auto"/>
                      <w:kern w:val="0"/>
                      <w:szCs w:val="21"/>
                      <w:lang w:val="en-US" w:eastAsia="zh-CN"/>
                    </w:rPr>
                    <w:t>本项目主要废气污染物为颗粒物、非甲烷总烃，不属于《有毒有害大气污染物名录》规定的有毒有害污染物及</w:t>
                  </w:r>
                  <w:r>
                    <w:rPr>
                      <w:rFonts w:hint="eastAsia" w:ascii="Times New Roman" w:hAnsi="Times New Roman" w:cs="Times New Roman"/>
                      <w:b w:val="0"/>
                      <w:bCs w:val="0"/>
                      <w:color w:val="auto"/>
                      <w:kern w:val="0"/>
                      <w:sz w:val="21"/>
                      <w:szCs w:val="21"/>
                      <w:vertAlign w:val="baseline"/>
                      <w:lang w:val="en-US" w:eastAsia="zh-CN"/>
                    </w:rPr>
                    <w:t>二噁英、苯并[a]芘、氰化物、氯气</w:t>
                  </w:r>
                </w:p>
              </w:tc>
              <w:tc>
                <w:tcPr>
                  <w:tcW w:w="51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地表水</w:t>
                  </w:r>
                </w:p>
              </w:tc>
              <w:tc>
                <w:tcPr>
                  <w:tcW w:w="276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新增工业废水直排建设项目（槽罐车外送污水处理厂的除外）；新增废水直排的污水集中处理厂</w:t>
                  </w:r>
                </w:p>
              </w:tc>
              <w:tc>
                <w:tcPr>
                  <w:tcW w:w="34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本项目废水经开发区污水管网排入开发区污水处理厂处理达标后外排，不直排</w:t>
                  </w:r>
                </w:p>
              </w:tc>
              <w:tc>
                <w:tcPr>
                  <w:tcW w:w="51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环境风险</w:t>
                  </w:r>
                </w:p>
              </w:tc>
              <w:tc>
                <w:tcPr>
                  <w:tcW w:w="276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有毒有害和易燃易爆危险物质存储量超过临界量的建设项目</w:t>
                  </w:r>
                </w:p>
              </w:tc>
              <w:tc>
                <w:tcPr>
                  <w:tcW w:w="34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本项目有毒有害和易燃易爆危险物质的存储量</w:t>
                  </w:r>
                  <w:r>
                    <w:rPr>
                      <w:rFonts w:hint="eastAsia" w:cs="Times New Roman"/>
                      <w:b w:val="0"/>
                      <w:bCs w:val="0"/>
                      <w:color w:val="auto"/>
                      <w:kern w:val="0"/>
                      <w:sz w:val="21"/>
                      <w:szCs w:val="21"/>
                      <w:vertAlign w:val="baseline"/>
                      <w:lang w:val="en-US" w:eastAsia="zh-CN"/>
                    </w:rPr>
                    <w:t>未超过临界量</w:t>
                  </w:r>
                </w:p>
              </w:tc>
              <w:tc>
                <w:tcPr>
                  <w:tcW w:w="51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生态</w:t>
                  </w:r>
                </w:p>
              </w:tc>
              <w:tc>
                <w:tcPr>
                  <w:tcW w:w="276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取水口下游500米范围内有重要水生生物的自然产卵场、索饵场、越冬场和洄游通道的新增河道取水的污染类建设项目</w:t>
                  </w:r>
                </w:p>
              </w:tc>
              <w:tc>
                <w:tcPr>
                  <w:tcW w:w="34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本项目用水为市政自来水，不涉及取水口</w:t>
                  </w:r>
                </w:p>
              </w:tc>
              <w:tc>
                <w:tcPr>
                  <w:tcW w:w="51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海洋</w:t>
                  </w:r>
                </w:p>
              </w:tc>
              <w:tc>
                <w:tcPr>
                  <w:tcW w:w="276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直接向海排放污染物的海洋工程建设项目</w:t>
                  </w:r>
                </w:p>
              </w:tc>
              <w:tc>
                <w:tcPr>
                  <w:tcW w:w="34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本项目不涉及向海排放污染物</w:t>
                  </w:r>
                </w:p>
              </w:tc>
              <w:tc>
                <w:tcPr>
                  <w:tcW w:w="51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21"/>
                      <w:szCs w:val="21"/>
                      <w:vertAlign w:val="baseline"/>
                      <w:lang w:val="en-US" w:eastAsia="zh-CN"/>
                    </w:rPr>
                  </w:pPr>
                  <w:r>
                    <w:rPr>
                      <w:rFonts w:hint="eastAsia" w:ascii="Times New Roman" w:hAnsi="Times New Roman" w:cs="Times New Roman"/>
                      <w:b w:val="0"/>
                      <w:bCs w:val="0"/>
                      <w:color w:val="auto"/>
                      <w:kern w:val="0"/>
                      <w:sz w:val="21"/>
                      <w:szCs w:val="21"/>
                      <w:vertAlign w:val="baseline"/>
                      <w:lang w:val="en-US" w:eastAsia="zh-CN"/>
                    </w:rPr>
                    <w:t>否</w:t>
                  </w:r>
                </w:p>
              </w:tc>
            </w:tr>
          </w:tbl>
          <w:p>
            <w:pPr>
              <w:pStyle w:val="87"/>
              <w:rPr>
                <w:color w:val="auto"/>
                <w:sz w:val="21"/>
                <w:szCs w:val="21"/>
              </w:rPr>
            </w:pPr>
            <w:r>
              <w:rPr>
                <w:rFonts w:hint="eastAsia" w:ascii="Times New Roman" w:hAnsi="宋体" w:eastAsia="宋体" w:cs="Times New Roman"/>
                <w:color w:val="auto"/>
                <w:kern w:val="2"/>
                <w:sz w:val="21"/>
                <w:szCs w:val="21"/>
                <w:lang w:val="en-US" w:eastAsia="zh-CN" w:bidi="ar-SA"/>
              </w:rPr>
              <w:t>综上，对照《建设项目环境影响报告表编制技术指南（污染影响类）（试行）》专项评价设置原则，本项目</w:t>
            </w:r>
            <w:r>
              <w:rPr>
                <w:rFonts w:hint="eastAsia" w:ascii="Times New Roman" w:hAnsi="宋体" w:cs="Times New Roman"/>
                <w:color w:val="auto"/>
                <w:kern w:val="2"/>
                <w:sz w:val="21"/>
                <w:szCs w:val="21"/>
                <w:lang w:val="en-US" w:eastAsia="zh-CN" w:bidi="ar-SA"/>
              </w:rPr>
              <w:t>无须设置</w:t>
            </w:r>
            <w:r>
              <w:rPr>
                <w:rFonts w:hint="eastAsia" w:ascii="Times New Roman" w:hAnsi="宋体" w:eastAsia="宋体" w:cs="Times New Roman"/>
                <w:color w:val="auto"/>
                <w:kern w:val="2"/>
                <w:sz w:val="21"/>
                <w:szCs w:val="21"/>
                <w:lang w:val="en-US" w:eastAsia="zh-CN" w:bidi="ar-SA"/>
              </w:rPr>
              <w:t>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98" w:type="dxa"/>
            <w:noWrap w:val="0"/>
            <w:vAlign w:val="center"/>
          </w:tcPr>
          <w:p>
            <w:pPr>
              <w:autoSpaceDE w:val="0"/>
              <w:autoSpaceDN w:val="0"/>
              <w:adjustRightInd w:val="0"/>
              <w:snapToGrid w:val="0"/>
              <w:jc w:val="center"/>
              <w:rPr>
                <w:color w:val="FF0000"/>
                <w:kern w:val="0"/>
                <w:szCs w:val="21"/>
              </w:rPr>
            </w:pPr>
            <w:r>
              <w:rPr>
                <w:color w:val="auto"/>
                <w:szCs w:val="21"/>
              </w:rPr>
              <w:t>规划情况</w:t>
            </w:r>
          </w:p>
        </w:tc>
        <w:tc>
          <w:tcPr>
            <w:tcW w:w="76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Cs w:val="21"/>
              </w:rPr>
            </w:pPr>
            <w:r>
              <w:rPr>
                <w:rFonts w:hAnsi="宋体"/>
                <w:color w:val="auto"/>
                <w:szCs w:val="21"/>
              </w:rPr>
              <w:t>规划文件名称：</w:t>
            </w:r>
            <w:r>
              <w:rPr>
                <w:rFonts w:hint="eastAsia" w:hAnsi="宋体"/>
                <w:color w:val="auto"/>
                <w:szCs w:val="21"/>
              </w:rPr>
              <w:t>《田家庵区工业集聚区控制性详细规划》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Cs w:val="21"/>
              </w:rPr>
            </w:pPr>
            <w:r>
              <w:rPr>
                <w:rFonts w:hAnsi="宋体"/>
                <w:color w:val="auto"/>
                <w:szCs w:val="21"/>
              </w:rPr>
              <w:t>规划审批机关：淮南市人民政府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1"/>
                <w:szCs w:val="21"/>
                <w:lang w:val="en-US" w:eastAsia="zh-CN"/>
              </w:rPr>
            </w:pPr>
            <w:bookmarkStart w:id="3" w:name="_Toc26126"/>
            <w:r>
              <w:rPr>
                <w:rFonts w:hAnsi="宋体"/>
                <w:color w:val="auto"/>
                <w:szCs w:val="21"/>
              </w:rPr>
              <w:t>审批文件名称及文号：淮南市人民政府《</w:t>
            </w:r>
            <w:r>
              <w:rPr>
                <w:rFonts w:hint="eastAsia" w:hAnsi="宋体"/>
                <w:color w:val="auto"/>
                <w:szCs w:val="21"/>
              </w:rPr>
              <w:t>关于田家庵区工业集聚区控制性详细规划的批复</w:t>
            </w:r>
            <w:r>
              <w:rPr>
                <w:rFonts w:hAnsi="宋体"/>
                <w:color w:val="auto"/>
                <w:szCs w:val="21"/>
              </w:rPr>
              <w:t>》（淮府秘〔</w:t>
            </w:r>
            <w:r>
              <w:rPr>
                <w:color w:val="auto"/>
                <w:szCs w:val="21"/>
              </w:rPr>
              <w:t>20</w:t>
            </w:r>
            <w:r>
              <w:rPr>
                <w:rFonts w:hint="eastAsia"/>
                <w:color w:val="auto"/>
                <w:szCs w:val="21"/>
                <w:lang w:val="en-US" w:eastAsia="zh-CN"/>
              </w:rPr>
              <w:t>09</w:t>
            </w:r>
            <w:r>
              <w:rPr>
                <w:rFonts w:hAnsi="宋体"/>
                <w:color w:val="auto"/>
                <w:szCs w:val="21"/>
              </w:rPr>
              <w:t>〕</w:t>
            </w:r>
            <w:r>
              <w:rPr>
                <w:rFonts w:hint="eastAsia"/>
                <w:color w:val="auto"/>
                <w:szCs w:val="21"/>
                <w:lang w:val="en-US" w:eastAsia="zh-CN"/>
              </w:rPr>
              <w:t>6</w:t>
            </w:r>
            <w:r>
              <w:rPr>
                <w:rFonts w:hAnsi="宋体"/>
                <w:color w:val="auto"/>
                <w:szCs w:val="21"/>
              </w:rPr>
              <w:t>号）</w:t>
            </w:r>
            <w:bookmarkEnd w:id="3"/>
            <w:r>
              <w:rPr>
                <w:rFonts w:hint="eastAsia" w:hAnsi="宋体"/>
                <w:color w:val="auto"/>
                <w:szCs w:val="21"/>
                <w:lang w:eastAsia="zh-CN"/>
              </w:rPr>
              <w:t>，</w:t>
            </w:r>
            <w:r>
              <w:rPr>
                <w:rFonts w:hint="eastAsia" w:ascii="Times New Roman" w:hAnsi="Times New Roman" w:eastAsia="宋体" w:cs="Times New Roman"/>
                <w:color w:val="auto"/>
                <w:kern w:val="0"/>
                <w:sz w:val="21"/>
                <w:szCs w:val="21"/>
                <w:lang w:val="en-US" w:eastAsia="zh-CN"/>
              </w:rPr>
              <w:t>2009年4月27日</w:t>
            </w:r>
          </w:p>
          <w:p>
            <w:pPr>
              <w:pStyle w:val="24"/>
              <w:keepNext w:val="0"/>
              <w:keepLines w:val="0"/>
              <w:pageBreakBefore w:val="0"/>
              <w:widowControl w:val="0"/>
              <w:kinsoku/>
              <w:wordWrap/>
              <w:overflowPunct/>
              <w:topLinePunct w:val="0"/>
              <w:autoSpaceDE/>
              <w:autoSpaceDN/>
              <w:bidi w:val="0"/>
              <w:spacing w:line="360" w:lineRule="auto"/>
              <w:textAlignment w:val="auto"/>
            </w:pPr>
            <w:r>
              <w:rPr>
                <w:rFonts w:hint="eastAsia" w:ascii="Times New Roman" w:hAnsi="宋体" w:eastAsia="宋体" w:cs="Times New Roman"/>
                <w:b w:val="0"/>
                <w:color w:val="auto"/>
                <w:kern w:val="2"/>
                <w:sz w:val="21"/>
                <w:szCs w:val="21"/>
                <w:lang w:val="en-US" w:eastAsia="zh-CN" w:bidi="ar-SA"/>
              </w:rPr>
              <w:t>2012年5月17日，淮南市田家庵区人民政府以“关于同意田家庵区安成工业集聚区管理委员会更名的批复”（田政[2012]38号），同意更名为淮南安成经济开发区管理委员会。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398" w:type="dxa"/>
            <w:noWrap w:val="0"/>
            <w:vAlign w:val="center"/>
          </w:tcPr>
          <w:p>
            <w:pPr>
              <w:adjustRightInd w:val="0"/>
              <w:snapToGrid w:val="0"/>
              <w:jc w:val="center"/>
              <w:rPr>
                <w:color w:val="FF0000"/>
                <w:kern w:val="0"/>
                <w:szCs w:val="21"/>
              </w:rPr>
            </w:pPr>
            <w:r>
              <w:rPr>
                <w:color w:val="auto"/>
                <w:szCs w:val="21"/>
              </w:rPr>
              <w:t>规划环境影响评价情况</w:t>
            </w:r>
          </w:p>
        </w:tc>
        <w:tc>
          <w:tcPr>
            <w:tcW w:w="7675" w:type="dxa"/>
            <w:gridSpan w:val="3"/>
            <w:noWrap w:val="0"/>
            <w:vAlign w:val="center"/>
          </w:tcPr>
          <w:p>
            <w:pPr>
              <w:adjustRightInd w:val="0"/>
              <w:snapToGrid w:val="0"/>
              <w:spacing w:line="360" w:lineRule="auto"/>
              <w:rPr>
                <w:color w:val="auto"/>
                <w:szCs w:val="21"/>
              </w:rPr>
            </w:pPr>
            <w:r>
              <w:rPr>
                <w:color w:val="auto"/>
                <w:szCs w:val="21"/>
              </w:rPr>
              <w:t>1</w:t>
            </w:r>
            <w:r>
              <w:rPr>
                <w:rFonts w:hAnsi="宋体"/>
                <w:color w:val="auto"/>
                <w:szCs w:val="21"/>
              </w:rPr>
              <w:t>、规划环评报告书</w:t>
            </w:r>
          </w:p>
          <w:p>
            <w:pPr>
              <w:adjustRightInd w:val="0"/>
              <w:snapToGrid w:val="0"/>
              <w:spacing w:line="360" w:lineRule="auto"/>
              <w:rPr>
                <w:color w:val="auto"/>
                <w:szCs w:val="21"/>
              </w:rPr>
            </w:pPr>
            <w:r>
              <w:rPr>
                <w:rFonts w:hAnsi="宋体"/>
                <w:color w:val="auto"/>
                <w:szCs w:val="21"/>
              </w:rPr>
              <w:t>文件名称：《</w:t>
            </w:r>
            <w:r>
              <w:rPr>
                <w:rFonts w:hint="eastAsia" w:hAnsi="宋体"/>
                <w:color w:val="auto"/>
                <w:szCs w:val="21"/>
              </w:rPr>
              <w:t>淮南市田家庵区工业集聚区规划环境影响报告书</w:t>
            </w:r>
            <w:r>
              <w:rPr>
                <w:rFonts w:hAnsi="宋体"/>
                <w:color w:val="auto"/>
                <w:szCs w:val="21"/>
              </w:rPr>
              <w:t>》；</w:t>
            </w:r>
          </w:p>
          <w:p>
            <w:pPr>
              <w:adjustRightInd w:val="0"/>
              <w:snapToGrid w:val="0"/>
              <w:spacing w:line="360" w:lineRule="auto"/>
              <w:rPr>
                <w:color w:val="auto"/>
                <w:szCs w:val="21"/>
              </w:rPr>
            </w:pPr>
            <w:r>
              <w:rPr>
                <w:rFonts w:hAnsi="宋体"/>
                <w:color w:val="auto"/>
                <w:szCs w:val="21"/>
              </w:rPr>
              <w:t>召集审查机关：原淮南市环境保护局；</w:t>
            </w:r>
          </w:p>
          <w:p>
            <w:pPr>
              <w:adjustRightInd w:val="0"/>
              <w:snapToGrid w:val="0"/>
              <w:spacing w:line="360" w:lineRule="auto"/>
              <w:rPr>
                <w:color w:val="auto"/>
                <w:szCs w:val="21"/>
              </w:rPr>
            </w:pPr>
            <w:r>
              <w:rPr>
                <w:rFonts w:hAnsi="宋体"/>
                <w:color w:val="auto"/>
                <w:szCs w:val="21"/>
              </w:rPr>
              <w:t>审查文件名称及文号：《关于</w:t>
            </w:r>
            <w:r>
              <w:rPr>
                <w:rFonts w:hint="eastAsia" w:hAnsi="宋体"/>
                <w:color w:val="auto"/>
                <w:szCs w:val="21"/>
              </w:rPr>
              <w:t>淮南市田家庵区工业集聚区规划环境影响报告书</w:t>
            </w:r>
            <w:r>
              <w:rPr>
                <w:rFonts w:hAnsi="宋体"/>
                <w:color w:val="auto"/>
                <w:szCs w:val="21"/>
              </w:rPr>
              <w:t>审查意见的函》（</w:t>
            </w:r>
            <w:r>
              <w:rPr>
                <w:rFonts w:hint="eastAsia" w:hAnsi="宋体"/>
                <w:color w:val="auto"/>
                <w:szCs w:val="21"/>
              </w:rPr>
              <w:t>淮环函</w:t>
            </w:r>
            <w:r>
              <w:rPr>
                <w:rFonts w:hint="eastAsia" w:hAnsi="宋体"/>
                <w:color w:val="auto"/>
                <w:szCs w:val="21"/>
                <w:lang w:eastAsia="zh-CN"/>
              </w:rPr>
              <w:t>〔</w:t>
            </w:r>
            <w:r>
              <w:rPr>
                <w:rFonts w:hint="eastAsia" w:hAnsi="宋体"/>
                <w:color w:val="auto"/>
                <w:szCs w:val="21"/>
              </w:rPr>
              <w:t>2010</w:t>
            </w:r>
            <w:r>
              <w:rPr>
                <w:rFonts w:hint="eastAsia" w:hAnsi="宋体"/>
                <w:color w:val="auto"/>
                <w:szCs w:val="21"/>
                <w:lang w:eastAsia="zh-CN"/>
              </w:rPr>
              <w:t>〕</w:t>
            </w:r>
            <w:r>
              <w:rPr>
                <w:rFonts w:hint="eastAsia" w:hAnsi="宋体"/>
                <w:color w:val="auto"/>
                <w:szCs w:val="21"/>
              </w:rPr>
              <w:t>72号</w:t>
            </w:r>
            <w:r>
              <w:rPr>
                <w:rFonts w:hAnsi="宋体"/>
                <w:color w:val="auto"/>
                <w:szCs w:val="21"/>
              </w:rPr>
              <w:t>）</w:t>
            </w:r>
            <w:r>
              <w:rPr>
                <w:rFonts w:hint="eastAsia" w:hAnsi="宋体"/>
                <w:color w:val="auto"/>
                <w:szCs w:val="21"/>
                <w:lang w:eastAsia="zh-CN"/>
              </w:rPr>
              <w:t>，</w:t>
            </w:r>
            <w:r>
              <w:rPr>
                <w:rFonts w:hint="eastAsia" w:ascii="Times New Roman" w:hAnsi="Times New Roman" w:eastAsia="宋体" w:cs="Times New Roman"/>
                <w:color w:val="auto"/>
                <w:kern w:val="0"/>
                <w:sz w:val="21"/>
                <w:szCs w:val="21"/>
                <w:lang w:val="en-US" w:eastAsia="zh-CN"/>
              </w:rPr>
              <w:t>2010年4月14</w:t>
            </w:r>
            <w:r>
              <w:rPr>
                <w:rFonts w:hAnsi="宋体"/>
                <w:color w:val="auto"/>
                <w:szCs w:val="21"/>
              </w:rPr>
              <w:t>。</w:t>
            </w:r>
          </w:p>
          <w:p>
            <w:pPr>
              <w:adjustRightInd w:val="0"/>
              <w:snapToGrid w:val="0"/>
              <w:spacing w:line="360" w:lineRule="auto"/>
              <w:rPr>
                <w:color w:val="auto"/>
                <w:szCs w:val="21"/>
              </w:rPr>
            </w:pPr>
            <w:r>
              <w:rPr>
                <w:color w:val="auto"/>
                <w:szCs w:val="21"/>
              </w:rPr>
              <w:t>2</w:t>
            </w:r>
            <w:r>
              <w:rPr>
                <w:rFonts w:hAnsi="宋体"/>
                <w:color w:val="auto"/>
                <w:szCs w:val="21"/>
              </w:rPr>
              <w:t>、规划环境影响跟踪评价报告书</w:t>
            </w:r>
          </w:p>
          <w:p>
            <w:pPr>
              <w:adjustRightInd w:val="0"/>
              <w:snapToGrid w:val="0"/>
              <w:spacing w:line="360" w:lineRule="auto"/>
              <w:rPr>
                <w:color w:val="auto"/>
                <w:szCs w:val="21"/>
              </w:rPr>
            </w:pPr>
            <w:r>
              <w:rPr>
                <w:rFonts w:hAnsi="宋体"/>
                <w:color w:val="auto"/>
                <w:szCs w:val="21"/>
              </w:rPr>
              <w:t>文件名称：《</w:t>
            </w:r>
            <w:r>
              <w:rPr>
                <w:rFonts w:hint="eastAsia" w:hAnsi="宋体"/>
                <w:color w:val="auto"/>
                <w:szCs w:val="21"/>
              </w:rPr>
              <w:t>淮南安成经济开发区环境影响区域评估报告</w:t>
            </w:r>
            <w:r>
              <w:rPr>
                <w:rFonts w:hAnsi="宋体"/>
                <w:color w:val="auto"/>
                <w:szCs w:val="21"/>
              </w:rPr>
              <w:t>》；</w:t>
            </w:r>
          </w:p>
          <w:p>
            <w:pPr>
              <w:adjustRightInd w:val="0"/>
              <w:snapToGrid w:val="0"/>
              <w:spacing w:line="360" w:lineRule="auto"/>
              <w:rPr>
                <w:color w:val="auto"/>
                <w:szCs w:val="21"/>
              </w:rPr>
            </w:pPr>
            <w:r>
              <w:rPr>
                <w:rFonts w:hAnsi="宋体"/>
                <w:color w:val="auto"/>
                <w:szCs w:val="21"/>
              </w:rPr>
              <w:t>召集审查机关：淮南市生态环境局；</w:t>
            </w:r>
          </w:p>
          <w:p>
            <w:pPr>
              <w:adjustRightInd w:val="0"/>
              <w:snapToGrid w:val="0"/>
              <w:spacing w:line="360" w:lineRule="auto"/>
              <w:rPr>
                <w:color w:val="FF0000"/>
                <w:szCs w:val="21"/>
              </w:rPr>
            </w:pPr>
            <w:r>
              <w:rPr>
                <w:rFonts w:hAnsi="宋体"/>
                <w:color w:val="auto"/>
                <w:szCs w:val="21"/>
              </w:rPr>
              <w:t>审查文件名称及日期：《</w:t>
            </w:r>
            <w:r>
              <w:rPr>
                <w:rFonts w:hint="eastAsia" w:hAnsi="宋体"/>
                <w:color w:val="auto"/>
                <w:szCs w:val="21"/>
              </w:rPr>
              <w:t>淮南安成经济开发区环境影响区域评估报告审查意见</w:t>
            </w:r>
            <w:r>
              <w:rPr>
                <w:rFonts w:hAnsi="宋体"/>
                <w:color w:val="auto"/>
                <w:szCs w:val="21"/>
              </w:rPr>
              <w:t>》</w:t>
            </w:r>
            <w:r>
              <w:rPr>
                <w:rFonts w:hint="eastAsia" w:hAnsi="宋体"/>
                <w:color w:val="auto"/>
                <w:szCs w:val="21"/>
                <w:lang w:eastAsia="zh-CN"/>
              </w:rPr>
              <w:t>，</w:t>
            </w:r>
            <w:r>
              <w:rPr>
                <w:color w:val="auto"/>
                <w:szCs w:val="21"/>
              </w:rPr>
              <w:t>20</w:t>
            </w:r>
            <w:r>
              <w:rPr>
                <w:rFonts w:hint="eastAsia"/>
                <w:color w:val="auto"/>
                <w:szCs w:val="21"/>
                <w:lang w:val="en-US" w:eastAsia="zh-CN"/>
              </w:rPr>
              <w:t>22</w:t>
            </w:r>
            <w:r>
              <w:rPr>
                <w:rFonts w:hAnsi="宋体"/>
                <w:color w:val="auto"/>
                <w:szCs w:val="21"/>
              </w:rPr>
              <w:t>年</w:t>
            </w:r>
            <w:r>
              <w:rPr>
                <w:rFonts w:hint="eastAsia"/>
                <w:color w:val="auto"/>
                <w:szCs w:val="21"/>
                <w:lang w:val="en-US" w:eastAsia="zh-CN"/>
              </w:rPr>
              <w:t>11</w:t>
            </w:r>
            <w:r>
              <w:rPr>
                <w:rFonts w:hAnsi="宋体"/>
                <w:color w:val="auto"/>
                <w:szCs w:val="21"/>
              </w:rPr>
              <w:t>月</w:t>
            </w:r>
            <w:r>
              <w:rPr>
                <w:rFonts w:hint="eastAsia"/>
                <w:color w:val="auto"/>
                <w:szCs w:val="21"/>
                <w:lang w:val="en-US" w:eastAsia="zh-CN"/>
              </w:rPr>
              <w:t>25</w:t>
            </w:r>
            <w:r>
              <w:rPr>
                <w:rFonts w:hAnsi="宋体"/>
                <w:color w:val="auto"/>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98" w:type="dxa"/>
            <w:noWrap w:val="0"/>
            <w:vAlign w:val="center"/>
          </w:tcPr>
          <w:p>
            <w:pPr>
              <w:autoSpaceDE w:val="0"/>
              <w:autoSpaceDN w:val="0"/>
              <w:adjustRightInd w:val="0"/>
              <w:snapToGrid w:val="0"/>
              <w:jc w:val="center"/>
              <w:rPr>
                <w:color w:val="auto"/>
                <w:kern w:val="0"/>
                <w:szCs w:val="21"/>
              </w:rPr>
            </w:pPr>
            <w:r>
              <w:rPr>
                <w:color w:val="auto"/>
                <w:kern w:val="0"/>
                <w:szCs w:val="21"/>
              </w:rPr>
              <w:t>规划及规划环境</w:t>
            </w:r>
          </w:p>
          <w:p>
            <w:pPr>
              <w:autoSpaceDE w:val="0"/>
              <w:autoSpaceDN w:val="0"/>
              <w:adjustRightInd w:val="0"/>
              <w:snapToGrid w:val="0"/>
              <w:jc w:val="center"/>
              <w:rPr>
                <w:color w:val="FF0000"/>
                <w:kern w:val="0"/>
                <w:sz w:val="24"/>
              </w:rPr>
            </w:pPr>
            <w:r>
              <w:rPr>
                <w:color w:val="auto"/>
                <w:kern w:val="0"/>
                <w:szCs w:val="21"/>
              </w:rPr>
              <w:t>影响评价符合性分析</w:t>
            </w:r>
          </w:p>
        </w:tc>
        <w:tc>
          <w:tcPr>
            <w:tcW w:w="7675" w:type="dxa"/>
            <w:gridSpan w:val="3"/>
            <w:noWrap w:val="0"/>
            <w:vAlign w:val="center"/>
          </w:tcPr>
          <w:p>
            <w:pPr>
              <w:pageBreakBefore w:val="0"/>
              <w:numPr>
                <w:ilvl w:val="0"/>
                <w:numId w:val="4"/>
              </w:numPr>
              <w:kinsoku/>
              <w:wordWrap/>
              <w:overflowPunct/>
              <w:topLinePunct w:val="0"/>
              <w:bidi w:val="0"/>
              <w:snapToGrid w:val="0"/>
              <w:spacing w:before="0" w:beforeLines="0" w:after="0" w:afterLines="0" w:line="360" w:lineRule="auto"/>
              <w:ind w:right="0" w:firstLine="420" w:firstLineChars="200"/>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规划符合性</w:t>
            </w:r>
          </w:p>
          <w:p>
            <w:pPr>
              <w:pageBreakBefore w:val="0"/>
              <w:numPr>
                <w:ilvl w:val="0"/>
                <w:numId w:val="0"/>
              </w:numPr>
              <w:kinsoku/>
              <w:wordWrap/>
              <w:overflowPunct/>
              <w:topLinePunct w:val="0"/>
              <w:autoSpaceDE w:val="0"/>
              <w:autoSpaceDN w:val="0"/>
              <w:bidi w:val="0"/>
              <w:adjustRightInd w:val="0"/>
              <w:snapToGrid w:val="0"/>
              <w:spacing w:line="360" w:lineRule="auto"/>
              <w:ind w:right="0" w:firstLine="420" w:firstLineChars="200"/>
              <w:jc w:val="left"/>
              <w:textAlignment w:val="auto"/>
              <w:outlineLvl w:val="9"/>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kern w:val="0"/>
                <w:sz w:val="21"/>
                <w:szCs w:val="21"/>
                <w:lang w:val="en-US" w:eastAsia="zh-CN"/>
              </w:rPr>
              <w:t>田家庵区工业集聚区控制性详细规划</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和2015年调整</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安成经济开发区四至范围为：南临国庆西路及十涧湖路，东至赵店社区，西至淮化围墙，北至陆塘村，规划面积223.80</w:t>
            </w:r>
            <w:r>
              <w:rPr>
                <w:rFonts w:hint="eastAsia" w:ascii="Times New Roman" w:hAnsi="Times New Roman" w:eastAsia="宋体" w:cs="Times New Roman"/>
                <w:color w:val="auto"/>
                <w:kern w:val="0"/>
                <w:sz w:val="21"/>
                <w:szCs w:val="21"/>
                <w:lang w:val="en-US" w:eastAsia="zh-CN"/>
              </w:rPr>
              <w:t>hm</w:t>
            </w:r>
            <w:r>
              <w:rPr>
                <w:rFonts w:hint="eastAsia" w:ascii="Times New Roman" w:hAnsi="Times New Roman" w:eastAsia="宋体" w:cs="Times New Roman"/>
                <w:color w:val="auto"/>
                <w:kern w:val="0"/>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。主要工业类型以机械制造与电子、物流、食品产业为主。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本项目位于</w:t>
            </w:r>
            <w:r>
              <w:rPr>
                <w:rFonts w:hint="eastAsia" w:ascii="Times New Roman" w:hAnsi="Times New Roman" w:eastAsia="宋体" w:cs="Times New Roman"/>
                <w:color w:val="auto"/>
                <w:sz w:val="21"/>
                <w:szCs w:val="21"/>
                <w:lang w:val="en-US" w:eastAsia="zh-CN"/>
              </w:rPr>
              <w:t>安徽省淮南市田家庵区安成镇安成经济开发区，</w:t>
            </w:r>
            <w:r>
              <w:rPr>
                <w:rFonts w:hint="default" w:ascii="Times New Roman" w:hAnsi="Times New Roman" w:eastAsia="宋体" w:cs="Times New Roman"/>
                <w:color w:val="auto"/>
                <w:sz w:val="21"/>
                <w:szCs w:val="21"/>
                <w:lang w:val="en-US" w:eastAsia="zh-CN"/>
              </w:rPr>
              <w:t>项目为</w:t>
            </w:r>
            <w:r>
              <w:rPr>
                <w:rFonts w:hint="eastAsia"/>
                <w:color w:val="auto"/>
                <w:szCs w:val="21"/>
              </w:rPr>
              <w:t>半导体器件专用设备制造</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根据《淮南市田家庵区工业集聚区控制性详细规划》，本项目选址用地类型属于二类</w:t>
            </w:r>
            <w:r>
              <w:rPr>
                <w:rFonts w:hint="default" w:ascii="Times New Roman" w:hAnsi="Times New Roman" w:eastAsia="宋体" w:cs="Times New Roman"/>
                <w:color w:val="auto"/>
                <w:sz w:val="21"/>
                <w:szCs w:val="21"/>
                <w:lang w:val="en-US" w:eastAsia="zh-CN"/>
              </w:rPr>
              <w:t>工业用地</w:t>
            </w:r>
            <w:r>
              <w:rPr>
                <w:rFonts w:hint="eastAsia" w:ascii="Times New Roman" w:hAnsi="Times New Roman" w:eastAsia="宋体" w:cs="Times New Roman"/>
                <w:color w:val="auto"/>
                <w:sz w:val="21"/>
                <w:szCs w:val="21"/>
                <w:lang w:val="en-US" w:eastAsia="zh-CN"/>
              </w:rPr>
              <w:t>，不新增占用农田</w:t>
            </w:r>
            <w:r>
              <w:rPr>
                <w:rFonts w:hint="default" w:ascii="Times New Roman" w:hAnsi="Times New Roman" w:eastAsia="宋体" w:cs="Times New Roman"/>
                <w:color w:val="auto"/>
                <w:sz w:val="21"/>
                <w:szCs w:val="21"/>
                <w:lang w:val="en-US" w:eastAsia="zh-CN"/>
              </w:rPr>
              <w:t>；本项目为</w:t>
            </w:r>
            <w:r>
              <w:rPr>
                <w:rFonts w:hint="eastAsia" w:ascii="Times New Roman" w:hAnsi="Times New Roman" w:eastAsia="宋体" w:cs="Times New Roman"/>
                <w:color w:val="auto"/>
                <w:sz w:val="21"/>
                <w:szCs w:val="21"/>
                <w:lang w:val="en-US" w:eastAsia="zh-CN"/>
              </w:rPr>
              <w:t>新建</w:t>
            </w:r>
            <w:r>
              <w:rPr>
                <w:rFonts w:hint="default" w:ascii="Times New Roman" w:hAnsi="Times New Roman" w:eastAsia="宋体" w:cs="Times New Roman"/>
                <w:color w:val="auto"/>
                <w:sz w:val="21"/>
                <w:szCs w:val="21"/>
                <w:lang w:val="en-US" w:eastAsia="zh-CN"/>
              </w:rPr>
              <w:t>项目，建设单位已获得淮南安成经济开发区管理委员会入园准许，项目建设符合淮南安成经济开发区</w:t>
            </w:r>
            <w:r>
              <w:rPr>
                <w:rFonts w:hint="eastAsia" w:ascii="Times New Roman" w:hAnsi="Times New Roman" w:eastAsia="宋体" w:cs="Times New Roman"/>
                <w:color w:val="auto"/>
                <w:sz w:val="21"/>
                <w:szCs w:val="21"/>
                <w:lang w:val="en-US" w:eastAsia="zh-CN"/>
              </w:rPr>
              <w:t>规划</w:t>
            </w:r>
            <w:r>
              <w:rPr>
                <w:rFonts w:hint="default" w:ascii="Times New Roman" w:hAnsi="Times New Roman" w:eastAsia="宋体" w:cs="Times New Roman"/>
                <w:color w:val="auto"/>
                <w:sz w:val="21"/>
                <w:szCs w:val="21"/>
                <w:lang w:val="en-US" w:eastAsia="zh-CN"/>
              </w:rPr>
              <w:t>要求。</w:t>
            </w:r>
          </w:p>
          <w:p>
            <w:pPr>
              <w:pageBreakBefore w:val="0"/>
              <w:numPr>
                <w:ilvl w:val="0"/>
                <w:numId w:val="4"/>
              </w:numPr>
              <w:kinsoku/>
              <w:wordWrap/>
              <w:overflowPunct/>
              <w:topLinePunct w:val="0"/>
              <w:bidi w:val="0"/>
              <w:snapToGrid w:val="0"/>
              <w:spacing w:before="0" w:beforeLines="0" w:after="0" w:afterLines="0" w:line="360" w:lineRule="auto"/>
              <w:ind w:right="0" w:firstLine="420" w:firstLineChars="20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规划环境影响评价符合性</w:t>
            </w:r>
          </w:p>
          <w:p>
            <w:pPr>
              <w:pStyle w:val="13"/>
              <w:pageBreakBefore w:val="0"/>
              <w:kinsoku/>
              <w:wordWrap/>
              <w:overflowPunct/>
              <w:topLinePunct w:val="0"/>
              <w:bidi w:val="0"/>
              <w:snapToGrid w:val="0"/>
              <w:spacing w:before="0" w:after="0" w:line="360" w:lineRule="auto"/>
              <w:ind w:right="0" w:firstLine="420" w:firstLineChars="200"/>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根据</w:t>
            </w:r>
            <w:r>
              <w:rPr>
                <w:rFonts w:hint="eastAsia" w:ascii="Times New Roman" w:hAnsi="Times New Roman" w:eastAsia="宋体" w:cs="Times New Roman"/>
                <w:color w:val="auto"/>
                <w:sz w:val="21"/>
                <w:szCs w:val="21"/>
                <w:lang w:val="en-US" w:eastAsia="zh-CN"/>
              </w:rPr>
              <w:t>原淮南市环境保护局淮环函</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2010</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72号</w:t>
            </w:r>
            <w:r>
              <w:rPr>
                <w:rFonts w:hint="default" w:ascii="Times New Roman" w:hAnsi="Times New Roman" w:eastAsia="宋体" w:cs="Times New Roman"/>
                <w:color w:val="auto"/>
                <w:sz w:val="21"/>
                <w:szCs w:val="21"/>
              </w:rPr>
              <w:t>文《关于</w:t>
            </w:r>
            <w:r>
              <w:rPr>
                <w:rFonts w:hint="eastAsia" w:ascii="Times New Roman" w:hAnsi="Times New Roman" w:eastAsia="宋体" w:cs="Times New Roman"/>
                <w:color w:val="auto"/>
                <w:sz w:val="21"/>
                <w:szCs w:val="21"/>
                <w:lang w:val="en-US" w:eastAsia="zh-CN"/>
              </w:rPr>
              <w:t>淮南市田家庵区工业集聚区规划环境影响报告书</w:t>
            </w:r>
            <w:r>
              <w:rPr>
                <w:rFonts w:hint="default" w:ascii="Times New Roman" w:hAnsi="Times New Roman" w:eastAsia="宋体" w:cs="Times New Roman"/>
                <w:color w:val="auto"/>
                <w:sz w:val="21"/>
                <w:szCs w:val="21"/>
              </w:rPr>
              <w:t>审查意见的函》</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见附件4</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淮南安成经济开发区</w:t>
            </w:r>
            <w:r>
              <w:rPr>
                <w:rFonts w:hint="default" w:ascii="Times New Roman" w:hAnsi="Times New Roman" w:eastAsia="宋体" w:cs="Times New Roman"/>
                <w:color w:val="auto"/>
                <w:sz w:val="21"/>
                <w:szCs w:val="21"/>
              </w:rPr>
              <w:t>主导产业为</w:t>
            </w:r>
            <w:r>
              <w:rPr>
                <w:rFonts w:hint="eastAsia" w:ascii="Times New Roman" w:hAnsi="Times New Roman" w:eastAsia="宋体" w:cs="Times New Roman"/>
                <w:color w:val="auto"/>
                <w:sz w:val="21"/>
                <w:szCs w:val="21"/>
                <w:lang w:val="en-US" w:eastAsia="zh-CN"/>
              </w:rPr>
              <w:t>机械制造、电子、精细化工、现代物流</w:t>
            </w:r>
            <w:r>
              <w:rPr>
                <w:rFonts w:hint="default" w:ascii="Times New Roman" w:hAnsi="Times New Roman" w:eastAsia="宋体" w:cs="Times New Roman"/>
                <w:color w:val="auto"/>
                <w:sz w:val="21"/>
                <w:szCs w:val="21"/>
              </w:rPr>
              <w:t>等产业</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严格控制污染严重和有重大环境风险隐患的企业入区，不符合国家产业政策、环保政策及集聚区产业要求的项目不得入区</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本项目为半导体器件专用设备制造，属于《产业结构调整指导目录（2024年本）》中鼓励类“二十八、信息产业—7．电子元器件生产专用设备：半导体照明设备，太阳能光伏设备，片式元器件设备，新型动力电池设备，表面贴装设备（含钢网印刷机、自动贴片机、无铅回流焊、光电自动检查仪）等”</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不属于高污染、高能耗企业，符合开发区入园要求。</w:t>
            </w:r>
          </w:p>
          <w:p>
            <w:pPr>
              <w:pageBreakBefore w:val="0"/>
              <w:kinsoku/>
              <w:wordWrap/>
              <w:overflowPunct/>
              <w:topLinePunct w:val="0"/>
              <w:autoSpaceDE w:val="0"/>
              <w:autoSpaceDN w:val="0"/>
              <w:bidi w:val="0"/>
              <w:adjustRightInd w:val="0"/>
              <w:snapToGrid w:val="0"/>
              <w:spacing w:line="360" w:lineRule="auto"/>
              <w:ind w:right="0" w:firstLine="420" w:firstLineChars="200"/>
              <w:jc w:val="left"/>
              <w:textAlignment w:val="auto"/>
              <w:outlineLvl w:val="9"/>
              <w:rPr>
                <w:rFonts w:hint="default" w:cs="Times New Roman"/>
                <w:color w:val="auto"/>
                <w:lang w:val="en-US" w:eastAsia="zh-CN"/>
              </w:rPr>
            </w:pPr>
            <w:r>
              <w:rPr>
                <w:rFonts w:hint="eastAsia" w:cs="Times New Roman"/>
                <w:color w:val="auto"/>
                <w:lang w:val="en-US" w:eastAsia="zh-CN"/>
              </w:rPr>
              <w:t>3、环境影响区域评估符合性</w:t>
            </w:r>
          </w:p>
          <w:p>
            <w:pPr>
              <w:pageBreakBefore w:val="0"/>
              <w:kinsoku/>
              <w:wordWrap/>
              <w:overflowPunct/>
              <w:topLinePunct w:val="0"/>
              <w:autoSpaceDE w:val="0"/>
              <w:autoSpaceDN w:val="0"/>
              <w:bidi w:val="0"/>
              <w:adjustRightInd w:val="0"/>
              <w:snapToGrid w:val="0"/>
              <w:spacing w:line="360" w:lineRule="auto"/>
              <w:ind w:right="0" w:firstLine="420" w:firstLineChars="200"/>
              <w:jc w:val="left"/>
              <w:textAlignment w:val="auto"/>
              <w:outlineLvl w:val="9"/>
              <w:rPr>
                <w:rFonts w:hint="eastAsia" w:cs="Times New Roman"/>
                <w:color w:val="auto"/>
                <w:lang w:val="en-US" w:eastAsia="zh-CN"/>
              </w:rPr>
            </w:pPr>
            <w:r>
              <w:rPr>
                <w:rFonts w:hint="eastAsia" w:cs="Times New Roman"/>
                <w:color w:val="auto"/>
                <w:lang w:val="en-US" w:eastAsia="zh-CN"/>
              </w:rPr>
              <w:t>根据《淮南安成经济开发区环境影响区域评估报告》，经济开发区的环境准入清单见下表。</w:t>
            </w:r>
          </w:p>
          <w:p>
            <w:pPr>
              <w:pStyle w:val="159"/>
              <w:bidi w:val="0"/>
              <w:rPr>
                <w:rFonts w:hint="eastAsia"/>
                <w:sz w:val="21"/>
                <w:szCs w:val="21"/>
              </w:rPr>
            </w:pPr>
            <w:r>
              <w:rPr>
                <w:rFonts w:hint="eastAsia"/>
                <w:sz w:val="21"/>
                <w:szCs w:val="21"/>
              </w:rPr>
              <w:t>表</w:t>
            </w: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2</w:t>
            </w:r>
            <w:r>
              <w:rPr>
                <w:rFonts w:hint="eastAsia"/>
                <w:sz w:val="21"/>
                <w:szCs w:val="21"/>
              </w:rPr>
              <w:t xml:space="preserve"> </w:t>
            </w:r>
            <w:r>
              <w:rPr>
                <w:rFonts w:hint="eastAsia"/>
                <w:sz w:val="21"/>
                <w:szCs w:val="21"/>
                <w:lang w:val="en-US" w:eastAsia="zh-CN"/>
              </w:rPr>
              <w:t xml:space="preserve"> 与《淮南安成经济开发区环境影响区域评估报告》环境准入清单</w:t>
            </w:r>
          </w:p>
          <w:tbl>
            <w:tblPr>
              <w:tblStyle w:val="4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96"/>
              <w:gridCol w:w="475"/>
              <w:gridCol w:w="1204"/>
              <w:gridCol w:w="2193"/>
              <w:gridCol w:w="2511"/>
              <w:gridCol w:w="7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2"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val="0"/>
                      <w:color w:val="auto"/>
                      <w:kern w:val="0"/>
                      <w:sz w:val="18"/>
                      <w:szCs w:val="18"/>
                      <w:vertAlign w:val="baseline"/>
                      <w:lang w:val="en-US" w:eastAsia="zh-CN"/>
                    </w:rPr>
                  </w:pPr>
                  <w:r>
                    <w:rPr>
                      <w:rFonts w:hint="eastAsia" w:ascii="宋体" w:hAnsi="宋体" w:eastAsia="宋体" w:cs="宋体"/>
                      <w:b/>
                      <w:bCs w:val="0"/>
                      <w:color w:val="auto"/>
                      <w:kern w:val="0"/>
                      <w:sz w:val="18"/>
                      <w:szCs w:val="18"/>
                      <w:vertAlign w:val="baseline"/>
                      <w:lang w:val="en-US" w:eastAsia="zh-CN"/>
                    </w:rPr>
                    <w:t>序号</w:t>
                  </w:r>
                </w:p>
              </w:tc>
              <w:tc>
                <w:tcPr>
                  <w:tcW w:w="5644" w:type="dxa"/>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val="0"/>
                      <w:color w:val="auto"/>
                      <w:kern w:val="0"/>
                      <w:sz w:val="18"/>
                      <w:szCs w:val="18"/>
                      <w:vertAlign w:val="baseline"/>
                      <w:lang w:val="en-US" w:eastAsia="zh-CN"/>
                    </w:rPr>
                  </w:pPr>
                  <w:r>
                    <w:rPr>
                      <w:rFonts w:hint="eastAsia" w:ascii="宋体" w:hAnsi="宋体" w:eastAsia="宋体" w:cs="宋体"/>
                      <w:b/>
                      <w:bCs w:val="0"/>
                      <w:color w:val="auto"/>
                      <w:kern w:val="0"/>
                      <w:sz w:val="18"/>
                      <w:szCs w:val="18"/>
                      <w:vertAlign w:val="baseline"/>
                      <w:lang w:val="en-US" w:eastAsia="zh-CN"/>
                    </w:rPr>
                    <w:t>环境准入清单</w:t>
                  </w:r>
                </w:p>
              </w:tc>
              <w:tc>
                <w:tcPr>
                  <w:tcW w:w="69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val="0"/>
                      <w:color w:val="auto"/>
                      <w:kern w:val="0"/>
                      <w:sz w:val="18"/>
                      <w:szCs w:val="18"/>
                      <w:vertAlign w:val="baseline"/>
                      <w:lang w:val="en-US" w:eastAsia="zh-CN"/>
                    </w:rPr>
                  </w:pPr>
                  <w:r>
                    <w:rPr>
                      <w:rFonts w:hint="eastAsia" w:ascii="Times New Roman" w:hAnsi="Times New Roman" w:cs="Times New Roman"/>
                      <w:b/>
                      <w:bCs w:val="0"/>
                      <w:color w:val="auto"/>
                      <w:kern w:val="0"/>
                      <w:sz w:val="18"/>
                      <w:szCs w:val="18"/>
                      <w:vertAlign w:val="baseline"/>
                      <w:lang w:val="en-US" w:eastAsia="zh-CN"/>
                    </w:rPr>
                    <w:t>本项目情况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val="0"/>
                      <w:color w:val="auto"/>
                      <w:sz w:val="18"/>
                      <w:szCs w:val="18"/>
                    </w:rPr>
                  </w:pPr>
                </w:p>
              </w:tc>
              <w:tc>
                <w:tcPr>
                  <w:tcW w:w="4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val="0"/>
                      <w:color w:val="auto"/>
                      <w:kern w:val="0"/>
                      <w:sz w:val="18"/>
                      <w:szCs w:val="18"/>
                      <w:vertAlign w:val="baseline"/>
                      <w:lang w:val="en-US" w:eastAsia="zh-CN"/>
                    </w:rPr>
                  </w:pPr>
                  <w:r>
                    <w:rPr>
                      <w:rFonts w:hint="eastAsia" w:ascii="宋体" w:hAnsi="宋体" w:eastAsia="宋体" w:cs="宋体"/>
                      <w:b/>
                      <w:bCs w:val="0"/>
                      <w:color w:val="auto"/>
                      <w:kern w:val="0"/>
                      <w:sz w:val="18"/>
                      <w:szCs w:val="18"/>
                      <w:vertAlign w:val="baseline"/>
                      <w:lang w:val="en-US" w:eastAsia="zh-CN"/>
                    </w:rPr>
                    <w:t>产业类别</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val="0"/>
                      <w:color w:val="auto"/>
                      <w:kern w:val="0"/>
                      <w:sz w:val="18"/>
                      <w:szCs w:val="18"/>
                      <w:vertAlign w:val="baseline"/>
                      <w:lang w:val="en-US" w:eastAsia="zh-CN"/>
                    </w:rPr>
                  </w:pPr>
                  <w:r>
                    <w:rPr>
                      <w:rFonts w:hint="eastAsia" w:ascii="宋体" w:hAnsi="宋体" w:eastAsia="宋体" w:cs="宋体"/>
                      <w:b/>
                      <w:bCs w:val="0"/>
                      <w:color w:val="auto"/>
                      <w:kern w:val="0"/>
                      <w:sz w:val="18"/>
                      <w:szCs w:val="18"/>
                      <w:vertAlign w:val="baseline"/>
                      <w:lang w:val="en-US" w:eastAsia="zh-CN"/>
                    </w:rPr>
                    <w:t>行业类别</w:t>
                  </w:r>
                </w:p>
              </w:tc>
              <w:tc>
                <w:tcPr>
                  <w:tcW w:w="19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val="0"/>
                      <w:color w:val="auto"/>
                      <w:kern w:val="0"/>
                      <w:sz w:val="18"/>
                      <w:szCs w:val="18"/>
                      <w:vertAlign w:val="baseline"/>
                      <w:lang w:val="en-US" w:eastAsia="zh-CN"/>
                    </w:rPr>
                  </w:pPr>
                  <w:r>
                    <w:rPr>
                      <w:rFonts w:hint="eastAsia" w:ascii="宋体" w:hAnsi="宋体" w:eastAsia="宋体" w:cs="宋体"/>
                      <w:b/>
                      <w:bCs w:val="0"/>
                      <w:color w:val="auto"/>
                      <w:kern w:val="0"/>
                      <w:sz w:val="18"/>
                      <w:szCs w:val="18"/>
                      <w:vertAlign w:val="baseline"/>
                      <w:lang w:val="en-US" w:eastAsia="zh-CN"/>
                    </w:rPr>
                    <w:t>准入条件（正面清单）</w:t>
                  </w:r>
                </w:p>
              </w:tc>
              <w:tc>
                <w:tcPr>
                  <w:tcW w:w="22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val="0"/>
                      <w:color w:val="auto"/>
                      <w:kern w:val="0"/>
                      <w:sz w:val="18"/>
                      <w:szCs w:val="18"/>
                      <w:vertAlign w:val="baseline"/>
                      <w:lang w:val="en-US" w:eastAsia="zh-CN"/>
                    </w:rPr>
                  </w:pPr>
                  <w:r>
                    <w:rPr>
                      <w:rFonts w:hint="eastAsia" w:ascii="宋体" w:hAnsi="宋体" w:eastAsia="宋体" w:cs="宋体"/>
                      <w:b/>
                      <w:bCs w:val="0"/>
                      <w:color w:val="auto"/>
                      <w:kern w:val="0"/>
                      <w:sz w:val="18"/>
                      <w:szCs w:val="18"/>
                      <w:vertAlign w:val="baseline"/>
                      <w:lang w:val="en-US" w:eastAsia="zh-CN"/>
                    </w:rPr>
                    <w:t>负面清单</w:t>
                  </w:r>
                </w:p>
              </w:tc>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val="0"/>
                      <w:color w:val="auto"/>
                      <w:kern w:val="0"/>
                      <w:sz w:val="18"/>
                      <w:szCs w:val="18"/>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1</w:t>
                  </w:r>
                </w:p>
              </w:tc>
              <w:tc>
                <w:tcPr>
                  <w:tcW w:w="4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机械制造及电子</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default" w:ascii="Times New Roman" w:hAnsi="Times New Roman" w:cs="Times New Roman"/>
                      <w:b w:val="0"/>
                      <w:bCs w:val="0"/>
                      <w:color w:val="auto"/>
                      <w:kern w:val="0"/>
                      <w:sz w:val="18"/>
                      <w:szCs w:val="18"/>
                      <w:vertAlign w:val="baseline"/>
                      <w:lang w:val="en-US" w:eastAsia="zh-CN"/>
                    </w:rPr>
                    <w:t>C33金属制品业；C34通用装备制造业；C35 专用设备制造业；C36汽车制造业；C37铁路、船舶、航空航天和其他运输设备制造业；C38电气机械和器材制造业；C39电子器件制造；C40仪器仪表制造业；</w:t>
                  </w:r>
                </w:p>
              </w:tc>
              <w:tc>
                <w:tcPr>
                  <w:tcW w:w="19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优先引入农机、风机等行业成套装备，农、林、牧、渔专用机械制造，工程机械装备、交通装备、智能装备等高端智能装备制造项目；</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所列行业中除《产业结构调整指导目录》（2019年本）中限制类和淘汰类项目、《市场准入负面清单（2022版）》中禁止准入类项目、《安徽省长江经济带发展负面清单实施细则（试行）》中禁止类项目以及《安徽省淮河流域水污染防治条例》中禁止的产业、产品以外的项目</w:t>
                  </w:r>
                </w:p>
              </w:tc>
              <w:tc>
                <w:tcPr>
                  <w:tcW w:w="22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Cs w:val="0"/>
                      <w:color w:val="auto"/>
                      <w:kern w:val="0"/>
                      <w:sz w:val="18"/>
                      <w:szCs w:val="18"/>
                      <w:lang w:val="en-US" w:eastAsia="zh-CN"/>
                    </w:rPr>
                  </w:pPr>
                  <w:r>
                    <w:rPr>
                      <w:rFonts w:hint="eastAsia" w:ascii="Times New Roman" w:hAnsi="Times New Roman" w:cs="Times New Roman"/>
                      <w:bCs w:val="0"/>
                      <w:color w:val="auto"/>
                      <w:kern w:val="0"/>
                      <w:sz w:val="18"/>
                      <w:szCs w:val="18"/>
                      <w:lang w:val="en-US" w:eastAsia="zh-CN"/>
                    </w:rPr>
                    <w:t>①禁止C3360金属表面处理及热处理加工行业中化学镀、阳极氧化、电镀等单纯表面处理的项目入驻；禁止C3895电子专用材料制造行业中电子化工材料的项目入驻；</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Cs w:val="0"/>
                      <w:color w:val="auto"/>
                      <w:kern w:val="0"/>
                      <w:sz w:val="18"/>
                      <w:szCs w:val="18"/>
                      <w:lang w:val="en-US" w:eastAsia="zh-CN"/>
                    </w:rPr>
                  </w:pPr>
                  <w:r>
                    <w:rPr>
                      <w:rFonts w:hint="eastAsia" w:ascii="Times New Roman" w:hAnsi="Times New Roman" w:cs="Times New Roman"/>
                      <w:bCs w:val="0"/>
                      <w:color w:val="auto"/>
                      <w:kern w:val="0"/>
                      <w:sz w:val="18"/>
                      <w:szCs w:val="18"/>
                      <w:lang w:val="en-US" w:eastAsia="zh-CN"/>
                    </w:rPr>
                    <w:t>③所列行业中的《产业结构调整指导目录》（2019年本）中限制类和淘汰类项目、《市场准入负面清单（2022版）》中禁止准入类项目、《安徽省长江经济带发展负面清单实施细则（试行）》中禁止类项目以及《安徽省淮河流域水污染防治条例》中禁止的产业、产品以外的项目</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Cs w:val="0"/>
                      <w:color w:val="auto"/>
                      <w:kern w:val="0"/>
                      <w:sz w:val="18"/>
                      <w:szCs w:val="18"/>
                      <w:lang w:val="en-US" w:eastAsia="zh-CN"/>
                    </w:rPr>
                    <w:t>项目为</w:t>
                  </w:r>
                  <w:r>
                    <w:rPr>
                      <w:color w:val="auto"/>
                      <w:sz w:val="18"/>
                      <w:szCs w:val="18"/>
                    </w:rPr>
                    <w:t>C</w:t>
                  </w:r>
                  <w:r>
                    <w:rPr>
                      <w:rFonts w:hint="eastAsia"/>
                      <w:color w:val="auto"/>
                      <w:sz w:val="18"/>
                      <w:szCs w:val="18"/>
                    </w:rPr>
                    <w:t>3</w:t>
                  </w:r>
                  <w:r>
                    <w:rPr>
                      <w:rFonts w:hint="eastAsia"/>
                      <w:color w:val="auto"/>
                      <w:sz w:val="18"/>
                      <w:szCs w:val="18"/>
                      <w:lang w:val="en-US" w:eastAsia="zh-CN"/>
                    </w:rPr>
                    <w:t>562</w:t>
                  </w:r>
                  <w:r>
                    <w:rPr>
                      <w:rFonts w:hint="eastAsia"/>
                      <w:color w:val="auto"/>
                      <w:sz w:val="18"/>
                      <w:szCs w:val="18"/>
                    </w:rPr>
                    <w:t>半导体器件专用设备制造</w:t>
                  </w:r>
                  <w:r>
                    <w:rPr>
                      <w:rFonts w:hint="eastAsia" w:ascii="Times New Roman" w:hAnsi="Times New Roman" w:cs="Times New Roman"/>
                      <w:bCs w:val="0"/>
                      <w:color w:val="auto"/>
                      <w:kern w:val="0"/>
                      <w:sz w:val="18"/>
                      <w:szCs w:val="18"/>
                      <w:lang w:val="en-US" w:eastAsia="zh-CN"/>
                    </w:rPr>
                    <w:t>，对照</w:t>
                  </w:r>
                  <w:r>
                    <w:rPr>
                      <w:rFonts w:hint="eastAsia" w:ascii="Times New Roman" w:hAnsi="Times New Roman" w:cs="Times New Roman"/>
                      <w:b w:val="0"/>
                      <w:bCs w:val="0"/>
                      <w:color w:val="auto"/>
                      <w:kern w:val="0"/>
                      <w:sz w:val="18"/>
                      <w:szCs w:val="18"/>
                      <w:vertAlign w:val="baseline"/>
                      <w:lang w:val="en-US" w:eastAsia="zh-CN"/>
                    </w:rPr>
                    <w:t>《产业结构调整指导目录》（2024年本），本项目属于鼓励类项目，满足</w:t>
                  </w:r>
                  <w:r>
                    <w:rPr>
                      <w:rFonts w:hint="eastAsia" w:ascii="Times New Roman" w:hAnsi="Times New Roman" w:cs="Times New Roman"/>
                      <w:bCs w:val="0"/>
                      <w:color w:val="auto"/>
                      <w:kern w:val="0"/>
                      <w:sz w:val="18"/>
                      <w:szCs w:val="18"/>
                      <w:lang w:val="en-US" w:eastAsia="zh-CN"/>
                    </w:rPr>
                    <w:t>准入条件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2</w:t>
                  </w:r>
                </w:p>
              </w:tc>
              <w:tc>
                <w:tcPr>
                  <w:tcW w:w="4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现代物流</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批发、零售市场</w:t>
                  </w:r>
                </w:p>
              </w:tc>
              <w:tc>
                <w:tcPr>
                  <w:tcW w:w="19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Cs w:val="0"/>
                      <w:color w:val="auto"/>
                      <w:kern w:val="0"/>
                      <w:sz w:val="18"/>
                      <w:szCs w:val="18"/>
                      <w:lang w:val="en-US" w:eastAsia="zh-CN"/>
                    </w:rPr>
                  </w:pPr>
                  <w:r>
                    <w:rPr>
                      <w:rFonts w:hint="eastAsia" w:ascii="Times New Roman" w:hAnsi="Times New Roman" w:cs="Times New Roman"/>
                      <w:bCs w:val="0"/>
                      <w:color w:val="auto"/>
                      <w:kern w:val="0"/>
                      <w:sz w:val="18"/>
                      <w:szCs w:val="18"/>
                      <w:lang w:val="en-US" w:eastAsia="zh-CN"/>
                    </w:rPr>
                    <w:t>优先引入批发、零售市场等项目；所列行业中除《产业结构调整指导目录》（2019 年本）中限制类和淘汰类项目、《市场准入负面清单（2022 版）》中禁止准入类项目、《安徽省长江经济带发展负面清单实施细则（试行）》中禁止类项目以及《安徽省淮河流域水污染防治条例》中禁止的产业、产品以外的项目</w:t>
                  </w:r>
                </w:p>
              </w:tc>
              <w:tc>
                <w:tcPr>
                  <w:tcW w:w="22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Cs w:val="0"/>
                      <w:color w:val="auto"/>
                      <w:kern w:val="0"/>
                      <w:sz w:val="18"/>
                      <w:szCs w:val="18"/>
                      <w:lang w:val="en-US" w:eastAsia="zh-CN"/>
                    </w:rPr>
                  </w:pPr>
                  <w:r>
                    <w:rPr>
                      <w:rFonts w:hint="eastAsia" w:ascii="Times New Roman" w:hAnsi="Times New Roman" w:cs="Times New Roman"/>
                      <w:bCs w:val="0"/>
                      <w:color w:val="auto"/>
                      <w:kern w:val="0"/>
                      <w:sz w:val="18"/>
                      <w:szCs w:val="18"/>
                      <w:lang w:val="en-US" w:eastAsia="zh-CN"/>
                    </w:rPr>
                    <w:t>所列行业中的《产业结构调整指导目录》（2019 年本）中限制类和淘汰类项目、《市场准入负面清单（2022版）》中禁止准入类项目、《安徽省长江经济带发展负面清单实施细则（试行）》中禁止类项目以及《安徽省淮河流域水污染防治条例》中禁止的产业、产品以外的项目</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Cs w:val="0"/>
                      <w:color w:val="auto"/>
                      <w:kern w:val="0"/>
                      <w:sz w:val="18"/>
                      <w:szCs w:val="18"/>
                      <w:lang w:val="en-US" w:eastAsia="zh-CN"/>
                    </w:rPr>
                  </w:pPr>
                  <w:r>
                    <w:rPr>
                      <w:rFonts w:hint="eastAsia" w:ascii="Times New Roman" w:hAnsi="Times New Roman" w:cs="Times New Roman"/>
                      <w:bCs w:val="0"/>
                      <w:color w:val="auto"/>
                      <w:kern w:val="0"/>
                      <w:sz w:val="18"/>
                      <w:szCs w:val="18"/>
                      <w:lang w:val="en-US" w:eastAsia="zh-CN"/>
                    </w:rPr>
                    <w:t>项目不属于批发、零售市场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3</w:t>
                  </w:r>
                </w:p>
              </w:tc>
              <w:tc>
                <w:tcPr>
                  <w:tcW w:w="4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食品</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C14食品制造业</w:t>
                  </w:r>
                </w:p>
              </w:tc>
              <w:tc>
                <w:tcPr>
                  <w:tcW w:w="19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Cs w:val="0"/>
                      <w:color w:val="auto"/>
                      <w:kern w:val="0"/>
                      <w:sz w:val="18"/>
                      <w:szCs w:val="18"/>
                      <w:lang w:val="en-US" w:eastAsia="zh-CN"/>
                    </w:rPr>
                  </w:pPr>
                  <w:r>
                    <w:rPr>
                      <w:rFonts w:hint="eastAsia" w:ascii="Times New Roman" w:hAnsi="Times New Roman" w:cs="Times New Roman"/>
                      <w:bCs w:val="0"/>
                      <w:color w:val="auto"/>
                      <w:kern w:val="0"/>
                      <w:sz w:val="18"/>
                      <w:szCs w:val="18"/>
                      <w:lang w:val="en-US" w:eastAsia="zh-CN"/>
                    </w:rPr>
                    <w:t>优先引入糖果、巧克力及蜜饯制造、方便食品制造、罐头食品制造等项目；</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Cs w:val="0"/>
                      <w:color w:val="auto"/>
                      <w:kern w:val="0"/>
                      <w:sz w:val="18"/>
                      <w:szCs w:val="18"/>
                      <w:lang w:val="en-US" w:eastAsia="zh-CN"/>
                    </w:rPr>
                  </w:pPr>
                  <w:r>
                    <w:rPr>
                      <w:rFonts w:hint="eastAsia" w:ascii="Times New Roman" w:hAnsi="Times New Roman" w:cs="Times New Roman"/>
                      <w:bCs w:val="0"/>
                      <w:color w:val="auto"/>
                      <w:kern w:val="0"/>
                      <w:sz w:val="18"/>
                      <w:szCs w:val="18"/>
                      <w:lang w:val="en-US" w:eastAsia="zh-CN"/>
                    </w:rPr>
                    <w:t>所列行业中除《产业结构调整指导目录》（2019 年本）中限制类和淘汰类项目、《市场准入负面清单（2022 版）》中禁止准入类项目、《安徽省长江经济带发展负面清单实施细则（试行）》中禁止类项目以及《安徽省淮河流域水污染防治条例》中禁止的产业、产品以外的项目</w:t>
                  </w:r>
                </w:p>
              </w:tc>
              <w:tc>
                <w:tcPr>
                  <w:tcW w:w="22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Cs w:val="0"/>
                      <w:color w:val="auto"/>
                      <w:kern w:val="0"/>
                      <w:sz w:val="18"/>
                      <w:szCs w:val="18"/>
                      <w:lang w:val="en-US" w:eastAsia="zh-CN"/>
                    </w:rPr>
                  </w:pPr>
                  <w:r>
                    <w:rPr>
                      <w:rFonts w:hint="eastAsia" w:ascii="Times New Roman" w:hAnsi="Times New Roman" w:cs="Times New Roman"/>
                      <w:bCs w:val="0"/>
                      <w:color w:val="auto"/>
                      <w:kern w:val="0"/>
                      <w:sz w:val="18"/>
                      <w:szCs w:val="18"/>
                      <w:lang w:val="en-US" w:eastAsia="zh-CN"/>
                    </w:rPr>
                    <w:t>所列行业中的《产业结构调整指导目录》（2019年本）中限制类和淘汰类项目、《市场准入负面清单（2022 版）》中禁止准入类项目、《安徽省长江经济带发展负面清单实施细则（试行）》中禁止类项目以及《安徽省淮河流域水污染防治条例》中禁止的产业、产品以外的项目</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Cs w:val="0"/>
                      <w:color w:val="auto"/>
                      <w:kern w:val="0"/>
                      <w:sz w:val="18"/>
                      <w:szCs w:val="18"/>
                      <w:lang w:val="en-US" w:eastAsia="zh-CN"/>
                    </w:rPr>
                  </w:pPr>
                  <w:r>
                    <w:rPr>
                      <w:rFonts w:hint="eastAsia" w:ascii="Times New Roman" w:hAnsi="Times New Roman" w:cs="Times New Roman"/>
                      <w:bCs w:val="0"/>
                      <w:color w:val="auto"/>
                      <w:kern w:val="0"/>
                      <w:sz w:val="18"/>
                      <w:szCs w:val="18"/>
                      <w:lang w:val="en-US" w:eastAsia="zh-CN"/>
                    </w:rPr>
                    <w:t>项目不属于C14食品制造业</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20" w:firstLineChars="200"/>
              <w:jc w:val="left"/>
              <w:textAlignment w:val="auto"/>
              <w:outlineLvl w:val="9"/>
              <w:rPr>
                <w:color w:val="FF0000"/>
                <w:sz w:val="21"/>
                <w:szCs w:val="21"/>
              </w:rPr>
            </w:pPr>
            <w:r>
              <w:rPr>
                <w:rFonts w:hint="eastAsia" w:ascii="Times New Roman" w:hAnsi="Times New Roman" w:cs="Times New Roman"/>
                <w:color w:val="auto"/>
                <w:kern w:val="0"/>
                <w:szCs w:val="21"/>
                <w:lang w:val="en-US" w:eastAsia="zh-CN"/>
              </w:rPr>
              <w:t>本项目为</w:t>
            </w:r>
            <w:r>
              <w:rPr>
                <w:rFonts w:hint="eastAsia" w:ascii="Times New Roman" w:hAnsi="Times New Roman" w:eastAsia="宋体" w:cs="Times New Roman"/>
                <w:color w:val="auto"/>
                <w:sz w:val="21"/>
                <w:szCs w:val="21"/>
                <w:lang w:val="en-US" w:eastAsia="zh-CN"/>
              </w:rPr>
              <w:t>半导体器件专用设备制造</w:t>
            </w:r>
            <w:r>
              <w:rPr>
                <w:rFonts w:hint="eastAsia" w:ascii="Times New Roman" w:hAnsi="Times New Roman" w:cs="Times New Roman"/>
                <w:color w:val="auto"/>
                <w:kern w:val="0"/>
                <w:szCs w:val="21"/>
                <w:lang w:val="en-US" w:eastAsia="zh-CN"/>
              </w:rPr>
              <w:t>，不在开发区负面清单范围内，不属于禁止和限制产业，属于环境准入条件（正面清单），符合开发区规划，项目建设符合《淮南安成经济开发区环境影响区域评估报告》要求。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98" w:type="dxa"/>
            <w:noWrap w:val="0"/>
            <w:vAlign w:val="center"/>
          </w:tcPr>
          <w:p>
            <w:pPr>
              <w:autoSpaceDE w:val="0"/>
              <w:autoSpaceDN w:val="0"/>
              <w:adjustRightInd w:val="0"/>
              <w:snapToGrid w:val="0"/>
              <w:jc w:val="center"/>
              <w:rPr>
                <w:color w:val="FF0000"/>
                <w:kern w:val="0"/>
                <w:szCs w:val="21"/>
              </w:rPr>
            </w:pPr>
            <w:r>
              <w:rPr>
                <w:color w:val="auto"/>
                <w:kern w:val="0"/>
                <w:szCs w:val="21"/>
              </w:rPr>
              <w:t>其他符合性分析</w:t>
            </w:r>
          </w:p>
        </w:tc>
        <w:tc>
          <w:tcPr>
            <w:tcW w:w="7675" w:type="dxa"/>
            <w:gridSpan w:val="3"/>
            <w:noWrap w:val="0"/>
            <w:vAlign w:val="center"/>
          </w:tcPr>
          <w:p>
            <w:pPr>
              <w:autoSpaceDE w:val="0"/>
              <w:autoSpaceDN w:val="0"/>
              <w:adjustRightInd w:val="0"/>
              <w:snapToGrid w:val="0"/>
              <w:spacing w:line="360" w:lineRule="auto"/>
              <w:rPr>
                <w:rFonts w:hint="eastAsia"/>
                <w:b/>
                <w:bCs/>
                <w:color w:val="auto"/>
                <w:kern w:val="0"/>
                <w:szCs w:val="21"/>
              </w:rPr>
            </w:pPr>
            <w:r>
              <w:rPr>
                <w:rFonts w:hint="eastAsia"/>
                <w:b/>
                <w:bCs/>
                <w:color w:val="auto"/>
                <w:kern w:val="0"/>
                <w:szCs w:val="21"/>
              </w:rPr>
              <w:t>1、选址符合性分析</w:t>
            </w:r>
          </w:p>
          <w:p>
            <w:pPr>
              <w:pStyle w:val="135"/>
              <w:ind w:firstLine="420"/>
              <w:rPr>
                <w:rFonts w:cs="Times New Roman"/>
                <w:b w:val="0"/>
                <w:bCs/>
                <w:color w:val="auto"/>
                <w:sz w:val="21"/>
                <w:szCs w:val="21"/>
              </w:rPr>
            </w:pPr>
            <w:r>
              <w:rPr>
                <w:rFonts w:hint="eastAsia" w:cs="Times New Roman"/>
                <w:b w:val="0"/>
                <w:bCs/>
                <w:color w:val="auto"/>
                <w:sz w:val="21"/>
                <w:szCs w:val="21"/>
              </w:rPr>
              <w:t>（1）</w:t>
            </w:r>
            <w:r>
              <w:rPr>
                <w:rFonts w:cs="Times New Roman"/>
                <w:b w:val="0"/>
                <w:bCs/>
                <w:color w:val="auto"/>
                <w:sz w:val="21"/>
                <w:szCs w:val="21"/>
              </w:rPr>
              <w:t>选址合理性分析</w:t>
            </w:r>
          </w:p>
          <w:p>
            <w:pPr>
              <w:spacing w:line="360" w:lineRule="auto"/>
              <w:ind w:firstLine="420" w:firstLineChars="200"/>
              <w:rPr>
                <w:color w:val="auto"/>
                <w:szCs w:val="21"/>
              </w:rPr>
            </w:pPr>
            <w:r>
              <w:rPr>
                <w:color w:val="auto"/>
                <w:szCs w:val="21"/>
              </w:rPr>
              <w:t>本项目</w:t>
            </w:r>
            <w:r>
              <w:rPr>
                <w:rFonts w:hint="eastAsia"/>
                <w:color w:val="auto"/>
                <w:szCs w:val="21"/>
              </w:rPr>
              <w:t>选址</w:t>
            </w:r>
            <w:r>
              <w:rPr>
                <w:color w:val="auto"/>
                <w:szCs w:val="21"/>
              </w:rPr>
              <w:t>于</w:t>
            </w:r>
            <w:r>
              <w:rPr>
                <w:rFonts w:hint="eastAsia" w:ascii="Times New Roman" w:hAnsi="Times New Roman" w:eastAsia="宋体" w:cs="Times New Roman"/>
                <w:color w:val="auto"/>
                <w:sz w:val="21"/>
                <w:szCs w:val="21"/>
                <w:lang w:val="en-US" w:eastAsia="zh-CN"/>
              </w:rPr>
              <w:t>安徽省淮南市田家庵区安成镇安成经济开发区</w:t>
            </w:r>
            <w:r>
              <w:rPr>
                <w:rFonts w:hint="eastAsia"/>
                <w:color w:val="auto"/>
                <w:szCs w:val="21"/>
              </w:rPr>
              <w:t>，</w:t>
            </w:r>
            <w:r>
              <w:rPr>
                <w:rFonts w:hint="eastAsia"/>
                <w:bCs/>
                <w:color w:val="auto"/>
                <w:szCs w:val="21"/>
              </w:rPr>
              <w:t>根据《</w:t>
            </w:r>
            <w:r>
              <w:rPr>
                <w:rFonts w:hint="eastAsia" w:ascii="Times New Roman" w:hAnsi="Times New Roman" w:eastAsia="宋体" w:cs="Times New Roman"/>
                <w:color w:val="auto"/>
                <w:sz w:val="21"/>
                <w:szCs w:val="21"/>
                <w:lang w:val="en-US" w:eastAsia="zh-CN"/>
              </w:rPr>
              <w:t>淮南市田家庵区工业集聚区控制性详细规划</w:t>
            </w:r>
            <w:r>
              <w:rPr>
                <w:rFonts w:hint="eastAsia"/>
                <w:bCs/>
                <w:color w:val="auto"/>
                <w:szCs w:val="21"/>
              </w:rPr>
              <w:t>》，开发区主导产业为：</w:t>
            </w:r>
            <w:r>
              <w:rPr>
                <w:rFonts w:hint="eastAsia" w:ascii="Times New Roman" w:hAnsi="Times New Roman" w:eastAsia="宋体" w:cs="Times New Roman"/>
                <w:color w:val="auto"/>
                <w:sz w:val="21"/>
                <w:szCs w:val="21"/>
                <w:lang w:val="en-US" w:eastAsia="zh-CN"/>
              </w:rPr>
              <w:t>机械制造、电子、精细化工、现代物流</w:t>
            </w:r>
            <w:r>
              <w:rPr>
                <w:rFonts w:hint="default" w:ascii="Times New Roman" w:hAnsi="Times New Roman" w:eastAsia="宋体" w:cs="Times New Roman"/>
                <w:color w:val="auto"/>
                <w:sz w:val="21"/>
                <w:szCs w:val="21"/>
              </w:rPr>
              <w:t>等产业</w:t>
            </w:r>
            <w:r>
              <w:rPr>
                <w:rFonts w:hint="eastAsia"/>
                <w:bCs/>
                <w:color w:val="auto"/>
                <w:szCs w:val="21"/>
              </w:rPr>
              <w:t>。</w:t>
            </w:r>
            <w:r>
              <w:rPr>
                <w:rFonts w:hint="eastAsia"/>
                <w:color w:val="auto"/>
                <w:szCs w:val="21"/>
              </w:rPr>
              <w:t>本项目</w:t>
            </w:r>
            <w:r>
              <w:rPr>
                <w:color w:val="auto"/>
                <w:szCs w:val="21"/>
              </w:rPr>
              <w:t>占地类型为工业用地，</w:t>
            </w:r>
            <w:r>
              <w:rPr>
                <w:rFonts w:hint="eastAsia"/>
                <w:color w:val="auto"/>
                <w:szCs w:val="21"/>
                <w:lang w:val="en-US" w:eastAsia="zh-CN"/>
              </w:rPr>
              <w:t>属于专用设备制造，</w:t>
            </w:r>
            <w:r>
              <w:rPr>
                <w:color w:val="auto"/>
                <w:szCs w:val="21"/>
              </w:rPr>
              <w:t>符合</w:t>
            </w:r>
            <w:r>
              <w:rPr>
                <w:rFonts w:hint="eastAsia" w:ascii="Times New Roman" w:hAnsi="Times New Roman" w:eastAsia="宋体" w:cs="Times New Roman"/>
                <w:color w:val="auto"/>
                <w:sz w:val="21"/>
                <w:szCs w:val="21"/>
                <w:lang w:val="en-US" w:eastAsia="zh-CN"/>
              </w:rPr>
              <w:t>淮南市田家庵区工业集聚区控制性详细规划</w:t>
            </w:r>
            <w:r>
              <w:rPr>
                <w:color w:val="auto"/>
                <w:szCs w:val="21"/>
              </w:rPr>
              <w:t>产业定位和当地的整体规划、环境保护等要求，交通便利，区域环境质量良好，</w:t>
            </w:r>
            <w:r>
              <w:rPr>
                <w:rFonts w:hint="eastAsia"/>
                <w:color w:val="auto"/>
                <w:szCs w:val="21"/>
              </w:rPr>
              <w:t>地表水环境满足《地表水环境质量标准》（GB3838—2002）中Ⅲ类标准要求；</w:t>
            </w:r>
            <w:r>
              <w:rPr>
                <w:color w:val="auto"/>
                <w:szCs w:val="21"/>
              </w:rPr>
              <w:t>大气环境</w:t>
            </w:r>
            <w:r>
              <w:rPr>
                <w:rFonts w:hint="eastAsia"/>
                <w:color w:val="auto"/>
                <w:szCs w:val="21"/>
              </w:rPr>
              <w:t>基本</w:t>
            </w:r>
            <w:r>
              <w:rPr>
                <w:color w:val="auto"/>
                <w:szCs w:val="21"/>
              </w:rPr>
              <w:t>满足《环境空气质量标准》</w:t>
            </w:r>
            <w:r>
              <w:rPr>
                <w:rFonts w:hint="eastAsia"/>
                <w:color w:val="auto"/>
                <w:szCs w:val="21"/>
                <w:lang w:eastAsia="zh-CN"/>
              </w:rPr>
              <w:t>（</w:t>
            </w:r>
            <w:r>
              <w:rPr>
                <w:color w:val="auto"/>
                <w:szCs w:val="21"/>
              </w:rPr>
              <w:t>GB3095-2012</w:t>
            </w:r>
            <w:r>
              <w:rPr>
                <w:rFonts w:hint="eastAsia"/>
                <w:color w:val="auto"/>
                <w:szCs w:val="21"/>
                <w:lang w:eastAsia="zh-CN"/>
              </w:rPr>
              <w:t>）</w:t>
            </w:r>
            <w:r>
              <w:rPr>
                <w:color w:val="auto"/>
                <w:szCs w:val="21"/>
              </w:rPr>
              <w:t>中的二级标准要求</w:t>
            </w:r>
            <w:r>
              <w:rPr>
                <w:rFonts w:hint="eastAsia"/>
                <w:color w:val="auto"/>
                <w:szCs w:val="21"/>
              </w:rPr>
              <w:t>；</w:t>
            </w:r>
            <w:r>
              <w:rPr>
                <w:color w:val="auto"/>
                <w:szCs w:val="21"/>
              </w:rPr>
              <w:t>项目区域声环境质量满足《声环境质量标准》</w:t>
            </w:r>
            <w:r>
              <w:rPr>
                <w:rFonts w:hint="eastAsia"/>
                <w:color w:val="auto"/>
                <w:szCs w:val="21"/>
                <w:lang w:eastAsia="zh-CN"/>
              </w:rPr>
              <w:t>（</w:t>
            </w:r>
            <w:r>
              <w:rPr>
                <w:color w:val="auto"/>
                <w:szCs w:val="21"/>
              </w:rPr>
              <w:t>GB3096-2008</w:t>
            </w:r>
            <w:r>
              <w:rPr>
                <w:rFonts w:hint="eastAsia"/>
                <w:color w:val="auto"/>
                <w:szCs w:val="21"/>
                <w:lang w:eastAsia="zh-CN"/>
              </w:rPr>
              <w:t>）</w:t>
            </w:r>
            <w:r>
              <w:rPr>
                <w:color w:val="auto"/>
                <w:szCs w:val="21"/>
              </w:rPr>
              <w:t>中3类区标准，环境容量较大，项目区域对项目无制约因素，因此项目选址较为合理。</w:t>
            </w:r>
          </w:p>
          <w:p>
            <w:pPr>
              <w:pStyle w:val="3"/>
              <w:adjustRightInd w:val="0"/>
              <w:snapToGrid w:val="0"/>
              <w:spacing w:line="360" w:lineRule="auto"/>
              <w:ind w:firstLine="420" w:firstLineChars="200"/>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（2）</w:t>
            </w:r>
            <w:r>
              <w:rPr>
                <w:rFonts w:hint="eastAsia" w:ascii="Times New Roman" w:hAnsi="Times New Roman" w:eastAsia="宋体"/>
                <w:b w:val="0"/>
                <w:bCs w:val="0"/>
                <w:color w:val="auto"/>
                <w:sz w:val="21"/>
                <w:szCs w:val="21"/>
              </w:rPr>
              <w:t>用地</w:t>
            </w:r>
            <w:r>
              <w:rPr>
                <w:rFonts w:ascii="Times New Roman" w:hAnsi="Times New Roman" w:eastAsia="宋体"/>
                <w:b w:val="0"/>
                <w:bCs w:val="0"/>
                <w:color w:val="auto"/>
                <w:sz w:val="21"/>
                <w:szCs w:val="21"/>
              </w:rPr>
              <w:t>符合性分析</w:t>
            </w:r>
          </w:p>
          <w:p>
            <w:pPr>
              <w:pStyle w:val="126"/>
              <w:ind w:firstLine="420"/>
              <w:rPr>
                <w:rFonts w:cs="Times New Roman"/>
                <w:color w:val="auto"/>
                <w:sz w:val="21"/>
                <w:szCs w:val="21"/>
              </w:rPr>
            </w:pPr>
            <w:r>
              <w:rPr>
                <w:rFonts w:cs="Times New Roman"/>
                <w:color w:val="auto"/>
                <w:sz w:val="21"/>
                <w:szCs w:val="21"/>
              </w:rPr>
              <w:t>本项目</w:t>
            </w:r>
            <w:r>
              <w:rPr>
                <w:rFonts w:hint="eastAsia" w:cs="Times New Roman"/>
                <w:color w:val="auto"/>
                <w:sz w:val="21"/>
                <w:szCs w:val="21"/>
              </w:rPr>
              <w:t>位于</w:t>
            </w:r>
            <w:r>
              <w:rPr>
                <w:rFonts w:hint="eastAsia" w:ascii="Times New Roman" w:hAnsi="Times New Roman" w:eastAsia="宋体" w:cs="Times New Roman"/>
                <w:color w:val="auto"/>
                <w:sz w:val="21"/>
                <w:szCs w:val="21"/>
                <w:lang w:val="en-US" w:eastAsia="zh-CN"/>
              </w:rPr>
              <w:t>安徽省淮南市田家庵区安成镇安成经济开发区</w:t>
            </w:r>
            <w:r>
              <w:rPr>
                <w:rFonts w:cs="Times New Roman"/>
                <w:color w:val="auto"/>
                <w:sz w:val="21"/>
                <w:szCs w:val="21"/>
              </w:rPr>
              <w:t>，</w:t>
            </w:r>
            <w:r>
              <w:rPr>
                <w:rFonts w:hint="eastAsia" w:cs="Times New Roman"/>
                <w:color w:val="auto"/>
                <w:sz w:val="21"/>
                <w:szCs w:val="21"/>
                <w:lang w:val="en-US" w:eastAsia="zh-CN"/>
              </w:rPr>
              <w:t>占地类型属于二类</w:t>
            </w:r>
            <w:r>
              <w:rPr>
                <w:rFonts w:hint="eastAsia" w:ascii="Times New Roman" w:hAnsi="Times New Roman" w:eastAsia="宋体" w:cs="Times New Roman"/>
                <w:color w:val="auto"/>
                <w:sz w:val="21"/>
                <w:szCs w:val="21"/>
              </w:rPr>
              <w:t>工业用地</w:t>
            </w:r>
            <w:r>
              <w:rPr>
                <w:color w:val="auto"/>
                <w:szCs w:val="21"/>
              </w:rPr>
              <w:t>，</w:t>
            </w:r>
            <w:r>
              <w:rPr>
                <w:rFonts w:cs="Times New Roman"/>
                <w:color w:val="auto"/>
                <w:sz w:val="21"/>
                <w:szCs w:val="21"/>
              </w:rPr>
              <w:t>建设内容与用地性质相符。</w:t>
            </w:r>
          </w:p>
          <w:p>
            <w:pPr>
              <w:spacing w:line="360" w:lineRule="auto"/>
              <w:ind w:firstLine="525" w:firstLineChars="250"/>
              <w:jc w:val="left"/>
              <w:rPr>
                <w:color w:val="auto"/>
                <w:szCs w:val="21"/>
              </w:rPr>
            </w:pPr>
            <w:r>
              <w:rPr>
                <w:color w:val="auto"/>
                <w:szCs w:val="21"/>
              </w:rPr>
              <w:t>（3）环境相容性分析</w:t>
            </w:r>
          </w:p>
          <w:p>
            <w:pPr>
              <w:spacing w:line="360" w:lineRule="auto"/>
              <w:ind w:firstLine="535" w:firstLineChars="255"/>
              <w:rPr>
                <w:color w:val="auto"/>
                <w:szCs w:val="21"/>
              </w:rPr>
            </w:pPr>
            <w:r>
              <w:rPr>
                <w:color w:val="auto"/>
                <w:szCs w:val="21"/>
              </w:rPr>
              <w:t>本项目</w:t>
            </w:r>
            <w:r>
              <w:rPr>
                <w:rFonts w:hint="eastAsia"/>
                <w:color w:val="auto"/>
                <w:szCs w:val="21"/>
                <w:lang w:eastAsia="zh-CN"/>
              </w:rPr>
              <w:t>位于</w:t>
            </w:r>
            <w:r>
              <w:rPr>
                <w:rFonts w:hint="eastAsia" w:ascii="Times New Roman" w:hAnsi="Times New Roman" w:eastAsia="宋体" w:cs="Times New Roman"/>
                <w:color w:val="auto"/>
                <w:sz w:val="21"/>
                <w:szCs w:val="21"/>
                <w:lang w:val="en-US" w:eastAsia="zh-CN"/>
              </w:rPr>
              <w:t>安徽省淮南市田家庵区安成镇安成经济开发区</w:t>
            </w:r>
            <w:r>
              <w:rPr>
                <w:color w:val="auto"/>
                <w:szCs w:val="21"/>
              </w:rPr>
              <w:t>，周边无特殊保护文物古迹、自然保护区和特殊环境制约因素。</w:t>
            </w:r>
            <w:r>
              <w:rPr>
                <w:rFonts w:hint="eastAsia"/>
                <w:color w:val="auto"/>
                <w:szCs w:val="21"/>
              </w:rPr>
              <w:t>企业周边均为工业生产企业，本项目厂界外500m范围内存在</w:t>
            </w:r>
            <w:r>
              <w:rPr>
                <w:rFonts w:hint="eastAsia"/>
                <w:color w:val="auto"/>
                <w:szCs w:val="21"/>
                <w:lang w:val="en-US" w:eastAsia="zh-CN"/>
              </w:rPr>
              <w:t>1</w:t>
            </w:r>
            <w:r>
              <w:rPr>
                <w:rFonts w:hint="eastAsia"/>
                <w:color w:val="auto"/>
                <w:szCs w:val="21"/>
              </w:rPr>
              <w:t>处周边居民点（</w:t>
            </w:r>
            <w:r>
              <w:rPr>
                <w:rFonts w:hint="eastAsia"/>
                <w:color w:val="auto"/>
                <w:szCs w:val="21"/>
                <w:lang w:val="en-US" w:eastAsia="zh-CN"/>
              </w:rPr>
              <w:t>下陈新村小区</w:t>
            </w:r>
            <w:r>
              <w:rPr>
                <w:rFonts w:hint="eastAsia"/>
                <w:color w:val="auto"/>
                <w:szCs w:val="21"/>
              </w:rPr>
              <w:t>：</w:t>
            </w:r>
            <w:r>
              <w:rPr>
                <w:rFonts w:hint="eastAsia"/>
                <w:color w:val="auto"/>
                <w:szCs w:val="21"/>
                <w:lang w:val="en-US" w:eastAsia="zh-CN"/>
              </w:rPr>
              <w:t>西南</w:t>
            </w:r>
            <w:r>
              <w:rPr>
                <w:rFonts w:hint="eastAsia"/>
                <w:color w:val="auto"/>
                <w:szCs w:val="21"/>
              </w:rPr>
              <w:t>方向，距离</w:t>
            </w:r>
            <w:r>
              <w:rPr>
                <w:rFonts w:hint="eastAsia"/>
                <w:color w:val="auto"/>
                <w:szCs w:val="21"/>
                <w:lang w:val="en-US" w:eastAsia="zh-CN"/>
              </w:rPr>
              <w:t>360</w:t>
            </w:r>
            <w:r>
              <w:rPr>
                <w:rFonts w:hint="eastAsia"/>
                <w:color w:val="auto"/>
                <w:szCs w:val="21"/>
              </w:rPr>
              <w:t>m）位于主导风侧风向，本项目</w:t>
            </w:r>
            <w:r>
              <w:rPr>
                <w:rFonts w:hint="eastAsia"/>
                <w:color w:val="auto"/>
                <w:szCs w:val="21"/>
                <w:lang w:val="en-US" w:eastAsia="zh-CN"/>
              </w:rPr>
              <w:t>生产环节主要涉及PP胶带热熔焊接、纯水制备、机械设备运转、金属板材湿切割等，PP胶带属于本体型热熔胶，符合低挥发性胶要求，热熔产生有机废气排放量较小，纯水制备产生浓水及生活污水经污水管网进入开发区内污水处理厂，金属切割产生金属边角料收集外售，金属碎屑经过沥干后外售，废乳化液收集后暂存于危废间，定期交由资质单位处置，机械运转产生噪声采取选用低噪声设备、厂房隔声、基础减震等措施，</w:t>
            </w:r>
            <w:r>
              <w:rPr>
                <w:rFonts w:hint="eastAsia" w:ascii="宋体" w:hAnsi="宋体" w:cs="宋体"/>
                <w:color w:val="auto"/>
                <w:szCs w:val="21"/>
              </w:rPr>
              <w:t>通过以上措施后，拟建项目产生的固体废物对周围环境影响较小。</w:t>
            </w:r>
            <w:r>
              <w:rPr>
                <w:color w:val="auto"/>
                <w:szCs w:val="21"/>
              </w:rPr>
              <w:t>周边环境见附图</w:t>
            </w:r>
            <w:r>
              <w:rPr>
                <w:rFonts w:hint="eastAsia"/>
                <w:color w:val="auto"/>
                <w:szCs w:val="21"/>
              </w:rPr>
              <w:t>2</w:t>
            </w:r>
            <w:r>
              <w:rPr>
                <w:color w:val="auto"/>
                <w:szCs w:val="21"/>
              </w:rPr>
              <w:t>。因此，项目的建设与周边环境相容。</w:t>
            </w:r>
          </w:p>
          <w:p>
            <w:pPr>
              <w:spacing w:line="360" w:lineRule="auto"/>
              <w:ind w:firstLine="525" w:firstLineChars="250"/>
              <w:jc w:val="left"/>
              <w:rPr>
                <w:color w:val="auto"/>
                <w:szCs w:val="21"/>
              </w:rPr>
            </w:pPr>
            <w:r>
              <w:rPr>
                <w:color w:val="auto"/>
                <w:szCs w:val="21"/>
              </w:rPr>
              <w:t>综上所述，从规划符合性、用地合法性、环境相容性等方面考虑，本项目建设选址是可行的。</w:t>
            </w:r>
          </w:p>
          <w:p>
            <w:pPr>
              <w:autoSpaceDE w:val="0"/>
              <w:autoSpaceDN w:val="0"/>
              <w:adjustRightInd w:val="0"/>
              <w:snapToGrid w:val="0"/>
              <w:spacing w:line="360" w:lineRule="auto"/>
              <w:rPr>
                <w:rFonts w:hint="eastAsia"/>
                <w:b/>
                <w:bCs/>
                <w:color w:val="auto"/>
                <w:kern w:val="0"/>
                <w:szCs w:val="21"/>
              </w:rPr>
            </w:pPr>
            <w:r>
              <w:rPr>
                <w:rFonts w:hint="eastAsia"/>
                <w:b/>
                <w:bCs/>
                <w:color w:val="auto"/>
                <w:kern w:val="0"/>
                <w:szCs w:val="21"/>
              </w:rPr>
              <w:t>2、产业政策符合性分析</w:t>
            </w:r>
          </w:p>
          <w:p>
            <w:pPr>
              <w:spacing w:line="360" w:lineRule="auto"/>
              <w:ind w:firstLine="420" w:firstLineChars="200"/>
              <w:rPr>
                <w:rFonts w:hint="eastAsia"/>
                <w:color w:val="auto"/>
                <w:szCs w:val="21"/>
                <w:lang w:eastAsia="zh-CN"/>
              </w:rPr>
            </w:pPr>
            <w:r>
              <w:rPr>
                <w:color w:val="auto"/>
                <w:szCs w:val="21"/>
              </w:rPr>
              <w:t>根据《产业结构调整指导目录（20</w:t>
            </w:r>
            <w:r>
              <w:rPr>
                <w:rFonts w:hint="eastAsia"/>
                <w:color w:val="auto"/>
                <w:szCs w:val="21"/>
              </w:rPr>
              <w:t>24</w:t>
            </w:r>
            <w:r>
              <w:rPr>
                <w:color w:val="auto"/>
                <w:szCs w:val="21"/>
              </w:rPr>
              <w:t>年本）》可知，本项目属于</w:t>
            </w:r>
            <w:r>
              <w:rPr>
                <w:rFonts w:hint="eastAsia"/>
                <w:color w:val="auto"/>
                <w:szCs w:val="21"/>
              </w:rPr>
              <w:t>鼓励类</w:t>
            </w:r>
            <w:r>
              <w:rPr>
                <w:color w:val="auto"/>
                <w:szCs w:val="21"/>
              </w:rPr>
              <w:t>项目，</w:t>
            </w:r>
            <w:r>
              <w:rPr>
                <w:rFonts w:hint="eastAsia"/>
                <w:color w:val="auto"/>
                <w:szCs w:val="21"/>
              </w:rPr>
              <w:t>本项目于202</w:t>
            </w:r>
            <w:r>
              <w:rPr>
                <w:rFonts w:hint="eastAsia"/>
                <w:color w:val="auto"/>
                <w:szCs w:val="21"/>
                <w:lang w:val="en-US" w:eastAsia="zh-CN"/>
              </w:rPr>
              <w:t>3</w:t>
            </w:r>
            <w:r>
              <w:rPr>
                <w:rFonts w:hint="eastAsia"/>
                <w:color w:val="auto"/>
                <w:szCs w:val="21"/>
              </w:rPr>
              <w:t>年</w:t>
            </w:r>
            <w:r>
              <w:rPr>
                <w:rFonts w:hint="eastAsia"/>
                <w:color w:val="auto"/>
                <w:szCs w:val="21"/>
                <w:lang w:val="en-US" w:eastAsia="zh-CN"/>
              </w:rPr>
              <w:t>4</w:t>
            </w:r>
            <w:r>
              <w:rPr>
                <w:rFonts w:hint="eastAsia"/>
                <w:color w:val="auto"/>
                <w:szCs w:val="21"/>
              </w:rPr>
              <w:t>月28日</w:t>
            </w:r>
            <w:r>
              <w:rPr>
                <w:rFonts w:hint="eastAsia"/>
                <w:color w:val="auto"/>
                <w:szCs w:val="21"/>
                <w:lang w:val="en-US" w:eastAsia="zh-CN"/>
              </w:rPr>
              <w:t>田家庵区发展改革委</w:t>
            </w:r>
            <w:r>
              <w:rPr>
                <w:color w:val="auto"/>
                <w:szCs w:val="21"/>
              </w:rPr>
              <w:t>通过了</w:t>
            </w:r>
            <w:r>
              <w:rPr>
                <w:rFonts w:hint="eastAsia"/>
                <w:color w:val="auto"/>
                <w:szCs w:val="21"/>
              </w:rPr>
              <w:t>本项目备案，项目代码为2304-340403-04-05-570901</w:t>
            </w:r>
            <w:r>
              <w:rPr>
                <w:rFonts w:hint="eastAsia"/>
                <w:color w:val="auto"/>
                <w:szCs w:val="21"/>
                <w:lang w:eastAsia="zh-CN"/>
              </w:rPr>
              <w:t>。</w:t>
            </w:r>
          </w:p>
          <w:p>
            <w:pPr>
              <w:spacing w:line="360" w:lineRule="auto"/>
              <w:ind w:firstLine="420" w:firstLineChars="200"/>
              <w:rPr>
                <w:color w:val="auto"/>
                <w:szCs w:val="21"/>
              </w:rPr>
            </w:pPr>
            <w:r>
              <w:rPr>
                <w:color w:val="auto"/>
                <w:szCs w:val="21"/>
              </w:rPr>
              <w:t>综上，本项目符合国家及地方产业政策。</w:t>
            </w:r>
          </w:p>
          <w:p>
            <w:pPr>
              <w:adjustRightInd w:val="0"/>
              <w:snapToGrid w:val="0"/>
              <w:spacing w:line="360" w:lineRule="auto"/>
              <w:rPr>
                <w:b/>
                <w:bCs/>
                <w:color w:val="auto"/>
                <w:szCs w:val="21"/>
              </w:rPr>
            </w:pPr>
            <w:r>
              <w:rPr>
                <w:rFonts w:hint="eastAsia"/>
                <w:color w:val="auto"/>
                <w:sz w:val="24"/>
                <w:szCs w:val="32"/>
              </w:rPr>
              <w:t>3</w:t>
            </w:r>
            <w:r>
              <w:rPr>
                <w:color w:val="auto"/>
                <w:sz w:val="24"/>
                <w:szCs w:val="32"/>
              </w:rPr>
              <w:t>、与</w:t>
            </w:r>
            <w:r>
              <w:rPr>
                <w:b/>
                <w:bCs/>
                <w:color w:val="auto"/>
                <w:szCs w:val="21"/>
              </w:rPr>
              <w:t>《安徽省</w:t>
            </w:r>
            <w:r>
              <w:rPr>
                <w:rFonts w:hint="eastAsia"/>
                <w:b/>
                <w:bCs/>
                <w:color w:val="auto"/>
                <w:szCs w:val="21"/>
              </w:rPr>
              <w:t>2022年大气污染防治工作要点</w:t>
            </w:r>
            <w:r>
              <w:rPr>
                <w:b/>
                <w:bCs/>
                <w:color w:val="auto"/>
                <w:szCs w:val="21"/>
              </w:rPr>
              <w:t>》</w:t>
            </w:r>
            <w:r>
              <w:rPr>
                <w:rFonts w:hint="eastAsia"/>
                <w:b/>
                <w:bCs/>
                <w:color w:val="auto"/>
                <w:szCs w:val="21"/>
              </w:rPr>
              <w:t>（安环委办〔2022〕37号）</w:t>
            </w:r>
            <w:r>
              <w:rPr>
                <w:b/>
                <w:bCs/>
                <w:color w:val="auto"/>
                <w:szCs w:val="21"/>
              </w:rPr>
              <w:t>相符性分析</w:t>
            </w:r>
          </w:p>
          <w:p>
            <w:pPr>
              <w:spacing w:line="360" w:lineRule="auto"/>
              <w:jc w:val="center"/>
              <w:rPr>
                <w:b/>
                <w:color w:val="auto"/>
                <w:szCs w:val="21"/>
              </w:rPr>
            </w:pPr>
            <w:r>
              <w:rPr>
                <w:b/>
                <w:color w:val="auto"/>
                <w:szCs w:val="21"/>
              </w:rPr>
              <w:t>表</w:t>
            </w:r>
            <w:r>
              <w:rPr>
                <w:rFonts w:hint="eastAsia"/>
                <w:b/>
                <w:color w:val="auto"/>
                <w:szCs w:val="21"/>
              </w:rPr>
              <w:t>1-</w:t>
            </w:r>
            <w:r>
              <w:rPr>
                <w:rFonts w:hint="eastAsia"/>
                <w:b/>
                <w:color w:val="auto"/>
                <w:szCs w:val="21"/>
                <w:lang w:val="en-US" w:eastAsia="zh-CN"/>
              </w:rPr>
              <w:t>3</w:t>
            </w:r>
            <w:r>
              <w:rPr>
                <w:b/>
                <w:color w:val="auto"/>
                <w:szCs w:val="21"/>
              </w:rPr>
              <w:t xml:space="preserve"> </w:t>
            </w:r>
            <w:r>
              <w:rPr>
                <w:rFonts w:hint="eastAsia"/>
                <w:b/>
                <w:color w:val="auto"/>
                <w:szCs w:val="21"/>
                <w:lang w:val="en-US" w:eastAsia="zh-CN"/>
              </w:rPr>
              <w:t xml:space="preserve"> </w:t>
            </w:r>
            <w:r>
              <w:rPr>
                <w:rFonts w:hint="eastAsia"/>
                <w:b/>
                <w:color w:val="auto"/>
                <w:szCs w:val="21"/>
              </w:rPr>
              <w:t>项目与</w:t>
            </w:r>
            <w:r>
              <w:rPr>
                <w:rFonts w:hint="eastAsia"/>
                <w:b/>
                <w:bCs/>
                <w:color w:val="auto"/>
                <w:szCs w:val="21"/>
              </w:rPr>
              <w:t>安环委办〔2022〕37号</w:t>
            </w:r>
            <w:r>
              <w:rPr>
                <w:rFonts w:hint="eastAsia"/>
                <w:b/>
                <w:color w:val="auto"/>
                <w:szCs w:val="21"/>
              </w:rPr>
              <w:t>文件</w:t>
            </w:r>
            <w:r>
              <w:rPr>
                <w:b/>
                <w:color w:val="auto"/>
                <w:szCs w:val="21"/>
              </w:rPr>
              <w:t>符合性分析</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6"/>
              <w:gridCol w:w="1764"/>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6" w:type="dxa"/>
                  <w:noWrap w:val="0"/>
                  <w:vAlign w:val="center"/>
                </w:tcPr>
                <w:p>
                  <w:pPr>
                    <w:snapToGrid w:val="0"/>
                    <w:spacing w:line="240" w:lineRule="atLeast"/>
                    <w:jc w:val="center"/>
                    <w:rPr>
                      <w:bCs/>
                      <w:color w:val="auto"/>
                      <w:sz w:val="18"/>
                      <w:szCs w:val="18"/>
                    </w:rPr>
                  </w:pPr>
                  <w:r>
                    <w:rPr>
                      <w:bCs/>
                      <w:color w:val="auto"/>
                      <w:sz w:val="18"/>
                      <w:szCs w:val="18"/>
                    </w:rPr>
                    <w:t>方案要求</w:t>
                  </w:r>
                </w:p>
              </w:tc>
              <w:tc>
                <w:tcPr>
                  <w:tcW w:w="1764" w:type="dxa"/>
                  <w:noWrap w:val="0"/>
                  <w:vAlign w:val="center"/>
                </w:tcPr>
                <w:p>
                  <w:pPr>
                    <w:snapToGrid w:val="0"/>
                    <w:spacing w:line="240" w:lineRule="atLeast"/>
                    <w:jc w:val="center"/>
                    <w:rPr>
                      <w:bCs/>
                      <w:color w:val="auto"/>
                      <w:sz w:val="18"/>
                      <w:szCs w:val="18"/>
                    </w:rPr>
                  </w:pPr>
                  <w:r>
                    <w:rPr>
                      <w:bCs/>
                      <w:color w:val="auto"/>
                      <w:sz w:val="18"/>
                      <w:szCs w:val="18"/>
                    </w:rPr>
                    <w:t>本项目建设情况</w:t>
                  </w:r>
                </w:p>
              </w:tc>
              <w:tc>
                <w:tcPr>
                  <w:tcW w:w="769" w:type="dxa"/>
                  <w:noWrap w:val="0"/>
                  <w:vAlign w:val="center"/>
                </w:tcPr>
                <w:p>
                  <w:pPr>
                    <w:snapToGrid w:val="0"/>
                    <w:spacing w:line="240" w:lineRule="atLeast"/>
                    <w:jc w:val="center"/>
                    <w:rPr>
                      <w:bCs/>
                      <w:color w:val="auto"/>
                      <w:sz w:val="18"/>
                      <w:szCs w:val="18"/>
                    </w:rPr>
                  </w:pPr>
                  <w:r>
                    <w:rPr>
                      <w:bCs/>
                      <w:color w:val="auto"/>
                      <w:sz w:val="18"/>
                      <w:szCs w:val="18"/>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6" w:type="dxa"/>
                  <w:noWrap w:val="0"/>
                  <w:vAlign w:val="center"/>
                </w:tcPr>
                <w:p>
                  <w:pPr>
                    <w:snapToGrid w:val="0"/>
                    <w:spacing w:line="240" w:lineRule="atLeast"/>
                    <w:jc w:val="center"/>
                    <w:rPr>
                      <w:bCs/>
                      <w:color w:val="auto"/>
                      <w:sz w:val="18"/>
                      <w:szCs w:val="18"/>
                    </w:rPr>
                  </w:pPr>
                  <w:r>
                    <w:rPr>
                      <w:rFonts w:hint="eastAsia"/>
                      <w:bCs/>
                      <w:color w:val="auto"/>
                      <w:sz w:val="18"/>
                      <w:szCs w:val="18"/>
                      <w:lang w:val="en"/>
                    </w:rPr>
                    <w:t>加强煤炭消费管理。严控新增耗煤项目，大气污染防治重点区域内新建、改建、扩建用煤项目的严格实施煤炭减量替代。加强商品煤质量监督和管理，确保符合国家和地方标准要求。推进煤炭清洁高效利用，鼓励和支持洁净煤技术的开发和推广。禁止新建企业自备燃煤设施，加快供热管网建设，充分释放燃煤电厂、工业余热等供热能力。</w:t>
                  </w:r>
                </w:p>
              </w:tc>
              <w:tc>
                <w:tcPr>
                  <w:tcW w:w="1764" w:type="dxa"/>
                  <w:noWrap w:val="0"/>
                  <w:vAlign w:val="center"/>
                </w:tcPr>
                <w:p>
                  <w:pPr>
                    <w:snapToGrid w:val="0"/>
                    <w:spacing w:line="240" w:lineRule="atLeast"/>
                    <w:jc w:val="center"/>
                    <w:rPr>
                      <w:rFonts w:hint="eastAsia"/>
                      <w:bCs/>
                      <w:color w:val="auto"/>
                      <w:sz w:val="18"/>
                      <w:szCs w:val="18"/>
                      <w:lang w:eastAsia="zh-CN"/>
                    </w:rPr>
                  </w:pPr>
                  <w:r>
                    <w:rPr>
                      <w:rFonts w:hint="eastAsia"/>
                      <w:bCs/>
                      <w:color w:val="auto"/>
                      <w:sz w:val="18"/>
                      <w:szCs w:val="18"/>
                    </w:rPr>
                    <w:t>项目生产所需热能采用电能，不建设燃煤设施。</w:t>
                  </w:r>
                </w:p>
              </w:tc>
              <w:tc>
                <w:tcPr>
                  <w:tcW w:w="769" w:type="dxa"/>
                  <w:noWrap w:val="0"/>
                  <w:vAlign w:val="center"/>
                </w:tcPr>
                <w:p>
                  <w:pPr>
                    <w:snapToGrid w:val="0"/>
                    <w:spacing w:line="240" w:lineRule="atLeast"/>
                    <w:jc w:val="center"/>
                    <w:rPr>
                      <w:bCs/>
                      <w:color w:val="auto"/>
                      <w:sz w:val="18"/>
                      <w:szCs w:val="18"/>
                    </w:rPr>
                  </w:pPr>
                  <w:r>
                    <w:rPr>
                      <w:bCs/>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6" w:type="dxa"/>
                  <w:noWrap w:val="0"/>
                  <w:vAlign w:val="center"/>
                </w:tcPr>
                <w:p>
                  <w:pPr>
                    <w:snapToGrid w:val="0"/>
                    <w:spacing w:line="240" w:lineRule="atLeast"/>
                    <w:jc w:val="center"/>
                    <w:rPr>
                      <w:bCs/>
                      <w:color w:val="auto"/>
                      <w:sz w:val="18"/>
                      <w:szCs w:val="18"/>
                      <w:lang w:val="en"/>
                    </w:rPr>
                  </w:pPr>
                  <w:r>
                    <w:rPr>
                      <w:rFonts w:hint="eastAsia"/>
                      <w:bCs/>
                      <w:color w:val="auto"/>
                      <w:sz w:val="18"/>
                      <w:szCs w:val="18"/>
                      <w:lang w:val="en"/>
                    </w:rPr>
                    <w:t>积极发展清洁能源。坚持实施</w:t>
                  </w:r>
                  <w:r>
                    <w:rPr>
                      <w:rFonts w:hint="eastAsia"/>
                      <w:bCs/>
                      <w:color w:val="auto"/>
                      <w:sz w:val="18"/>
                      <w:szCs w:val="18"/>
                      <w:lang w:val="en" w:eastAsia="zh-CN"/>
                    </w:rPr>
                    <w:t>“</w:t>
                  </w:r>
                  <w:r>
                    <w:rPr>
                      <w:rFonts w:hint="eastAsia"/>
                      <w:bCs/>
                      <w:color w:val="auto"/>
                      <w:sz w:val="18"/>
                      <w:szCs w:val="18"/>
                      <w:lang w:val="en"/>
                    </w:rPr>
                    <w:t>增气减煤</w:t>
                  </w:r>
                  <w:r>
                    <w:rPr>
                      <w:rFonts w:hint="eastAsia"/>
                      <w:bCs/>
                      <w:color w:val="auto"/>
                      <w:sz w:val="18"/>
                      <w:szCs w:val="18"/>
                      <w:lang w:val="en" w:eastAsia="zh-CN"/>
                    </w:rPr>
                    <w:t>”</w:t>
                  </w:r>
                  <w:r>
                    <w:rPr>
                      <w:rFonts w:hint="eastAsia"/>
                      <w:bCs/>
                      <w:color w:val="auto"/>
                      <w:sz w:val="18"/>
                      <w:szCs w:val="18"/>
                      <w:lang w:val="en"/>
                    </w:rPr>
                    <w:t>，提升供应侧非化石能源比重，提高消费侧电力比重，增加天然气供应量、优化天然气使用，2022年底前，新增电能替代电量60亿千瓦时，天然气供气规模达76亿立方米。持续推进以煤为燃料的工业炉窑清洁燃料替代改造，提高以电代煤、以气代煤比例。推进现有机组实施清洁能源替代、功能转换，积极争取</w:t>
                  </w:r>
                  <w:r>
                    <w:rPr>
                      <w:rFonts w:hint="eastAsia"/>
                      <w:bCs/>
                      <w:color w:val="auto"/>
                      <w:sz w:val="18"/>
                      <w:szCs w:val="18"/>
                      <w:lang w:val="en" w:eastAsia="zh-CN"/>
                    </w:rPr>
                    <w:t>“</w:t>
                  </w:r>
                  <w:r>
                    <w:rPr>
                      <w:rFonts w:hint="eastAsia"/>
                      <w:bCs/>
                      <w:color w:val="auto"/>
                      <w:sz w:val="18"/>
                      <w:szCs w:val="18"/>
                      <w:lang w:val="en"/>
                    </w:rPr>
                    <w:t>外电入皖</w:t>
                  </w:r>
                  <w:r>
                    <w:rPr>
                      <w:rFonts w:hint="eastAsia"/>
                      <w:bCs/>
                      <w:color w:val="auto"/>
                      <w:sz w:val="18"/>
                      <w:szCs w:val="18"/>
                      <w:lang w:val="en" w:eastAsia="zh-CN"/>
                    </w:rPr>
                    <w:t>”</w:t>
                  </w:r>
                  <w:r>
                    <w:rPr>
                      <w:rFonts w:hint="eastAsia"/>
                      <w:bCs/>
                      <w:color w:val="auto"/>
                      <w:sz w:val="18"/>
                      <w:szCs w:val="18"/>
                      <w:lang w:val="en"/>
                    </w:rPr>
                    <w:t>。实施可再生能源替代行动，加快建设新型能源供应系统，因地制宜开发风电与光伏发电，鼓励建设风能、太阳能、生物质能等新能源项目，推进生物燃料乙醇项目改造提升。</w:t>
                  </w:r>
                </w:p>
              </w:tc>
              <w:tc>
                <w:tcPr>
                  <w:tcW w:w="1764" w:type="dxa"/>
                  <w:noWrap w:val="0"/>
                  <w:vAlign w:val="center"/>
                </w:tcPr>
                <w:p>
                  <w:pPr>
                    <w:snapToGrid w:val="0"/>
                    <w:spacing w:line="240" w:lineRule="atLeast"/>
                    <w:jc w:val="center"/>
                    <w:rPr>
                      <w:rFonts w:hint="eastAsia"/>
                      <w:bCs/>
                      <w:color w:val="auto"/>
                      <w:sz w:val="18"/>
                      <w:szCs w:val="18"/>
                      <w:lang w:val="en"/>
                    </w:rPr>
                  </w:pPr>
                  <w:r>
                    <w:rPr>
                      <w:rFonts w:hint="eastAsia"/>
                      <w:bCs/>
                      <w:color w:val="auto"/>
                      <w:sz w:val="18"/>
                      <w:szCs w:val="18"/>
                      <w:lang w:val="en"/>
                    </w:rPr>
                    <w:t>项目各生产环节所采用的能源均为电能，不使用煤。</w:t>
                  </w:r>
                </w:p>
              </w:tc>
              <w:tc>
                <w:tcPr>
                  <w:tcW w:w="769" w:type="dxa"/>
                  <w:noWrap w:val="0"/>
                  <w:vAlign w:val="center"/>
                </w:tcPr>
                <w:p>
                  <w:pPr>
                    <w:snapToGrid w:val="0"/>
                    <w:spacing w:line="240" w:lineRule="atLeast"/>
                    <w:jc w:val="center"/>
                    <w:rPr>
                      <w:bCs/>
                      <w:color w:val="auto"/>
                      <w:sz w:val="18"/>
                      <w:szCs w:val="18"/>
                    </w:rPr>
                  </w:pPr>
                  <w:r>
                    <w:rPr>
                      <w:bCs/>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6" w:type="dxa"/>
                  <w:noWrap w:val="0"/>
                  <w:vAlign w:val="center"/>
                </w:tcPr>
                <w:p>
                  <w:pPr>
                    <w:snapToGrid w:val="0"/>
                    <w:spacing w:line="240" w:lineRule="atLeast"/>
                    <w:jc w:val="center"/>
                    <w:rPr>
                      <w:rFonts w:hint="eastAsia"/>
                      <w:bCs/>
                      <w:color w:val="auto"/>
                      <w:sz w:val="18"/>
                      <w:szCs w:val="18"/>
                      <w:lang w:val="en"/>
                    </w:rPr>
                  </w:pPr>
                  <w:r>
                    <w:rPr>
                      <w:rFonts w:hint="eastAsia"/>
                      <w:bCs/>
                      <w:color w:val="auto"/>
                      <w:sz w:val="18"/>
                      <w:szCs w:val="18"/>
                      <w:lang w:val="en"/>
                    </w:rPr>
                    <w:t>加快产业结构转型升级。严格执行《产业结构调整指导目录》《产业发展与转移指导目录》，落实国家产业结构调整指导目录中碳排放控制要求。有序开展产业承接和重点行业省内调整优化，高水平打造皖北承接产业转移集聚区。全面排查</w:t>
                  </w:r>
                  <w:r>
                    <w:rPr>
                      <w:rFonts w:hint="eastAsia"/>
                      <w:bCs/>
                      <w:color w:val="auto"/>
                      <w:sz w:val="18"/>
                      <w:szCs w:val="18"/>
                      <w:lang w:val="en" w:eastAsia="zh-CN"/>
                    </w:rPr>
                    <w:t>“</w:t>
                  </w:r>
                  <w:r>
                    <w:rPr>
                      <w:rFonts w:hint="eastAsia"/>
                      <w:bCs/>
                      <w:color w:val="auto"/>
                      <w:sz w:val="18"/>
                      <w:szCs w:val="18"/>
                      <w:lang w:val="en"/>
                    </w:rPr>
                    <w:t>两高</w:t>
                  </w:r>
                  <w:r>
                    <w:rPr>
                      <w:rFonts w:hint="eastAsia"/>
                      <w:bCs/>
                      <w:color w:val="auto"/>
                      <w:sz w:val="18"/>
                      <w:szCs w:val="18"/>
                      <w:lang w:val="en" w:eastAsia="zh-CN"/>
                    </w:rPr>
                    <w:t>”</w:t>
                  </w:r>
                  <w:r>
                    <w:rPr>
                      <w:rFonts w:hint="eastAsia"/>
                      <w:bCs/>
                      <w:color w:val="auto"/>
                      <w:sz w:val="18"/>
                      <w:szCs w:val="18"/>
                      <w:lang w:val="en"/>
                    </w:rPr>
                    <w:t>项目，实施清单管理、分类处置、动态监控，对不符合规定的坚决停批停建，科学稳妥推进符合要求的拟建项目。依法依规淘汰落后产能和化解过剩产能，严禁新增钢铁、焦化、水泥熟料、平板玻璃、电解铝等产能。</w:t>
                  </w:r>
                </w:p>
              </w:tc>
              <w:tc>
                <w:tcPr>
                  <w:tcW w:w="1764" w:type="dxa"/>
                  <w:noWrap w:val="0"/>
                  <w:vAlign w:val="center"/>
                </w:tcPr>
                <w:p>
                  <w:pPr>
                    <w:snapToGrid w:val="0"/>
                    <w:spacing w:line="240" w:lineRule="atLeast"/>
                    <w:jc w:val="center"/>
                    <w:rPr>
                      <w:rFonts w:hint="eastAsia"/>
                      <w:bCs/>
                      <w:color w:val="auto"/>
                      <w:sz w:val="18"/>
                      <w:szCs w:val="18"/>
                      <w:lang w:val="en"/>
                    </w:rPr>
                  </w:pPr>
                  <w:r>
                    <w:rPr>
                      <w:rFonts w:hint="eastAsia"/>
                      <w:bCs/>
                      <w:color w:val="auto"/>
                      <w:sz w:val="18"/>
                      <w:szCs w:val="18"/>
                      <w:lang w:val="en"/>
                    </w:rPr>
                    <w:t>根据《产业结构调整指导目录（2024年版）》，本项目属于鼓励类。对照《安徽省</w:t>
                  </w:r>
                  <w:r>
                    <w:rPr>
                      <w:rFonts w:hint="eastAsia"/>
                      <w:bCs/>
                      <w:color w:val="auto"/>
                      <w:sz w:val="18"/>
                      <w:szCs w:val="18"/>
                      <w:lang w:val="en" w:eastAsia="zh-CN"/>
                    </w:rPr>
                    <w:t>“</w:t>
                  </w:r>
                  <w:r>
                    <w:rPr>
                      <w:rFonts w:hint="eastAsia"/>
                      <w:bCs/>
                      <w:color w:val="auto"/>
                      <w:sz w:val="18"/>
                      <w:szCs w:val="18"/>
                      <w:lang w:val="en"/>
                    </w:rPr>
                    <w:t>两高</w:t>
                  </w:r>
                  <w:r>
                    <w:rPr>
                      <w:rFonts w:hint="eastAsia"/>
                      <w:bCs/>
                      <w:color w:val="auto"/>
                      <w:sz w:val="18"/>
                      <w:szCs w:val="18"/>
                      <w:lang w:val="en" w:eastAsia="zh-CN"/>
                    </w:rPr>
                    <w:t>”</w:t>
                  </w:r>
                  <w:r>
                    <w:rPr>
                      <w:rFonts w:hint="eastAsia"/>
                      <w:bCs/>
                      <w:color w:val="auto"/>
                      <w:sz w:val="18"/>
                      <w:szCs w:val="18"/>
                      <w:lang w:val="en"/>
                    </w:rPr>
                    <w:t>项目管理目录（试行）》，本项目所涉及行业类别不属于两高行业。</w:t>
                  </w:r>
                </w:p>
              </w:tc>
              <w:tc>
                <w:tcPr>
                  <w:tcW w:w="769" w:type="dxa"/>
                  <w:noWrap w:val="0"/>
                  <w:vAlign w:val="center"/>
                </w:tcPr>
                <w:p>
                  <w:pPr>
                    <w:snapToGrid w:val="0"/>
                    <w:spacing w:line="240" w:lineRule="atLeast"/>
                    <w:jc w:val="center"/>
                    <w:rPr>
                      <w:bCs/>
                      <w:color w:val="auto"/>
                      <w:sz w:val="18"/>
                      <w:szCs w:val="18"/>
                    </w:rPr>
                  </w:pPr>
                  <w:r>
                    <w:rPr>
                      <w:bCs/>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6" w:type="dxa"/>
                  <w:noWrap w:val="0"/>
                  <w:vAlign w:val="center"/>
                </w:tcPr>
                <w:p>
                  <w:pPr>
                    <w:snapToGrid w:val="0"/>
                    <w:spacing w:line="240" w:lineRule="atLeast"/>
                    <w:jc w:val="center"/>
                    <w:rPr>
                      <w:rFonts w:hint="eastAsia"/>
                      <w:bCs/>
                      <w:color w:val="auto"/>
                      <w:sz w:val="18"/>
                      <w:szCs w:val="18"/>
                      <w:lang w:val="en"/>
                    </w:rPr>
                  </w:pPr>
                  <w:r>
                    <w:rPr>
                      <w:rFonts w:hint="eastAsia"/>
                      <w:bCs/>
                      <w:color w:val="auto"/>
                      <w:sz w:val="18"/>
                      <w:szCs w:val="18"/>
                      <w:lang w:val="en"/>
                    </w:rPr>
                    <w:t>开展臭氧污染防治攻坚。以石化、化工、涂装、医药、包装印刷、油品储运销等行业领域为重点，开展2022年度挥发性有机物综合治理，完成挥发性有机物突出问题排查治理。挥发性有机物年排放量1吨及以上企业编制实施</w:t>
                  </w:r>
                  <w:r>
                    <w:rPr>
                      <w:rFonts w:hint="eastAsia"/>
                      <w:bCs/>
                      <w:color w:val="auto"/>
                      <w:sz w:val="18"/>
                      <w:szCs w:val="18"/>
                      <w:lang w:val="en" w:eastAsia="zh-CN"/>
                    </w:rPr>
                    <w:t>“</w:t>
                  </w:r>
                  <w:r>
                    <w:rPr>
                      <w:rFonts w:hint="eastAsia"/>
                      <w:bCs/>
                      <w:color w:val="auto"/>
                      <w:sz w:val="18"/>
                      <w:szCs w:val="18"/>
                      <w:lang w:val="en"/>
                    </w:rPr>
                    <w:t>一厂一策</w:t>
                  </w:r>
                  <w:r>
                    <w:rPr>
                      <w:rFonts w:hint="eastAsia"/>
                      <w:bCs/>
                      <w:color w:val="auto"/>
                      <w:sz w:val="18"/>
                      <w:szCs w:val="18"/>
                      <w:lang w:val="en" w:eastAsia="zh-CN"/>
                    </w:rPr>
                    <w:t>”</w:t>
                  </w:r>
                  <w:r>
                    <w:rPr>
                      <w:rFonts w:hint="eastAsia"/>
                      <w:bCs/>
                      <w:color w:val="auto"/>
                      <w:sz w:val="18"/>
                      <w:szCs w:val="18"/>
                      <w:lang w:val="en"/>
                    </w:rPr>
                    <w:t>。严格执行涂料、油墨、胶粘剂、清洗剂VOCs含量限值标准，开展年度含VOCs原辅材料达标情况联合检查。推进实施重点行业低VOCs含量原辅材料源头替代。开展企业升级改造和区域环境综合整治，建立家具制造、木材加工等涉气产业集群排查治理清单，重点涉VOCs工业园区及产业集群编制执行VOCs综合治理</w:t>
                  </w:r>
                  <w:r>
                    <w:rPr>
                      <w:rFonts w:hint="eastAsia"/>
                      <w:bCs/>
                      <w:color w:val="auto"/>
                      <w:sz w:val="18"/>
                      <w:szCs w:val="18"/>
                      <w:lang w:val="en" w:eastAsia="zh-CN"/>
                    </w:rPr>
                    <w:t>“</w:t>
                  </w:r>
                  <w:r>
                    <w:rPr>
                      <w:rFonts w:hint="eastAsia"/>
                      <w:bCs/>
                      <w:color w:val="auto"/>
                      <w:sz w:val="18"/>
                      <w:szCs w:val="18"/>
                      <w:lang w:val="en"/>
                    </w:rPr>
                    <w:t>一园一案</w:t>
                  </w:r>
                  <w:r>
                    <w:rPr>
                      <w:rFonts w:hint="eastAsia"/>
                      <w:bCs/>
                      <w:color w:val="auto"/>
                      <w:sz w:val="18"/>
                      <w:szCs w:val="18"/>
                      <w:lang w:val="en" w:eastAsia="zh-CN"/>
                    </w:rPr>
                    <w:t>”</w:t>
                  </w:r>
                  <w:r>
                    <w:rPr>
                      <w:rFonts w:hint="eastAsia"/>
                      <w:bCs/>
                      <w:color w:val="auto"/>
                      <w:sz w:val="18"/>
                      <w:szCs w:val="18"/>
                      <w:lang w:val="en"/>
                    </w:rPr>
                    <w:t>。实施工业锅炉和炉窑提标改造和清洁能源替代，推动焦化、玻璃等行业深度治理。加快推进马钢等钢铁企业超低排放改造，力争2022年底前基本完成。全面摸排现有工业燃煤锅炉，明确超低排放改造时间表。</w:t>
                  </w:r>
                </w:p>
              </w:tc>
              <w:tc>
                <w:tcPr>
                  <w:tcW w:w="1764" w:type="dxa"/>
                  <w:noWrap w:val="0"/>
                  <w:vAlign w:val="center"/>
                </w:tcPr>
                <w:p>
                  <w:pPr>
                    <w:snapToGrid w:val="0"/>
                    <w:spacing w:line="240" w:lineRule="atLeast"/>
                    <w:jc w:val="center"/>
                    <w:rPr>
                      <w:rFonts w:hint="eastAsia"/>
                      <w:bCs/>
                      <w:color w:val="auto"/>
                      <w:sz w:val="18"/>
                      <w:szCs w:val="18"/>
                      <w:lang w:val="en"/>
                    </w:rPr>
                  </w:pPr>
                  <w:r>
                    <w:rPr>
                      <w:rFonts w:hint="eastAsia"/>
                      <w:bCs/>
                      <w:color w:val="auto"/>
                      <w:sz w:val="18"/>
                      <w:szCs w:val="18"/>
                      <w:lang w:val="en"/>
                    </w:rPr>
                    <w:t>本项目生产</w:t>
                  </w:r>
                  <w:r>
                    <w:rPr>
                      <w:rFonts w:hint="eastAsia"/>
                      <w:bCs/>
                      <w:color w:val="auto"/>
                      <w:sz w:val="18"/>
                      <w:szCs w:val="18"/>
                      <w:lang w:val="en-US" w:eastAsia="zh-CN"/>
                    </w:rPr>
                    <w:t>塑料板材黏结过程所使用胶黏剂为PP胶带，属于</w:t>
                  </w:r>
                  <w:r>
                    <w:rPr>
                      <w:rFonts w:hint="eastAsia"/>
                      <w:bCs/>
                      <w:color w:val="auto"/>
                      <w:sz w:val="18"/>
                      <w:szCs w:val="18"/>
                      <w:lang w:val="en"/>
                    </w:rPr>
                    <w:t>本体型胶黏剂，根据计算，本项目所用</w:t>
                  </w:r>
                  <w:r>
                    <w:rPr>
                      <w:rFonts w:hint="eastAsia"/>
                      <w:bCs/>
                      <w:color w:val="auto"/>
                      <w:sz w:val="18"/>
                      <w:szCs w:val="18"/>
                      <w:lang w:val="en-US" w:eastAsia="zh-CN"/>
                    </w:rPr>
                    <w:t>本体型胶黏剂</w:t>
                  </w:r>
                  <w:r>
                    <w:rPr>
                      <w:rFonts w:hint="eastAsia"/>
                      <w:bCs/>
                      <w:color w:val="auto"/>
                      <w:sz w:val="18"/>
                      <w:szCs w:val="18"/>
                      <w:lang w:val="en"/>
                    </w:rPr>
                    <w:t>在即用状态下符合《胶黏剂挥发性有机化合物限量》（GB33372-2020）表</w:t>
                  </w:r>
                  <w:r>
                    <w:rPr>
                      <w:rFonts w:hint="eastAsia"/>
                      <w:bCs/>
                      <w:color w:val="auto"/>
                      <w:sz w:val="18"/>
                      <w:szCs w:val="18"/>
                      <w:lang w:val="en-US" w:eastAsia="zh-CN"/>
                    </w:rPr>
                    <w:t>3</w:t>
                  </w:r>
                  <w:r>
                    <w:rPr>
                      <w:rFonts w:hint="eastAsia"/>
                      <w:bCs/>
                      <w:color w:val="auto"/>
                      <w:sz w:val="18"/>
                      <w:szCs w:val="18"/>
                      <w:lang w:val="en"/>
                    </w:rPr>
                    <w:t>热塑类本体型胶黏剂VOC含量限值，</w:t>
                  </w:r>
                  <w:r>
                    <w:rPr>
                      <w:rFonts w:hint="eastAsia"/>
                      <w:bCs/>
                      <w:color w:val="auto"/>
                      <w:sz w:val="18"/>
                      <w:szCs w:val="18"/>
                      <w:lang w:val="en-US" w:eastAsia="zh-CN"/>
                    </w:rPr>
                    <w:t>属于源头替代措施</w:t>
                  </w:r>
                  <w:r>
                    <w:rPr>
                      <w:rFonts w:hint="eastAsia"/>
                      <w:bCs/>
                      <w:color w:val="auto"/>
                      <w:sz w:val="18"/>
                      <w:szCs w:val="18"/>
                      <w:lang w:val="en"/>
                    </w:rPr>
                    <w:t>。</w:t>
                  </w:r>
                </w:p>
              </w:tc>
              <w:tc>
                <w:tcPr>
                  <w:tcW w:w="769" w:type="dxa"/>
                  <w:noWrap w:val="0"/>
                  <w:vAlign w:val="center"/>
                </w:tcPr>
                <w:p>
                  <w:pPr>
                    <w:snapToGrid w:val="0"/>
                    <w:spacing w:line="240" w:lineRule="atLeast"/>
                    <w:jc w:val="center"/>
                    <w:rPr>
                      <w:bCs/>
                      <w:color w:val="auto"/>
                      <w:sz w:val="18"/>
                      <w:szCs w:val="18"/>
                    </w:rPr>
                  </w:pPr>
                  <w:r>
                    <w:rPr>
                      <w:bCs/>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6" w:type="dxa"/>
                  <w:noWrap w:val="0"/>
                  <w:vAlign w:val="center"/>
                </w:tcPr>
                <w:p>
                  <w:pPr>
                    <w:snapToGrid w:val="0"/>
                    <w:spacing w:line="240" w:lineRule="atLeast"/>
                    <w:jc w:val="center"/>
                    <w:rPr>
                      <w:rFonts w:hint="eastAsia"/>
                      <w:bCs/>
                      <w:color w:val="auto"/>
                      <w:sz w:val="18"/>
                      <w:szCs w:val="18"/>
                      <w:lang w:val="en"/>
                    </w:rPr>
                  </w:pPr>
                  <w:r>
                    <w:rPr>
                      <w:rFonts w:hint="eastAsia"/>
                      <w:bCs/>
                      <w:color w:val="auto"/>
                      <w:sz w:val="18"/>
                      <w:szCs w:val="18"/>
                      <w:lang w:val="en"/>
                    </w:rPr>
                    <w:t>加强大气面源污染治理。聚焦PM</w:t>
                  </w:r>
                  <w:r>
                    <w:rPr>
                      <w:rFonts w:hint="eastAsia"/>
                      <w:bCs/>
                      <w:color w:val="auto"/>
                      <w:sz w:val="18"/>
                      <w:szCs w:val="18"/>
                      <w:vertAlign w:val="subscript"/>
                      <w:lang w:val="en"/>
                    </w:rPr>
                    <w:t>10</w:t>
                  </w:r>
                  <w:r>
                    <w:rPr>
                      <w:rFonts w:hint="eastAsia"/>
                      <w:bCs/>
                      <w:color w:val="auto"/>
                      <w:sz w:val="18"/>
                      <w:szCs w:val="18"/>
                      <w:lang w:val="en"/>
                    </w:rPr>
                    <w:t>治理，研究制订建筑施工颗粒物控制地方标准，强化施工、道路等扬尘管控，积极推行绿色施工。加强城市保洁和清扫，持续推进道路清扫保洁机械化作业向乡镇延伸。推行绿色矿山建设，对现存各类露天矿山加强执法检查，杜绝环境违法行为。加强降尘监测，定期公布降尘结果，皖北6市降尘量不高于7吨/月•平方公里，其他10市不高于5吨/月•平方公里。加大餐饮油烟污染、恶臭异味治理力度，实施餐饮业环境保护技术规范，对群众反映强烈的恶臭异味扰民问题强化排查整治。强化秸秆综合利用和禁烧管控。全力推进烟花爆竹禁限放，提前谋划部署，研究扩大禁燃禁放范围，切实减轻烟花爆竹燃放污染。对使用消耗臭氧层物质和氢氟碳化物的企业加强监督检查。</w:t>
                  </w:r>
                </w:p>
              </w:tc>
              <w:tc>
                <w:tcPr>
                  <w:tcW w:w="1764" w:type="dxa"/>
                  <w:noWrap w:val="0"/>
                  <w:vAlign w:val="center"/>
                </w:tcPr>
                <w:p>
                  <w:pPr>
                    <w:snapToGrid w:val="0"/>
                    <w:spacing w:line="240" w:lineRule="atLeast"/>
                    <w:jc w:val="center"/>
                    <w:rPr>
                      <w:rFonts w:hint="default"/>
                      <w:bCs/>
                      <w:color w:val="auto"/>
                      <w:sz w:val="18"/>
                      <w:szCs w:val="18"/>
                      <w:lang w:val="en-US"/>
                    </w:rPr>
                  </w:pPr>
                  <w:r>
                    <w:rPr>
                      <w:rFonts w:hint="eastAsia"/>
                      <w:bCs/>
                      <w:color w:val="auto"/>
                      <w:sz w:val="18"/>
                      <w:szCs w:val="18"/>
                      <w:lang w:val="en"/>
                    </w:rPr>
                    <w:t>本项目施工期</w:t>
                  </w:r>
                  <w:r>
                    <w:rPr>
                      <w:rFonts w:hint="eastAsia"/>
                      <w:bCs/>
                      <w:color w:val="auto"/>
                      <w:sz w:val="18"/>
                      <w:szCs w:val="18"/>
                      <w:lang w:val="en-US" w:eastAsia="zh-CN"/>
                    </w:rPr>
                    <w:t>严格按照“六个百分百”施工作业，加强施工作业洒水抑尘措施，确保施工作业期间不对周边大气环境造成较大不利影响。</w:t>
                  </w:r>
                </w:p>
              </w:tc>
              <w:tc>
                <w:tcPr>
                  <w:tcW w:w="769" w:type="dxa"/>
                  <w:noWrap w:val="0"/>
                  <w:vAlign w:val="center"/>
                </w:tcPr>
                <w:p>
                  <w:pPr>
                    <w:snapToGrid w:val="0"/>
                    <w:spacing w:line="240" w:lineRule="atLeast"/>
                    <w:jc w:val="center"/>
                    <w:rPr>
                      <w:bCs/>
                      <w:color w:val="auto"/>
                      <w:sz w:val="18"/>
                      <w:szCs w:val="18"/>
                    </w:rPr>
                  </w:pPr>
                  <w:r>
                    <w:rPr>
                      <w:bCs/>
                      <w:color w:val="auto"/>
                      <w:sz w:val="18"/>
                      <w:szCs w:val="18"/>
                    </w:rPr>
                    <w:t>符合</w:t>
                  </w:r>
                </w:p>
              </w:tc>
            </w:tr>
          </w:tbl>
          <w:p>
            <w:pPr>
              <w:spacing w:line="360" w:lineRule="auto"/>
              <w:ind w:firstLine="371" w:firstLineChars="177"/>
              <w:rPr>
                <w:color w:val="FF0000"/>
                <w:szCs w:val="21"/>
              </w:rPr>
            </w:pPr>
            <w:r>
              <w:rPr>
                <w:rFonts w:hint="eastAsia"/>
                <w:color w:val="auto"/>
                <w:szCs w:val="21"/>
              </w:rPr>
              <w:t>由表1-</w:t>
            </w:r>
            <w:r>
              <w:rPr>
                <w:rFonts w:hint="eastAsia"/>
                <w:color w:val="auto"/>
                <w:szCs w:val="21"/>
                <w:lang w:val="en-US" w:eastAsia="zh-CN"/>
              </w:rPr>
              <w:t>3</w:t>
            </w:r>
            <w:r>
              <w:rPr>
                <w:rFonts w:hint="eastAsia"/>
                <w:color w:val="auto"/>
                <w:szCs w:val="21"/>
              </w:rPr>
              <w:t>可知</w:t>
            </w:r>
            <w:r>
              <w:rPr>
                <w:color w:val="auto"/>
                <w:szCs w:val="21"/>
              </w:rPr>
              <w:t>，项目建设符合《</w:t>
            </w:r>
            <w:r>
              <w:rPr>
                <w:bCs/>
                <w:color w:val="auto"/>
                <w:szCs w:val="21"/>
              </w:rPr>
              <w:t>安徽省</w:t>
            </w:r>
            <w:r>
              <w:rPr>
                <w:rFonts w:hint="eastAsia"/>
                <w:bCs/>
                <w:color w:val="auto"/>
                <w:szCs w:val="21"/>
              </w:rPr>
              <w:t>2022年大气污染防治工作要点</w:t>
            </w:r>
            <w:r>
              <w:rPr>
                <w:bCs/>
                <w:color w:val="auto"/>
                <w:szCs w:val="21"/>
              </w:rPr>
              <w:t>》</w:t>
            </w:r>
            <w:r>
              <w:rPr>
                <w:rFonts w:hint="eastAsia"/>
                <w:bCs/>
                <w:color w:val="auto"/>
                <w:szCs w:val="21"/>
              </w:rPr>
              <w:t>（安环委办〔2022〕37号）</w:t>
            </w:r>
            <w:r>
              <w:rPr>
                <w:color w:val="auto"/>
                <w:szCs w:val="21"/>
              </w:rPr>
              <w:t>的要求。</w:t>
            </w:r>
          </w:p>
          <w:p>
            <w:pPr>
              <w:tabs>
                <w:tab w:val="left" w:pos="8658"/>
              </w:tabs>
              <w:snapToGrid w:val="0"/>
              <w:spacing w:line="360" w:lineRule="auto"/>
              <w:jc w:val="left"/>
              <w:rPr>
                <w:rFonts w:hint="eastAsia" w:ascii="宋体" w:hAnsi="宋体"/>
                <w:color w:val="auto"/>
                <w:sz w:val="24"/>
              </w:rPr>
            </w:pPr>
            <w:r>
              <w:rPr>
                <w:rFonts w:hint="eastAsia"/>
                <w:b/>
                <w:bCs/>
                <w:color w:val="auto"/>
                <w:sz w:val="24"/>
              </w:rPr>
              <w:t>4、</w:t>
            </w:r>
            <w:r>
              <w:rPr>
                <w:rFonts w:hint="eastAsia"/>
                <w:b/>
                <w:color w:val="auto"/>
                <w:szCs w:val="21"/>
              </w:rPr>
              <w:t>与《</w:t>
            </w:r>
            <w:r>
              <w:rPr>
                <w:b/>
                <w:color w:val="auto"/>
                <w:szCs w:val="21"/>
              </w:rPr>
              <w:t>安徽省大气办关于深入开展挥发性有机物污染治理工作的通知</w:t>
            </w:r>
            <w:r>
              <w:rPr>
                <w:rFonts w:hint="eastAsia"/>
                <w:b/>
                <w:color w:val="auto"/>
                <w:szCs w:val="21"/>
              </w:rPr>
              <w:t>》（皖大气办</w:t>
            </w:r>
            <w:r>
              <w:rPr>
                <w:rFonts w:hint="eastAsia"/>
                <w:b/>
                <w:color w:val="auto"/>
                <w:szCs w:val="21"/>
                <w:lang w:eastAsia="zh-CN"/>
              </w:rPr>
              <w:t>〔</w:t>
            </w:r>
            <w:r>
              <w:rPr>
                <w:rFonts w:hint="eastAsia"/>
                <w:b/>
                <w:color w:val="auto"/>
                <w:szCs w:val="21"/>
              </w:rPr>
              <w:t>2021</w:t>
            </w:r>
            <w:r>
              <w:rPr>
                <w:rFonts w:hint="eastAsia"/>
                <w:b/>
                <w:color w:val="auto"/>
                <w:szCs w:val="21"/>
                <w:lang w:eastAsia="zh-CN"/>
              </w:rPr>
              <w:t>〕</w:t>
            </w:r>
            <w:r>
              <w:rPr>
                <w:rFonts w:hint="eastAsia"/>
                <w:b/>
                <w:color w:val="auto"/>
                <w:szCs w:val="21"/>
              </w:rPr>
              <w:t>4号）相符性</w:t>
            </w:r>
          </w:p>
          <w:p>
            <w:pPr>
              <w:spacing w:line="360" w:lineRule="auto"/>
              <w:jc w:val="center"/>
              <w:rPr>
                <w:b/>
                <w:bCs/>
                <w:color w:val="auto"/>
                <w:szCs w:val="21"/>
              </w:rPr>
            </w:pPr>
            <w:r>
              <w:rPr>
                <w:b/>
                <w:bCs/>
                <w:color w:val="auto"/>
                <w:szCs w:val="21"/>
              </w:rPr>
              <w:t>表</w:t>
            </w:r>
            <w:r>
              <w:rPr>
                <w:rFonts w:hint="eastAsia"/>
                <w:b/>
                <w:bCs/>
                <w:color w:val="auto"/>
                <w:szCs w:val="21"/>
              </w:rPr>
              <w:t>1-</w:t>
            </w:r>
            <w:r>
              <w:rPr>
                <w:rFonts w:hint="eastAsia"/>
                <w:b/>
                <w:bCs/>
                <w:color w:val="auto"/>
                <w:szCs w:val="21"/>
                <w:lang w:val="en-US" w:eastAsia="zh-CN"/>
              </w:rPr>
              <w:t>4</w:t>
            </w:r>
            <w:r>
              <w:rPr>
                <w:b/>
                <w:bCs/>
                <w:color w:val="auto"/>
                <w:szCs w:val="21"/>
              </w:rPr>
              <w:t xml:space="preserve"> </w:t>
            </w:r>
            <w:r>
              <w:rPr>
                <w:rFonts w:hint="eastAsia"/>
                <w:b/>
                <w:bCs/>
                <w:color w:val="auto"/>
                <w:szCs w:val="21"/>
                <w:lang w:val="en-US" w:eastAsia="zh-CN"/>
              </w:rPr>
              <w:t xml:space="preserve"> </w:t>
            </w:r>
            <w:r>
              <w:rPr>
                <w:rFonts w:hint="eastAsia"/>
                <w:b/>
                <w:bCs/>
                <w:color w:val="auto"/>
                <w:szCs w:val="21"/>
                <w:lang w:eastAsia="zh-CN"/>
              </w:rPr>
              <w:t>“</w:t>
            </w:r>
            <w:r>
              <w:rPr>
                <w:rFonts w:hint="eastAsia"/>
                <w:b/>
                <w:color w:val="auto"/>
                <w:szCs w:val="21"/>
              </w:rPr>
              <w:t>皖大气办</w:t>
            </w:r>
            <w:r>
              <w:rPr>
                <w:rFonts w:hint="eastAsia"/>
                <w:b/>
                <w:color w:val="auto"/>
                <w:szCs w:val="21"/>
                <w:lang w:eastAsia="zh-CN"/>
              </w:rPr>
              <w:t>〔</w:t>
            </w:r>
            <w:r>
              <w:rPr>
                <w:rFonts w:hint="eastAsia"/>
                <w:b/>
                <w:color w:val="auto"/>
                <w:szCs w:val="21"/>
              </w:rPr>
              <w:t>2021</w:t>
            </w:r>
            <w:r>
              <w:rPr>
                <w:rFonts w:hint="eastAsia"/>
                <w:b/>
                <w:color w:val="auto"/>
                <w:szCs w:val="21"/>
                <w:lang w:eastAsia="zh-CN"/>
              </w:rPr>
              <w:t>〕</w:t>
            </w:r>
            <w:r>
              <w:rPr>
                <w:rFonts w:hint="eastAsia"/>
                <w:b/>
                <w:color w:val="auto"/>
                <w:szCs w:val="21"/>
              </w:rPr>
              <w:t>4号</w:t>
            </w:r>
            <w:r>
              <w:rPr>
                <w:rFonts w:hint="eastAsia"/>
                <w:b/>
                <w:bCs/>
                <w:color w:val="auto"/>
                <w:szCs w:val="21"/>
                <w:lang w:eastAsia="zh-CN"/>
              </w:rPr>
              <w:t>”</w:t>
            </w:r>
            <w:r>
              <w:rPr>
                <w:b/>
                <w:bCs/>
                <w:color w:val="auto"/>
                <w:szCs w:val="21"/>
              </w:rPr>
              <w:t>符合性分析</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4"/>
              <w:gridCol w:w="2138"/>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90" w:type="pct"/>
                  <w:noWrap w:val="0"/>
                  <w:vAlign w:val="center"/>
                </w:tcPr>
                <w:p>
                  <w:pPr>
                    <w:snapToGrid w:val="0"/>
                    <w:jc w:val="center"/>
                    <w:rPr>
                      <w:rFonts w:hAnsi="宋体"/>
                      <w:b/>
                      <w:color w:val="auto"/>
                      <w:szCs w:val="21"/>
                    </w:rPr>
                  </w:pPr>
                  <w:r>
                    <w:rPr>
                      <w:rFonts w:hint="eastAsia"/>
                      <w:b/>
                      <w:color w:val="auto"/>
                      <w:szCs w:val="21"/>
                    </w:rPr>
                    <w:t>皖大气办</w:t>
                  </w:r>
                  <w:r>
                    <w:rPr>
                      <w:rFonts w:hint="eastAsia"/>
                      <w:b/>
                      <w:color w:val="auto"/>
                      <w:szCs w:val="21"/>
                      <w:lang w:eastAsia="zh-CN"/>
                    </w:rPr>
                    <w:t>〔</w:t>
                  </w:r>
                  <w:r>
                    <w:rPr>
                      <w:rFonts w:hint="eastAsia"/>
                      <w:b/>
                      <w:color w:val="auto"/>
                      <w:szCs w:val="21"/>
                    </w:rPr>
                    <w:t>2021</w:t>
                  </w:r>
                  <w:r>
                    <w:rPr>
                      <w:rFonts w:hint="eastAsia"/>
                      <w:b/>
                      <w:color w:val="auto"/>
                      <w:szCs w:val="21"/>
                      <w:lang w:eastAsia="zh-CN"/>
                    </w:rPr>
                    <w:t>〕</w:t>
                  </w:r>
                  <w:r>
                    <w:rPr>
                      <w:rFonts w:hint="eastAsia"/>
                      <w:b/>
                      <w:color w:val="auto"/>
                      <w:szCs w:val="21"/>
                    </w:rPr>
                    <w:t>4号</w:t>
                  </w:r>
                  <w:r>
                    <w:rPr>
                      <w:rFonts w:hint="eastAsia" w:hAnsi="宋体"/>
                      <w:b/>
                      <w:color w:val="auto"/>
                      <w:szCs w:val="21"/>
                    </w:rPr>
                    <w:t>要求</w:t>
                  </w:r>
                </w:p>
              </w:tc>
              <w:tc>
                <w:tcPr>
                  <w:tcW w:w="1434" w:type="pct"/>
                  <w:noWrap w:val="0"/>
                  <w:vAlign w:val="center"/>
                </w:tcPr>
                <w:p>
                  <w:pPr>
                    <w:snapToGrid w:val="0"/>
                    <w:jc w:val="center"/>
                    <w:rPr>
                      <w:rFonts w:hAnsi="宋体"/>
                      <w:b/>
                      <w:color w:val="auto"/>
                      <w:szCs w:val="21"/>
                    </w:rPr>
                  </w:pPr>
                  <w:r>
                    <w:rPr>
                      <w:rFonts w:hAnsi="宋体"/>
                      <w:b/>
                      <w:color w:val="auto"/>
                      <w:szCs w:val="21"/>
                    </w:rPr>
                    <w:t>本项目建设</w:t>
                  </w:r>
                  <w:r>
                    <w:rPr>
                      <w:rFonts w:hint="eastAsia" w:hAnsi="宋体"/>
                      <w:b/>
                      <w:color w:val="auto"/>
                      <w:szCs w:val="21"/>
                    </w:rPr>
                    <w:t>情况</w:t>
                  </w:r>
                </w:p>
              </w:tc>
              <w:tc>
                <w:tcPr>
                  <w:tcW w:w="474" w:type="pct"/>
                  <w:noWrap w:val="0"/>
                  <w:vAlign w:val="center"/>
                </w:tcPr>
                <w:p>
                  <w:pPr>
                    <w:snapToGrid w:val="0"/>
                    <w:ind w:left="-105" w:leftChars="-50" w:right="-105" w:rightChars="-50"/>
                    <w:jc w:val="center"/>
                    <w:rPr>
                      <w:b/>
                      <w:color w:val="auto"/>
                      <w:szCs w:val="21"/>
                    </w:rPr>
                  </w:pPr>
                  <w:r>
                    <w:rPr>
                      <w:rFonts w:hint="eastAsia"/>
                      <w:b/>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90" w:type="pct"/>
                  <w:noWrap w:val="0"/>
                  <w:vAlign w:val="center"/>
                </w:tcPr>
                <w:p>
                  <w:pPr>
                    <w:snapToGrid w:val="0"/>
                    <w:jc w:val="center"/>
                    <w:rPr>
                      <w:rFonts w:hAnsi="宋体"/>
                      <w:color w:val="auto"/>
                      <w:sz w:val="18"/>
                      <w:szCs w:val="18"/>
                    </w:rPr>
                  </w:pPr>
                  <w:r>
                    <w:rPr>
                      <w:rFonts w:hint="eastAsia" w:hAnsi="宋体"/>
                      <w:color w:val="auto"/>
                      <w:sz w:val="18"/>
                      <w:szCs w:val="18"/>
                    </w:rPr>
                    <w:t>梳理确定治理项目。综合考虑体积浓度、O</w:t>
                  </w:r>
                  <w:r>
                    <w:rPr>
                      <w:rFonts w:hint="eastAsia" w:hAnsi="宋体"/>
                      <w:color w:val="auto"/>
                      <w:sz w:val="18"/>
                      <w:szCs w:val="18"/>
                      <w:vertAlign w:val="subscript"/>
                    </w:rPr>
                    <w:t>3</w:t>
                  </w:r>
                  <w:r>
                    <w:rPr>
                      <w:rFonts w:hint="eastAsia" w:hAnsi="宋体"/>
                      <w:color w:val="auto"/>
                      <w:sz w:val="18"/>
                      <w:szCs w:val="18"/>
                    </w:rPr>
                    <w:t>生成潜势和气溶胶生成潜势靠前的VOCs物质、恶臭、易燃易爆等物质的协同控制，以源头削减、过程控制和末端治理等类别，各地指导企业在自查自评基础上，梳理填报2021-2023年度项目清单，2021年7月31日前各地将项目清单梳理审核后报省大气办备案。</w:t>
                  </w:r>
                </w:p>
              </w:tc>
              <w:tc>
                <w:tcPr>
                  <w:tcW w:w="1434" w:type="pct"/>
                  <w:noWrap w:val="0"/>
                  <w:vAlign w:val="center"/>
                </w:tcPr>
                <w:p>
                  <w:pPr>
                    <w:snapToGrid w:val="0"/>
                    <w:jc w:val="center"/>
                    <w:rPr>
                      <w:rFonts w:hAnsi="宋体"/>
                      <w:color w:val="auto"/>
                      <w:sz w:val="18"/>
                      <w:szCs w:val="18"/>
                    </w:rPr>
                  </w:pPr>
                  <w:r>
                    <w:rPr>
                      <w:rFonts w:hint="eastAsia" w:hAnsi="宋体"/>
                      <w:color w:val="auto"/>
                      <w:sz w:val="18"/>
                      <w:szCs w:val="18"/>
                    </w:rPr>
                    <w:t>本项目生产过程</w:t>
                  </w:r>
                  <w:r>
                    <w:rPr>
                      <w:rFonts w:hint="eastAsia" w:hAnsi="宋体"/>
                      <w:color w:val="auto"/>
                      <w:sz w:val="18"/>
                      <w:szCs w:val="18"/>
                      <w:lang w:val="en-US" w:eastAsia="zh-CN"/>
                    </w:rPr>
                    <w:t>涉及塑料板材胶黏过程</w:t>
                  </w:r>
                  <w:r>
                    <w:rPr>
                      <w:rFonts w:hint="eastAsia" w:hAnsi="宋体"/>
                      <w:color w:val="auto"/>
                      <w:sz w:val="18"/>
                      <w:szCs w:val="18"/>
                    </w:rPr>
                    <w:t>产生有机废气，本项目</w:t>
                  </w:r>
                  <w:r>
                    <w:rPr>
                      <w:rFonts w:hint="eastAsia" w:hAnsi="宋体"/>
                      <w:color w:val="auto"/>
                      <w:sz w:val="18"/>
                      <w:szCs w:val="18"/>
                      <w:lang w:val="en-US" w:eastAsia="zh-CN"/>
                    </w:rPr>
                    <w:t>所用胶黏剂为PP胶带，属于热塑类本体型胶黏剂，根据工程分析核算，有机废气产生量为2.7g/kg胶带，满足热塑类本体型胶黏剂限值要求，符合源头消减措施</w:t>
                  </w:r>
                  <w:r>
                    <w:rPr>
                      <w:rFonts w:hint="eastAsia" w:hAnsi="宋体"/>
                      <w:color w:val="auto"/>
                      <w:sz w:val="18"/>
                      <w:szCs w:val="18"/>
                    </w:rPr>
                    <w:t>。</w:t>
                  </w:r>
                </w:p>
              </w:tc>
              <w:tc>
                <w:tcPr>
                  <w:tcW w:w="474" w:type="pct"/>
                  <w:noWrap w:val="0"/>
                  <w:vAlign w:val="center"/>
                </w:tcPr>
                <w:p>
                  <w:pPr>
                    <w:snapToGrid w:val="0"/>
                    <w:jc w:val="center"/>
                    <w:rPr>
                      <w:color w:val="auto"/>
                      <w:sz w:val="18"/>
                      <w:szCs w:val="18"/>
                    </w:rPr>
                  </w:pPr>
                  <w:r>
                    <w:rPr>
                      <w:rFonts w:hint="eastAsia"/>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3090" w:type="pct"/>
                  <w:noWrap w:val="0"/>
                  <w:vAlign w:val="center"/>
                </w:tcPr>
                <w:p>
                  <w:pPr>
                    <w:snapToGrid w:val="0"/>
                    <w:jc w:val="center"/>
                    <w:rPr>
                      <w:rFonts w:hint="eastAsia" w:hAnsi="宋体"/>
                      <w:color w:val="auto"/>
                      <w:sz w:val="18"/>
                      <w:szCs w:val="18"/>
                    </w:rPr>
                  </w:pPr>
                  <w:r>
                    <w:rPr>
                      <w:rFonts w:hint="eastAsia" w:hAnsi="宋体"/>
                      <w:color w:val="auto"/>
                      <w:sz w:val="18"/>
                      <w:szCs w:val="18"/>
                    </w:rPr>
                    <w:t>重点推进源头削减。鼓励支持使用涂料、油墨、胶粘剂、涂层剂（树脂）、清洗剂等原辅材料的企业，进行低VOCs含量原辅材料的源头替代，7月1日前各地指导企业建立管理台账，记录VOCs原辅材料的产品名称、VOCs含量和使用量等。各地应结合本地产业特点和源头替代参考目录，重点在工业涂装、包装印刷、鞋革箱包制造、竹木制品胶合、电子等重点领域，推广VOCs含量低于10%原辅材料的源头替代，并纳入年度源头削减项目管理，实现</w:t>
                  </w:r>
                  <w:r>
                    <w:rPr>
                      <w:rFonts w:hint="eastAsia" w:hAnsi="宋体"/>
                      <w:color w:val="auto"/>
                      <w:sz w:val="18"/>
                      <w:szCs w:val="18"/>
                      <w:lang w:eastAsia="zh-CN"/>
                    </w:rPr>
                    <w:t>“</w:t>
                  </w:r>
                  <w:r>
                    <w:rPr>
                      <w:rFonts w:hint="eastAsia" w:hAnsi="宋体"/>
                      <w:color w:val="auto"/>
                      <w:sz w:val="18"/>
                      <w:szCs w:val="18"/>
                    </w:rPr>
                    <w:t>可替尽替、应代尽代</w:t>
                  </w:r>
                  <w:r>
                    <w:rPr>
                      <w:rFonts w:hint="eastAsia" w:hAnsi="宋体"/>
                      <w:color w:val="auto"/>
                      <w:sz w:val="18"/>
                      <w:szCs w:val="18"/>
                      <w:lang w:eastAsia="zh-CN"/>
                    </w:rPr>
                    <w:t>”</w:t>
                  </w:r>
                  <w:r>
                    <w:rPr>
                      <w:rFonts w:hint="eastAsia" w:hAnsi="宋体"/>
                      <w:color w:val="auto"/>
                      <w:sz w:val="18"/>
                      <w:szCs w:val="18"/>
                    </w:rPr>
                    <w:t>，源头削减年度完成项目占30%以上。</w:t>
                  </w:r>
                </w:p>
              </w:tc>
              <w:tc>
                <w:tcPr>
                  <w:tcW w:w="1434" w:type="pct"/>
                  <w:noWrap w:val="0"/>
                  <w:vAlign w:val="center"/>
                </w:tcPr>
                <w:p>
                  <w:pPr>
                    <w:snapToGrid w:val="0"/>
                    <w:jc w:val="center"/>
                    <w:rPr>
                      <w:rFonts w:hint="eastAsia" w:hAnsi="宋体"/>
                      <w:color w:val="auto"/>
                      <w:sz w:val="18"/>
                      <w:szCs w:val="18"/>
                    </w:rPr>
                  </w:pPr>
                  <w:r>
                    <w:rPr>
                      <w:rFonts w:hint="eastAsia" w:hAnsi="宋体"/>
                      <w:color w:val="auto"/>
                      <w:sz w:val="18"/>
                      <w:szCs w:val="18"/>
                    </w:rPr>
                    <w:t>项目</w:t>
                  </w:r>
                  <w:r>
                    <w:rPr>
                      <w:rFonts w:hint="eastAsia" w:hAnsi="宋体"/>
                      <w:color w:val="auto"/>
                      <w:sz w:val="18"/>
                      <w:szCs w:val="18"/>
                      <w:lang w:val="en-US" w:eastAsia="zh-CN"/>
                    </w:rPr>
                    <w:t>所使用胶黏剂均为PP胶带热塑类本体型胶黏剂</w:t>
                  </w:r>
                  <w:r>
                    <w:rPr>
                      <w:rFonts w:hint="eastAsia" w:hAnsi="宋体"/>
                      <w:color w:val="auto"/>
                      <w:sz w:val="18"/>
                      <w:szCs w:val="18"/>
                    </w:rPr>
                    <w:t>、VOCs含量</w:t>
                  </w:r>
                  <w:r>
                    <w:rPr>
                      <w:rFonts w:hint="eastAsia" w:hAnsi="宋体"/>
                      <w:color w:val="auto"/>
                      <w:sz w:val="18"/>
                      <w:szCs w:val="18"/>
                      <w:lang w:val="en-US" w:eastAsia="zh-CN"/>
                    </w:rPr>
                    <w:t>小于50g/kg-胶黏剂限值要求</w:t>
                  </w:r>
                  <w:r>
                    <w:rPr>
                      <w:rFonts w:hint="eastAsia" w:hAnsi="宋体"/>
                      <w:color w:val="auto"/>
                      <w:sz w:val="18"/>
                      <w:szCs w:val="18"/>
                    </w:rPr>
                    <w:t>。</w:t>
                  </w:r>
                </w:p>
              </w:tc>
              <w:tc>
                <w:tcPr>
                  <w:tcW w:w="474" w:type="pct"/>
                  <w:noWrap w:val="0"/>
                  <w:vAlign w:val="center"/>
                </w:tcPr>
                <w:p>
                  <w:pPr>
                    <w:snapToGrid w:val="0"/>
                    <w:jc w:val="center"/>
                    <w:rPr>
                      <w:rFonts w:hint="eastAsia"/>
                      <w:color w:val="auto"/>
                      <w:sz w:val="18"/>
                      <w:szCs w:val="18"/>
                    </w:rPr>
                  </w:pPr>
                  <w:r>
                    <w:rPr>
                      <w:rFonts w:hint="eastAsia"/>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90" w:type="pct"/>
                  <w:noWrap w:val="0"/>
                  <w:vAlign w:val="center"/>
                </w:tcPr>
                <w:p>
                  <w:pPr>
                    <w:snapToGrid w:val="0"/>
                    <w:jc w:val="center"/>
                    <w:rPr>
                      <w:rFonts w:eastAsia="仿宋"/>
                      <w:color w:val="auto"/>
                      <w:sz w:val="18"/>
                      <w:szCs w:val="18"/>
                    </w:rPr>
                  </w:pPr>
                  <w:r>
                    <w:rPr>
                      <w:rFonts w:hint="eastAsia" w:hAnsi="宋体"/>
                      <w:color w:val="auto"/>
                      <w:sz w:val="18"/>
                      <w:szCs w:val="18"/>
                    </w:rPr>
                    <w:t>实施排污许可。建立健全以排污许可核发为中心的VOCs管控</w:t>
                  </w:r>
                  <w:r>
                    <w:rPr>
                      <w:rFonts w:hint="eastAsia" w:hAnsi="宋体"/>
                      <w:color w:val="auto"/>
                      <w:sz w:val="18"/>
                      <w:szCs w:val="18"/>
                      <w:lang w:val="en-US" w:eastAsia="zh-CN"/>
                    </w:rPr>
                    <w:t>依据</w:t>
                  </w:r>
                  <w:r>
                    <w:rPr>
                      <w:rFonts w:hint="eastAsia" w:hAnsi="宋体"/>
                      <w:color w:val="auto"/>
                      <w:sz w:val="18"/>
                      <w:szCs w:val="18"/>
                    </w:rPr>
                    <w:t>，在石油、化工、工业涂装、包装印刷、油品储运销五大领域全面推行排污许可制度，不断规范涉VOCs工业企业的排污许可登记管理，落实企业VOCs源头削减、过程控制和末端污染治理工作，推进企业自行监测、台账落实和定期报告的具体规定落地，严厉处罚无证和不按证排污行为。</w:t>
                  </w:r>
                </w:p>
              </w:tc>
              <w:tc>
                <w:tcPr>
                  <w:tcW w:w="1434" w:type="pct"/>
                  <w:noWrap w:val="0"/>
                  <w:vAlign w:val="center"/>
                </w:tcPr>
                <w:p>
                  <w:pPr>
                    <w:snapToGrid w:val="0"/>
                    <w:jc w:val="center"/>
                    <w:rPr>
                      <w:rFonts w:hint="eastAsia" w:hAnsi="宋体"/>
                      <w:color w:val="auto"/>
                      <w:sz w:val="18"/>
                      <w:szCs w:val="18"/>
                    </w:rPr>
                  </w:pPr>
                  <w:r>
                    <w:rPr>
                      <w:rFonts w:hint="eastAsia" w:hAnsi="宋体"/>
                      <w:color w:val="auto"/>
                      <w:sz w:val="18"/>
                      <w:szCs w:val="18"/>
                    </w:rPr>
                    <w:t>本项目</w:t>
                  </w:r>
                  <w:r>
                    <w:rPr>
                      <w:rFonts w:hint="eastAsia" w:hAnsi="宋体"/>
                      <w:color w:val="auto"/>
                      <w:sz w:val="18"/>
                      <w:szCs w:val="18"/>
                      <w:lang w:val="en-US" w:eastAsia="zh-CN"/>
                    </w:rPr>
                    <w:t>属于新建项目，目前正积极履行环评手续，企业承诺</w:t>
                  </w:r>
                  <w:r>
                    <w:rPr>
                      <w:rFonts w:hint="eastAsia" w:hAnsi="宋体"/>
                      <w:color w:val="auto"/>
                      <w:sz w:val="18"/>
                      <w:szCs w:val="18"/>
                    </w:rPr>
                    <w:t>在实际排污前履行排污许可登记管理手续</w:t>
                  </w:r>
                </w:p>
              </w:tc>
              <w:tc>
                <w:tcPr>
                  <w:tcW w:w="474" w:type="pct"/>
                  <w:noWrap w:val="0"/>
                  <w:vAlign w:val="center"/>
                </w:tcPr>
                <w:p>
                  <w:pPr>
                    <w:snapToGrid w:val="0"/>
                    <w:jc w:val="center"/>
                    <w:rPr>
                      <w:rFonts w:hint="eastAsia"/>
                      <w:color w:val="auto"/>
                      <w:sz w:val="18"/>
                      <w:szCs w:val="18"/>
                    </w:rPr>
                  </w:pPr>
                  <w:r>
                    <w:rPr>
                      <w:bCs/>
                      <w:color w:val="auto"/>
                      <w:sz w:val="18"/>
                      <w:szCs w:val="18"/>
                    </w:rPr>
                    <w:t>符合</w:t>
                  </w:r>
                </w:p>
              </w:tc>
            </w:tr>
          </w:tbl>
          <w:p>
            <w:pPr>
              <w:spacing w:line="336" w:lineRule="auto"/>
              <w:ind w:firstLine="420" w:firstLineChars="200"/>
              <w:rPr>
                <w:rFonts w:hint="eastAsia"/>
                <w:color w:val="auto"/>
                <w:szCs w:val="21"/>
              </w:rPr>
            </w:pPr>
            <w:r>
              <w:rPr>
                <w:rFonts w:hint="eastAsia"/>
                <w:color w:val="auto"/>
                <w:szCs w:val="21"/>
              </w:rPr>
              <w:t>综上所述，项目建设符合</w:t>
            </w:r>
            <w:r>
              <w:rPr>
                <w:rFonts w:hint="eastAsia"/>
                <w:b/>
                <w:color w:val="auto"/>
                <w:szCs w:val="21"/>
              </w:rPr>
              <w:t>《</w:t>
            </w:r>
            <w:r>
              <w:rPr>
                <w:b/>
                <w:color w:val="auto"/>
                <w:szCs w:val="21"/>
              </w:rPr>
              <w:t>安徽省大气办关于深入开展挥发性有机物污染治理工作的通知</w:t>
            </w:r>
            <w:r>
              <w:rPr>
                <w:rFonts w:hint="eastAsia"/>
                <w:b/>
                <w:color w:val="auto"/>
                <w:szCs w:val="21"/>
              </w:rPr>
              <w:t>》（皖大气办</w:t>
            </w:r>
            <w:r>
              <w:rPr>
                <w:rFonts w:hint="eastAsia"/>
                <w:b/>
                <w:color w:val="auto"/>
                <w:szCs w:val="21"/>
                <w:lang w:eastAsia="zh-CN"/>
              </w:rPr>
              <w:t>〔</w:t>
            </w:r>
            <w:r>
              <w:rPr>
                <w:rFonts w:hint="eastAsia"/>
                <w:b/>
                <w:color w:val="auto"/>
                <w:szCs w:val="21"/>
              </w:rPr>
              <w:t>2021</w:t>
            </w:r>
            <w:r>
              <w:rPr>
                <w:rFonts w:hint="eastAsia"/>
                <w:b/>
                <w:color w:val="auto"/>
                <w:szCs w:val="21"/>
                <w:lang w:eastAsia="zh-CN"/>
              </w:rPr>
              <w:t>〕</w:t>
            </w:r>
            <w:r>
              <w:rPr>
                <w:rFonts w:hint="eastAsia"/>
                <w:b/>
                <w:color w:val="auto"/>
                <w:szCs w:val="21"/>
              </w:rPr>
              <w:t>4号）</w:t>
            </w:r>
            <w:r>
              <w:rPr>
                <w:rFonts w:hint="eastAsia"/>
                <w:color w:val="auto"/>
                <w:szCs w:val="21"/>
              </w:rPr>
              <w:t>的要求。</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b/>
                <w:bCs/>
                <w:color w:val="auto"/>
                <w:kern w:val="0"/>
                <w:szCs w:val="21"/>
                <w:lang w:val="en-US" w:eastAsia="zh-CN"/>
              </w:rPr>
            </w:pPr>
            <w:r>
              <w:rPr>
                <w:rFonts w:hint="eastAsia"/>
                <w:b/>
                <w:bCs/>
                <w:color w:val="auto"/>
                <w:kern w:val="0"/>
                <w:szCs w:val="21"/>
              </w:rPr>
              <w:t>5、</w:t>
            </w:r>
            <w:r>
              <w:rPr>
                <w:rFonts w:hint="eastAsia" w:ascii="Times New Roman" w:hAnsi="Times New Roman" w:cs="Times New Roman"/>
                <w:b/>
                <w:bCs/>
                <w:color w:val="auto"/>
                <w:kern w:val="0"/>
                <w:szCs w:val="21"/>
                <w:lang w:val="en-US" w:eastAsia="zh-CN"/>
              </w:rPr>
              <w:t>与《淮南市2023年大气污染防治工作要点》（淮大气办</w:t>
            </w:r>
            <w:r>
              <w:rPr>
                <w:rFonts w:hint="eastAsia" w:cs="Times New Roman"/>
                <w:b/>
                <w:bCs/>
                <w:color w:val="auto"/>
                <w:kern w:val="0"/>
                <w:szCs w:val="21"/>
                <w:lang w:val="en-US" w:eastAsia="zh-CN"/>
              </w:rPr>
              <w:t>〔</w:t>
            </w:r>
            <w:r>
              <w:rPr>
                <w:rFonts w:hint="eastAsia" w:ascii="Times New Roman" w:hAnsi="Times New Roman" w:cs="Times New Roman"/>
                <w:b/>
                <w:bCs/>
                <w:color w:val="auto"/>
                <w:kern w:val="0"/>
                <w:szCs w:val="21"/>
                <w:lang w:val="en-US" w:eastAsia="zh-CN"/>
              </w:rPr>
              <w:t>2023</w:t>
            </w:r>
            <w:r>
              <w:rPr>
                <w:rFonts w:hint="eastAsia" w:cs="Times New Roman"/>
                <w:b/>
                <w:bCs/>
                <w:color w:val="auto"/>
                <w:kern w:val="0"/>
                <w:szCs w:val="21"/>
                <w:lang w:val="en-US" w:eastAsia="zh-CN"/>
              </w:rPr>
              <w:t>〕</w:t>
            </w:r>
            <w:r>
              <w:rPr>
                <w:rFonts w:hint="eastAsia" w:ascii="Times New Roman" w:hAnsi="Times New Roman" w:cs="Times New Roman"/>
                <w:b/>
                <w:bCs/>
                <w:color w:val="auto"/>
                <w:kern w:val="0"/>
                <w:szCs w:val="21"/>
                <w:lang w:val="en-US" w:eastAsia="zh-CN"/>
              </w:rPr>
              <w:t>6号）相符性分析</w:t>
            </w:r>
          </w:p>
          <w:p>
            <w:pPr>
              <w:widowControl/>
              <w:autoSpaceDE w:val="0"/>
              <w:autoSpaceDN w:val="0"/>
              <w:adjustRightInd w:val="0"/>
              <w:snapToGrid w:val="0"/>
              <w:spacing w:line="360" w:lineRule="auto"/>
              <w:ind w:firstLine="0" w:firstLineChars="0"/>
              <w:jc w:val="center"/>
              <w:rPr>
                <w:rFonts w:hint="eastAsia"/>
                <w:b/>
                <w:color w:val="auto"/>
                <w:kern w:val="0"/>
                <w:szCs w:val="21"/>
              </w:rPr>
            </w:pPr>
            <w:r>
              <w:rPr>
                <w:rFonts w:hint="eastAsia"/>
                <w:b/>
                <w:color w:val="auto"/>
                <w:kern w:val="0"/>
                <w:szCs w:val="21"/>
              </w:rPr>
              <w:t>表1-</w:t>
            </w:r>
            <w:r>
              <w:rPr>
                <w:rFonts w:hint="eastAsia"/>
                <w:b/>
                <w:color w:val="auto"/>
                <w:kern w:val="0"/>
                <w:szCs w:val="21"/>
                <w:lang w:val="en-US" w:eastAsia="zh-CN"/>
              </w:rPr>
              <w:t>5</w:t>
            </w:r>
            <w:r>
              <w:rPr>
                <w:rFonts w:hint="eastAsia"/>
                <w:b/>
                <w:color w:val="auto"/>
                <w:kern w:val="0"/>
                <w:szCs w:val="21"/>
              </w:rPr>
              <w:t xml:space="preserve"> </w:t>
            </w:r>
            <w:r>
              <w:rPr>
                <w:rFonts w:hint="eastAsia"/>
                <w:b/>
                <w:color w:val="auto"/>
                <w:kern w:val="0"/>
                <w:szCs w:val="21"/>
                <w:lang w:val="en-US" w:eastAsia="zh-CN"/>
              </w:rPr>
              <w:t xml:space="preserve"> </w:t>
            </w:r>
            <w:r>
              <w:rPr>
                <w:rFonts w:hint="eastAsia"/>
                <w:b/>
                <w:color w:val="auto"/>
                <w:kern w:val="0"/>
                <w:szCs w:val="21"/>
              </w:rPr>
              <w:t>与</w:t>
            </w:r>
            <w:r>
              <w:rPr>
                <w:rFonts w:hint="eastAsia"/>
                <w:b/>
                <w:color w:val="auto"/>
                <w:kern w:val="0"/>
                <w:szCs w:val="21"/>
                <w:lang w:val="en-US" w:eastAsia="zh-CN"/>
              </w:rPr>
              <w:t>《淮南市2023年大气污染防治工作要点》</w:t>
            </w:r>
            <w:r>
              <w:rPr>
                <w:rFonts w:hint="eastAsia"/>
                <w:b/>
                <w:color w:val="auto"/>
                <w:kern w:val="0"/>
                <w:szCs w:val="21"/>
              </w:rPr>
              <w:t>相符性分析</w:t>
            </w:r>
          </w:p>
          <w:tbl>
            <w:tblPr>
              <w:tblStyle w:val="4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14"/>
              <w:gridCol w:w="5271"/>
              <w:gridCol w:w="1138"/>
              <w:gridCol w:w="5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序号</w:t>
                  </w:r>
                </w:p>
              </w:tc>
              <w:tc>
                <w:tcPr>
                  <w:tcW w:w="56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文件相关内容</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本项目情况</w:t>
                  </w:r>
                </w:p>
              </w:tc>
              <w:tc>
                <w:tcPr>
                  <w:tcW w:w="5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是否相符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1</w:t>
                  </w:r>
                </w:p>
              </w:tc>
              <w:tc>
                <w:tcPr>
                  <w:tcW w:w="56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有序推进碳达峰。落实安徽省减污降碳协同增效工作方案，构建减污降碳协同制度。积极参与碳排放权交易，开展发电行业重点排放单位碳排放权交易配额分配和清缴。加强甲烷等非二氧化碳温室气体排放管控，探索将温室气体管控纳入环评管理</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本项目符合国家相关法律法规，无甲烷等</w:t>
                  </w:r>
                  <w:r>
                    <w:rPr>
                      <w:rFonts w:hint="eastAsia" w:cs="Times New Roman"/>
                      <w:b w:val="0"/>
                      <w:bCs w:val="0"/>
                      <w:color w:val="auto"/>
                      <w:kern w:val="0"/>
                      <w:sz w:val="18"/>
                      <w:szCs w:val="18"/>
                      <w:vertAlign w:val="baseline"/>
                      <w:lang w:val="en-US" w:eastAsia="zh-CN"/>
                    </w:rPr>
                    <w:t>非</w:t>
                  </w:r>
                  <w:r>
                    <w:rPr>
                      <w:rFonts w:hint="eastAsia" w:ascii="Times New Roman" w:hAnsi="Times New Roman" w:cs="Times New Roman"/>
                      <w:b w:val="0"/>
                      <w:bCs w:val="0"/>
                      <w:color w:val="auto"/>
                      <w:kern w:val="0"/>
                      <w:sz w:val="18"/>
                      <w:szCs w:val="18"/>
                      <w:vertAlign w:val="baseline"/>
                      <w:lang w:val="en-US" w:eastAsia="zh-CN"/>
                    </w:rPr>
                    <w:t>二氧化碳温室气体排放</w:t>
                  </w:r>
                </w:p>
              </w:tc>
              <w:tc>
                <w:tcPr>
                  <w:tcW w:w="5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2</w:t>
                  </w:r>
                </w:p>
              </w:tc>
              <w:tc>
                <w:tcPr>
                  <w:tcW w:w="56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default" w:ascii="Times New Roman" w:hAnsi="Times New Roman" w:cs="Times New Roman"/>
                      <w:b w:val="0"/>
                      <w:bCs w:val="0"/>
                      <w:color w:val="auto"/>
                      <w:kern w:val="0"/>
                      <w:sz w:val="18"/>
                      <w:szCs w:val="18"/>
                      <w:vertAlign w:val="baseline"/>
                      <w:lang w:val="en-US" w:eastAsia="zh-CN"/>
                    </w:rPr>
                    <w:t>持续做好煤炭消费减量控制。压减非电行业用煤，完成省下达的煤炭消费量年度目标；新、改、扩建项目严格实施煤炭减量替代，煤炭替代方案不完善的依法不予审批。加强商品煤质量监督和管理，确保符合国家和地方标准要求。推进煤炭清洁高效利用。禁止新建企业自备燃煤设施，加快供热管网建设，充分释放燃煤电厂、工业余热等供热能力</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本项目无燃煤设施</w:t>
                  </w:r>
                </w:p>
              </w:tc>
              <w:tc>
                <w:tcPr>
                  <w:tcW w:w="5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3</w:t>
                  </w:r>
                </w:p>
              </w:tc>
              <w:tc>
                <w:tcPr>
                  <w:tcW w:w="56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default" w:ascii="Times New Roman" w:hAnsi="Times New Roman" w:cs="Times New Roman"/>
                      <w:b w:val="0"/>
                      <w:bCs w:val="0"/>
                      <w:color w:val="auto"/>
                      <w:kern w:val="0"/>
                      <w:sz w:val="18"/>
                      <w:szCs w:val="18"/>
                      <w:vertAlign w:val="baseline"/>
                      <w:lang w:val="en-US" w:eastAsia="zh-CN"/>
                    </w:rPr>
                    <w:t>深度实施清洁能源替代。鼓励砖瓦炉窑外投燃料使用天然气、液化石油气等清洁能源。禁燃区内“散煤”动态清零，禁燃区外积极发展生物质、农村沼气等多种清洁能源。燃气锅炉应全部安装低氮燃烧装置，完成低氮燃烧改造的锅炉应逐一核实低氮燃烧装置运行情况。实施可再生能源替代行动，加快建设新型能源供应系统，因地制宜开发风电与光伏发电，鼓励建设风能、太阳能、生物质能等新能源项目</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本项目无燃煤设施，采用天然气为燃料</w:t>
                  </w:r>
                </w:p>
              </w:tc>
              <w:tc>
                <w:tcPr>
                  <w:tcW w:w="5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4</w:t>
                  </w:r>
                </w:p>
              </w:tc>
              <w:tc>
                <w:tcPr>
                  <w:tcW w:w="56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default" w:ascii="Times New Roman" w:hAnsi="Times New Roman" w:cs="Times New Roman"/>
                      <w:b w:val="0"/>
                      <w:bCs w:val="0"/>
                      <w:color w:val="auto"/>
                      <w:kern w:val="0"/>
                      <w:sz w:val="18"/>
                      <w:szCs w:val="18"/>
                      <w:vertAlign w:val="baseline"/>
                      <w:lang w:val="en-US" w:eastAsia="zh-CN"/>
                    </w:rPr>
                    <w:t>开展“两高”项目排查，实施清单管理、分类处置、动态监控，对不符合规定的新申请项目坚决停批停建，科学稳妥推进符合要求的拟建项目。依法依规淘汰落后产能和化解过剩产能</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对照《安徽省“两高”项目管理目录（试行）》，本项目不属于两高项目</w:t>
                  </w:r>
                </w:p>
              </w:tc>
              <w:tc>
                <w:tcPr>
                  <w:tcW w:w="5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5</w:t>
                  </w:r>
                </w:p>
              </w:tc>
              <w:tc>
                <w:tcPr>
                  <w:tcW w:w="56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default" w:ascii="Times New Roman" w:hAnsi="Times New Roman" w:cs="Times New Roman"/>
                      <w:b w:val="0"/>
                      <w:bCs w:val="0"/>
                      <w:color w:val="auto"/>
                      <w:kern w:val="0"/>
                      <w:sz w:val="18"/>
                      <w:szCs w:val="18"/>
                      <w:vertAlign w:val="baseline"/>
                      <w:lang w:val="en-US" w:eastAsia="zh-CN"/>
                    </w:rPr>
                    <w:t>实施挥发性有机物治理专项行动。加强统筹谋划</w:t>
                  </w:r>
                  <w:r>
                    <w:rPr>
                      <w:rFonts w:hint="eastAsia" w:ascii="Times New Roman" w:hAnsi="Times New Roman" w:cs="Times New Roman"/>
                      <w:b w:val="0"/>
                      <w:bCs w:val="0"/>
                      <w:color w:val="auto"/>
                      <w:kern w:val="0"/>
                      <w:sz w:val="18"/>
                      <w:szCs w:val="18"/>
                      <w:vertAlign w:val="baseline"/>
                      <w:lang w:val="en-US" w:eastAsia="zh-CN"/>
                    </w:rPr>
                    <w:t>。对重点行业的涉VOC</w:t>
                  </w:r>
                  <w:r>
                    <w:rPr>
                      <w:rFonts w:hint="eastAsia" w:ascii="Times New Roman" w:hAnsi="Times New Roman" w:cs="Times New Roman"/>
                      <w:b w:val="0"/>
                      <w:bCs w:val="0"/>
                      <w:color w:val="auto"/>
                      <w:kern w:val="0"/>
                      <w:sz w:val="18"/>
                      <w:szCs w:val="18"/>
                      <w:vertAlign w:val="subscript"/>
                      <w:lang w:val="en-US" w:eastAsia="zh-CN"/>
                    </w:rPr>
                    <w:t>S</w:t>
                  </w:r>
                  <w:r>
                    <w:rPr>
                      <w:rFonts w:hint="eastAsia" w:ascii="Times New Roman" w:hAnsi="Times New Roman" w:cs="Times New Roman"/>
                      <w:b w:val="0"/>
                      <w:bCs w:val="0"/>
                      <w:color w:val="auto"/>
                      <w:kern w:val="0"/>
                      <w:sz w:val="18"/>
                      <w:szCs w:val="18"/>
                      <w:vertAlign w:val="baseline"/>
                      <w:lang w:val="en-US" w:eastAsia="zh-CN"/>
                    </w:rPr>
                    <w:t>企业管理台账进行动态管理，持续更新。不断推动VOC</w:t>
                  </w:r>
                  <w:r>
                    <w:rPr>
                      <w:rFonts w:hint="eastAsia" w:ascii="Times New Roman" w:hAnsi="Times New Roman" w:cs="Times New Roman"/>
                      <w:b w:val="0"/>
                      <w:bCs w:val="0"/>
                      <w:color w:val="auto"/>
                      <w:kern w:val="0"/>
                      <w:sz w:val="18"/>
                      <w:szCs w:val="18"/>
                      <w:vertAlign w:val="subscript"/>
                      <w:lang w:val="en-US" w:eastAsia="zh-CN"/>
                    </w:rPr>
                    <w:t>S</w:t>
                  </w:r>
                  <w:r>
                    <w:rPr>
                      <w:rFonts w:hint="eastAsia" w:ascii="Times New Roman" w:hAnsi="Times New Roman" w:cs="Times New Roman"/>
                      <w:b w:val="0"/>
                      <w:bCs w:val="0"/>
                      <w:color w:val="auto"/>
                      <w:kern w:val="0"/>
                      <w:sz w:val="18"/>
                      <w:szCs w:val="18"/>
                      <w:vertAlign w:val="baseline"/>
                      <w:lang w:val="en-US" w:eastAsia="zh-CN"/>
                    </w:rPr>
                    <w:t>年排放量1吨及以上的企业实施“一厂一策”的编制。实施深度治理。确保VOC</w:t>
                  </w:r>
                  <w:r>
                    <w:rPr>
                      <w:rFonts w:hint="eastAsia" w:ascii="Times New Roman" w:hAnsi="Times New Roman" w:cs="Times New Roman"/>
                      <w:b w:val="0"/>
                      <w:bCs w:val="0"/>
                      <w:color w:val="auto"/>
                      <w:kern w:val="0"/>
                      <w:sz w:val="18"/>
                      <w:szCs w:val="18"/>
                      <w:vertAlign w:val="subscript"/>
                      <w:lang w:val="en-US" w:eastAsia="zh-CN"/>
                    </w:rPr>
                    <w:t>S</w:t>
                  </w:r>
                  <w:r>
                    <w:rPr>
                      <w:rFonts w:hint="eastAsia" w:ascii="Times New Roman" w:hAnsi="Times New Roman" w:cs="Times New Roman"/>
                      <w:b w:val="0"/>
                      <w:bCs w:val="0"/>
                      <w:color w:val="auto"/>
                      <w:kern w:val="0"/>
                      <w:sz w:val="18"/>
                      <w:szCs w:val="18"/>
                      <w:vertAlign w:val="baseline"/>
                      <w:lang w:val="en-US" w:eastAsia="zh-CN"/>
                    </w:rPr>
                    <w:t>收集效率不低于90%，去除率不低于80%。采用密闭方式收集废气时，密闭空间必须同时满足足够的换气次数和保持微负压状态；采用上吸风形式收集废气时，集气罩开口面最远处控制风速不低于0.3米/秒。除治理恶臭异味外，鼓励采用单一光氧化、光催化、低温等离子等低效VOC</w:t>
                  </w:r>
                  <w:r>
                    <w:rPr>
                      <w:rFonts w:hint="eastAsia" w:ascii="Times New Roman" w:hAnsi="Times New Roman" w:cs="Times New Roman"/>
                      <w:b w:val="0"/>
                      <w:bCs w:val="0"/>
                      <w:color w:val="auto"/>
                      <w:kern w:val="0"/>
                      <w:sz w:val="18"/>
                      <w:szCs w:val="18"/>
                      <w:vertAlign w:val="subscript"/>
                      <w:lang w:val="en-US" w:eastAsia="zh-CN"/>
                    </w:rPr>
                    <w:t>S</w:t>
                  </w:r>
                  <w:r>
                    <w:rPr>
                      <w:rFonts w:hint="eastAsia" w:ascii="Times New Roman" w:hAnsi="Times New Roman" w:cs="Times New Roman"/>
                      <w:b w:val="0"/>
                      <w:bCs w:val="0"/>
                      <w:color w:val="auto"/>
                      <w:kern w:val="0"/>
                      <w:sz w:val="18"/>
                      <w:szCs w:val="18"/>
                      <w:vertAlign w:val="baseline"/>
                      <w:lang w:val="en-US" w:eastAsia="zh-CN"/>
                    </w:rPr>
                    <w:t>治理工艺的企业提标改造；采用活性炭吸附处理技术的涉VOC</w:t>
                  </w:r>
                  <w:r>
                    <w:rPr>
                      <w:rFonts w:hint="eastAsia" w:ascii="Times New Roman" w:hAnsi="Times New Roman" w:cs="Times New Roman"/>
                      <w:b w:val="0"/>
                      <w:bCs w:val="0"/>
                      <w:color w:val="auto"/>
                      <w:kern w:val="0"/>
                      <w:sz w:val="18"/>
                      <w:szCs w:val="18"/>
                      <w:vertAlign w:val="subscript"/>
                      <w:lang w:val="en-US" w:eastAsia="zh-CN"/>
                    </w:rPr>
                    <w:t>S</w:t>
                  </w:r>
                  <w:r>
                    <w:rPr>
                      <w:rFonts w:hint="eastAsia" w:ascii="Times New Roman" w:hAnsi="Times New Roman" w:cs="Times New Roman"/>
                      <w:b w:val="0"/>
                      <w:bCs w:val="0"/>
                      <w:color w:val="auto"/>
                      <w:kern w:val="0"/>
                      <w:sz w:val="18"/>
                      <w:szCs w:val="18"/>
                      <w:vertAlign w:val="baseline"/>
                      <w:lang w:val="en-US" w:eastAsia="zh-CN"/>
                    </w:rPr>
                    <w:t>企业要及时更换，活性炭碘值不宜低于800mg/g。推进源头替代。提高水性、高固体分、无溶剂、粉末、辐射固化等低VOC</w:t>
                  </w:r>
                  <w:r>
                    <w:rPr>
                      <w:rFonts w:hint="eastAsia" w:ascii="Times New Roman" w:hAnsi="Times New Roman" w:cs="Times New Roman"/>
                      <w:b w:val="0"/>
                      <w:bCs w:val="0"/>
                      <w:color w:val="auto"/>
                      <w:kern w:val="0"/>
                      <w:sz w:val="18"/>
                      <w:szCs w:val="18"/>
                      <w:vertAlign w:val="subscript"/>
                      <w:lang w:val="en-US" w:eastAsia="zh-CN"/>
                    </w:rPr>
                    <w:t>S</w:t>
                  </w:r>
                  <w:r>
                    <w:rPr>
                      <w:rFonts w:hint="eastAsia" w:ascii="Times New Roman" w:hAnsi="Times New Roman" w:cs="Times New Roman"/>
                      <w:b w:val="0"/>
                      <w:bCs w:val="0"/>
                      <w:color w:val="auto"/>
                      <w:kern w:val="0"/>
                      <w:sz w:val="18"/>
                      <w:szCs w:val="18"/>
                      <w:vertAlign w:val="baseline"/>
                      <w:lang w:val="en-US" w:eastAsia="zh-CN"/>
                    </w:rPr>
                    <w:t>含量产品的比重。</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color w:val="auto"/>
                      <w:kern w:val="0"/>
                      <w:sz w:val="18"/>
                      <w:szCs w:val="18"/>
                      <w:vertAlign w:val="baseline"/>
                      <w:lang w:val="en-US" w:eastAsia="zh-CN"/>
                    </w:rPr>
                    <w:t>本项目所使用胶黏剂为PP本体型胶黏剂，属于低VOC含量胶黏剂</w:t>
                  </w:r>
                </w:p>
              </w:tc>
              <w:tc>
                <w:tcPr>
                  <w:tcW w:w="5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6</w:t>
                  </w:r>
                </w:p>
              </w:tc>
              <w:tc>
                <w:tcPr>
                  <w:tcW w:w="56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default" w:ascii="Times New Roman" w:hAnsi="Times New Roman" w:cs="Times New Roman"/>
                      <w:b w:val="0"/>
                      <w:bCs w:val="0"/>
                      <w:color w:val="auto"/>
                      <w:kern w:val="0"/>
                      <w:sz w:val="18"/>
                      <w:szCs w:val="18"/>
                      <w:vertAlign w:val="baseline"/>
                      <w:lang w:val="en-US" w:eastAsia="zh-CN"/>
                    </w:rPr>
                    <w:t>开展工业炉窑专项治理行动。对全市玻璃、砖瓦、水泥、粮食加工等行业的工业炉窑进行全面梳理，摸清底数，确定治理方案。粮食加工企业严禁使用燃煤加热炉，使用生物质加热炉应配备除尘设备。现有砖瓦窑企业应对标安徽省《砖瓦工业大气污染物排放标准》，提前进行污染治理设施的提标改造，降低污染物排放，力争达到第二阶段排放标准。玻璃制品企业应对标安徽省《玻璃工业大气污染物排放标准》，优化脱硫脱硝设备工艺，确保脱硫脱硝设施稳定运行</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本项目不涉及工业炉窑</w:t>
                  </w:r>
                </w:p>
              </w:tc>
              <w:tc>
                <w:tcPr>
                  <w:tcW w:w="5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7</w:t>
                  </w:r>
                </w:p>
              </w:tc>
              <w:tc>
                <w:tcPr>
                  <w:tcW w:w="56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default" w:ascii="Times New Roman" w:hAnsi="Times New Roman" w:cs="Times New Roman"/>
                      <w:b w:val="0"/>
                      <w:bCs w:val="0"/>
                      <w:color w:val="auto"/>
                      <w:kern w:val="0"/>
                      <w:sz w:val="18"/>
                      <w:szCs w:val="18"/>
                      <w:vertAlign w:val="baseline"/>
                      <w:lang w:val="en-US" w:eastAsia="zh-CN"/>
                    </w:rPr>
                    <w:t>推进淮南市清洁运输工作。推进全市重点行业企业运输车辆及非道路移动机械升级。火电、水泥、建材等重点行业新建企业厂内转运车辆及非道路移动机械均应使用新能源或清洁能源车辆；现有企业市域内转运应逐步使用新能源或清洁能源车辆，跨市域运输无法使用新能源或清洁能源车辆的，应满足国六B排放标准</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本项目</w:t>
                  </w:r>
                  <w:r>
                    <w:rPr>
                      <w:rFonts w:hint="eastAsia" w:cs="Times New Roman"/>
                      <w:b w:val="0"/>
                      <w:bCs w:val="0"/>
                      <w:color w:val="auto"/>
                      <w:kern w:val="0"/>
                      <w:sz w:val="18"/>
                      <w:szCs w:val="18"/>
                      <w:vertAlign w:val="baseline"/>
                      <w:lang w:val="en-US" w:eastAsia="zh-CN"/>
                    </w:rPr>
                    <w:t>属于</w:t>
                  </w:r>
                  <w:r>
                    <w:rPr>
                      <w:rFonts w:hint="eastAsia" w:ascii="Times New Roman" w:hAnsi="Times New Roman" w:cs="Times New Roman"/>
                      <w:b w:val="0"/>
                      <w:bCs w:val="0"/>
                      <w:color w:val="auto"/>
                      <w:kern w:val="0"/>
                      <w:sz w:val="18"/>
                      <w:szCs w:val="18"/>
                      <w:vertAlign w:val="baseline"/>
                      <w:lang w:val="en-US" w:eastAsia="zh-CN"/>
                    </w:rPr>
                    <w:t>非重点行业，运输车辆优先新能源车辆</w:t>
                  </w:r>
                </w:p>
              </w:tc>
              <w:tc>
                <w:tcPr>
                  <w:tcW w:w="5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8</w:t>
                  </w:r>
                </w:p>
              </w:tc>
              <w:tc>
                <w:tcPr>
                  <w:tcW w:w="56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default" w:ascii="Times New Roman" w:hAnsi="Times New Roman" w:cs="Times New Roman"/>
                      <w:b w:val="0"/>
                      <w:bCs w:val="0"/>
                      <w:color w:val="auto"/>
                      <w:kern w:val="0"/>
                      <w:sz w:val="18"/>
                      <w:szCs w:val="18"/>
                      <w:vertAlign w:val="baseline"/>
                      <w:lang w:val="en-US" w:eastAsia="zh-CN"/>
                    </w:rPr>
                    <w:t>实施扬尘污染防治专项行动。建筑、市政、拆迁等工地全面落实“六个百分百”要求，工地应全部编制扬尘防治方案，</w:t>
                  </w:r>
                  <w:r>
                    <w:rPr>
                      <w:rFonts w:hint="eastAsia" w:cs="Times New Roman"/>
                      <w:b w:val="0"/>
                      <w:bCs w:val="0"/>
                      <w:color w:val="auto"/>
                      <w:kern w:val="0"/>
                      <w:sz w:val="18"/>
                      <w:szCs w:val="18"/>
                      <w:vertAlign w:val="baseline"/>
                      <w:lang w:val="en-US" w:eastAsia="zh-CN"/>
                    </w:rPr>
                    <w:t>竖立公示牌</w:t>
                  </w:r>
                  <w:r>
                    <w:rPr>
                      <w:rFonts w:hint="default" w:ascii="Times New Roman" w:hAnsi="Times New Roman" w:cs="Times New Roman"/>
                      <w:b w:val="0"/>
                      <w:bCs w:val="0"/>
                      <w:color w:val="auto"/>
                      <w:kern w:val="0"/>
                      <w:sz w:val="18"/>
                      <w:szCs w:val="18"/>
                      <w:vertAlign w:val="baseline"/>
                      <w:lang w:val="en-US" w:eastAsia="zh-CN"/>
                    </w:rPr>
                    <w:t>，重点工地监管做到定岗定人。强化道路机械化洗扫作业，建立“洗、扫、冲、收”联合作业流程，持续推进道路清扫保洁机械化作业向乡镇延伸，定期开展重点路段清扫保洁专项行动。大力实施裸土裸地整治，持续推进城市建成区范围内裸土裸地整治。修复矿区和城乡结合部国省干线公路破损路面；加强停车场规范化建设，全面取缔非法停车场。严管渣土运输，严厉打击渣土运输违法行为。强化工业堆场扬尘整治，加强煤系固废扬尘管理，落实物料密闭储存，不断推进实现重点企业的煤场、料场、渣场及环境敏感区的工业堆场监控全覆盖</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本项目严格落实“六个百分百”，物料全部封闭式车间储存</w:t>
                  </w:r>
                </w:p>
              </w:tc>
              <w:tc>
                <w:tcPr>
                  <w:tcW w:w="5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9</w:t>
                  </w:r>
                </w:p>
              </w:tc>
              <w:tc>
                <w:tcPr>
                  <w:tcW w:w="56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default" w:ascii="Times New Roman" w:hAnsi="Times New Roman" w:cs="Times New Roman"/>
                      <w:b w:val="0"/>
                      <w:bCs w:val="0"/>
                      <w:color w:val="auto"/>
                      <w:kern w:val="0"/>
                      <w:sz w:val="18"/>
                      <w:szCs w:val="18"/>
                      <w:vertAlign w:val="baseline"/>
                      <w:lang w:val="en-US" w:eastAsia="zh-CN"/>
                    </w:rPr>
                    <w:t>实施焚烧管控专项行动。严格落实秸秆禁烧职责，切实做到“四离一集中”，消除焚烧隐患；加大宣传和巡查力度，确保“空间覆盖无空白、职责落实无盲点、监督管理无缝隙”；对卫星遥感监测、省级巡查和市级巡查发现的焚烧火点，依法依规严肃问责。加大餐饮油烟污染、恶臭异味治理力度，实施餐饮业环境保护技术规范；开展常态化检查，加强对群众反映强烈的恶臭异味扰民问题排查整治。全力推进烟花爆竹禁限放，提前谋划部署，研究扩大禁燃禁放范围，切实减轻烟花爆竹燃放污染</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本项目不涉及</w:t>
                  </w:r>
                </w:p>
              </w:tc>
              <w:tc>
                <w:tcPr>
                  <w:tcW w:w="5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kern w:val="0"/>
                      <w:sz w:val="18"/>
                      <w:szCs w:val="18"/>
                      <w:vertAlign w:val="baseline"/>
                      <w:lang w:val="en-US" w:eastAsia="zh-CN"/>
                    </w:rPr>
                  </w:pPr>
                  <w:r>
                    <w:rPr>
                      <w:rFonts w:hint="eastAsia" w:ascii="Times New Roman" w:hAnsi="Times New Roman" w:cs="Times New Roman"/>
                      <w:b w:val="0"/>
                      <w:bCs w:val="0"/>
                      <w:color w:val="auto"/>
                      <w:kern w:val="0"/>
                      <w:sz w:val="18"/>
                      <w:szCs w:val="18"/>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kern w:val="0"/>
                <w:szCs w:val="21"/>
                <w:lang w:eastAsia="zh-CN"/>
              </w:rPr>
            </w:pPr>
            <w:r>
              <w:rPr>
                <w:rFonts w:hint="eastAsia"/>
                <w:color w:val="auto"/>
                <w:kern w:val="0"/>
                <w:szCs w:val="21"/>
                <w:lang w:val="en-US" w:eastAsia="zh-CN"/>
              </w:rPr>
              <w:t>综上所述，本项目与《淮南市2023年大气污染防治工作要点》（淮大气办〔2023〕6号）相符</w:t>
            </w:r>
            <w:r>
              <w:rPr>
                <w:rFonts w:hint="eastAsia" w:ascii="Times New Roman" w:hAnsi="Times New Roman" w:eastAsia="宋体"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imes New Roman" w:hAnsi="Times New Roman" w:eastAsia="宋体" w:cs="Times New Roman"/>
                <w:b/>
                <w:bCs/>
                <w:color w:val="auto"/>
                <w:kern w:val="0"/>
                <w:szCs w:val="21"/>
                <w:lang w:val="en-US" w:eastAsia="zh-CN"/>
              </w:rPr>
            </w:pPr>
            <w:r>
              <w:rPr>
                <w:rFonts w:hint="eastAsia" w:ascii="Times New Roman" w:hAnsi="Times New Roman" w:eastAsia="宋体" w:cs="Times New Roman"/>
                <w:b/>
                <w:bCs/>
                <w:color w:val="auto"/>
                <w:kern w:val="0"/>
                <w:szCs w:val="21"/>
                <w:lang w:val="en-US" w:eastAsia="zh-CN"/>
              </w:rPr>
              <w:t>6、与《安徽省低挥发性有机物含量原辅材料替代工作方案》</w:t>
            </w:r>
            <w:r>
              <w:rPr>
                <w:rFonts w:hint="eastAsia" w:cs="Times New Roman"/>
                <w:b/>
                <w:bCs/>
                <w:color w:val="auto"/>
                <w:kern w:val="0"/>
                <w:szCs w:val="21"/>
                <w:lang w:val="en-US" w:eastAsia="zh-CN"/>
              </w:rPr>
              <w:t>（皖环发〔</w:t>
            </w:r>
            <w:r>
              <w:rPr>
                <w:rFonts w:hint="eastAsia"/>
                <w:b/>
                <w:bCs/>
                <w:color w:val="auto"/>
                <w:kern w:val="0"/>
                <w:szCs w:val="21"/>
                <w:lang w:val="en-US" w:eastAsia="zh-CN"/>
              </w:rPr>
              <w:t>2024〕</w:t>
            </w:r>
            <w:r>
              <w:rPr>
                <w:rFonts w:hint="eastAsia" w:cs="Times New Roman"/>
                <w:b/>
                <w:bCs/>
                <w:color w:val="auto"/>
                <w:kern w:val="0"/>
                <w:szCs w:val="21"/>
                <w:lang w:val="en-US" w:eastAsia="zh-CN"/>
              </w:rPr>
              <w:t>1号）</w:t>
            </w:r>
            <w:r>
              <w:rPr>
                <w:rFonts w:hint="eastAsia" w:ascii="Times New Roman" w:hAnsi="Times New Roman" w:eastAsia="宋体" w:cs="Times New Roman"/>
                <w:b/>
                <w:bCs/>
                <w:color w:val="auto"/>
                <w:kern w:val="0"/>
                <w:szCs w:val="21"/>
                <w:lang w:val="en-US" w:eastAsia="zh-CN"/>
              </w:rPr>
              <w:t>相符性分析</w:t>
            </w:r>
          </w:p>
          <w:p>
            <w:pPr>
              <w:widowControl/>
              <w:autoSpaceDE w:val="0"/>
              <w:autoSpaceDN w:val="0"/>
              <w:adjustRightInd w:val="0"/>
              <w:snapToGrid w:val="0"/>
              <w:spacing w:line="360" w:lineRule="auto"/>
              <w:ind w:firstLine="0" w:firstLineChars="0"/>
              <w:jc w:val="center"/>
              <w:rPr>
                <w:rFonts w:hint="eastAsia"/>
                <w:b/>
                <w:color w:val="auto"/>
                <w:kern w:val="0"/>
                <w:szCs w:val="21"/>
                <w:lang w:val="en-US" w:eastAsia="zh-CN"/>
              </w:rPr>
            </w:pPr>
            <w:r>
              <w:rPr>
                <w:rFonts w:hint="eastAsia"/>
                <w:b/>
                <w:color w:val="auto"/>
                <w:kern w:val="0"/>
                <w:szCs w:val="21"/>
                <w:lang w:val="en-US" w:eastAsia="zh-CN"/>
              </w:rPr>
              <w:t>表1-6  “</w:t>
            </w:r>
            <w:r>
              <w:rPr>
                <w:rFonts w:hint="eastAsia" w:cs="Times New Roman"/>
                <w:b/>
                <w:bCs/>
                <w:color w:val="auto"/>
                <w:kern w:val="0"/>
                <w:szCs w:val="21"/>
                <w:lang w:val="en-US" w:eastAsia="zh-CN"/>
              </w:rPr>
              <w:t>皖环发〔</w:t>
            </w:r>
            <w:r>
              <w:rPr>
                <w:rFonts w:hint="eastAsia"/>
                <w:b/>
                <w:bCs/>
                <w:color w:val="auto"/>
                <w:kern w:val="0"/>
                <w:szCs w:val="21"/>
                <w:lang w:val="en-US" w:eastAsia="zh-CN"/>
              </w:rPr>
              <w:t>2024〕</w:t>
            </w:r>
            <w:r>
              <w:rPr>
                <w:rFonts w:hint="eastAsia" w:cs="Times New Roman"/>
                <w:b/>
                <w:bCs/>
                <w:color w:val="auto"/>
                <w:kern w:val="0"/>
                <w:szCs w:val="21"/>
                <w:lang w:val="en-US" w:eastAsia="zh-CN"/>
              </w:rPr>
              <w:t>1号</w:t>
            </w:r>
            <w:r>
              <w:rPr>
                <w:rFonts w:hint="eastAsia"/>
                <w:b/>
                <w:color w:val="auto"/>
                <w:kern w:val="0"/>
                <w:szCs w:val="21"/>
                <w:lang w:val="en-US" w:eastAsia="zh-CN"/>
              </w:rPr>
              <w:t>”符合性分析</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12"/>
              <w:gridCol w:w="1903"/>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pct"/>
                  <w:noWrap w:val="0"/>
                  <w:vAlign w:val="center"/>
                </w:tcPr>
                <w:p>
                  <w:pPr>
                    <w:pStyle w:val="239"/>
                    <w:adjustRightInd w:val="0"/>
                    <w:snapToGrid w:val="0"/>
                    <w:spacing w:line="240" w:lineRule="atLeast"/>
                    <w:jc w:val="center"/>
                    <w:rPr>
                      <w:b/>
                      <w:bCs/>
                      <w:color w:val="auto"/>
                      <w:sz w:val="18"/>
                      <w:szCs w:val="18"/>
                    </w:rPr>
                  </w:pPr>
                  <w:r>
                    <w:rPr>
                      <w:b/>
                      <w:bCs/>
                      <w:color w:val="auto"/>
                      <w:sz w:val="18"/>
                      <w:szCs w:val="18"/>
                    </w:rPr>
                    <w:t>序号</w:t>
                  </w:r>
                </w:p>
              </w:tc>
              <w:tc>
                <w:tcPr>
                  <w:tcW w:w="2760" w:type="pct"/>
                  <w:noWrap w:val="0"/>
                  <w:vAlign w:val="center"/>
                </w:tcPr>
                <w:p>
                  <w:pPr>
                    <w:pStyle w:val="239"/>
                    <w:adjustRightInd w:val="0"/>
                    <w:snapToGrid w:val="0"/>
                    <w:spacing w:line="240" w:lineRule="atLeast"/>
                    <w:jc w:val="center"/>
                    <w:rPr>
                      <w:b/>
                      <w:bCs/>
                      <w:color w:val="auto"/>
                      <w:sz w:val="18"/>
                      <w:szCs w:val="18"/>
                    </w:rPr>
                  </w:pPr>
                  <w:r>
                    <w:rPr>
                      <w:b/>
                      <w:bCs/>
                      <w:color w:val="auto"/>
                      <w:sz w:val="18"/>
                      <w:szCs w:val="18"/>
                    </w:rPr>
                    <w:t>文件要求</w:t>
                  </w:r>
                </w:p>
              </w:tc>
              <w:tc>
                <w:tcPr>
                  <w:tcW w:w="1277" w:type="pct"/>
                  <w:noWrap w:val="0"/>
                  <w:vAlign w:val="center"/>
                </w:tcPr>
                <w:p>
                  <w:pPr>
                    <w:pStyle w:val="239"/>
                    <w:adjustRightInd w:val="0"/>
                    <w:snapToGrid w:val="0"/>
                    <w:spacing w:line="240" w:lineRule="atLeast"/>
                    <w:jc w:val="center"/>
                    <w:rPr>
                      <w:b/>
                      <w:bCs/>
                      <w:color w:val="auto"/>
                      <w:sz w:val="18"/>
                      <w:szCs w:val="18"/>
                    </w:rPr>
                  </w:pPr>
                  <w:r>
                    <w:rPr>
                      <w:b/>
                      <w:bCs/>
                      <w:color w:val="auto"/>
                      <w:sz w:val="18"/>
                      <w:szCs w:val="18"/>
                    </w:rPr>
                    <w:t>本项目情况</w:t>
                  </w:r>
                </w:p>
              </w:tc>
              <w:tc>
                <w:tcPr>
                  <w:tcW w:w="486" w:type="pct"/>
                  <w:noWrap w:val="0"/>
                  <w:vAlign w:val="center"/>
                </w:tcPr>
                <w:p>
                  <w:pPr>
                    <w:pStyle w:val="239"/>
                    <w:adjustRightInd w:val="0"/>
                    <w:snapToGrid w:val="0"/>
                    <w:spacing w:line="240" w:lineRule="atLeast"/>
                    <w:jc w:val="center"/>
                    <w:rPr>
                      <w:b/>
                      <w:bCs/>
                      <w:color w:val="auto"/>
                      <w:sz w:val="18"/>
                      <w:szCs w:val="18"/>
                    </w:rPr>
                  </w:pPr>
                  <w:r>
                    <w:rPr>
                      <w:b/>
                      <w:bCs/>
                      <w:color w:val="auto"/>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pct"/>
                  <w:noWrap w:val="0"/>
                  <w:vAlign w:val="center"/>
                </w:tcPr>
                <w:p>
                  <w:pPr>
                    <w:pStyle w:val="239"/>
                    <w:adjustRightInd w:val="0"/>
                    <w:snapToGrid w:val="0"/>
                    <w:spacing w:line="240" w:lineRule="atLeast"/>
                    <w:jc w:val="center"/>
                    <w:rPr>
                      <w:color w:val="auto"/>
                      <w:sz w:val="18"/>
                      <w:szCs w:val="18"/>
                    </w:rPr>
                  </w:pPr>
                  <w:r>
                    <w:rPr>
                      <w:rFonts w:hint="eastAsia"/>
                      <w:color w:val="auto"/>
                      <w:sz w:val="18"/>
                      <w:szCs w:val="18"/>
                    </w:rPr>
                    <w:t>1</w:t>
                  </w:r>
                </w:p>
              </w:tc>
              <w:tc>
                <w:tcPr>
                  <w:tcW w:w="2760" w:type="pct"/>
                  <w:noWrap w:val="0"/>
                  <w:vAlign w:val="center"/>
                </w:tcPr>
                <w:p>
                  <w:pPr>
                    <w:pStyle w:val="239"/>
                    <w:adjustRightInd w:val="0"/>
                    <w:snapToGrid w:val="0"/>
                    <w:spacing w:line="240" w:lineRule="atLeast"/>
                    <w:jc w:val="left"/>
                    <w:rPr>
                      <w:rFonts w:hint="eastAsia"/>
                      <w:color w:val="auto"/>
                      <w:sz w:val="18"/>
                      <w:szCs w:val="18"/>
                    </w:rPr>
                  </w:pPr>
                  <w:r>
                    <w:rPr>
                      <w:rFonts w:hint="eastAsia"/>
                      <w:color w:val="auto"/>
                      <w:sz w:val="18"/>
                      <w:szCs w:val="18"/>
                    </w:rPr>
                    <w:t>2.替代要求</w:t>
                  </w:r>
                </w:p>
                <w:p>
                  <w:pPr>
                    <w:pStyle w:val="239"/>
                    <w:adjustRightInd w:val="0"/>
                    <w:snapToGrid w:val="0"/>
                    <w:spacing w:line="240" w:lineRule="atLeast"/>
                    <w:jc w:val="left"/>
                    <w:rPr>
                      <w:color w:val="auto"/>
                      <w:sz w:val="18"/>
                      <w:szCs w:val="18"/>
                    </w:rPr>
                  </w:pPr>
                  <w:r>
                    <w:rPr>
                      <w:rFonts w:hint="eastAsia"/>
                      <w:color w:val="auto"/>
                      <w:sz w:val="18"/>
                      <w:szCs w:val="18"/>
                    </w:rPr>
                    <w:t>使用含VOCs原辅材料的企业应充分综合考虑经济、环境、技术可行性，确定合适的源头替代方法，优先选用VOCs含量</w:t>
                  </w:r>
                  <w:r>
                    <w:rPr>
                      <w:rFonts w:hint="eastAsia"/>
                      <w:color w:val="auto"/>
                      <w:sz w:val="18"/>
                      <w:szCs w:val="18"/>
                      <w:lang w:eastAsia="zh-CN"/>
                    </w:rPr>
                    <w:t>（</w:t>
                  </w:r>
                  <w:r>
                    <w:rPr>
                      <w:rFonts w:hint="eastAsia"/>
                      <w:color w:val="auto"/>
                      <w:sz w:val="18"/>
                      <w:szCs w:val="18"/>
                    </w:rPr>
                    <w:t>质量比</w:t>
                  </w:r>
                  <w:r>
                    <w:rPr>
                      <w:rFonts w:hint="eastAsia"/>
                      <w:color w:val="auto"/>
                      <w:sz w:val="18"/>
                      <w:szCs w:val="18"/>
                      <w:lang w:eastAsia="zh-CN"/>
                    </w:rPr>
                    <w:t>）</w:t>
                  </w:r>
                  <w:r>
                    <w:rPr>
                      <w:rFonts w:hint="eastAsia"/>
                      <w:color w:val="auto"/>
                      <w:sz w:val="18"/>
                      <w:szCs w:val="18"/>
                    </w:rPr>
                    <w:t>低于10%的低VOCs含量原辅材料</w:t>
                  </w:r>
                  <w:r>
                    <w:rPr>
                      <w:rFonts w:hint="eastAsia"/>
                      <w:color w:val="auto"/>
                      <w:sz w:val="18"/>
                      <w:szCs w:val="18"/>
                      <w:lang w:eastAsia="zh-CN"/>
                    </w:rPr>
                    <w:t>，</w:t>
                  </w:r>
                  <w:r>
                    <w:rPr>
                      <w:rFonts w:hint="eastAsia"/>
                      <w:color w:val="auto"/>
                      <w:sz w:val="18"/>
                      <w:szCs w:val="18"/>
                    </w:rPr>
                    <w:t>低VOCs含量原辅材料应符合2.1规定的涂料、2.2规定的油墨、2.3规定的胶粘剂、2.4规定的清洗剂进行替代，低VOCs含量原辅材料含量限值要求见附录A。</w:t>
                  </w:r>
                </w:p>
              </w:tc>
              <w:tc>
                <w:tcPr>
                  <w:tcW w:w="1277" w:type="pct"/>
                  <w:vMerge w:val="restart"/>
                  <w:noWrap w:val="0"/>
                  <w:vAlign w:val="center"/>
                </w:tcPr>
                <w:p>
                  <w:pPr>
                    <w:pStyle w:val="239"/>
                    <w:adjustRightInd w:val="0"/>
                    <w:snapToGrid w:val="0"/>
                    <w:spacing w:line="240" w:lineRule="atLeast"/>
                    <w:jc w:val="left"/>
                    <w:rPr>
                      <w:color w:val="auto"/>
                      <w:sz w:val="18"/>
                      <w:szCs w:val="18"/>
                    </w:rPr>
                  </w:pPr>
                  <w:r>
                    <w:rPr>
                      <w:color w:val="auto"/>
                      <w:sz w:val="18"/>
                      <w:szCs w:val="18"/>
                    </w:rPr>
                    <w:t>本项目</w:t>
                  </w:r>
                  <w:r>
                    <w:rPr>
                      <w:rFonts w:hint="eastAsia"/>
                      <w:color w:val="auto"/>
                      <w:sz w:val="18"/>
                      <w:szCs w:val="18"/>
                    </w:rPr>
                    <w:t>所使用</w:t>
                  </w:r>
                  <w:r>
                    <w:rPr>
                      <w:rFonts w:hint="eastAsia"/>
                      <w:color w:val="auto"/>
                      <w:sz w:val="18"/>
                      <w:szCs w:val="18"/>
                      <w:lang w:val="en-US" w:eastAsia="zh-CN"/>
                    </w:rPr>
                    <w:t>胶黏剂属于本体型低VOC含量胶黏剂，满足源头替代要求</w:t>
                  </w:r>
                  <w:r>
                    <w:rPr>
                      <w:rFonts w:hint="eastAsia"/>
                      <w:color w:val="auto"/>
                      <w:sz w:val="18"/>
                      <w:szCs w:val="18"/>
                    </w:rPr>
                    <w:t>。</w:t>
                  </w:r>
                </w:p>
              </w:tc>
              <w:tc>
                <w:tcPr>
                  <w:tcW w:w="486" w:type="pct"/>
                  <w:noWrap w:val="0"/>
                  <w:vAlign w:val="center"/>
                </w:tcPr>
                <w:p>
                  <w:pPr>
                    <w:pStyle w:val="239"/>
                    <w:adjustRightInd w:val="0"/>
                    <w:snapToGrid w:val="0"/>
                    <w:spacing w:line="240" w:lineRule="atLeast"/>
                    <w:jc w:val="left"/>
                    <w:rPr>
                      <w:color w:val="auto"/>
                      <w:sz w:val="18"/>
                      <w:szCs w:val="18"/>
                    </w:rPr>
                  </w:pPr>
                  <w:r>
                    <w:rPr>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pct"/>
                  <w:noWrap w:val="0"/>
                  <w:vAlign w:val="center"/>
                </w:tcPr>
                <w:p>
                  <w:pPr>
                    <w:pStyle w:val="239"/>
                    <w:adjustRightInd w:val="0"/>
                    <w:snapToGrid w:val="0"/>
                    <w:spacing w:line="240" w:lineRule="atLeast"/>
                    <w:jc w:val="center"/>
                    <w:rPr>
                      <w:rFonts w:hint="eastAsia" w:eastAsia="宋体"/>
                      <w:color w:val="auto"/>
                      <w:sz w:val="18"/>
                      <w:szCs w:val="18"/>
                      <w:lang w:val="en-US" w:eastAsia="zh-CN"/>
                    </w:rPr>
                  </w:pPr>
                  <w:r>
                    <w:rPr>
                      <w:rFonts w:hint="eastAsia"/>
                      <w:color w:val="auto"/>
                      <w:sz w:val="18"/>
                      <w:szCs w:val="18"/>
                      <w:lang w:val="en-US" w:eastAsia="zh-CN"/>
                    </w:rPr>
                    <w:t>2</w:t>
                  </w:r>
                </w:p>
              </w:tc>
              <w:tc>
                <w:tcPr>
                  <w:tcW w:w="2760" w:type="pct"/>
                  <w:noWrap w:val="0"/>
                  <w:vAlign w:val="center"/>
                </w:tcPr>
                <w:p>
                  <w:pPr>
                    <w:pStyle w:val="239"/>
                    <w:adjustRightInd w:val="0"/>
                    <w:snapToGrid w:val="0"/>
                    <w:spacing w:line="240" w:lineRule="atLeast"/>
                    <w:jc w:val="left"/>
                    <w:rPr>
                      <w:rFonts w:hint="eastAsia"/>
                      <w:color w:val="auto"/>
                      <w:sz w:val="18"/>
                      <w:szCs w:val="18"/>
                      <w:lang w:eastAsia="zh-CN"/>
                    </w:rPr>
                  </w:pPr>
                  <w:r>
                    <w:rPr>
                      <w:rFonts w:hint="eastAsia"/>
                      <w:color w:val="auto"/>
                      <w:sz w:val="18"/>
                      <w:szCs w:val="18"/>
                      <w:lang w:eastAsia="zh-CN"/>
                    </w:rPr>
                    <w:t>2.3胶粘剂</w:t>
                  </w:r>
                </w:p>
                <w:p>
                  <w:pPr>
                    <w:pStyle w:val="239"/>
                    <w:adjustRightInd w:val="0"/>
                    <w:snapToGrid w:val="0"/>
                    <w:spacing w:line="240" w:lineRule="atLeast"/>
                    <w:jc w:val="left"/>
                    <w:rPr>
                      <w:color w:val="auto"/>
                      <w:sz w:val="18"/>
                      <w:szCs w:val="18"/>
                    </w:rPr>
                  </w:pPr>
                  <w:r>
                    <w:rPr>
                      <w:rFonts w:hint="eastAsia"/>
                      <w:color w:val="auto"/>
                      <w:sz w:val="18"/>
                      <w:szCs w:val="18"/>
                      <w:lang w:eastAsia="zh-CN"/>
                    </w:rPr>
                    <w:t>包括VOCs含量限值符合《胶粘剂挥发性有机化合物限量》（GB33372-2020）规定的水基型胶粘剂和本体型胶粘剂，</w:t>
                  </w:r>
                </w:p>
              </w:tc>
              <w:tc>
                <w:tcPr>
                  <w:tcW w:w="1277" w:type="pct"/>
                  <w:vMerge w:val="continue"/>
                  <w:noWrap w:val="0"/>
                  <w:vAlign w:val="center"/>
                </w:tcPr>
                <w:p>
                  <w:pPr>
                    <w:pStyle w:val="239"/>
                    <w:adjustRightInd w:val="0"/>
                    <w:snapToGrid w:val="0"/>
                    <w:spacing w:line="240" w:lineRule="atLeast"/>
                    <w:jc w:val="left"/>
                    <w:rPr>
                      <w:color w:val="auto"/>
                      <w:sz w:val="18"/>
                      <w:szCs w:val="18"/>
                    </w:rPr>
                  </w:pPr>
                </w:p>
              </w:tc>
              <w:tc>
                <w:tcPr>
                  <w:tcW w:w="486" w:type="pct"/>
                  <w:noWrap w:val="0"/>
                  <w:vAlign w:val="center"/>
                </w:tcPr>
                <w:p>
                  <w:pPr>
                    <w:pStyle w:val="239"/>
                    <w:adjustRightInd w:val="0"/>
                    <w:snapToGrid w:val="0"/>
                    <w:spacing w:line="240" w:lineRule="atLeast"/>
                    <w:jc w:val="left"/>
                    <w:rPr>
                      <w:color w:val="auto"/>
                      <w:sz w:val="18"/>
                      <w:szCs w:val="18"/>
                    </w:rPr>
                  </w:pPr>
                  <w:r>
                    <w:rPr>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pct"/>
                  <w:noWrap w:val="0"/>
                  <w:vAlign w:val="center"/>
                </w:tcPr>
                <w:p>
                  <w:pPr>
                    <w:pStyle w:val="239"/>
                    <w:adjustRightInd w:val="0"/>
                    <w:snapToGrid w:val="0"/>
                    <w:spacing w:line="240" w:lineRule="atLeast"/>
                    <w:jc w:val="center"/>
                    <w:rPr>
                      <w:rFonts w:hint="eastAsia" w:eastAsia="宋体"/>
                      <w:color w:val="auto"/>
                      <w:sz w:val="18"/>
                      <w:szCs w:val="18"/>
                      <w:lang w:val="en-US" w:eastAsia="zh-CN"/>
                    </w:rPr>
                  </w:pPr>
                  <w:r>
                    <w:rPr>
                      <w:rFonts w:hint="eastAsia"/>
                      <w:color w:val="auto"/>
                      <w:sz w:val="18"/>
                      <w:szCs w:val="18"/>
                      <w:lang w:val="en-US" w:eastAsia="zh-CN"/>
                    </w:rPr>
                    <w:t>3</w:t>
                  </w:r>
                </w:p>
              </w:tc>
              <w:tc>
                <w:tcPr>
                  <w:tcW w:w="2760" w:type="pct"/>
                  <w:noWrap w:val="0"/>
                  <w:vAlign w:val="center"/>
                </w:tcPr>
                <w:p>
                  <w:pPr>
                    <w:pStyle w:val="239"/>
                    <w:adjustRightInd w:val="0"/>
                    <w:snapToGrid w:val="0"/>
                    <w:spacing w:line="240" w:lineRule="atLeast"/>
                    <w:jc w:val="left"/>
                    <w:rPr>
                      <w:rFonts w:hint="eastAsia"/>
                      <w:color w:val="auto"/>
                      <w:sz w:val="18"/>
                      <w:szCs w:val="18"/>
                    </w:rPr>
                  </w:pPr>
                  <w:r>
                    <w:rPr>
                      <w:rFonts w:hint="eastAsia"/>
                      <w:color w:val="auto"/>
                      <w:sz w:val="18"/>
                      <w:szCs w:val="18"/>
                    </w:rPr>
                    <w:t>4.1使用低VOCs含量原辅材料，排放浓度稳定达标且排放速率满足相关规定的，相应生产工序可不要求建设VOCs末端治理设施</w:t>
                  </w:r>
                  <w:r>
                    <w:rPr>
                      <w:rFonts w:hint="eastAsia"/>
                      <w:color w:val="auto"/>
                      <w:sz w:val="18"/>
                      <w:szCs w:val="18"/>
                      <w:lang w:eastAsia="zh-CN"/>
                    </w:rPr>
                    <w:t>；</w:t>
                  </w:r>
                  <w:r>
                    <w:rPr>
                      <w:rFonts w:hint="eastAsia"/>
                      <w:color w:val="auto"/>
                      <w:sz w:val="18"/>
                      <w:szCs w:val="18"/>
                    </w:rPr>
                    <w:t>使用的原辅材料VOCs含量</w:t>
                  </w:r>
                  <w:r>
                    <w:rPr>
                      <w:rFonts w:hint="eastAsia"/>
                      <w:color w:val="auto"/>
                      <w:sz w:val="18"/>
                      <w:szCs w:val="18"/>
                      <w:lang w:eastAsia="zh-CN"/>
                    </w:rPr>
                    <w:t>（</w:t>
                  </w:r>
                  <w:r>
                    <w:rPr>
                      <w:rFonts w:hint="eastAsia"/>
                      <w:color w:val="auto"/>
                      <w:sz w:val="18"/>
                      <w:szCs w:val="18"/>
                    </w:rPr>
                    <w:t>质量比</w:t>
                  </w:r>
                  <w:r>
                    <w:rPr>
                      <w:rFonts w:hint="eastAsia"/>
                      <w:color w:val="auto"/>
                      <w:sz w:val="18"/>
                      <w:szCs w:val="18"/>
                      <w:lang w:eastAsia="zh-CN"/>
                    </w:rPr>
                    <w:t>）</w:t>
                  </w:r>
                  <w:r>
                    <w:rPr>
                      <w:rFonts w:hint="eastAsia"/>
                      <w:color w:val="auto"/>
                      <w:sz w:val="18"/>
                      <w:szCs w:val="18"/>
                    </w:rPr>
                    <w:t>低于10%的工序，无组织排放浓度达标的，可不要求采取VOCs无组织排放收集措施。</w:t>
                  </w:r>
                </w:p>
              </w:tc>
              <w:tc>
                <w:tcPr>
                  <w:tcW w:w="1277" w:type="pct"/>
                  <w:noWrap w:val="0"/>
                  <w:vAlign w:val="center"/>
                </w:tcPr>
                <w:p>
                  <w:pPr>
                    <w:pStyle w:val="239"/>
                    <w:adjustRightInd w:val="0"/>
                    <w:snapToGrid w:val="0"/>
                    <w:spacing w:line="240" w:lineRule="atLeast"/>
                    <w:jc w:val="left"/>
                    <w:rPr>
                      <w:color w:val="auto"/>
                      <w:sz w:val="18"/>
                      <w:szCs w:val="18"/>
                    </w:rPr>
                  </w:pPr>
                  <w:r>
                    <w:rPr>
                      <w:color w:val="auto"/>
                      <w:sz w:val="18"/>
                      <w:szCs w:val="18"/>
                    </w:rPr>
                    <w:t>本项目</w:t>
                  </w:r>
                  <w:r>
                    <w:rPr>
                      <w:rFonts w:hint="eastAsia"/>
                      <w:color w:val="auto"/>
                      <w:sz w:val="18"/>
                      <w:szCs w:val="18"/>
                    </w:rPr>
                    <w:t>所使用</w:t>
                  </w:r>
                  <w:r>
                    <w:rPr>
                      <w:rFonts w:hint="eastAsia"/>
                      <w:color w:val="auto"/>
                      <w:sz w:val="18"/>
                      <w:szCs w:val="18"/>
                      <w:lang w:val="en-US" w:eastAsia="zh-CN"/>
                    </w:rPr>
                    <w:t>胶黏剂属于本体型低VOC含量胶黏剂，满足源头替代要求，所产生废气经过估算，厂区内及厂界达标，因此采取无组织排放</w:t>
                  </w:r>
                  <w:r>
                    <w:rPr>
                      <w:rFonts w:hint="eastAsia"/>
                      <w:color w:val="auto"/>
                      <w:sz w:val="18"/>
                      <w:szCs w:val="18"/>
                    </w:rPr>
                    <w:t>。</w:t>
                  </w:r>
                </w:p>
              </w:tc>
              <w:tc>
                <w:tcPr>
                  <w:tcW w:w="486" w:type="pct"/>
                  <w:noWrap w:val="0"/>
                  <w:vAlign w:val="center"/>
                </w:tcPr>
                <w:p>
                  <w:pPr>
                    <w:pStyle w:val="239"/>
                    <w:adjustRightInd w:val="0"/>
                    <w:snapToGrid w:val="0"/>
                    <w:spacing w:line="240" w:lineRule="atLeast"/>
                    <w:jc w:val="left"/>
                    <w:rPr>
                      <w:color w:val="auto"/>
                      <w:sz w:val="18"/>
                      <w:szCs w:val="18"/>
                    </w:rPr>
                  </w:pPr>
                  <w:r>
                    <w:rPr>
                      <w:color w:val="auto"/>
                      <w:sz w:val="18"/>
                      <w:szCs w:val="18"/>
                    </w:rPr>
                    <w:t>符合</w:t>
                  </w:r>
                </w:p>
              </w:tc>
            </w:tr>
          </w:tbl>
          <w:p>
            <w:pPr>
              <w:adjustRightInd w:val="0"/>
              <w:spacing w:line="360" w:lineRule="auto"/>
              <w:jc w:val="left"/>
              <w:rPr>
                <w:b/>
                <w:color w:val="auto"/>
                <w:sz w:val="21"/>
                <w:szCs w:val="21"/>
              </w:rPr>
            </w:pPr>
            <w:r>
              <w:rPr>
                <w:rFonts w:hint="eastAsia"/>
                <w:b/>
                <w:color w:val="auto"/>
                <w:sz w:val="21"/>
                <w:szCs w:val="21"/>
              </w:rPr>
              <w:t>7</w:t>
            </w:r>
            <w:r>
              <w:rPr>
                <w:rFonts w:hint="eastAsia"/>
                <w:b/>
                <w:color w:val="auto"/>
                <w:sz w:val="21"/>
                <w:szCs w:val="21"/>
                <w:lang w:eastAsia="zh-CN"/>
              </w:rPr>
              <w:t>、</w:t>
            </w:r>
            <w:r>
              <w:rPr>
                <w:b/>
                <w:color w:val="auto"/>
                <w:sz w:val="21"/>
                <w:szCs w:val="21"/>
              </w:rPr>
              <w:t>项目</w:t>
            </w:r>
            <w:r>
              <w:rPr>
                <w:rFonts w:hint="eastAsia"/>
                <w:b/>
                <w:color w:val="auto"/>
                <w:sz w:val="21"/>
                <w:szCs w:val="21"/>
                <w:lang w:eastAsia="zh-CN"/>
              </w:rPr>
              <w:t>“</w:t>
            </w:r>
            <w:r>
              <w:rPr>
                <w:b/>
                <w:color w:val="auto"/>
                <w:sz w:val="21"/>
                <w:szCs w:val="21"/>
              </w:rPr>
              <w:t>三线一单</w:t>
            </w:r>
            <w:r>
              <w:rPr>
                <w:rFonts w:hint="eastAsia"/>
                <w:b/>
                <w:color w:val="auto"/>
                <w:sz w:val="21"/>
                <w:szCs w:val="21"/>
                <w:lang w:eastAsia="zh-CN"/>
              </w:rPr>
              <w:t>”</w:t>
            </w:r>
            <w:r>
              <w:rPr>
                <w:b/>
                <w:color w:val="auto"/>
                <w:sz w:val="21"/>
                <w:szCs w:val="21"/>
              </w:rPr>
              <w:t>符合性分析</w:t>
            </w:r>
          </w:p>
          <w:p>
            <w:pPr>
              <w:spacing w:line="360" w:lineRule="auto"/>
              <w:rPr>
                <w:b/>
                <w:color w:val="auto"/>
                <w:sz w:val="21"/>
                <w:szCs w:val="21"/>
              </w:rPr>
            </w:pPr>
            <w:r>
              <w:rPr>
                <w:rFonts w:hint="eastAsia"/>
                <w:b/>
                <w:color w:val="auto"/>
                <w:sz w:val="21"/>
                <w:szCs w:val="21"/>
              </w:rPr>
              <w:t>（1）与以改善环境质量为核心加强环境影响评价管理的通知相符性</w:t>
            </w:r>
          </w:p>
          <w:p>
            <w:pPr>
              <w:pStyle w:val="40"/>
              <w:autoSpaceDE w:val="0"/>
              <w:autoSpaceDN w:val="0"/>
              <w:spacing w:before="0" w:beforeAutospacing="0" w:after="0" w:afterAutospacing="0" w:line="360" w:lineRule="auto"/>
              <w:ind w:firstLine="420" w:firstLineChars="200"/>
              <w:jc w:val="both"/>
              <w:rPr>
                <w:rFonts w:ascii="Times New Roman" w:hAnsi="Times New Roman"/>
                <w:color w:val="auto"/>
                <w:kern w:val="2"/>
                <w:sz w:val="21"/>
                <w:szCs w:val="21"/>
              </w:rPr>
            </w:pPr>
            <w:r>
              <w:rPr>
                <w:rFonts w:hint="eastAsia" w:ascii="Times New Roman" w:hAnsi="Times New Roman"/>
                <w:color w:val="auto"/>
                <w:kern w:val="2"/>
                <w:sz w:val="21"/>
                <w:szCs w:val="21"/>
                <w:lang w:val="en-US" w:eastAsia="zh-CN"/>
              </w:rPr>
              <w:t>2016年10月26日，环境保护部以“环环评【2016】150号”发布《关于以改善环境质量为核心加强环境影响评价管理的通知》（以下简称“通知”），通知中明确应强化“三线一单”（即生态保护红线、环境质量底线、资源利用上线和生态环境准入负面清单）的约束作用。</w:t>
            </w:r>
          </w:p>
          <w:p>
            <w:pPr>
              <w:pStyle w:val="11"/>
              <w:spacing w:line="360" w:lineRule="auto"/>
              <w:ind w:firstLine="420" w:firstLineChars="200"/>
              <w:rPr>
                <w:color w:val="auto"/>
                <w:sz w:val="21"/>
                <w:szCs w:val="21"/>
              </w:rPr>
            </w:pPr>
            <w:r>
              <w:rPr>
                <w:color w:val="auto"/>
                <w:sz w:val="21"/>
                <w:szCs w:val="21"/>
                <w:lang w:val="en-US" w:eastAsia="zh-CN"/>
              </w:rPr>
              <w:t>判定本项目与</w:t>
            </w:r>
            <w:r>
              <w:rPr>
                <w:rFonts w:hint="eastAsia"/>
                <w:color w:val="auto"/>
                <w:sz w:val="21"/>
                <w:szCs w:val="21"/>
                <w:lang w:val="en-US" w:eastAsia="zh-CN"/>
              </w:rPr>
              <w:t>“</w:t>
            </w:r>
            <w:r>
              <w:rPr>
                <w:color w:val="auto"/>
                <w:sz w:val="21"/>
                <w:szCs w:val="21"/>
                <w:lang w:val="en-US" w:eastAsia="zh-CN"/>
              </w:rPr>
              <w:t>三线一单</w:t>
            </w:r>
            <w:r>
              <w:rPr>
                <w:rFonts w:hint="eastAsia"/>
                <w:color w:val="auto"/>
                <w:sz w:val="21"/>
                <w:szCs w:val="21"/>
                <w:lang w:val="en-US" w:eastAsia="zh-CN"/>
              </w:rPr>
              <w:t>”</w:t>
            </w:r>
            <w:r>
              <w:rPr>
                <w:color w:val="auto"/>
                <w:sz w:val="21"/>
                <w:szCs w:val="21"/>
                <w:lang w:val="en-US" w:eastAsia="zh-CN"/>
              </w:rPr>
              <w:t>相符性如下表。</w:t>
            </w:r>
          </w:p>
          <w:p>
            <w:pPr>
              <w:pStyle w:val="149"/>
              <w:rPr>
                <w:color w:val="FF0000"/>
                <w:szCs w:val="21"/>
              </w:rPr>
            </w:pPr>
            <w:r>
              <w:rPr>
                <w:color w:val="auto"/>
                <w:szCs w:val="21"/>
              </w:rPr>
              <w:t>表</w:t>
            </w:r>
            <w:r>
              <w:rPr>
                <w:rFonts w:hint="eastAsia"/>
                <w:color w:val="auto"/>
                <w:szCs w:val="21"/>
              </w:rPr>
              <w:t>1-</w:t>
            </w:r>
            <w:r>
              <w:rPr>
                <w:rFonts w:hint="eastAsia"/>
                <w:color w:val="auto"/>
                <w:szCs w:val="21"/>
                <w:lang w:val="en-US" w:eastAsia="zh-CN"/>
              </w:rPr>
              <w:t xml:space="preserve">7  </w:t>
            </w:r>
            <w:r>
              <w:rPr>
                <w:color w:val="auto"/>
                <w:szCs w:val="21"/>
              </w:rPr>
              <w:t>本项目与</w:t>
            </w:r>
            <w:r>
              <w:rPr>
                <w:rFonts w:hint="eastAsia"/>
                <w:color w:val="auto"/>
                <w:szCs w:val="21"/>
                <w:lang w:eastAsia="zh-CN"/>
              </w:rPr>
              <w:t>“</w:t>
            </w:r>
            <w:r>
              <w:rPr>
                <w:color w:val="auto"/>
                <w:szCs w:val="21"/>
              </w:rPr>
              <w:t>三线一单</w:t>
            </w:r>
            <w:r>
              <w:rPr>
                <w:rFonts w:hint="eastAsia"/>
                <w:color w:val="auto"/>
                <w:szCs w:val="21"/>
                <w:lang w:eastAsia="zh-CN"/>
              </w:rPr>
              <w:t>”</w:t>
            </w:r>
            <w:r>
              <w:rPr>
                <w:color w:val="auto"/>
                <w:szCs w:val="21"/>
              </w:rPr>
              <w:t>相符性</w:t>
            </w:r>
          </w:p>
          <w:tbl>
            <w:tblPr>
              <w:tblStyle w:val="44"/>
              <w:tblW w:w="74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1" w:type="dxa"/>
                <w:left w:w="28" w:type="dxa"/>
                <w:bottom w:w="11" w:type="dxa"/>
                <w:right w:w="28" w:type="dxa"/>
              </w:tblCellMar>
            </w:tblPr>
            <w:tblGrid>
              <w:gridCol w:w="504"/>
              <w:gridCol w:w="615"/>
              <w:gridCol w:w="1790"/>
              <w:gridCol w:w="3885"/>
              <w:gridCol w:w="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1" w:type="dxa"/>
                  <w:left w:w="28" w:type="dxa"/>
                  <w:bottom w:w="11" w:type="dxa"/>
                  <w:right w:w="28" w:type="dxa"/>
                </w:tblCellMar>
              </w:tblPrEx>
              <w:trPr>
                <w:trHeight w:val="397" w:hRule="atLeast"/>
                <w:jc w:val="center"/>
              </w:trPr>
              <w:tc>
                <w:tcPr>
                  <w:tcW w:w="504" w:type="dxa"/>
                  <w:noWrap w:val="0"/>
                  <w:vAlign w:val="center"/>
                </w:tcPr>
                <w:p>
                  <w:pPr>
                    <w:jc w:val="center"/>
                    <w:rPr>
                      <w:b/>
                      <w:bCs/>
                      <w:color w:val="auto"/>
                      <w:sz w:val="18"/>
                      <w:szCs w:val="18"/>
                    </w:rPr>
                  </w:pPr>
                  <w:r>
                    <w:rPr>
                      <w:b/>
                      <w:bCs/>
                      <w:color w:val="auto"/>
                      <w:sz w:val="18"/>
                      <w:szCs w:val="18"/>
                    </w:rPr>
                    <w:t>序号</w:t>
                  </w:r>
                </w:p>
              </w:tc>
              <w:tc>
                <w:tcPr>
                  <w:tcW w:w="615" w:type="dxa"/>
                  <w:noWrap w:val="0"/>
                  <w:vAlign w:val="center"/>
                </w:tcPr>
                <w:p>
                  <w:pPr>
                    <w:jc w:val="center"/>
                    <w:rPr>
                      <w:b/>
                      <w:bCs/>
                      <w:color w:val="auto"/>
                      <w:sz w:val="18"/>
                      <w:szCs w:val="18"/>
                    </w:rPr>
                  </w:pPr>
                  <w:r>
                    <w:rPr>
                      <w:b/>
                      <w:bCs/>
                      <w:color w:val="auto"/>
                      <w:sz w:val="18"/>
                      <w:szCs w:val="18"/>
                    </w:rPr>
                    <w:t>内容</w:t>
                  </w:r>
                </w:p>
              </w:tc>
              <w:tc>
                <w:tcPr>
                  <w:tcW w:w="1790" w:type="dxa"/>
                  <w:noWrap w:val="0"/>
                  <w:vAlign w:val="center"/>
                </w:tcPr>
                <w:p>
                  <w:pPr>
                    <w:jc w:val="center"/>
                    <w:rPr>
                      <w:b/>
                      <w:bCs/>
                      <w:color w:val="auto"/>
                      <w:sz w:val="18"/>
                      <w:szCs w:val="18"/>
                    </w:rPr>
                  </w:pPr>
                  <w:r>
                    <w:rPr>
                      <w:b/>
                      <w:bCs/>
                      <w:color w:val="auto"/>
                      <w:sz w:val="18"/>
                      <w:szCs w:val="18"/>
                    </w:rPr>
                    <w:t>要求</w:t>
                  </w:r>
                </w:p>
              </w:tc>
              <w:tc>
                <w:tcPr>
                  <w:tcW w:w="3885" w:type="dxa"/>
                  <w:noWrap w:val="0"/>
                  <w:vAlign w:val="center"/>
                </w:tcPr>
                <w:p>
                  <w:pPr>
                    <w:jc w:val="center"/>
                    <w:rPr>
                      <w:b/>
                      <w:bCs/>
                      <w:color w:val="auto"/>
                      <w:sz w:val="18"/>
                      <w:szCs w:val="18"/>
                    </w:rPr>
                  </w:pPr>
                  <w:r>
                    <w:rPr>
                      <w:b/>
                      <w:bCs/>
                      <w:color w:val="auto"/>
                      <w:sz w:val="18"/>
                      <w:szCs w:val="18"/>
                    </w:rPr>
                    <w:t>本项目情况</w:t>
                  </w:r>
                </w:p>
              </w:tc>
              <w:tc>
                <w:tcPr>
                  <w:tcW w:w="705" w:type="dxa"/>
                  <w:noWrap w:val="0"/>
                  <w:vAlign w:val="center"/>
                </w:tcPr>
                <w:p>
                  <w:pPr>
                    <w:jc w:val="center"/>
                    <w:rPr>
                      <w:b/>
                      <w:bCs/>
                      <w:color w:val="auto"/>
                      <w:sz w:val="18"/>
                      <w:szCs w:val="18"/>
                    </w:rPr>
                  </w:pPr>
                  <w:r>
                    <w:rPr>
                      <w:b/>
                      <w:bCs/>
                      <w:color w:val="auto"/>
                      <w:sz w:val="18"/>
                      <w:szCs w:val="18"/>
                    </w:rPr>
                    <w:t>相符性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1" w:type="dxa"/>
                  <w:left w:w="28" w:type="dxa"/>
                  <w:bottom w:w="11" w:type="dxa"/>
                  <w:right w:w="28" w:type="dxa"/>
                </w:tblCellMar>
              </w:tblPrEx>
              <w:trPr>
                <w:trHeight w:val="397" w:hRule="atLeast"/>
                <w:jc w:val="center"/>
              </w:trPr>
              <w:tc>
                <w:tcPr>
                  <w:tcW w:w="504" w:type="dxa"/>
                  <w:noWrap w:val="0"/>
                  <w:vAlign w:val="center"/>
                </w:tcPr>
                <w:p>
                  <w:pPr>
                    <w:jc w:val="center"/>
                    <w:rPr>
                      <w:color w:val="auto"/>
                      <w:spacing w:val="-4"/>
                      <w:sz w:val="18"/>
                      <w:szCs w:val="18"/>
                    </w:rPr>
                  </w:pPr>
                  <w:r>
                    <w:rPr>
                      <w:color w:val="auto"/>
                      <w:spacing w:val="-4"/>
                      <w:sz w:val="18"/>
                      <w:szCs w:val="18"/>
                    </w:rPr>
                    <w:t>1</w:t>
                  </w:r>
                </w:p>
              </w:tc>
              <w:tc>
                <w:tcPr>
                  <w:tcW w:w="615" w:type="dxa"/>
                  <w:noWrap w:val="0"/>
                  <w:vAlign w:val="center"/>
                </w:tcPr>
                <w:p>
                  <w:pPr>
                    <w:jc w:val="left"/>
                    <w:rPr>
                      <w:color w:val="auto"/>
                      <w:spacing w:val="-4"/>
                      <w:sz w:val="18"/>
                      <w:szCs w:val="18"/>
                    </w:rPr>
                  </w:pPr>
                  <w:r>
                    <w:rPr>
                      <w:color w:val="auto"/>
                      <w:spacing w:val="-4"/>
                      <w:sz w:val="18"/>
                      <w:szCs w:val="18"/>
                    </w:rPr>
                    <w:t>生态保护红线</w:t>
                  </w:r>
                </w:p>
              </w:tc>
              <w:tc>
                <w:tcPr>
                  <w:tcW w:w="1790" w:type="dxa"/>
                  <w:noWrap w:val="0"/>
                  <w:vAlign w:val="center"/>
                </w:tcPr>
                <w:p>
                  <w:pPr>
                    <w:jc w:val="left"/>
                    <w:rPr>
                      <w:rFonts w:ascii="宋体" w:hAnsi="宋体" w:cs="宋体"/>
                      <w:color w:val="auto"/>
                      <w:kern w:val="0"/>
                      <w:sz w:val="18"/>
                      <w:szCs w:val="18"/>
                      <w:lang w:val="en"/>
                    </w:rPr>
                  </w:pPr>
                  <w:r>
                    <w:rPr>
                      <w:rFonts w:ascii="宋体" w:hAnsi="宋体" w:cs="宋体"/>
                      <w:color w:val="auto"/>
                      <w:kern w:val="0"/>
                      <w:sz w:val="18"/>
                      <w:szCs w:val="18"/>
                      <w:lang w:val="en"/>
                    </w:rPr>
                    <w:t>生态保护红线是生态空间范围内具有特殊重要生态功能必须实行强制性严格保护的区域。在生态保护红线范围内，严控各类开发建设活动，依法不予审批新建工业项目和矿产开发项目的环评文件</w:t>
                  </w:r>
                </w:p>
              </w:tc>
              <w:tc>
                <w:tcPr>
                  <w:tcW w:w="3885" w:type="dxa"/>
                  <w:noWrap w:val="0"/>
                  <w:vAlign w:val="center"/>
                </w:tcPr>
                <w:p>
                  <w:pPr>
                    <w:pStyle w:val="147"/>
                    <w:spacing w:line="240" w:lineRule="atLeast"/>
                    <w:ind w:firstLine="0" w:firstLineChars="0"/>
                    <w:rPr>
                      <w:rFonts w:hint="default" w:ascii="Times New Roman" w:hAnsi="Times New Roman" w:cs="Times New Roman"/>
                      <w:bCs w:val="0"/>
                      <w:color w:val="auto"/>
                      <w:kern w:val="0"/>
                      <w:sz w:val="18"/>
                      <w:szCs w:val="18"/>
                      <w:lang w:val="en"/>
                    </w:rPr>
                  </w:pPr>
                  <w:r>
                    <w:rPr>
                      <w:rFonts w:hint="default" w:ascii="Times New Roman" w:hAnsi="Times New Roman" w:cs="Times New Roman"/>
                      <w:bCs w:val="0"/>
                      <w:color w:val="auto"/>
                      <w:kern w:val="0"/>
                      <w:sz w:val="18"/>
                      <w:szCs w:val="18"/>
                      <w:lang w:val="en" w:eastAsia="zh-CN"/>
                    </w:rPr>
                    <w:t>根据《安徽省人民政府关于发布安徽省生态保护红线的通知》（皖政秘〔2018〕120号），对照《长江经济带战略环境评价安徽省淮南市“三线一单”》，本项目位于</w:t>
                  </w:r>
                  <w:r>
                    <w:rPr>
                      <w:rFonts w:hint="eastAsia" w:cs="Times New Roman"/>
                      <w:bCs w:val="0"/>
                      <w:color w:val="auto"/>
                      <w:kern w:val="0"/>
                      <w:sz w:val="18"/>
                      <w:szCs w:val="18"/>
                      <w:lang w:val="en-US" w:eastAsia="zh-CN"/>
                    </w:rPr>
                    <w:t>淮南安成经济开发</w:t>
                  </w:r>
                  <w:r>
                    <w:rPr>
                      <w:rFonts w:hint="eastAsia" w:ascii="Times New Roman" w:hAnsi="Times New Roman" w:eastAsia="宋体" w:cs="Times New Roman"/>
                      <w:bCs w:val="0"/>
                      <w:color w:val="auto"/>
                      <w:kern w:val="0"/>
                      <w:sz w:val="18"/>
                      <w:szCs w:val="18"/>
                      <w:lang w:val="en-US" w:eastAsia="zh-CN"/>
                    </w:rPr>
                    <w:t>区（原</w:t>
                  </w:r>
                  <w:r>
                    <w:rPr>
                      <w:rFonts w:hint="eastAsia" w:ascii="Times New Roman" w:hAnsi="Times New Roman" w:eastAsia="宋体" w:cs="Times New Roman"/>
                      <w:bCs w:val="0"/>
                      <w:color w:val="auto"/>
                      <w:kern w:val="0"/>
                      <w:sz w:val="18"/>
                      <w:szCs w:val="18"/>
                      <w:lang w:val="en" w:eastAsia="zh-CN"/>
                    </w:rPr>
                    <w:t>田家庵区工业集聚区</w:t>
                  </w:r>
                  <w:r>
                    <w:rPr>
                      <w:rFonts w:hint="eastAsia" w:cs="Times New Roman"/>
                      <w:bCs w:val="0"/>
                      <w:color w:val="auto"/>
                      <w:kern w:val="0"/>
                      <w:sz w:val="18"/>
                      <w:szCs w:val="18"/>
                      <w:lang w:val="en-US" w:eastAsia="zh-CN"/>
                    </w:rPr>
                    <w:t>）</w:t>
                  </w:r>
                  <w:r>
                    <w:rPr>
                      <w:rFonts w:hint="default" w:ascii="Times New Roman" w:hAnsi="Times New Roman" w:cs="Times New Roman"/>
                      <w:bCs w:val="0"/>
                      <w:color w:val="auto"/>
                      <w:kern w:val="0"/>
                      <w:sz w:val="18"/>
                      <w:szCs w:val="18"/>
                      <w:lang w:val="en" w:eastAsia="zh-CN"/>
                    </w:rPr>
                    <w:t>，项目未占用生态保护红线区域，因此本项目所在区域不位于淮南市生态保护红线区域保护规划内。本项目与淮南市生态保护红线保护区的位置关系见附图</w:t>
                  </w:r>
                  <w:r>
                    <w:rPr>
                      <w:rFonts w:hint="default" w:ascii="Times New Roman" w:hAnsi="Times New Roman" w:cs="Times New Roman"/>
                      <w:bCs w:val="0"/>
                      <w:color w:val="auto"/>
                      <w:kern w:val="0"/>
                      <w:sz w:val="18"/>
                      <w:szCs w:val="18"/>
                      <w:lang w:val="en-US" w:eastAsia="zh-CN"/>
                    </w:rPr>
                    <w:t>5</w:t>
                  </w:r>
                  <w:r>
                    <w:rPr>
                      <w:rFonts w:hint="default" w:ascii="Times New Roman" w:hAnsi="Times New Roman" w:cs="Times New Roman"/>
                      <w:bCs w:val="0"/>
                      <w:color w:val="auto"/>
                      <w:kern w:val="0"/>
                      <w:sz w:val="18"/>
                      <w:szCs w:val="18"/>
                      <w:lang w:val="en" w:eastAsia="zh-CN"/>
                    </w:rPr>
                    <w:t>。</w:t>
                  </w:r>
                </w:p>
              </w:tc>
              <w:tc>
                <w:tcPr>
                  <w:tcW w:w="705" w:type="dxa"/>
                  <w:noWrap w:val="0"/>
                  <w:vAlign w:val="center"/>
                </w:tcPr>
                <w:p>
                  <w:pPr>
                    <w:jc w:val="center"/>
                    <w:rPr>
                      <w:color w:val="auto"/>
                      <w:sz w:val="18"/>
                      <w:szCs w:val="18"/>
                    </w:rPr>
                  </w:pPr>
                  <w:r>
                    <w:rPr>
                      <w:color w:val="auto"/>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1" w:type="dxa"/>
                  <w:left w:w="28" w:type="dxa"/>
                  <w:bottom w:w="11" w:type="dxa"/>
                  <w:right w:w="28" w:type="dxa"/>
                </w:tblCellMar>
              </w:tblPrEx>
              <w:trPr>
                <w:trHeight w:val="397" w:hRule="atLeast"/>
                <w:jc w:val="center"/>
              </w:trPr>
              <w:tc>
                <w:tcPr>
                  <w:tcW w:w="504" w:type="dxa"/>
                  <w:noWrap w:val="0"/>
                  <w:vAlign w:val="center"/>
                </w:tcPr>
                <w:p>
                  <w:pPr>
                    <w:jc w:val="center"/>
                    <w:rPr>
                      <w:color w:val="auto"/>
                      <w:spacing w:val="-4"/>
                      <w:sz w:val="18"/>
                      <w:szCs w:val="18"/>
                    </w:rPr>
                  </w:pPr>
                  <w:r>
                    <w:rPr>
                      <w:color w:val="auto"/>
                      <w:spacing w:val="-4"/>
                      <w:sz w:val="18"/>
                      <w:szCs w:val="18"/>
                    </w:rPr>
                    <w:t>2</w:t>
                  </w:r>
                </w:p>
              </w:tc>
              <w:tc>
                <w:tcPr>
                  <w:tcW w:w="615" w:type="dxa"/>
                  <w:noWrap w:val="0"/>
                  <w:vAlign w:val="center"/>
                </w:tcPr>
                <w:p>
                  <w:pPr>
                    <w:jc w:val="left"/>
                    <w:rPr>
                      <w:color w:val="auto"/>
                      <w:spacing w:val="-4"/>
                      <w:sz w:val="18"/>
                      <w:szCs w:val="18"/>
                    </w:rPr>
                  </w:pPr>
                  <w:r>
                    <w:rPr>
                      <w:color w:val="auto"/>
                      <w:spacing w:val="-4"/>
                      <w:sz w:val="18"/>
                      <w:szCs w:val="18"/>
                    </w:rPr>
                    <w:t>环境质量底线</w:t>
                  </w:r>
                </w:p>
              </w:tc>
              <w:tc>
                <w:tcPr>
                  <w:tcW w:w="1790" w:type="dxa"/>
                  <w:noWrap w:val="0"/>
                  <w:vAlign w:val="center"/>
                </w:tcPr>
                <w:p>
                  <w:pPr>
                    <w:jc w:val="left"/>
                    <w:rPr>
                      <w:rFonts w:ascii="宋体" w:hAnsi="宋体" w:cs="宋体"/>
                      <w:color w:val="auto"/>
                      <w:kern w:val="0"/>
                      <w:sz w:val="18"/>
                      <w:szCs w:val="18"/>
                      <w:lang w:val="en"/>
                    </w:rPr>
                  </w:pPr>
                  <w:r>
                    <w:rPr>
                      <w:rFonts w:ascii="宋体" w:hAnsi="宋体" w:cs="宋体"/>
                      <w:color w:val="auto"/>
                      <w:kern w:val="0"/>
                      <w:sz w:val="18"/>
                      <w:szCs w:val="18"/>
                      <w:lang w:val="en"/>
                    </w:rPr>
                    <w:t>环境质量现状超标地区以及未达到环境质量目标考核要求的地区上新项目将受到限制；对环境质量现状超标的地区，项目拟采取的措施不能满足区域环境质量改善目标管理要求的，依法不予审批其环评文件</w:t>
                  </w:r>
                </w:p>
              </w:tc>
              <w:tc>
                <w:tcPr>
                  <w:tcW w:w="3885" w:type="dxa"/>
                  <w:noWrap w:val="0"/>
                  <w:vAlign w:val="center"/>
                </w:tcPr>
                <w:p>
                  <w:pPr>
                    <w:pStyle w:val="147"/>
                    <w:spacing w:line="240" w:lineRule="atLeast"/>
                    <w:ind w:firstLine="0" w:firstLineChars="0"/>
                    <w:rPr>
                      <w:rFonts w:hint="default" w:ascii="Times New Roman" w:hAnsi="Times New Roman" w:cs="Times New Roman"/>
                      <w:bCs w:val="0"/>
                      <w:color w:val="auto"/>
                      <w:kern w:val="0"/>
                      <w:sz w:val="18"/>
                      <w:szCs w:val="18"/>
                      <w:lang w:val="en"/>
                    </w:rPr>
                  </w:pPr>
                  <w:r>
                    <w:rPr>
                      <w:rFonts w:hint="default" w:ascii="Times New Roman" w:hAnsi="Times New Roman" w:cs="Times New Roman"/>
                      <w:bCs w:val="0"/>
                      <w:color w:val="auto"/>
                      <w:kern w:val="0"/>
                      <w:sz w:val="18"/>
                      <w:szCs w:val="18"/>
                      <w:lang w:val="en" w:eastAsia="zh-CN"/>
                    </w:rPr>
                    <w:t>根据淮南市人民政府网站公布的《202</w:t>
                  </w:r>
                  <w:r>
                    <w:rPr>
                      <w:rFonts w:hint="eastAsia" w:cs="Times New Roman"/>
                      <w:bCs w:val="0"/>
                      <w:color w:val="auto"/>
                      <w:kern w:val="0"/>
                      <w:sz w:val="18"/>
                      <w:szCs w:val="18"/>
                      <w:lang w:val="en-US" w:eastAsia="zh-CN"/>
                    </w:rPr>
                    <w:t>3</w:t>
                  </w:r>
                  <w:r>
                    <w:rPr>
                      <w:rFonts w:hint="default" w:ascii="Times New Roman" w:hAnsi="Times New Roman" w:cs="Times New Roman"/>
                      <w:bCs w:val="0"/>
                      <w:color w:val="auto"/>
                      <w:kern w:val="0"/>
                      <w:sz w:val="18"/>
                      <w:szCs w:val="18"/>
                      <w:lang w:val="en" w:eastAsia="zh-CN"/>
                    </w:rPr>
                    <w:t>年淮南市环境质量状况公报》，项目所在地的环境空气质量不达标，细颗粒物（PM</w:t>
                  </w:r>
                  <w:r>
                    <w:rPr>
                      <w:rFonts w:hint="default" w:ascii="Times New Roman" w:hAnsi="Times New Roman" w:cs="Times New Roman"/>
                      <w:bCs w:val="0"/>
                      <w:color w:val="auto"/>
                      <w:kern w:val="0"/>
                      <w:sz w:val="18"/>
                      <w:szCs w:val="18"/>
                      <w:vertAlign w:val="subscript"/>
                      <w:lang w:val="en" w:eastAsia="zh-CN"/>
                    </w:rPr>
                    <w:t>2.5</w:t>
                  </w:r>
                  <w:r>
                    <w:rPr>
                      <w:rFonts w:hint="default" w:ascii="Times New Roman" w:hAnsi="Times New Roman" w:cs="Times New Roman"/>
                      <w:bCs w:val="0"/>
                      <w:color w:val="auto"/>
                      <w:kern w:val="0"/>
                      <w:sz w:val="18"/>
                      <w:szCs w:val="18"/>
                      <w:lang w:val="en" w:eastAsia="zh-CN"/>
                    </w:rPr>
                    <w:t>）年均浓度超过《</w:t>
                  </w:r>
                  <w:r>
                    <w:rPr>
                      <w:rFonts w:hint="default" w:ascii="Times New Roman" w:hAnsi="Times New Roman" w:eastAsia="宋体" w:cs="Times New Roman"/>
                      <w:bCs w:val="0"/>
                      <w:color w:val="auto"/>
                      <w:kern w:val="0"/>
                      <w:sz w:val="18"/>
                      <w:szCs w:val="18"/>
                      <w:lang w:val="en" w:eastAsia="zh-CN"/>
                    </w:rPr>
                    <w:t>环境空气质量标准》（GB3095-2012）二级标准。</w:t>
                  </w:r>
                  <w:r>
                    <w:rPr>
                      <w:rFonts w:hint="eastAsia" w:ascii="Times New Roman" w:hAnsi="Times New Roman" w:eastAsia="宋体" w:cs="Times New Roman"/>
                      <w:bCs w:val="0"/>
                      <w:color w:val="auto"/>
                      <w:kern w:val="0"/>
                      <w:sz w:val="18"/>
                      <w:szCs w:val="18"/>
                      <w:lang w:val="en-US" w:eastAsia="zh-CN"/>
                    </w:rPr>
                    <w:t>淮南市政府采取了</w:t>
                  </w:r>
                  <w:r>
                    <w:rPr>
                      <w:rFonts w:hint="eastAsia" w:cs="Times New Roman"/>
                      <w:bCs w:val="0"/>
                      <w:color w:val="auto"/>
                      <w:kern w:val="0"/>
                      <w:sz w:val="18"/>
                      <w:szCs w:val="18"/>
                      <w:lang w:val="en-US" w:eastAsia="zh-CN"/>
                    </w:rPr>
                    <w:t>一系列</w:t>
                  </w:r>
                  <w:r>
                    <w:rPr>
                      <w:rFonts w:hint="eastAsia" w:ascii="Times New Roman" w:hAnsi="Times New Roman" w:eastAsia="宋体" w:cs="Times New Roman"/>
                      <w:bCs w:val="0"/>
                      <w:color w:val="auto"/>
                      <w:kern w:val="0"/>
                      <w:sz w:val="18"/>
                      <w:szCs w:val="18"/>
                      <w:lang w:val="en-US" w:eastAsia="zh-CN"/>
                    </w:rPr>
                    <w:t>的措施，</w:t>
                  </w:r>
                  <w:r>
                    <w:rPr>
                      <w:rFonts w:hint="default" w:ascii="Times New Roman" w:hAnsi="Times New Roman" w:eastAsia="宋体" w:cs="Times New Roman"/>
                      <w:bCs w:val="0"/>
                      <w:color w:val="auto"/>
                      <w:kern w:val="0"/>
                      <w:sz w:val="18"/>
                      <w:szCs w:val="18"/>
                      <w:lang w:val="en" w:eastAsia="zh-CN"/>
                    </w:rPr>
                    <w:t>努力打好蓝天保卫战。突出重点时段，实施季节性调控。将夏季臭氧污染纳入监测预警，每天推送涉VOCs企业应急减排清单，累计调整企业生产计划500余家次；在颗粒物污染季，累计管控企业253家次。严格落实《淮南市重污染天气应急预案（2023年版）》，纳入应急减排清单企业853家、施工工地336家。积极应对年初年末两轮次重污染天气，发布2次黄色预警、1次橙色预警。突出重点行业，持续开展挥发性有机物综合治理。制定实施《淮南市涉VOCs重点行业绩效分级技术指南》，全市16个涉VOCs行业实施差异化管控，完成申报评估186家，累计评定C级企业21家。完成23家企业单一低效治理工艺升级改造，6家企业原辅材料替代。突出重点移动源，深化清洁运输。新增使用新能源公交车762辆、出租车443辆，占比分别达到100%、93.1%；淘汰老旧车辆5048辆。</w:t>
                  </w:r>
                  <w:r>
                    <w:rPr>
                      <w:rFonts w:hint="eastAsia" w:ascii="Times New Roman" w:hAnsi="Times New Roman" w:eastAsia="宋体" w:cs="Times New Roman"/>
                      <w:bCs w:val="0"/>
                      <w:color w:val="auto"/>
                      <w:kern w:val="0"/>
                      <w:sz w:val="18"/>
                      <w:szCs w:val="18"/>
                      <w:lang w:val="en" w:eastAsia="zh-CN"/>
                    </w:rPr>
                    <w:t>2023年，全市地表水24个监测断面中优良水质比例为95.8%，比上年提升了16.6个百分点，Ⅳ类水质比例4.2%，总体水质状况优。全市8个国控断面中优良水质比例为87.5%，Ⅳ类水质比例12.5%，总体水质状况良好；11个省控断面中优良水质比例为100%，总体水质状况优</w:t>
                  </w:r>
                  <w:r>
                    <w:rPr>
                      <w:rFonts w:hint="eastAsia" w:cs="Times New Roman"/>
                      <w:bCs w:val="0"/>
                      <w:color w:val="auto"/>
                      <w:kern w:val="0"/>
                      <w:sz w:val="18"/>
                      <w:szCs w:val="18"/>
                      <w:lang w:val="en" w:eastAsia="zh-CN"/>
                    </w:rPr>
                    <w:t>。</w:t>
                  </w:r>
                  <w:r>
                    <w:rPr>
                      <w:rFonts w:hint="default" w:ascii="Times New Roman" w:hAnsi="Times New Roman" w:cs="Times New Roman"/>
                      <w:bCs w:val="0"/>
                      <w:color w:val="auto"/>
                      <w:kern w:val="0"/>
                      <w:sz w:val="18"/>
                      <w:szCs w:val="18"/>
                      <w:lang w:val="en" w:eastAsia="zh-CN"/>
                    </w:rPr>
                    <w:t>区域声环境质量达到《声环境质量标准》（GB3096-2008）3类区标准。本项目运营过程中会产生一定的污染物，通过采取相应的废气、噪声、固废治理措施，污染物排放量较小，对周边环境影响较小；噪声预测结果表明，在采取相应的隔声降噪措施处理后，生产过程中厂内各种设备运转产生的噪声均能满足《工业企业厂界环境噪声排放标准》（GB12348-2008）中3类标准的要求。项目实施后通过采取相应的污染防治措施，废气、噪声可以做到稳定达标排放，不会降低评价区域大气、地表水及声环境质量原有功能级别。</w:t>
                  </w:r>
                </w:p>
              </w:tc>
              <w:tc>
                <w:tcPr>
                  <w:tcW w:w="705" w:type="dxa"/>
                  <w:noWrap w:val="0"/>
                  <w:vAlign w:val="center"/>
                </w:tcPr>
                <w:p>
                  <w:pPr>
                    <w:jc w:val="center"/>
                    <w:rPr>
                      <w:color w:val="auto"/>
                      <w:sz w:val="18"/>
                      <w:szCs w:val="18"/>
                    </w:rPr>
                  </w:pPr>
                  <w:r>
                    <w:rPr>
                      <w:color w:val="auto"/>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1" w:type="dxa"/>
                  <w:left w:w="28" w:type="dxa"/>
                  <w:bottom w:w="11" w:type="dxa"/>
                  <w:right w:w="28" w:type="dxa"/>
                </w:tblCellMar>
              </w:tblPrEx>
              <w:trPr>
                <w:trHeight w:val="397" w:hRule="atLeast"/>
                <w:jc w:val="center"/>
              </w:trPr>
              <w:tc>
                <w:tcPr>
                  <w:tcW w:w="504" w:type="dxa"/>
                  <w:noWrap w:val="0"/>
                  <w:vAlign w:val="center"/>
                </w:tcPr>
                <w:p>
                  <w:pPr>
                    <w:jc w:val="left"/>
                    <w:rPr>
                      <w:color w:val="auto"/>
                      <w:spacing w:val="-4"/>
                      <w:sz w:val="18"/>
                      <w:szCs w:val="18"/>
                    </w:rPr>
                  </w:pPr>
                  <w:r>
                    <w:rPr>
                      <w:color w:val="auto"/>
                      <w:spacing w:val="-4"/>
                      <w:sz w:val="18"/>
                      <w:szCs w:val="18"/>
                    </w:rPr>
                    <w:t>3</w:t>
                  </w:r>
                </w:p>
              </w:tc>
              <w:tc>
                <w:tcPr>
                  <w:tcW w:w="615" w:type="dxa"/>
                  <w:noWrap w:val="0"/>
                  <w:vAlign w:val="center"/>
                </w:tcPr>
                <w:p>
                  <w:pPr>
                    <w:jc w:val="left"/>
                    <w:rPr>
                      <w:color w:val="auto"/>
                      <w:spacing w:val="-4"/>
                      <w:sz w:val="18"/>
                      <w:szCs w:val="18"/>
                    </w:rPr>
                  </w:pPr>
                  <w:r>
                    <w:rPr>
                      <w:color w:val="auto"/>
                      <w:spacing w:val="-4"/>
                      <w:sz w:val="18"/>
                      <w:szCs w:val="18"/>
                    </w:rPr>
                    <w:t>资源利用上线</w:t>
                  </w:r>
                </w:p>
              </w:tc>
              <w:tc>
                <w:tcPr>
                  <w:tcW w:w="1790" w:type="dxa"/>
                  <w:noWrap w:val="0"/>
                  <w:vAlign w:val="center"/>
                </w:tcPr>
                <w:p>
                  <w:pPr>
                    <w:jc w:val="left"/>
                    <w:rPr>
                      <w:rFonts w:hint="eastAsia" w:eastAsia="宋体"/>
                      <w:color w:val="auto"/>
                      <w:spacing w:val="-4"/>
                      <w:sz w:val="18"/>
                      <w:szCs w:val="18"/>
                      <w:lang w:eastAsia="zh-CN"/>
                    </w:rPr>
                  </w:pPr>
                  <w:r>
                    <w:rPr>
                      <w:rFonts w:ascii="宋体" w:hAnsi="宋体" w:cs="宋体"/>
                      <w:color w:val="auto"/>
                      <w:kern w:val="0"/>
                      <w:sz w:val="18"/>
                      <w:szCs w:val="18"/>
                      <w:lang w:val="en"/>
                    </w:rPr>
                    <w:t>依据有关资源利用上线要求，即各地区能源、水、土地等资源消耗是不得突破的</w:t>
                  </w:r>
                  <w:r>
                    <w:rPr>
                      <w:rFonts w:hint="eastAsia" w:ascii="宋体" w:hAnsi="宋体" w:cs="宋体"/>
                      <w:color w:val="auto"/>
                      <w:kern w:val="0"/>
                      <w:sz w:val="18"/>
                      <w:szCs w:val="18"/>
                      <w:lang w:val="en" w:eastAsia="zh-CN"/>
                    </w:rPr>
                    <w:t>“</w:t>
                  </w:r>
                  <w:r>
                    <w:rPr>
                      <w:rFonts w:ascii="宋体" w:hAnsi="宋体" w:cs="宋体"/>
                      <w:color w:val="auto"/>
                      <w:kern w:val="0"/>
                      <w:sz w:val="18"/>
                      <w:szCs w:val="18"/>
                      <w:lang w:val="en"/>
                    </w:rPr>
                    <w:t>天花板</w:t>
                  </w:r>
                  <w:r>
                    <w:rPr>
                      <w:rFonts w:hint="eastAsia"/>
                      <w:color w:val="auto"/>
                      <w:spacing w:val="-4"/>
                      <w:sz w:val="18"/>
                      <w:szCs w:val="18"/>
                      <w:lang w:eastAsia="zh-CN"/>
                    </w:rPr>
                    <w:t>”</w:t>
                  </w:r>
                </w:p>
              </w:tc>
              <w:tc>
                <w:tcPr>
                  <w:tcW w:w="3885" w:type="dxa"/>
                  <w:noWrap w:val="0"/>
                  <w:vAlign w:val="center"/>
                </w:tcPr>
                <w:p>
                  <w:pPr>
                    <w:pStyle w:val="147"/>
                    <w:spacing w:line="240" w:lineRule="atLeast"/>
                    <w:rPr>
                      <w:color w:val="auto"/>
                      <w:spacing w:val="-4"/>
                      <w:sz w:val="18"/>
                      <w:szCs w:val="18"/>
                    </w:rPr>
                  </w:pPr>
                  <w:r>
                    <w:rPr>
                      <w:color w:val="auto"/>
                      <w:sz w:val="18"/>
                      <w:szCs w:val="18"/>
                      <w:lang w:val="en-US" w:eastAsia="zh-CN"/>
                    </w:rPr>
                    <w:t>本项目</w:t>
                  </w:r>
                  <w:r>
                    <w:rPr>
                      <w:rFonts w:hint="eastAsia"/>
                      <w:color w:val="auto"/>
                      <w:sz w:val="18"/>
                      <w:szCs w:val="18"/>
                      <w:lang w:val="en-US" w:eastAsia="zh-CN"/>
                    </w:rPr>
                    <w:t>能源主要使用电能，</w:t>
                  </w:r>
                  <w:r>
                    <w:rPr>
                      <w:color w:val="auto"/>
                      <w:sz w:val="18"/>
                      <w:szCs w:val="18"/>
                      <w:lang w:val="en-US" w:eastAsia="zh-CN"/>
                    </w:rPr>
                    <w:t>项目</w:t>
                  </w:r>
                  <w:r>
                    <w:rPr>
                      <w:rFonts w:hint="eastAsia"/>
                      <w:color w:val="auto"/>
                      <w:sz w:val="18"/>
                      <w:szCs w:val="18"/>
                      <w:lang w:val="en-US" w:eastAsia="zh-CN"/>
                    </w:rPr>
                    <w:t>利用土地为开发区内规划工业用地，不新增占用农用地</w:t>
                  </w:r>
                  <w:r>
                    <w:rPr>
                      <w:rFonts w:hint="eastAsia" w:hAnsi="宋体"/>
                      <w:bCs w:val="0"/>
                      <w:color w:val="auto"/>
                      <w:kern w:val="0"/>
                      <w:sz w:val="18"/>
                      <w:szCs w:val="18"/>
                      <w:lang w:val="en" w:eastAsia="zh-CN"/>
                    </w:rPr>
                    <w:t>。生产过程涉及</w:t>
                  </w:r>
                  <w:r>
                    <w:rPr>
                      <w:rFonts w:hint="eastAsia" w:hAnsi="宋体"/>
                      <w:bCs w:val="0"/>
                      <w:color w:val="auto"/>
                      <w:kern w:val="0"/>
                      <w:sz w:val="18"/>
                      <w:szCs w:val="18"/>
                      <w:lang w:val="en-US" w:eastAsia="zh-CN"/>
                    </w:rPr>
                    <w:t>纯水制备用水，主要依托园区现有供水管网，</w:t>
                  </w:r>
                  <w:r>
                    <w:rPr>
                      <w:rFonts w:hAnsi="宋体"/>
                      <w:bCs w:val="0"/>
                      <w:color w:val="auto"/>
                      <w:kern w:val="0"/>
                      <w:sz w:val="18"/>
                      <w:szCs w:val="18"/>
                      <w:lang w:val="en" w:eastAsia="zh-CN"/>
                    </w:rPr>
                    <w:t>项目年用电约</w:t>
                  </w:r>
                  <w:r>
                    <w:rPr>
                      <w:rFonts w:hint="eastAsia"/>
                      <w:bCs w:val="0"/>
                      <w:color w:val="auto"/>
                      <w:kern w:val="0"/>
                      <w:sz w:val="18"/>
                      <w:szCs w:val="18"/>
                      <w:lang w:val="en-US" w:eastAsia="zh-CN"/>
                    </w:rPr>
                    <w:t>50</w:t>
                  </w:r>
                  <w:r>
                    <w:rPr>
                      <w:rFonts w:hAnsi="宋体"/>
                      <w:bCs w:val="0"/>
                      <w:color w:val="auto"/>
                      <w:kern w:val="0"/>
                      <w:sz w:val="18"/>
                      <w:szCs w:val="18"/>
                      <w:lang w:val="en" w:eastAsia="zh-CN"/>
                    </w:rPr>
                    <w:t>万</w:t>
                  </w:r>
                  <w:r>
                    <w:rPr>
                      <w:bCs w:val="0"/>
                      <w:color w:val="auto"/>
                      <w:kern w:val="0"/>
                      <w:sz w:val="18"/>
                      <w:szCs w:val="18"/>
                      <w:lang w:val="en" w:eastAsia="zh-CN"/>
                    </w:rPr>
                    <w:t>kwh</w:t>
                  </w:r>
                  <w:r>
                    <w:rPr>
                      <w:rFonts w:hAnsi="宋体"/>
                      <w:bCs w:val="0"/>
                      <w:color w:val="auto"/>
                      <w:kern w:val="0"/>
                      <w:sz w:val="18"/>
                      <w:szCs w:val="18"/>
                      <w:lang w:val="en" w:eastAsia="zh-CN"/>
                    </w:rPr>
                    <w:t>，园区电网能够满足本项目需求。因此，本项目用水、用电等均在园区供应能力范围内，不突破区域资源利用上线。</w:t>
                  </w:r>
                </w:p>
              </w:tc>
              <w:tc>
                <w:tcPr>
                  <w:tcW w:w="705" w:type="dxa"/>
                  <w:noWrap w:val="0"/>
                  <w:vAlign w:val="center"/>
                </w:tcPr>
                <w:p>
                  <w:pPr>
                    <w:jc w:val="center"/>
                    <w:rPr>
                      <w:color w:val="auto"/>
                      <w:spacing w:val="-4"/>
                      <w:sz w:val="18"/>
                      <w:szCs w:val="18"/>
                    </w:rPr>
                  </w:pPr>
                  <w:r>
                    <w:rPr>
                      <w:color w:val="auto"/>
                      <w:spacing w:val="-4"/>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1" w:type="dxa"/>
                  <w:left w:w="28" w:type="dxa"/>
                  <w:bottom w:w="11" w:type="dxa"/>
                  <w:right w:w="28" w:type="dxa"/>
                </w:tblCellMar>
              </w:tblPrEx>
              <w:trPr>
                <w:trHeight w:val="397" w:hRule="atLeast"/>
                <w:jc w:val="center"/>
              </w:trPr>
              <w:tc>
                <w:tcPr>
                  <w:tcW w:w="504" w:type="dxa"/>
                  <w:noWrap w:val="0"/>
                  <w:vAlign w:val="center"/>
                </w:tcPr>
                <w:p>
                  <w:pPr>
                    <w:jc w:val="left"/>
                    <w:rPr>
                      <w:color w:val="auto"/>
                      <w:spacing w:val="-4"/>
                      <w:sz w:val="18"/>
                      <w:szCs w:val="18"/>
                    </w:rPr>
                  </w:pPr>
                  <w:r>
                    <w:rPr>
                      <w:color w:val="auto"/>
                      <w:spacing w:val="-4"/>
                      <w:sz w:val="18"/>
                      <w:szCs w:val="18"/>
                    </w:rPr>
                    <w:t>4</w:t>
                  </w:r>
                </w:p>
              </w:tc>
              <w:tc>
                <w:tcPr>
                  <w:tcW w:w="615" w:type="dxa"/>
                  <w:noWrap w:val="0"/>
                  <w:vAlign w:val="center"/>
                </w:tcPr>
                <w:p>
                  <w:pPr>
                    <w:jc w:val="left"/>
                    <w:rPr>
                      <w:color w:val="auto"/>
                      <w:spacing w:val="-4"/>
                      <w:sz w:val="18"/>
                      <w:szCs w:val="18"/>
                    </w:rPr>
                  </w:pPr>
                  <w:r>
                    <w:rPr>
                      <w:rFonts w:hint="eastAsia"/>
                      <w:color w:val="auto"/>
                      <w:spacing w:val="-4"/>
                      <w:sz w:val="18"/>
                      <w:szCs w:val="18"/>
                    </w:rPr>
                    <w:t>生态</w:t>
                  </w:r>
                  <w:r>
                    <w:rPr>
                      <w:color w:val="auto"/>
                      <w:spacing w:val="-4"/>
                      <w:sz w:val="18"/>
                      <w:szCs w:val="18"/>
                    </w:rPr>
                    <w:t>环境准入负面清单</w:t>
                  </w:r>
                </w:p>
              </w:tc>
              <w:tc>
                <w:tcPr>
                  <w:tcW w:w="1790" w:type="dxa"/>
                  <w:noWrap w:val="0"/>
                  <w:vAlign w:val="center"/>
                </w:tcPr>
                <w:p>
                  <w:pPr>
                    <w:jc w:val="left"/>
                    <w:rPr>
                      <w:rFonts w:ascii="宋体" w:hAnsi="宋体" w:cs="宋体"/>
                      <w:color w:val="auto"/>
                      <w:kern w:val="0"/>
                      <w:sz w:val="18"/>
                      <w:szCs w:val="18"/>
                      <w:lang w:val="en"/>
                    </w:rPr>
                  </w:pPr>
                  <w:r>
                    <w:rPr>
                      <w:rFonts w:ascii="宋体" w:hAnsi="宋体" w:cs="宋体"/>
                      <w:color w:val="auto"/>
                      <w:kern w:val="0"/>
                      <w:sz w:val="18"/>
                      <w:szCs w:val="18"/>
                      <w:lang w:val="en"/>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3885" w:type="dxa"/>
                  <w:noWrap w:val="0"/>
                  <w:vAlign w:val="center"/>
                </w:tcPr>
                <w:p>
                  <w:pPr>
                    <w:jc w:val="left"/>
                    <w:rPr>
                      <w:color w:val="auto"/>
                      <w:kern w:val="0"/>
                      <w:sz w:val="18"/>
                      <w:szCs w:val="18"/>
                      <w:lang w:val="en"/>
                    </w:rPr>
                  </w:pPr>
                  <w:r>
                    <w:rPr>
                      <w:color w:val="auto"/>
                      <w:kern w:val="0"/>
                      <w:sz w:val="18"/>
                      <w:szCs w:val="18"/>
                      <w:lang w:val="en"/>
                    </w:rPr>
                    <w:t>本项目为</w:t>
                  </w:r>
                  <w:r>
                    <w:rPr>
                      <w:color w:val="auto"/>
                      <w:sz w:val="18"/>
                      <w:szCs w:val="18"/>
                    </w:rPr>
                    <w:t>C</w:t>
                  </w:r>
                  <w:r>
                    <w:rPr>
                      <w:rFonts w:hint="eastAsia"/>
                      <w:color w:val="auto"/>
                      <w:sz w:val="18"/>
                      <w:szCs w:val="18"/>
                      <w:lang w:val="en-US" w:eastAsia="zh-CN"/>
                    </w:rPr>
                    <w:t>3562</w:t>
                  </w:r>
                  <w:r>
                    <w:rPr>
                      <w:rFonts w:hint="eastAsia" w:ascii="Times New Roman" w:hAnsi="Times New Roman" w:eastAsia="宋体" w:cs="Times New Roman"/>
                      <w:color w:val="auto"/>
                      <w:kern w:val="0"/>
                      <w:sz w:val="18"/>
                      <w:szCs w:val="18"/>
                      <w:lang w:val="en"/>
                    </w:rPr>
                    <w:t>半导体器件专用设备制造</w:t>
                  </w:r>
                  <w:r>
                    <w:rPr>
                      <w:rFonts w:hint="eastAsia"/>
                      <w:color w:val="auto"/>
                      <w:szCs w:val="21"/>
                      <w:lang w:eastAsia="zh-CN"/>
                    </w:rPr>
                    <w:t>，</w:t>
                  </w:r>
                  <w:r>
                    <w:rPr>
                      <w:color w:val="auto"/>
                      <w:kern w:val="0"/>
                      <w:sz w:val="18"/>
                      <w:szCs w:val="18"/>
                      <w:lang w:val="en"/>
                    </w:rPr>
                    <w:t>属于《产业结构调整指导目录（20</w:t>
                  </w:r>
                  <w:r>
                    <w:rPr>
                      <w:rFonts w:hint="eastAsia"/>
                      <w:color w:val="auto"/>
                      <w:kern w:val="0"/>
                      <w:sz w:val="18"/>
                      <w:szCs w:val="18"/>
                      <w:lang w:val="en"/>
                    </w:rPr>
                    <w:t>24</w:t>
                  </w:r>
                  <w:r>
                    <w:rPr>
                      <w:color w:val="auto"/>
                      <w:kern w:val="0"/>
                      <w:sz w:val="18"/>
                      <w:szCs w:val="18"/>
                      <w:lang w:val="en"/>
                    </w:rPr>
                    <w:t>年本）》</w:t>
                  </w:r>
                  <w:r>
                    <w:rPr>
                      <w:rFonts w:hint="eastAsia"/>
                      <w:color w:val="auto"/>
                      <w:kern w:val="0"/>
                      <w:sz w:val="18"/>
                      <w:szCs w:val="18"/>
                      <w:lang w:val="en"/>
                    </w:rPr>
                    <w:t>中鼓励类</w:t>
                  </w:r>
                  <w:r>
                    <w:rPr>
                      <w:color w:val="auto"/>
                      <w:kern w:val="0"/>
                      <w:sz w:val="18"/>
                      <w:szCs w:val="18"/>
                      <w:lang w:val="en"/>
                    </w:rPr>
                    <w:t>项目，本项目属于</w:t>
                  </w:r>
                  <w:r>
                    <w:rPr>
                      <w:rFonts w:hint="eastAsia" w:cs="Times New Roman"/>
                      <w:bCs w:val="0"/>
                      <w:color w:val="auto"/>
                      <w:kern w:val="0"/>
                      <w:sz w:val="18"/>
                      <w:szCs w:val="18"/>
                      <w:lang w:val="en-US" w:eastAsia="zh-CN"/>
                    </w:rPr>
                    <w:t>淮南安成经济开发</w:t>
                  </w:r>
                  <w:r>
                    <w:rPr>
                      <w:rFonts w:hint="eastAsia" w:ascii="Times New Roman" w:hAnsi="Times New Roman" w:eastAsia="宋体" w:cs="Times New Roman"/>
                      <w:bCs w:val="0"/>
                      <w:color w:val="auto"/>
                      <w:kern w:val="0"/>
                      <w:sz w:val="18"/>
                      <w:szCs w:val="18"/>
                      <w:lang w:val="en-US" w:eastAsia="zh-CN"/>
                    </w:rPr>
                    <w:t>区</w:t>
                  </w:r>
                  <w:r>
                    <w:rPr>
                      <w:rFonts w:hint="eastAsia"/>
                      <w:color w:val="auto"/>
                      <w:kern w:val="0"/>
                      <w:sz w:val="18"/>
                      <w:szCs w:val="18"/>
                      <w:lang w:val="en"/>
                    </w:rPr>
                    <w:t>，根据规划环评跟踪评价内容，本项目不在规划环评负面清单禁止项目中。</w:t>
                  </w:r>
                </w:p>
              </w:tc>
              <w:tc>
                <w:tcPr>
                  <w:tcW w:w="705" w:type="dxa"/>
                  <w:noWrap w:val="0"/>
                  <w:vAlign w:val="center"/>
                </w:tcPr>
                <w:p>
                  <w:pPr>
                    <w:jc w:val="center"/>
                    <w:rPr>
                      <w:color w:val="auto"/>
                      <w:spacing w:val="-4"/>
                      <w:sz w:val="18"/>
                      <w:szCs w:val="18"/>
                    </w:rPr>
                  </w:pPr>
                  <w:r>
                    <w:rPr>
                      <w:color w:val="auto"/>
                      <w:spacing w:val="-4"/>
                      <w:sz w:val="18"/>
                      <w:szCs w:val="18"/>
                    </w:rPr>
                    <w:t>相符</w:t>
                  </w:r>
                </w:p>
              </w:tc>
            </w:tr>
          </w:tbl>
          <w:p>
            <w:pPr>
              <w:pStyle w:val="140"/>
              <w:ind w:firstLine="420"/>
              <w:rPr>
                <w:color w:val="auto"/>
                <w:sz w:val="21"/>
                <w:szCs w:val="21"/>
              </w:rPr>
            </w:pPr>
            <w:r>
              <w:rPr>
                <w:color w:val="auto"/>
                <w:sz w:val="21"/>
                <w:szCs w:val="21"/>
              </w:rPr>
              <w:t>综上所述，项目符合《关于以改善环境质量为核心加强环境影响评价管理的通知》（环环评[2016]150号）中</w:t>
            </w:r>
            <w:r>
              <w:rPr>
                <w:rFonts w:hint="eastAsia"/>
                <w:color w:val="auto"/>
                <w:sz w:val="21"/>
                <w:szCs w:val="21"/>
                <w:lang w:eastAsia="zh-CN"/>
              </w:rPr>
              <w:t>“</w:t>
            </w:r>
            <w:r>
              <w:rPr>
                <w:color w:val="auto"/>
                <w:sz w:val="21"/>
                <w:szCs w:val="21"/>
              </w:rPr>
              <w:t>三线一单</w:t>
            </w:r>
            <w:r>
              <w:rPr>
                <w:rFonts w:hint="eastAsia"/>
                <w:color w:val="auto"/>
                <w:sz w:val="21"/>
                <w:szCs w:val="21"/>
                <w:lang w:eastAsia="zh-CN"/>
              </w:rPr>
              <w:t>”</w:t>
            </w:r>
            <w:r>
              <w:rPr>
                <w:color w:val="auto"/>
                <w:sz w:val="21"/>
                <w:szCs w:val="21"/>
              </w:rPr>
              <w:t>相关要求。</w:t>
            </w:r>
          </w:p>
          <w:p>
            <w:pPr>
              <w:spacing w:before="120" w:beforeLines="50" w:line="360" w:lineRule="auto"/>
              <w:jc w:val="lef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（2）与《淮南市</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三线一单</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生态环境分区管控方案》相符性</w:t>
            </w:r>
          </w:p>
          <w:p>
            <w:pPr>
              <w:pStyle w:val="140"/>
              <w:ind w:firstLine="420"/>
              <w:rPr>
                <w:rFonts w:hint="eastAsia" w:hAnsi="宋体"/>
                <w:color w:val="auto"/>
                <w:kern w:val="0"/>
                <w:sz w:val="21"/>
                <w:szCs w:val="21"/>
              </w:rPr>
            </w:pPr>
            <w:r>
              <w:rPr>
                <w:rFonts w:hint="eastAsia"/>
                <w:color w:val="auto"/>
                <w:sz w:val="21"/>
                <w:szCs w:val="21"/>
              </w:rPr>
              <w:t>根据安徽省</w:t>
            </w:r>
            <w:r>
              <w:rPr>
                <w:rFonts w:hint="eastAsia"/>
                <w:color w:val="auto"/>
                <w:sz w:val="21"/>
                <w:szCs w:val="21"/>
                <w:lang w:eastAsia="zh-CN"/>
              </w:rPr>
              <w:t>“</w:t>
            </w:r>
            <w:r>
              <w:rPr>
                <w:rFonts w:hint="eastAsia"/>
                <w:color w:val="auto"/>
                <w:sz w:val="21"/>
                <w:szCs w:val="21"/>
              </w:rPr>
              <w:t>三线一单</w:t>
            </w:r>
            <w:r>
              <w:rPr>
                <w:rFonts w:hint="eastAsia"/>
                <w:color w:val="auto"/>
                <w:sz w:val="21"/>
                <w:szCs w:val="21"/>
                <w:lang w:eastAsia="zh-CN"/>
              </w:rPr>
              <w:t>”</w:t>
            </w:r>
            <w:r>
              <w:rPr>
                <w:rFonts w:hint="eastAsia"/>
                <w:color w:val="auto"/>
                <w:sz w:val="21"/>
                <w:szCs w:val="21"/>
              </w:rPr>
              <w:t>公众服务平台查询，本项目所在区域环境管控单元编码为：ZH34040320241，</w:t>
            </w:r>
            <w:r>
              <w:rPr>
                <w:rFonts w:hint="eastAsia" w:ascii="Times New Roman" w:hAnsi="Times New Roman" w:eastAsia="宋体" w:cs="Times New Roman"/>
                <w:color w:val="auto"/>
                <w:sz w:val="21"/>
                <w:szCs w:val="21"/>
              </w:rPr>
              <w:t>与“三线一单”成果数据分析，与1个环境管控单元存在交叠，其中优先保护类0个，重点管控类1个，一般管控类0个。</w:t>
            </w:r>
            <w:r>
              <w:rPr>
                <w:rFonts w:hint="eastAsia"/>
                <w:color w:val="auto"/>
                <w:sz w:val="21"/>
                <w:szCs w:val="21"/>
              </w:rPr>
              <w:t>根据淮南市</w:t>
            </w:r>
            <w:r>
              <w:rPr>
                <w:rFonts w:hint="eastAsia"/>
                <w:color w:val="auto"/>
                <w:sz w:val="21"/>
                <w:szCs w:val="21"/>
                <w:lang w:eastAsia="zh-CN"/>
              </w:rPr>
              <w:t>“</w:t>
            </w:r>
            <w:r>
              <w:rPr>
                <w:rFonts w:hint="eastAsia"/>
                <w:color w:val="auto"/>
                <w:sz w:val="21"/>
                <w:szCs w:val="21"/>
              </w:rPr>
              <w:t>三线一单</w:t>
            </w:r>
            <w:r>
              <w:rPr>
                <w:rFonts w:hint="eastAsia"/>
                <w:color w:val="auto"/>
                <w:sz w:val="21"/>
                <w:szCs w:val="21"/>
                <w:lang w:eastAsia="zh-CN"/>
              </w:rPr>
              <w:t>”</w:t>
            </w:r>
            <w:r>
              <w:rPr>
                <w:rFonts w:hint="eastAsia"/>
                <w:color w:val="auto"/>
                <w:sz w:val="21"/>
                <w:szCs w:val="21"/>
              </w:rPr>
              <w:t>图集</w:t>
            </w:r>
            <w:r>
              <w:rPr>
                <w:rFonts w:hint="eastAsia"/>
                <w:color w:val="auto"/>
                <w:sz w:val="21"/>
                <w:szCs w:val="21"/>
                <w:lang w:val="en-US" w:eastAsia="zh-CN"/>
              </w:rPr>
              <w:t>，对照</w:t>
            </w:r>
            <w:r>
              <w:rPr>
                <w:rFonts w:hint="eastAsia" w:ascii="Times New Roman" w:hAnsi="Times New Roman" w:eastAsia="宋体" w:cs="Times New Roman"/>
                <w:color w:val="auto"/>
                <w:sz w:val="21"/>
                <w:szCs w:val="21"/>
              </w:rPr>
              <w:t>安徽“三线一单”管控要求查询报告</w:t>
            </w:r>
            <w:r>
              <w:rPr>
                <w:rFonts w:hint="eastAsia" w:ascii="Times New Roman" w:hAnsi="Times New Roman" w:eastAsia="宋体" w:cs="Times New Roman"/>
                <w:color w:val="auto"/>
                <w:sz w:val="21"/>
                <w:szCs w:val="21"/>
                <w:lang w:val="en-US" w:eastAsia="zh-CN"/>
              </w:rPr>
              <w:t>内容要求</w:t>
            </w:r>
            <w:r>
              <w:rPr>
                <w:rFonts w:hint="eastAsia"/>
                <w:color w:val="auto"/>
                <w:sz w:val="21"/>
                <w:szCs w:val="21"/>
              </w:rPr>
              <w:t>，本次环评筛选了与本项目有关的管控</w:t>
            </w:r>
            <w:r>
              <w:rPr>
                <w:rFonts w:hint="eastAsia"/>
                <w:color w:val="auto"/>
                <w:sz w:val="21"/>
                <w:szCs w:val="21"/>
                <w:lang w:val="en-US" w:eastAsia="zh-CN"/>
              </w:rPr>
              <w:t>要求</w:t>
            </w:r>
            <w:r>
              <w:rPr>
                <w:rFonts w:hint="eastAsia"/>
                <w:color w:val="auto"/>
                <w:sz w:val="21"/>
                <w:szCs w:val="21"/>
              </w:rPr>
              <w:t>单元生态环境准入</w:t>
            </w:r>
            <w:r>
              <w:rPr>
                <w:color w:val="auto"/>
                <w:sz w:val="21"/>
                <w:szCs w:val="21"/>
              </w:rPr>
              <w:t>清单进行分析，详见</w:t>
            </w:r>
            <w:r>
              <w:rPr>
                <w:rFonts w:hint="eastAsia"/>
                <w:color w:val="auto"/>
                <w:sz w:val="21"/>
                <w:szCs w:val="21"/>
              </w:rPr>
              <w:t>下表</w:t>
            </w:r>
            <w:r>
              <w:rPr>
                <w:rFonts w:hint="eastAsia" w:hAnsi="宋体"/>
                <w:color w:val="auto"/>
                <w:kern w:val="0"/>
                <w:sz w:val="21"/>
                <w:szCs w:val="21"/>
              </w:rPr>
              <w:t>。</w:t>
            </w:r>
          </w:p>
          <w:p>
            <w:pPr>
              <w:pStyle w:val="110"/>
              <w:keepNext w:val="0"/>
              <w:keepLines w:val="0"/>
              <w:pageBreakBefore w:val="0"/>
              <w:widowControl/>
              <w:kinsoku/>
              <w:wordWrap/>
              <w:overflowPunct/>
              <w:topLinePunct w:val="0"/>
              <w:autoSpaceDE/>
              <w:autoSpaceDN/>
              <w:bidi w:val="0"/>
              <w:adjustRightInd/>
              <w:snapToGrid w:val="0"/>
              <w:spacing w:before="0" w:after="0" w:line="240" w:lineRule="auto"/>
              <w:ind w:right="113" w:firstLine="0"/>
              <w:jc w:val="both"/>
              <w:textAlignment w:val="auto"/>
              <w:rPr>
                <w:rFonts w:hint="eastAsia" w:cs="宋体"/>
                <w:color w:val="FF0000"/>
                <w:kern w:val="2"/>
                <w:szCs w:val="21"/>
                <w:lang w:val="en-US" w:eastAsia="zh-CN"/>
              </w:rPr>
            </w:pPr>
            <w:r>
              <w:drawing>
                <wp:inline distT="0" distB="0" distL="114300" distR="114300">
                  <wp:extent cx="4750435" cy="2748280"/>
                  <wp:effectExtent l="0" t="0" r="12065" b="13970"/>
                  <wp:docPr id="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
                          <pic:cNvPicPr>
                            <a:picLocks noChangeAspect="1"/>
                          </pic:cNvPicPr>
                        </pic:nvPicPr>
                        <pic:blipFill>
                          <a:blip r:embed="rId7"/>
                          <a:stretch>
                            <a:fillRect/>
                          </a:stretch>
                        </pic:blipFill>
                        <pic:spPr>
                          <a:xfrm>
                            <a:off x="0" y="0"/>
                            <a:ext cx="4750435" cy="2748280"/>
                          </a:xfrm>
                          <a:prstGeom prst="rect">
                            <a:avLst/>
                          </a:prstGeom>
                          <a:noFill/>
                          <a:ln>
                            <a:noFill/>
                          </a:ln>
                        </pic:spPr>
                      </pic:pic>
                    </a:graphicData>
                  </a:graphic>
                </wp:inline>
              </w:drawing>
            </w:r>
          </w:p>
          <w:p>
            <w:pPr>
              <w:pStyle w:val="110"/>
              <w:keepNext w:val="0"/>
              <w:keepLines w:val="0"/>
              <w:pageBreakBefore w:val="0"/>
              <w:widowControl/>
              <w:kinsoku/>
              <w:wordWrap/>
              <w:overflowPunct/>
              <w:topLinePunct w:val="0"/>
              <w:autoSpaceDE/>
              <w:autoSpaceDN/>
              <w:bidi w:val="0"/>
              <w:adjustRightInd/>
              <w:snapToGrid w:val="0"/>
              <w:spacing w:line="260" w:lineRule="auto"/>
              <w:ind w:right="0" w:firstLine="0"/>
              <w:textAlignment w:val="auto"/>
              <w:rPr>
                <w:rFonts w:hint="default" w:cs="宋体"/>
                <w:color w:val="auto"/>
                <w:kern w:val="2"/>
                <w:szCs w:val="21"/>
                <w:lang w:val="en-US" w:eastAsia="zh-CN"/>
              </w:rPr>
            </w:pPr>
            <w:r>
              <w:rPr>
                <w:rFonts w:hint="eastAsia" w:cs="宋体"/>
                <w:color w:val="auto"/>
                <w:kern w:val="2"/>
                <w:szCs w:val="21"/>
                <w:lang w:val="en-US" w:eastAsia="zh-CN"/>
              </w:rPr>
              <w:t>图1-1  本项目在管控单元的位置关系图</w:t>
            </w:r>
          </w:p>
          <w:p>
            <w:pPr>
              <w:pStyle w:val="110"/>
              <w:bidi w:val="0"/>
            </w:pPr>
            <w:r>
              <w:rPr>
                <w:rFonts w:hint="eastAsia"/>
                <w:lang w:val="en-US" w:eastAsia="zh-CN"/>
              </w:rPr>
              <w:t>表1-8  本项目与生态管控单元的符合性分析</w:t>
            </w:r>
          </w:p>
          <w:tbl>
            <w:tblPr>
              <w:tblStyle w:val="4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99"/>
              <w:gridCol w:w="2564"/>
              <w:gridCol w:w="2318"/>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noWrap w:val="0"/>
                  <w:vAlign w:val="center"/>
                </w:tcPr>
                <w:p>
                  <w:pPr>
                    <w:pStyle w:val="91"/>
                    <w:spacing w:before="24" w:after="24"/>
                    <w:rPr>
                      <w:b/>
                      <w:bCs/>
                      <w:color w:val="auto"/>
                      <w:sz w:val="18"/>
                      <w:szCs w:val="18"/>
                    </w:rPr>
                  </w:pPr>
                  <w:r>
                    <w:rPr>
                      <w:rFonts w:hint="eastAsia"/>
                      <w:b/>
                      <w:bCs/>
                      <w:color w:val="auto"/>
                      <w:sz w:val="18"/>
                      <w:szCs w:val="18"/>
                      <w:lang w:val="en-US" w:eastAsia="zh-CN"/>
                    </w:rPr>
                    <w:t>区域管控要求</w:t>
                  </w:r>
                </w:p>
              </w:tc>
              <w:tc>
                <w:tcPr>
                  <w:tcW w:w="536" w:type="pct"/>
                  <w:noWrap w:val="0"/>
                  <w:vAlign w:val="center"/>
                </w:tcPr>
                <w:p>
                  <w:pPr>
                    <w:pStyle w:val="91"/>
                    <w:spacing w:before="24" w:after="24"/>
                    <w:rPr>
                      <w:b/>
                      <w:bCs/>
                      <w:color w:val="auto"/>
                      <w:sz w:val="18"/>
                      <w:szCs w:val="18"/>
                    </w:rPr>
                  </w:pPr>
                  <w:r>
                    <w:rPr>
                      <w:rFonts w:hint="eastAsia"/>
                      <w:b/>
                      <w:bCs/>
                      <w:color w:val="auto"/>
                      <w:sz w:val="18"/>
                      <w:szCs w:val="18"/>
                      <w:lang w:val="en-US" w:eastAsia="zh-CN"/>
                    </w:rPr>
                    <w:t>管控</w:t>
                  </w:r>
                </w:p>
                <w:p>
                  <w:pPr>
                    <w:pStyle w:val="91"/>
                    <w:spacing w:before="24" w:after="24"/>
                    <w:rPr>
                      <w:b/>
                      <w:bCs/>
                      <w:color w:val="auto"/>
                      <w:sz w:val="18"/>
                      <w:szCs w:val="18"/>
                    </w:rPr>
                  </w:pPr>
                  <w:r>
                    <w:rPr>
                      <w:rFonts w:hint="eastAsia"/>
                      <w:b/>
                      <w:bCs/>
                      <w:color w:val="auto"/>
                      <w:sz w:val="18"/>
                      <w:szCs w:val="18"/>
                      <w:lang w:val="en-US" w:eastAsia="zh-CN"/>
                    </w:rPr>
                    <w:t>类别</w:t>
                  </w:r>
                </w:p>
              </w:tc>
              <w:tc>
                <w:tcPr>
                  <w:tcW w:w="1721" w:type="pct"/>
                  <w:noWrap w:val="0"/>
                  <w:vAlign w:val="center"/>
                </w:tcPr>
                <w:p>
                  <w:pPr>
                    <w:pStyle w:val="91"/>
                    <w:spacing w:before="24" w:after="24"/>
                    <w:rPr>
                      <w:b/>
                      <w:bCs/>
                      <w:color w:val="auto"/>
                      <w:sz w:val="18"/>
                      <w:szCs w:val="18"/>
                    </w:rPr>
                  </w:pPr>
                  <w:r>
                    <w:rPr>
                      <w:rFonts w:hint="eastAsia"/>
                      <w:b/>
                      <w:bCs/>
                      <w:color w:val="auto"/>
                      <w:sz w:val="18"/>
                      <w:szCs w:val="18"/>
                      <w:lang w:val="en-US" w:eastAsia="zh-CN"/>
                    </w:rPr>
                    <w:t>管控要求</w:t>
                  </w:r>
                </w:p>
              </w:tc>
              <w:tc>
                <w:tcPr>
                  <w:tcW w:w="1556" w:type="pct"/>
                  <w:noWrap w:val="0"/>
                  <w:vAlign w:val="center"/>
                </w:tcPr>
                <w:p>
                  <w:pPr>
                    <w:pStyle w:val="91"/>
                    <w:spacing w:before="24" w:after="24"/>
                    <w:rPr>
                      <w:b/>
                      <w:bCs/>
                      <w:color w:val="auto"/>
                      <w:sz w:val="18"/>
                      <w:szCs w:val="18"/>
                    </w:rPr>
                  </w:pPr>
                  <w:r>
                    <w:rPr>
                      <w:b/>
                      <w:bCs/>
                      <w:color w:val="auto"/>
                      <w:sz w:val="18"/>
                      <w:szCs w:val="18"/>
                    </w:rPr>
                    <w:t>协调性分析</w:t>
                  </w:r>
                </w:p>
              </w:tc>
              <w:tc>
                <w:tcPr>
                  <w:tcW w:w="600" w:type="pct"/>
                  <w:noWrap w:val="0"/>
                  <w:vAlign w:val="center"/>
                </w:tcPr>
                <w:p>
                  <w:pPr>
                    <w:pStyle w:val="91"/>
                    <w:spacing w:before="24" w:after="24"/>
                    <w:rPr>
                      <w:b/>
                      <w:bCs/>
                      <w:color w:val="auto"/>
                      <w:sz w:val="18"/>
                      <w:szCs w:val="18"/>
                    </w:rPr>
                  </w:pPr>
                  <w:r>
                    <w:rPr>
                      <w:b/>
                      <w:bCs/>
                      <w:color w:val="auto"/>
                      <w:sz w:val="18"/>
                      <w:szCs w:val="18"/>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restart"/>
                  <w:noWrap w:val="0"/>
                  <w:vAlign w:val="center"/>
                </w:tcPr>
                <w:p>
                  <w:pPr>
                    <w:pStyle w:val="91"/>
                    <w:spacing w:before="24" w:after="24"/>
                    <w:rPr>
                      <w:rFonts w:hint="eastAsia" w:eastAsia="宋体"/>
                      <w:color w:val="FF0000"/>
                      <w:sz w:val="18"/>
                      <w:szCs w:val="18"/>
                      <w:lang w:eastAsia="zh-CN"/>
                    </w:rPr>
                  </w:pPr>
                  <w:r>
                    <w:rPr>
                      <w:rFonts w:ascii="Times New Roman"/>
                      <w:color w:val="auto"/>
                      <w:sz w:val="18"/>
                      <w:szCs w:val="18"/>
                    </w:rPr>
                    <w:t>沿淮绿色生态廊道区</w:t>
                  </w:r>
                  <w:r>
                    <w:rPr>
                      <w:rFonts w:hint="eastAsia" w:ascii="Times New Roman"/>
                      <w:color w:val="auto"/>
                      <w:sz w:val="18"/>
                      <w:szCs w:val="18"/>
                      <w:lang w:eastAsia="zh-CN"/>
                    </w:rPr>
                    <w:t>－</w:t>
                  </w:r>
                  <w:r>
                    <w:rPr>
                      <w:rFonts w:ascii="Times New Roman"/>
                      <w:color w:val="auto"/>
                      <w:sz w:val="18"/>
                      <w:szCs w:val="18"/>
                    </w:rPr>
                    <w:t>重点管控单元</w:t>
                  </w:r>
                  <w:r>
                    <w:rPr>
                      <w:rFonts w:hint="eastAsia" w:ascii="Times New Roman"/>
                      <w:color w:val="auto"/>
                      <w:sz w:val="18"/>
                      <w:szCs w:val="18"/>
                      <w:lang w:val="en-US" w:eastAsia="zh-CN"/>
                    </w:rPr>
                    <w:t>9</w:t>
                  </w:r>
                </w:p>
              </w:tc>
              <w:tc>
                <w:tcPr>
                  <w:tcW w:w="536" w:type="pct"/>
                  <w:vMerge w:val="restart"/>
                  <w:noWrap w:val="0"/>
                  <w:vAlign w:val="center"/>
                </w:tcPr>
                <w:p>
                  <w:pPr>
                    <w:pStyle w:val="91"/>
                    <w:spacing w:before="24" w:after="24"/>
                    <w:rPr>
                      <w:color w:val="auto"/>
                      <w:sz w:val="18"/>
                      <w:szCs w:val="18"/>
                    </w:rPr>
                  </w:pPr>
                  <w:r>
                    <w:rPr>
                      <w:rFonts w:hint="eastAsia"/>
                      <w:color w:val="auto"/>
                      <w:sz w:val="18"/>
                      <w:szCs w:val="18"/>
                      <w:lang w:val="en-US" w:eastAsia="zh-CN"/>
                    </w:rPr>
                    <w:t>空间布局约束</w:t>
                  </w:r>
                </w:p>
              </w:tc>
              <w:tc>
                <w:tcPr>
                  <w:tcW w:w="1721" w:type="pct"/>
                  <w:noWrap w:val="0"/>
                  <w:vAlign w:val="center"/>
                </w:tcPr>
                <w:p>
                  <w:pPr>
                    <w:pStyle w:val="91"/>
                    <w:spacing w:before="24" w:after="24"/>
                    <w:rPr>
                      <w:color w:val="FF0000"/>
                      <w:sz w:val="18"/>
                      <w:szCs w:val="18"/>
                    </w:rPr>
                  </w:pPr>
                  <w:r>
                    <w:rPr>
                      <w:rFonts w:hint="eastAsia"/>
                      <w:color w:val="auto"/>
                      <w:sz w:val="18"/>
                      <w:szCs w:val="18"/>
                    </w:rPr>
                    <w:t>禁止建设生产和使用高挥发性有机物含量涂料、油墨、胶粘剂、清洗剂等项目。</w:t>
                  </w:r>
                </w:p>
              </w:tc>
              <w:tc>
                <w:tcPr>
                  <w:tcW w:w="1556" w:type="pct"/>
                  <w:noWrap w:val="0"/>
                  <w:vAlign w:val="center"/>
                </w:tcPr>
                <w:p>
                  <w:pPr>
                    <w:pStyle w:val="91"/>
                    <w:spacing w:before="24" w:after="24"/>
                    <w:rPr>
                      <w:rFonts w:ascii="Times New Roman"/>
                      <w:color w:val="auto"/>
                      <w:sz w:val="18"/>
                      <w:szCs w:val="18"/>
                    </w:rPr>
                  </w:pPr>
                  <w:r>
                    <w:rPr>
                      <w:rFonts w:hint="eastAsia" w:ascii="Times New Roman"/>
                      <w:color w:val="auto"/>
                      <w:sz w:val="18"/>
                      <w:szCs w:val="18"/>
                      <w:lang w:val="en-US" w:eastAsia="zh-CN"/>
                    </w:rPr>
                    <w:t>本项目不进行涂料、油墨、清洗剂等生产，生产环节涉及使用本体型胶黏剂，属于低VOC含量胶。</w:t>
                  </w:r>
                </w:p>
              </w:tc>
              <w:tc>
                <w:tcPr>
                  <w:tcW w:w="600" w:type="pct"/>
                  <w:noWrap w:val="0"/>
                  <w:vAlign w:val="center"/>
                </w:tcPr>
                <w:p>
                  <w:pPr>
                    <w:pStyle w:val="91"/>
                    <w:spacing w:before="24" w:after="24"/>
                    <w:rPr>
                      <w:color w:val="auto"/>
                      <w:sz w:val="18"/>
                      <w:szCs w:val="18"/>
                    </w:rPr>
                  </w:pPr>
                  <w:r>
                    <w:rPr>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noWrap w:val="0"/>
                  <w:vAlign w:val="center"/>
                </w:tcPr>
                <w:p>
                  <w:pPr>
                    <w:pStyle w:val="91"/>
                    <w:spacing w:before="24" w:after="24"/>
                    <w:rPr>
                      <w:rFonts w:ascii="Times New Roman"/>
                      <w:color w:val="FF0000"/>
                      <w:sz w:val="18"/>
                      <w:szCs w:val="18"/>
                    </w:rPr>
                  </w:pPr>
                </w:p>
              </w:tc>
              <w:tc>
                <w:tcPr>
                  <w:tcW w:w="536" w:type="pct"/>
                  <w:vMerge w:val="continue"/>
                  <w:noWrap w:val="0"/>
                  <w:vAlign w:val="center"/>
                </w:tcPr>
                <w:p>
                  <w:pPr>
                    <w:pStyle w:val="91"/>
                    <w:spacing w:before="24" w:after="24"/>
                    <w:rPr>
                      <w:color w:val="FF0000"/>
                      <w:sz w:val="18"/>
                      <w:szCs w:val="18"/>
                    </w:rPr>
                  </w:pPr>
                </w:p>
              </w:tc>
              <w:tc>
                <w:tcPr>
                  <w:tcW w:w="1721" w:type="pct"/>
                  <w:noWrap w:val="0"/>
                  <w:vAlign w:val="center"/>
                </w:tcPr>
                <w:p>
                  <w:pPr>
                    <w:pStyle w:val="91"/>
                    <w:spacing w:before="24" w:after="24"/>
                    <w:jc w:val="both"/>
                    <w:rPr>
                      <w:color w:val="auto"/>
                      <w:sz w:val="18"/>
                      <w:szCs w:val="18"/>
                    </w:rPr>
                  </w:pPr>
                  <w:r>
                    <w:rPr>
                      <w:rFonts w:hint="eastAsia"/>
                      <w:color w:val="auto"/>
                      <w:sz w:val="18"/>
                      <w:szCs w:val="18"/>
                    </w:rPr>
                    <w:t>在城市规划区内禁止新建、扩建大气污染严重的建设项目。</w:t>
                  </w:r>
                </w:p>
              </w:tc>
              <w:tc>
                <w:tcPr>
                  <w:tcW w:w="1556" w:type="pct"/>
                  <w:noWrap w:val="0"/>
                  <w:vAlign w:val="center"/>
                </w:tcPr>
                <w:p>
                  <w:pPr>
                    <w:pStyle w:val="91"/>
                    <w:spacing w:before="24" w:after="24"/>
                    <w:rPr>
                      <w:rFonts w:ascii="Times New Roman"/>
                      <w:color w:val="auto"/>
                      <w:sz w:val="18"/>
                      <w:szCs w:val="18"/>
                    </w:rPr>
                  </w:pPr>
                  <w:r>
                    <w:rPr>
                      <w:rFonts w:hint="eastAsia" w:ascii="Times New Roman"/>
                      <w:color w:val="auto"/>
                      <w:sz w:val="18"/>
                      <w:szCs w:val="18"/>
                      <w:lang w:val="en-US" w:eastAsia="zh-CN"/>
                    </w:rPr>
                    <w:t>本项目生产环节主要涉及PP胶条加热产生有机废气、塑料板材裁切产生大颗粒粉尘，外购新料PP胶条加热产生少量有机废气，塑料板材切割位于密闭厂房内，切割过程产生颗粒状粉尘均位于操作工位沉降，每日采用吸尘器干法除尘，确保废气达标排放，不属于大气污染严重的建设项目。</w:t>
                  </w:r>
                </w:p>
              </w:tc>
              <w:tc>
                <w:tcPr>
                  <w:tcW w:w="600" w:type="pct"/>
                  <w:noWrap w:val="0"/>
                  <w:vAlign w:val="center"/>
                </w:tcPr>
                <w:p>
                  <w:pPr>
                    <w:pStyle w:val="91"/>
                    <w:spacing w:before="24" w:after="24"/>
                    <w:rPr>
                      <w:color w:val="auto"/>
                      <w:sz w:val="18"/>
                      <w:szCs w:val="18"/>
                    </w:rPr>
                  </w:pPr>
                  <w:r>
                    <w:rPr>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noWrap w:val="0"/>
                  <w:vAlign w:val="center"/>
                </w:tcPr>
                <w:p>
                  <w:pPr>
                    <w:pStyle w:val="91"/>
                    <w:spacing w:before="24" w:after="24"/>
                    <w:rPr>
                      <w:rFonts w:ascii="Times New Roman"/>
                      <w:color w:val="FF0000"/>
                      <w:sz w:val="18"/>
                      <w:szCs w:val="18"/>
                    </w:rPr>
                  </w:pPr>
                </w:p>
              </w:tc>
              <w:tc>
                <w:tcPr>
                  <w:tcW w:w="536" w:type="pct"/>
                  <w:vMerge w:val="continue"/>
                  <w:noWrap w:val="0"/>
                  <w:vAlign w:val="center"/>
                </w:tcPr>
                <w:p>
                  <w:pPr>
                    <w:pStyle w:val="91"/>
                    <w:spacing w:before="24" w:after="24"/>
                    <w:rPr>
                      <w:color w:val="FF0000"/>
                      <w:sz w:val="18"/>
                      <w:szCs w:val="18"/>
                    </w:rPr>
                  </w:pPr>
                </w:p>
              </w:tc>
              <w:tc>
                <w:tcPr>
                  <w:tcW w:w="1721" w:type="pct"/>
                  <w:noWrap w:val="0"/>
                  <w:vAlign w:val="center"/>
                </w:tcPr>
                <w:p>
                  <w:pPr>
                    <w:pStyle w:val="91"/>
                    <w:spacing w:before="24" w:after="24"/>
                    <w:jc w:val="left"/>
                    <w:rPr>
                      <w:color w:val="auto"/>
                      <w:sz w:val="18"/>
                      <w:szCs w:val="18"/>
                    </w:rPr>
                  </w:pPr>
                  <w:r>
                    <w:rPr>
                      <w:rFonts w:hint="eastAsia" w:ascii="Times New Roman" w:hAnsi="Times New Roman" w:eastAsia="宋体" w:cs="Times New Roman"/>
                      <w:color w:val="auto"/>
                      <w:sz w:val="18"/>
                      <w:szCs w:val="18"/>
                      <w:lang w:val="en-US" w:eastAsia="zh-CN"/>
                    </w:rPr>
                    <w:t>严格控制新增“两高”项目审批，认真分析评估拟建项目必要性、可行性和对产业高质量发展、能耗双控、碳排放和环境质量的影响，严格审查项目是否符合产业政策、产业规划、“三线一单”、规划环评要求，是否依法依规落实产能置换、能耗置换、煤炭消费减量替代、污染物排放区域削减等要求。对已建成投产的存量 “两高”项目，有节能减排潜力的加快改造升级，属于落后产能的加快淘汰</w:t>
                  </w:r>
                  <w:r>
                    <w:rPr>
                      <w:rFonts w:hint="eastAsia"/>
                      <w:color w:val="auto"/>
                      <w:sz w:val="18"/>
                      <w:szCs w:val="18"/>
                    </w:rPr>
                    <w:t>。</w:t>
                  </w:r>
                </w:p>
              </w:tc>
              <w:tc>
                <w:tcPr>
                  <w:tcW w:w="1556" w:type="pct"/>
                  <w:noWrap w:val="0"/>
                  <w:vAlign w:val="center"/>
                </w:tcPr>
                <w:p>
                  <w:pPr>
                    <w:pStyle w:val="91"/>
                    <w:spacing w:before="24" w:after="24"/>
                    <w:rPr>
                      <w:rFonts w:ascii="Times New Roman"/>
                      <w:color w:val="auto"/>
                      <w:sz w:val="18"/>
                      <w:szCs w:val="18"/>
                    </w:rPr>
                  </w:pPr>
                  <w:r>
                    <w:rPr>
                      <w:rFonts w:hint="eastAsia" w:ascii="Times New Roman" w:hAnsi="Times New Roman" w:cs="Times New Roman"/>
                      <w:b w:val="0"/>
                      <w:bCs w:val="0"/>
                      <w:color w:val="auto"/>
                      <w:kern w:val="0"/>
                      <w:sz w:val="18"/>
                      <w:szCs w:val="18"/>
                      <w:vertAlign w:val="baseline"/>
                      <w:lang w:val="en-US" w:eastAsia="zh-CN"/>
                    </w:rPr>
                    <w:t>对照《安徽省“两高”项目管理目录（试行）》</w:t>
                  </w:r>
                  <w:r>
                    <w:rPr>
                      <w:rFonts w:hint="eastAsia" w:ascii="Times New Roman"/>
                      <w:color w:val="auto"/>
                      <w:sz w:val="18"/>
                      <w:szCs w:val="18"/>
                      <w:lang w:val="en-US" w:eastAsia="zh-CN"/>
                    </w:rPr>
                    <w:t>，本项目不属于两高项目。同时根据对照园区规划及规划环评文件，本项目满足规划及规划环评要求。</w:t>
                  </w:r>
                </w:p>
              </w:tc>
              <w:tc>
                <w:tcPr>
                  <w:tcW w:w="600" w:type="pct"/>
                  <w:noWrap w:val="0"/>
                  <w:vAlign w:val="center"/>
                </w:tcPr>
                <w:p>
                  <w:pPr>
                    <w:pStyle w:val="91"/>
                    <w:spacing w:before="24" w:after="24"/>
                    <w:rPr>
                      <w:color w:val="auto"/>
                      <w:sz w:val="18"/>
                      <w:szCs w:val="18"/>
                    </w:rPr>
                  </w:pPr>
                  <w:r>
                    <w:rPr>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noWrap w:val="0"/>
                  <w:vAlign w:val="center"/>
                </w:tcPr>
                <w:p>
                  <w:pPr>
                    <w:pStyle w:val="91"/>
                    <w:spacing w:before="24" w:after="24"/>
                    <w:rPr>
                      <w:rFonts w:ascii="Times New Roman"/>
                      <w:color w:val="FF0000"/>
                      <w:sz w:val="18"/>
                      <w:szCs w:val="18"/>
                    </w:rPr>
                  </w:pPr>
                </w:p>
              </w:tc>
              <w:tc>
                <w:tcPr>
                  <w:tcW w:w="536" w:type="pct"/>
                  <w:vMerge w:val="continue"/>
                  <w:noWrap w:val="0"/>
                  <w:vAlign w:val="center"/>
                </w:tcPr>
                <w:p>
                  <w:pPr>
                    <w:pStyle w:val="91"/>
                    <w:spacing w:before="24" w:after="24"/>
                    <w:rPr>
                      <w:color w:val="FF0000"/>
                      <w:sz w:val="18"/>
                      <w:szCs w:val="18"/>
                    </w:rPr>
                  </w:pPr>
                </w:p>
              </w:tc>
              <w:tc>
                <w:tcPr>
                  <w:tcW w:w="1721" w:type="pct"/>
                  <w:noWrap w:val="0"/>
                  <w:vAlign w:val="center"/>
                </w:tcPr>
                <w:p>
                  <w:pPr>
                    <w:pStyle w:val="91"/>
                    <w:spacing w:before="24" w:after="24"/>
                    <w:rPr>
                      <w:color w:val="auto"/>
                      <w:sz w:val="18"/>
                      <w:szCs w:val="18"/>
                    </w:rPr>
                  </w:pPr>
                  <w:r>
                    <w:rPr>
                      <w:rFonts w:hint="eastAsia"/>
                      <w:color w:val="auto"/>
                      <w:sz w:val="18"/>
                      <w:szCs w:val="18"/>
                    </w:rPr>
                    <w:t>禁止淘汰落后类的产业进入开发区。</w:t>
                  </w:r>
                </w:p>
              </w:tc>
              <w:tc>
                <w:tcPr>
                  <w:tcW w:w="1556" w:type="pct"/>
                  <w:noWrap w:val="0"/>
                  <w:vAlign w:val="center"/>
                </w:tcPr>
                <w:p>
                  <w:pPr>
                    <w:pStyle w:val="91"/>
                    <w:spacing w:before="24" w:after="24"/>
                    <w:rPr>
                      <w:rFonts w:ascii="Times New Roman"/>
                      <w:color w:val="auto"/>
                      <w:sz w:val="18"/>
                      <w:szCs w:val="18"/>
                    </w:rPr>
                  </w:pPr>
                  <w:r>
                    <w:rPr>
                      <w:rFonts w:hint="eastAsia" w:ascii="Times New Roman"/>
                      <w:color w:val="auto"/>
                      <w:sz w:val="18"/>
                      <w:szCs w:val="18"/>
                      <w:lang w:val="en-US" w:eastAsia="zh-CN"/>
                    </w:rPr>
                    <w:t>对照《产业结构调整指导目录（2024年本）》，本项目属于鼓励类项目，不属于禁止淘汰落后类的重污染企业。</w:t>
                  </w:r>
                </w:p>
              </w:tc>
              <w:tc>
                <w:tcPr>
                  <w:tcW w:w="600" w:type="pct"/>
                  <w:noWrap w:val="0"/>
                  <w:vAlign w:val="center"/>
                </w:tcPr>
                <w:p>
                  <w:pPr>
                    <w:pStyle w:val="91"/>
                    <w:spacing w:before="24" w:after="24"/>
                    <w:rPr>
                      <w:color w:val="auto"/>
                      <w:sz w:val="18"/>
                      <w:szCs w:val="18"/>
                    </w:rPr>
                  </w:pPr>
                  <w:r>
                    <w:rPr>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noWrap w:val="0"/>
                  <w:vAlign w:val="center"/>
                </w:tcPr>
                <w:p>
                  <w:pPr>
                    <w:pStyle w:val="91"/>
                    <w:spacing w:before="24" w:after="24"/>
                    <w:rPr>
                      <w:rFonts w:ascii="Times New Roman"/>
                      <w:color w:val="FF0000"/>
                      <w:sz w:val="18"/>
                      <w:szCs w:val="18"/>
                    </w:rPr>
                  </w:pPr>
                </w:p>
              </w:tc>
              <w:tc>
                <w:tcPr>
                  <w:tcW w:w="536" w:type="pct"/>
                  <w:vMerge w:val="continue"/>
                  <w:noWrap w:val="0"/>
                  <w:vAlign w:val="center"/>
                </w:tcPr>
                <w:p>
                  <w:pPr>
                    <w:pStyle w:val="91"/>
                    <w:spacing w:before="24" w:after="24"/>
                    <w:rPr>
                      <w:color w:val="FF0000"/>
                      <w:sz w:val="18"/>
                      <w:szCs w:val="18"/>
                    </w:rPr>
                  </w:pPr>
                </w:p>
              </w:tc>
              <w:tc>
                <w:tcPr>
                  <w:tcW w:w="1721" w:type="pct"/>
                  <w:noWrap w:val="0"/>
                  <w:vAlign w:val="center"/>
                </w:tcPr>
                <w:p>
                  <w:pPr>
                    <w:pStyle w:val="91"/>
                    <w:spacing w:before="24" w:after="24"/>
                    <w:jc w:val="left"/>
                    <w:rPr>
                      <w:rFonts w:hint="eastAsia"/>
                      <w:color w:val="auto"/>
                      <w:sz w:val="18"/>
                      <w:szCs w:val="18"/>
                    </w:rPr>
                  </w:pPr>
                  <w:r>
                    <w:rPr>
                      <w:rFonts w:hint="eastAsia" w:ascii="Times New Roman" w:hAnsi="Times New Roman" w:eastAsia="宋体" w:cs="Times New Roman"/>
                      <w:color w:val="auto"/>
                      <w:sz w:val="18"/>
                      <w:szCs w:val="18"/>
                      <w:lang w:val="en-US" w:eastAsia="zh-CN"/>
                    </w:rPr>
                    <w:t>重点区域钢铁、水泥、焦化、石化、化工、有色等行业，二氧化硫、氮氧化物、颗粒物、挥发性有机物（VOCs）排放全面执行大气污染物特别排放限值。</w:t>
                  </w:r>
                </w:p>
              </w:tc>
              <w:tc>
                <w:tcPr>
                  <w:tcW w:w="1556" w:type="pct"/>
                  <w:noWrap w:val="0"/>
                  <w:vAlign w:val="center"/>
                </w:tcPr>
                <w:p>
                  <w:pPr>
                    <w:pStyle w:val="91"/>
                    <w:spacing w:before="24" w:after="24"/>
                    <w:rPr>
                      <w:rFonts w:hint="default" w:ascii="Times New Roman"/>
                      <w:color w:val="auto"/>
                      <w:sz w:val="18"/>
                      <w:szCs w:val="18"/>
                      <w:lang w:val="en-US" w:eastAsia="zh-CN"/>
                    </w:rPr>
                  </w:pPr>
                  <w:r>
                    <w:rPr>
                      <w:rFonts w:hint="eastAsia" w:ascii="Times New Roman"/>
                      <w:color w:val="auto"/>
                      <w:sz w:val="18"/>
                      <w:szCs w:val="18"/>
                      <w:lang w:val="en-US" w:eastAsia="zh-CN"/>
                    </w:rPr>
                    <w:t>本项目颗粒物、</w:t>
                  </w:r>
                  <w:r>
                    <w:rPr>
                      <w:rFonts w:hint="eastAsia" w:ascii="Times New Roman" w:hAnsi="Times New Roman" w:eastAsia="宋体" w:cs="Times New Roman"/>
                      <w:color w:val="auto"/>
                      <w:sz w:val="18"/>
                      <w:szCs w:val="18"/>
                      <w:lang w:val="en-US" w:eastAsia="zh-CN"/>
                    </w:rPr>
                    <w:t>挥发性有机物（VOCs）排放全面执行</w:t>
                  </w:r>
                  <w:r>
                    <w:rPr>
                      <w:rFonts w:hint="eastAsia" w:ascii="Times New Roman" w:cs="Times New Roman"/>
                      <w:color w:val="auto"/>
                      <w:sz w:val="18"/>
                      <w:szCs w:val="18"/>
                      <w:lang w:val="en-US" w:eastAsia="zh-CN"/>
                    </w:rPr>
                    <w:t>《合成树脂工业大气污染物排放标准》中</w:t>
                  </w:r>
                  <w:r>
                    <w:rPr>
                      <w:rFonts w:hint="eastAsia" w:ascii="Times New Roman" w:hAnsi="Times New Roman" w:eastAsia="宋体" w:cs="Times New Roman"/>
                      <w:color w:val="auto"/>
                      <w:sz w:val="18"/>
                      <w:szCs w:val="18"/>
                      <w:lang w:val="en-US" w:eastAsia="zh-CN"/>
                    </w:rPr>
                    <w:t>大气污染物特别排放限值</w:t>
                  </w:r>
                </w:p>
              </w:tc>
              <w:tc>
                <w:tcPr>
                  <w:tcW w:w="600" w:type="pct"/>
                  <w:noWrap w:val="0"/>
                  <w:vAlign w:val="center"/>
                </w:tcPr>
                <w:p>
                  <w:pPr>
                    <w:pStyle w:val="91"/>
                    <w:spacing w:before="24" w:after="24"/>
                    <w:rPr>
                      <w:color w:val="FF0000"/>
                      <w:sz w:val="18"/>
                      <w:szCs w:val="18"/>
                    </w:rPr>
                  </w:pPr>
                  <w:r>
                    <w:rPr>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Merge w:val="continue"/>
                  <w:noWrap w:val="0"/>
                  <w:vAlign w:val="center"/>
                </w:tcPr>
                <w:p>
                  <w:pPr>
                    <w:pStyle w:val="91"/>
                    <w:spacing w:before="24" w:after="24"/>
                    <w:rPr>
                      <w:color w:val="FF0000"/>
                      <w:sz w:val="18"/>
                      <w:szCs w:val="18"/>
                    </w:rPr>
                  </w:pPr>
                </w:p>
              </w:tc>
              <w:tc>
                <w:tcPr>
                  <w:tcW w:w="536" w:type="pct"/>
                  <w:vMerge w:val="restart"/>
                  <w:noWrap w:val="0"/>
                  <w:vAlign w:val="center"/>
                </w:tcPr>
                <w:p>
                  <w:pPr>
                    <w:pStyle w:val="91"/>
                    <w:spacing w:before="24" w:after="24"/>
                    <w:rPr>
                      <w:color w:val="FF0000"/>
                      <w:sz w:val="18"/>
                      <w:szCs w:val="18"/>
                    </w:rPr>
                  </w:pPr>
                  <w:r>
                    <w:rPr>
                      <w:rFonts w:hint="eastAsia" w:hAnsi="宋体" w:cs="宋体"/>
                      <w:color w:val="auto"/>
                      <w:sz w:val="18"/>
                      <w:szCs w:val="18"/>
                    </w:rPr>
                    <w:t>污染物排放管控</w:t>
                  </w:r>
                </w:p>
              </w:tc>
              <w:tc>
                <w:tcPr>
                  <w:tcW w:w="1721" w:type="pct"/>
                  <w:noWrap w:val="0"/>
                  <w:vAlign w:val="center"/>
                </w:tcPr>
                <w:p>
                  <w:pPr>
                    <w:rPr>
                      <w:rFonts w:ascii="Times New Roman"/>
                      <w:color w:val="auto"/>
                      <w:sz w:val="18"/>
                      <w:szCs w:val="18"/>
                    </w:rPr>
                  </w:pPr>
                  <w:r>
                    <w:rPr>
                      <w:rFonts w:hint="eastAsia" w:cs="Times New Roman"/>
                      <w:color w:val="auto"/>
                      <w:sz w:val="18"/>
                      <w:szCs w:val="18"/>
                      <w:lang w:val="en-US" w:eastAsia="zh-CN"/>
                    </w:rPr>
                    <w:t>全</w:t>
                  </w:r>
                  <w:r>
                    <w:rPr>
                      <w:rFonts w:hint="eastAsia" w:ascii="Times New Roman" w:hAnsi="Times New Roman" w:eastAsia="宋体" w:cs="Times New Roman"/>
                      <w:color w:val="auto"/>
                      <w:sz w:val="18"/>
                      <w:szCs w:val="18"/>
                      <w:lang w:val="en-US" w:eastAsia="zh-CN"/>
                    </w:rPr>
                    <w:t>面推动挥发性有机物纳入排污许可管理。禁止建设生产和使用高挥发性有机物含量涂料、油墨、胶粘剂、清洗剂等项目。加快推进石化、化工、涂装、医药、包装印刷和油品储运销等重点行业挥发性有机物深度治理，全面提升废气收集率、治理设施同步运行率和去除率，提高水性、高固体分、溶剂、粉末、辐射固化等低挥发性有机物含量产品的比重。加大工业涂装、包装印刷等行业低挥发性有机物含量原辅材料替代力度，严格执行涂料、油墨、胶粘剂、清洗剂挥发性有机物含量限值标准，确保生产、销售、进口、使用符合标准的产品。到2025年，溶剂型工业涂料、油墨使用比例分别降低20个、10个百分点。溶剂型胶粘剂使用量降低20%。</w:t>
                  </w:r>
                </w:p>
              </w:tc>
              <w:tc>
                <w:tcPr>
                  <w:tcW w:w="1556" w:type="pct"/>
                  <w:noWrap w:val="0"/>
                  <w:vAlign w:val="center"/>
                </w:tcPr>
                <w:p>
                  <w:pPr>
                    <w:pStyle w:val="91"/>
                    <w:spacing w:before="24" w:after="24"/>
                    <w:rPr>
                      <w:rFonts w:ascii="Times New Roman"/>
                      <w:color w:val="FF0000"/>
                      <w:sz w:val="18"/>
                      <w:szCs w:val="18"/>
                    </w:rPr>
                  </w:pPr>
                  <w:r>
                    <w:rPr>
                      <w:rFonts w:ascii="Times New Roman"/>
                      <w:color w:val="auto"/>
                      <w:sz w:val="18"/>
                      <w:szCs w:val="18"/>
                    </w:rPr>
                    <w:t>本项目</w:t>
                  </w:r>
                  <w:r>
                    <w:rPr>
                      <w:rFonts w:hint="eastAsia" w:ascii="Times New Roman"/>
                      <w:color w:val="auto"/>
                      <w:sz w:val="18"/>
                      <w:szCs w:val="18"/>
                      <w:lang w:val="en-US" w:eastAsia="zh-CN"/>
                    </w:rPr>
                    <w:t>不生产和使用高挥发性胶黏剂，涉及胶黏过程使用PP胶枪对PP胶带进行加热热熔后胶黏，根据工程分析核算，PP胶带满足本体型胶黏剂低挥发性限值要求</w:t>
                  </w:r>
                </w:p>
              </w:tc>
              <w:tc>
                <w:tcPr>
                  <w:tcW w:w="600" w:type="pct"/>
                  <w:noWrap w:val="0"/>
                  <w:vAlign w:val="center"/>
                </w:tcPr>
                <w:p>
                  <w:pPr>
                    <w:pStyle w:val="91"/>
                    <w:spacing w:before="24" w:after="24"/>
                    <w:rPr>
                      <w:color w:val="FF0000"/>
                      <w:sz w:val="18"/>
                      <w:szCs w:val="18"/>
                    </w:rPr>
                  </w:pPr>
                  <w:r>
                    <w:rPr>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jc w:val="center"/>
              </w:trPr>
              <w:tc>
                <w:tcPr>
                  <w:tcW w:w="584" w:type="pct"/>
                  <w:vMerge w:val="continue"/>
                  <w:noWrap w:val="0"/>
                  <w:vAlign w:val="center"/>
                </w:tcPr>
                <w:p>
                  <w:pPr>
                    <w:pStyle w:val="91"/>
                    <w:spacing w:before="24" w:after="24"/>
                    <w:rPr>
                      <w:color w:val="FF0000"/>
                      <w:sz w:val="18"/>
                      <w:szCs w:val="18"/>
                    </w:rPr>
                  </w:pPr>
                </w:p>
              </w:tc>
              <w:tc>
                <w:tcPr>
                  <w:tcW w:w="536" w:type="pct"/>
                  <w:vMerge w:val="continue"/>
                  <w:noWrap w:val="0"/>
                  <w:vAlign w:val="center"/>
                </w:tcPr>
                <w:p>
                  <w:pPr>
                    <w:pStyle w:val="91"/>
                    <w:spacing w:before="24" w:after="24"/>
                    <w:rPr>
                      <w:rFonts w:hint="eastAsia" w:hAnsi="宋体" w:cs="宋体"/>
                      <w:color w:val="FF0000"/>
                      <w:sz w:val="18"/>
                      <w:szCs w:val="18"/>
                    </w:rPr>
                  </w:pPr>
                </w:p>
              </w:tc>
              <w:tc>
                <w:tcPr>
                  <w:tcW w:w="1721" w:type="pct"/>
                  <w:noWrap w:val="0"/>
                  <w:vAlign w:val="center"/>
                </w:tcPr>
                <w:p>
                  <w:pPr>
                    <w:rPr>
                      <w:rFonts w:hint="eastAsia" w:cs="Times New Roman"/>
                      <w:color w:val="auto"/>
                      <w:sz w:val="18"/>
                      <w:szCs w:val="18"/>
                      <w:lang w:val="en-US" w:eastAsia="zh-CN"/>
                    </w:rPr>
                  </w:pPr>
                  <w:r>
                    <w:rPr>
                      <w:rFonts w:hint="eastAsia" w:cs="Times New Roman"/>
                      <w:color w:val="auto"/>
                      <w:sz w:val="18"/>
                      <w:szCs w:val="18"/>
                      <w:lang w:val="en-US" w:eastAsia="zh-CN"/>
                    </w:rPr>
                    <w:t>非</w:t>
                  </w:r>
                  <w:r>
                    <w:rPr>
                      <w:rFonts w:hint="eastAsia" w:ascii="Times New Roman" w:hAnsi="Times New Roman" w:eastAsia="宋体" w:cs="Times New Roman"/>
                      <w:color w:val="auto"/>
                      <w:sz w:val="18"/>
                      <w:szCs w:val="18"/>
                      <w:lang w:val="en-US" w:eastAsia="zh-CN"/>
                    </w:rPr>
                    <w:t>煤矿山企业对产生扬尘的作业场所，应当按《安徽省非煤矿山管理条例》采取相应污染防治措施。建筑工程施工现场扬尘污染防治应做到工地周边围挡、物料堆放覆盖、路面硬化、土方开挖湿法作业、出入车辆清洗、渣土车辆密闭运输“六个百分之百”。具体要求执行《建筑工程施工和预拌混凝土生产扬尘污染防治标准》（试行）。裸露地面扬尘、道路扬尘、装卸扬尘控制具体要求从严执行《安徽省大气污染防治条例》和《安徽省打赢蓝天保卫战三年行动计划实施方案》等要求。</w:t>
                  </w:r>
                </w:p>
              </w:tc>
              <w:tc>
                <w:tcPr>
                  <w:tcW w:w="1556" w:type="pct"/>
                  <w:noWrap w:val="0"/>
                  <w:vAlign w:val="center"/>
                </w:tcPr>
                <w:p>
                  <w:pPr>
                    <w:pStyle w:val="91"/>
                    <w:spacing w:before="24" w:after="24"/>
                    <w:rPr>
                      <w:rFonts w:ascii="Times New Roman"/>
                      <w:color w:val="FF0000"/>
                      <w:sz w:val="18"/>
                      <w:szCs w:val="18"/>
                    </w:rPr>
                  </w:pPr>
                  <w:r>
                    <w:rPr>
                      <w:rFonts w:hint="eastAsia" w:ascii="Times New Roman" w:cs="Times New Roman"/>
                      <w:color w:val="auto"/>
                      <w:sz w:val="18"/>
                      <w:szCs w:val="18"/>
                      <w:lang w:val="en-US" w:eastAsia="zh-CN"/>
                    </w:rPr>
                    <w:t>本项目施工期</w:t>
                  </w:r>
                  <w:r>
                    <w:rPr>
                      <w:rFonts w:hint="eastAsia" w:ascii="Times New Roman" w:hAnsi="Times New Roman" w:eastAsia="宋体" w:cs="Times New Roman"/>
                      <w:color w:val="auto"/>
                      <w:sz w:val="18"/>
                      <w:szCs w:val="18"/>
                      <w:lang w:val="en-US" w:eastAsia="zh-CN"/>
                    </w:rPr>
                    <w:t>施工现场扬尘污染防治做到工地周边围挡、物料堆放覆盖、路面硬化、土方开挖湿法作业、出入车辆清洗、渣土车辆密闭运输“六个百分之百”。</w:t>
                  </w:r>
                </w:p>
              </w:tc>
              <w:tc>
                <w:tcPr>
                  <w:tcW w:w="600" w:type="pct"/>
                  <w:noWrap w:val="0"/>
                  <w:vAlign w:val="center"/>
                </w:tcPr>
                <w:p>
                  <w:pPr>
                    <w:pStyle w:val="91"/>
                    <w:spacing w:before="24" w:after="24"/>
                    <w:rPr>
                      <w:rFonts w:hint="eastAsia" w:eastAsia="宋体"/>
                      <w:color w:val="FF0000"/>
                      <w:sz w:val="18"/>
                      <w:szCs w:val="18"/>
                      <w:lang w:val="en-US" w:eastAsia="zh-CN"/>
                    </w:rPr>
                  </w:pPr>
                  <w:r>
                    <w:rPr>
                      <w:rFonts w:hint="eastAsia"/>
                      <w:color w:val="auto"/>
                      <w:sz w:val="18"/>
                      <w:szCs w:val="18"/>
                      <w:lang w:val="en-US" w:eastAsia="zh-CN"/>
                    </w:rPr>
                    <w:t>符合</w:t>
                  </w:r>
                </w:p>
              </w:tc>
            </w:tr>
          </w:tbl>
          <w:p>
            <w:pPr>
              <w:pStyle w:val="194"/>
              <w:bidi w:val="0"/>
              <w:rPr>
                <w:rFonts w:hint="eastAsia"/>
                <w:sz w:val="21"/>
                <w:szCs w:val="21"/>
              </w:rPr>
            </w:pPr>
            <w:r>
              <w:rPr>
                <w:rFonts w:hint="eastAsia"/>
                <w:sz w:val="21"/>
                <w:szCs w:val="21"/>
              </w:rPr>
              <w:t>该项目运营过程中会产生一定的污染物，采取相应的污染防治措施后，各类污染物的排放对周围环境造成的影响较小，不会降低当地环境质量，不会触碰区域环境质量底线，</w:t>
            </w:r>
            <w:r>
              <w:rPr>
                <w:rFonts w:hint="eastAsia"/>
                <w:sz w:val="21"/>
                <w:szCs w:val="21"/>
                <w:lang w:val="en-US" w:eastAsia="zh-CN"/>
              </w:rPr>
              <w:t>因此本项目建设满足“三线一单”管控要求，</w:t>
            </w:r>
            <w:r>
              <w:rPr>
                <w:rFonts w:hint="eastAsia"/>
                <w:sz w:val="21"/>
                <w:szCs w:val="21"/>
              </w:rPr>
              <w:t>生态保护红线图见附图</w:t>
            </w:r>
            <w:r>
              <w:rPr>
                <w:rFonts w:hint="eastAsia"/>
                <w:sz w:val="21"/>
                <w:szCs w:val="21"/>
                <w:lang w:val="en-US" w:eastAsia="zh-CN"/>
              </w:rPr>
              <w:t>6</w:t>
            </w:r>
            <w:r>
              <w:rPr>
                <w:rFonts w:hint="eastAsia"/>
                <w:sz w:val="21"/>
                <w:szCs w:val="21"/>
              </w:rPr>
              <w:t>。</w:t>
            </w: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bidi w:val="0"/>
              <w:rPr>
                <w:rFonts w:hint="eastAsia"/>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rPr>
            </w:pPr>
          </w:p>
          <w:p>
            <w:pPr>
              <w:pStyle w:val="40"/>
              <w:autoSpaceDE w:val="0"/>
              <w:autoSpaceDN w:val="0"/>
              <w:spacing w:before="0" w:beforeAutospacing="0" w:after="0" w:afterAutospacing="0" w:line="360" w:lineRule="auto"/>
              <w:ind w:firstLine="420" w:firstLineChars="200"/>
              <w:rPr>
                <w:rFonts w:hint="eastAsia"/>
                <w:color w:val="FF0000"/>
                <w:sz w:val="21"/>
                <w:szCs w:val="21"/>
                <w:lang w:eastAsia="zh-CN"/>
              </w:rPr>
            </w:pPr>
          </w:p>
        </w:tc>
      </w:tr>
    </w:tbl>
    <w:p>
      <w:pPr>
        <w:spacing w:line="360" w:lineRule="auto"/>
        <w:outlineLvl w:val="0"/>
        <w:rPr>
          <w:rFonts w:eastAsia="黑体"/>
          <w:color w:val="FF0000"/>
          <w:sz w:val="30"/>
        </w:rPr>
        <w:sectPr>
          <w:footerReference r:id="rId4" w:type="default"/>
          <w:pgSz w:w="11906" w:h="16838"/>
          <w:pgMar w:top="1440" w:right="1800" w:bottom="1440" w:left="1800"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二、建设项目工程分析</w:t>
      </w:r>
    </w:p>
    <w:tbl>
      <w:tblPr>
        <w:tblStyle w:val="44"/>
        <w:tblW w:w="90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5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426" w:type="dxa"/>
            <w:noWrap w:val="0"/>
            <w:vAlign w:val="center"/>
          </w:tcPr>
          <w:p>
            <w:pPr>
              <w:pStyle w:val="40"/>
              <w:adjustRightInd w:val="0"/>
              <w:snapToGrid w:val="0"/>
              <w:spacing w:before="0" w:beforeAutospacing="0" w:after="0" w:afterAutospacing="0"/>
              <w:jc w:val="center"/>
              <w:rPr>
                <w:rFonts w:ascii="Times New Roman" w:hAnsi="Times New Roman"/>
                <w:color w:val="FF0000"/>
                <w:sz w:val="21"/>
                <w:szCs w:val="21"/>
                <w:lang w:val="en-US" w:eastAsia="zh-CN"/>
              </w:rPr>
            </w:pPr>
            <w:r>
              <w:rPr>
                <w:rFonts w:ascii="Times New Roman" w:hAnsi="Times New Roman"/>
                <w:color w:val="auto"/>
                <w:sz w:val="21"/>
                <w:szCs w:val="21"/>
                <w:lang w:val="en-US" w:eastAsia="zh-CN"/>
              </w:rPr>
              <w:t>建设内容</w:t>
            </w:r>
          </w:p>
        </w:tc>
        <w:tc>
          <w:tcPr>
            <w:tcW w:w="8588" w:type="dxa"/>
            <w:noWrap w:val="0"/>
            <w:vAlign w:val="top"/>
          </w:tcPr>
          <w:p>
            <w:pPr>
              <w:adjustRightInd w:val="0"/>
              <w:snapToGrid w:val="0"/>
              <w:spacing w:line="360" w:lineRule="auto"/>
              <w:ind w:firstLine="422" w:firstLineChars="200"/>
              <w:jc w:val="left"/>
              <w:rPr>
                <w:rFonts w:hint="eastAsia"/>
                <w:b/>
                <w:bCs/>
                <w:color w:val="auto"/>
                <w:szCs w:val="21"/>
              </w:rPr>
            </w:pPr>
            <w:r>
              <w:rPr>
                <w:rFonts w:hint="eastAsia"/>
                <w:b/>
                <w:bCs/>
                <w:color w:val="auto"/>
                <w:szCs w:val="21"/>
                <w:lang w:val="en-US" w:eastAsia="zh-CN"/>
              </w:rPr>
              <w:t>2.</w:t>
            </w:r>
            <w:r>
              <w:rPr>
                <w:b/>
                <w:bCs/>
                <w:color w:val="auto"/>
                <w:szCs w:val="21"/>
              </w:rPr>
              <w:t>1</w:t>
            </w:r>
            <w:r>
              <w:rPr>
                <w:rFonts w:hint="eastAsia"/>
                <w:b/>
                <w:bCs/>
                <w:color w:val="auto"/>
                <w:szCs w:val="21"/>
              </w:rPr>
              <w:t>、项目由来</w:t>
            </w:r>
          </w:p>
          <w:p>
            <w:pPr>
              <w:adjustRightInd w:val="0"/>
              <w:snapToGrid w:val="0"/>
              <w:spacing w:line="360" w:lineRule="auto"/>
              <w:ind w:firstLine="420" w:firstLineChars="200"/>
              <w:jc w:val="left"/>
              <w:rPr>
                <w:rFonts w:hint="eastAsia" w:eastAsia="宋体"/>
                <w:color w:val="auto"/>
                <w:szCs w:val="21"/>
                <w:lang w:eastAsia="zh-CN"/>
              </w:rPr>
            </w:pPr>
            <w:r>
              <w:rPr>
                <w:rFonts w:hint="eastAsia"/>
                <w:color w:val="auto"/>
                <w:szCs w:val="21"/>
              </w:rPr>
              <w:t>科沛达半导体</w:t>
            </w:r>
            <w:r>
              <w:rPr>
                <w:rFonts w:hint="eastAsia"/>
                <w:color w:val="auto"/>
                <w:szCs w:val="21"/>
                <w:lang w:eastAsia="zh-CN"/>
              </w:rPr>
              <w:t>（</w:t>
            </w:r>
            <w:r>
              <w:rPr>
                <w:rFonts w:hint="eastAsia"/>
                <w:color w:val="auto"/>
                <w:szCs w:val="21"/>
              </w:rPr>
              <w:t>安徽</w:t>
            </w:r>
            <w:r>
              <w:rPr>
                <w:rFonts w:hint="eastAsia"/>
                <w:color w:val="auto"/>
                <w:szCs w:val="21"/>
                <w:lang w:eastAsia="zh-CN"/>
              </w:rPr>
              <w:t>）</w:t>
            </w:r>
            <w:r>
              <w:rPr>
                <w:rFonts w:hint="eastAsia"/>
                <w:color w:val="auto"/>
                <w:szCs w:val="21"/>
              </w:rPr>
              <w:t>有限公司成立于2023年，位于安徽省淮南市</w:t>
            </w:r>
            <w:r>
              <w:rPr>
                <w:rFonts w:hint="eastAsia"/>
                <w:color w:val="auto"/>
                <w:szCs w:val="21"/>
                <w:lang w:val="en-US" w:eastAsia="zh-CN"/>
              </w:rPr>
              <w:t>淮南安成经济开发区</w:t>
            </w:r>
            <w:r>
              <w:rPr>
                <w:rFonts w:hint="eastAsia"/>
                <w:color w:val="auto"/>
                <w:szCs w:val="21"/>
              </w:rPr>
              <w:t>。</w:t>
            </w:r>
            <w:r>
              <w:rPr>
                <w:color w:val="auto"/>
                <w:szCs w:val="21"/>
              </w:rPr>
              <w:t>由于企业发展需求，</w:t>
            </w:r>
            <w:r>
              <w:rPr>
                <w:rFonts w:hint="eastAsia"/>
                <w:color w:val="auto"/>
                <w:szCs w:val="21"/>
                <w:lang w:val="en-US" w:eastAsia="zh-CN"/>
              </w:rPr>
              <w:t>拟</w:t>
            </w:r>
            <w:r>
              <w:rPr>
                <w:rFonts w:hint="eastAsia"/>
                <w:color w:val="auto"/>
                <w:szCs w:val="21"/>
              </w:rPr>
              <w:t>投资</w:t>
            </w:r>
            <w:r>
              <w:rPr>
                <w:rFonts w:hint="eastAsia"/>
                <w:color w:val="auto"/>
                <w:szCs w:val="21"/>
                <w:lang w:val="en-US" w:eastAsia="zh-CN"/>
              </w:rPr>
              <w:t>23000</w:t>
            </w:r>
            <w:r>
              <w:rPr>
                <w:rFonts w:hint="eastAsia"/>
                <w:color w:val="auto"/>
                <w:szCs w:val="21"/>
              </w:rPr>
              <w:t>万元，</w:t>
            </w:r>
            <w:r>
              <w:rPr>
                <w:rFonts w:hint="eastAsia"/>
                <w:color w:val="auto"/>
                <w:szCs w:val="21"/>
                <w:lang w:val="en-US" w:eastAsia="zh-CN"/>
              </w:rPr>
              <w:t>购置园区现有工业用地</w:t>
            </w:r>
            <w:r>
              <w:rPr>
                <w:rFonts w:hint="eastAsia"/>
                <w:color w:val="auto"/>
                <w:szCs w:val="21"/>
              </w:rPr>
              <w:t>约33亩，总建筑面积约2.2万平方米</w:t>
            </w:r>
            <w:r>
              <w:rPr>
                <w:rFonts w:hint="eastAsia"/>
                <w:color w:val="auto"/>
                <w:szCs w:val="21"/>
                <w:lang w:eastAsia="zh-CN"/>
              </w:rPr>
              <w:t>，</w:t>
            </w:r>
            <w:r>
              <w:rPr>
                <w:rFonts w:hint="eastAsia"/>
                <w:color w:val="auto"/>
                <w:szCs w:val="21"/>
              </w:rPr>
              <w:t>主要建设厂房</w:t>
            </w:r>
            <w:r>
              <w:rPr>
                <w:rFonts w:hint="eastAsia"/>
                <w:color w:val="auto"/>
                <w:szCs w:val="21"/>
                <w:lang w:val="en-US" w:eastAsia="zh-CN"/>
              </w:rPr>
              <w:t>12766m</w:t>
            </w:r>
            <w:r>
              <w:rPr>
                <w:rFonts w:hint="eastAsia"/>
                <w:color w:val="auto"/>
                <w:szCs w:val="21"/>
                <w:vertAlign w:val="superscript"/>
                <w:lang w:val="en-US" w:eastAsia="zh-CN"/>
              </w:rPr>
              <w:t>2</w:t>
            </w:r>
            <w:r>
              <w:rPr>
                <w:rFonts w:hint="eastAsia"/>
                <w:color w:val="auto"/>
                <w:szCs w:val="21"/>
              </w:rPr>
              <w:t>、办公楼、半导体清洗设备生产线及其他配套设施等</w:t>
            </w:r>
            <w:r>
              <w:rPr>
                <w:rFonts w:hint="eastAsia"/>
                <w:color w:val="auto"/>
                <w:szCs w:val="21"/>
                <w:lang w:eastAsia="zh-CN"/>
              </w:rPr>
              <w:t>，</w:t>
            </w:r>
            <w:r>
              <w:rPr>
                <w:rFonts w:hint="eastAsia"/>
                <w:color w:val="auto"/>
                <w:szCs w:val="21"/>
                <w:lang w:val="en-US" w:eastAsia="zh-CN"/>
              </w:rPr>
              <w:t>形成年产500~800台</w:t>
            </w:r>
            <w:r>
              <w:rPr>
                <w:rFonts w:hint="eastAsia"/>
                <w:color w:val="auto"/>
                <w:szCs w:val="21"/>
              </w:rPr>
              <w:t>半导体清洗设备</w:t>
            </w:r>
            <w:r>
              <w:rPr>
                <w:rFonts w:hint="eastAsia"/>
                <w:color w:val="auto"/>
                <w:szCs w:val="21"/>
                <w:lang w:val="en-US" w:eastAsia="zh-CN"/>
              </w:rPr>
              <w:t>生产能力</w:t>
            </w:r>
            <w:r>
              <w:rPr>
                <w:rFonts w:hint="eastAsia"/>
                <w:color w:val="auto"/>
                <w:szCs w:val="21"/>
              </w:rPr>
              <w:t>。</w:t>
            </w:r>
          </w:p>
          <w:p>
            <w:pPr>
              <w:adjustRightInd w:val="0"/>
              <w:snapToGrid w:val="0"/>
              <w:spacing w:line="360" w:lineRule="auto"/>
              <w:ind w:firstLine="420" w:firstLineChars="200"/>
              <w:jc w:val="left"/>
              <w:rPr>
                <w:color w:val="FF0000"/>
                <w:szCs w:val="21"/>
              </w:rPr>
            </w:pPr>
            <w:r>
              <w:rPr>
                <w:color w:val="auto"/>
                <w:szCs w:val="21"/>
              </w:rPr>
              <w:t>202</w:t>
            </w:r>
            <w:r>
              <w:rPr>
                <w:rFonts w:hint="eastAsia"/>
                <w:color w:val="auto"/>
                <w:szCs w:val="21"/>
                <w:lang w:val="en-US" w:eastAsia="zh-CN"/>
              </w:rPr>
              <w:t>3</w:t>
            </w:r>
            <w:r>
              <w:rPr>
                <w:color w:val="auto"/>
                <w:szCs w:val="21"/>
              </w:rPr>
              <w:t>年</w:t>
            </w:r>
            <w:r>
              <w:rPr>
                <w:rFonts w:hint="eastAsia"/>
                <w:color w:val="auto"/>
                <w:szCs w:val="21"/>
                <w:lang w:val="en-US" w:eastAsia="zh-CN"/>
              </w:rPr>
              <w:t>4</w:t>
            </w:r>
            <w:r>
              <w:rPr>
                <w:color w:val="auto"/>
                <w:szCs w:val="21"/>
              </w:rPr>
              <w:t>月</w:t>
            </w:r>
            <w:r>
              <w:rPr>
                <w:rFonts w:hint="eastAsia"/>
                <w:color w:val="auto"/>
                <w:szCs w:val="21"/>
              </w:rPr>
              <w:t>28</w:t>
            </w:r>
            <w:r>
              <w:rPr>
                <w:color w:val="auto"/>
                <w:szCs w:val="21"/>
              </w:rPr>
              <w:t>日，</w:t>
            </w:r>
            <w:r>
              <w:rPr>
                <w:rFonts w:hint="eastAsia"/>
                <w:color w:val="auto"/>
                <w:szCs w:val="21"/>
              </w:rPr>
              <w:t>科沛达半导体</w:t>
            </w:r>
            <w:r>
              <w:rPr>
                <w:rFonts w:hint="eastAsia"/>
                <w:color w:val="auto"/>
                <w:szCs w:val="21"/>
                <w:lang w:eastAsia="zh-CN"/>
              </w:rPr>
              <w:t>（</w:t>
            </w:r>
            <w:r>
              <w:rPr>
                <w:rFonts w:hint="eastAsia"/>
                <w:color w:val="auto"/>
                <w:szCs w:val="21"/>
              </w:rPr>
              <w:t>安徽</w:t>
            </w:r>
            <w:r>
              <w:rPr>
                <w:rFonts w:hint="eastAsia"/>
                <w:color w:val="auto"/>
                <w:szCs w:val="21"/>
                <w:lang w:eastAsia="zh-CN"/>
              </w:rPr>
              <w:t>）</w:t>
            </w:r>
            <w:r>
              <w:rPr>
                <w:rFonts w:hint="eastAsia"/>
                <w:color w:val="auto"/>
                <w:szCs w:val="21"/>
              </w:rPr>
              <w:t>有限公司</w:t>
            </w:r>
            <w:r>
              <w:rPr>
                <w:color w:val="auto"/>
                <w:szCs w:val="21"/>
              </w:rPr>
              <w:t>取得</w:t>
            </w:r>
            <w:r>
              <w:rPr>
                <w:rFonts w:hint="eastAsia"/>
                <w:color w:val="auto"/>
                <w:szCs w:val="21"/>
                <w:lang w:val="en-US" w:eastAsia="zh-CN"/>
              </w:rPr>
              <w:t>田家庵区发展改革委</w:t>
            </w:r>
            <w:r>
              <w:rPr>
                <w:color w:val="auto"/>
                <w:szCs w:val="21"/>
              </w:rPr>
              <w:t>关于</w:t>
            </w:r>
            <w:r>
              <w:rPr>
                <w:rFonts w:hint="eastAsia"/>
                <w:color w:val="auto"/>
                <w:szCs w:val="21"/>
                <w:lang w:eastAsia="zh-CN"/>
              </w:rPr>
              <w:t>“</w:t>
            </w:r>
            <w:r>
              <w:rPr>
                <w:rFonts w:hint="eastAsia"/>
                <w:color w:val="auto"/>
                <w:szCs w:val="21"/>
              </w:rPr>
              <w:t>科沛达半导体清洗设备制造项目</w:t>
            </w:r>
            <w:r>
              <w:rPr>
                <w:rFonts w:hint="eastAsia"/>
                <w:color w:val="auto"/>
                <w:szCs w:val="21"/>
                <w:lang w:eastAsia="zh-CN"/>
              </w:rPr>
              <w:t>”</w:t>
            </w:r>
            <w:r>
              <w:rPr>
                <w:color w:val="auto"/>
                <w:szCs w:val="21"/>
              </w:rPr>
              <w:t>的备案表（项目代码：2304-340403-04-05-570901），同时在实施过程中，将有</w:t>
            </w:r>
            <w:r>
              <w:rPr>
                <w:rFonts w:hint="eastAsia"/>
                <w:color w:val="auto"/>
                <w:szCs w:val="21"/>
                <w:lang w:val="en-US" w:eastAsia="zh-CN"/>
              </w:rPr>
              <w:t>废水、</w:t>
            </w:r>
            <w:r>
              <w:rPr>
                <w:color w:val="auto"/>
                <w:szCs w:val="21"/>
              </w:rPr>
              <w:t>噪声、废气和固废等污染物的产生。根据《中华人民共和国环境保护法》（中华人民共和国主席令第九号）、《中华人民共和国环境影响评价法》（中华人民共和国主席令第四十八号）和《建设项目环境保护管理条例》（</w:t>
            </w:r>
            <w:r>
              <w:rPr>
                <w:color w:val="auto"/>
                <w:szCs w:val="21"/>
                <w:lang w:eastAsia="zh-Hans"/>
              </w:rPr>
              <w:t>国务院第</w:t>
            </w:r>
            <w:r>
              <w:rPr>
                <w:color w:val="auto"/>
                <w:szCs w:val="21"/>
              </w:rPr>
              <w:t>682</w:t>
            </w:r>
            <w:r>
              <w:rPr>
                <w:color w:val="auto"/>
                <w:szCs w:val="21"/>
                <w:lang w:eastAsia="zh-Hans"/>
              </w:rPr>
              <w:t>号令</w:t>
            </w:r>
            <w:r>
              <w:rPr>
                <w:color w:val="auto"/>
                <w:szCs w:val="21"/>
              </w:rPr>
              <w:t>）等文件规定，本项目须进行环境影响评价。</w:t>
            </w:r>
            <w:r>
              <w:rPr>
                <w:rFonts w:hint="eastAsia"/>
                <w:color w:val="auto"/>
                <w:szCs w:val="21"/>
              </w:rPr>
              <w:t>本项目</w:t>
            </w:r>
            <w:r>
              <w:rPr>
                <w:rFonts w:hint="eastAsia"/>
                <w:color w:val="auto"/>
                <w:szCs w:val="21"/>
                <w:lang w:val="en-US" w:eastAsia="zh-CN"/>
              </w:rPr>
              <w:t>外购钢材机加工、焊接成型，外购塑料板材雕刻、胶黏，与元器件及相关配件进行组装、调试，生产半导体清洗设备，不涉及溶剂型涂料的使用，</w:t>
            </w:r>
            <w:r>
              <w:rPr>
                <w:color w:val="auto"/>
                <w:szCs w:val="21"/>
              </w:rPr>
              <w:t>对照《建设项目环境影响评价分类管理名录》（2021年版），本项目属于</w:t>
            </w:r>
            <w:r>
              <w:rPr>
                <w:rFonts w:hint="eastAsia"/>
                <w:color w:val="auto"/>
                <w:szCs w:val="21"/>
                <w:lang w:eastAsia="zh-CN"/>
              </w:rPr>
              <w:t>“</w:t>
            </w:r>
            <w:r>
              <w:rPr>
                <w:rFonts w:hint="eastAsia"/>
                <w:color w:val="auto"/>
                <w:szCs w:val="21"/>
              </w:rPr>
              <w:t>三十二、专用设备制造业35</w:t>
            </w:r>
            <w:r>
              <w:rPr>
                <w:rFonts w:hint="eastAsia"/>
                <w:color w:val="auto"/>
                <w:szCs w:val="21"/>
                <w:lang w:eastAsia="zh-CN"/>
              </w:rPr>
              <w:t>—</w:t>
            </w:r>
            <w:r>
              <w:rPr>
                <w:rFonts w:hint="eastAsia"/>
                <w:color w:val="auto"/>
                <w:szCs w:val="21"/>
              </w:rPr>
              <w:t>其他（仅分割、焊接、组装的除外；年用非溶剂型低VOCs含量涂料10吨以下的除外）</w:t>
            </w:r>
            <w:r>
              <w:rPr>
                <w:rFonts w:hint="eastAsia"/>
                <w:color w:val="auto"/>
                <w:szCs w:val="21"/>
                <w:lang w:eastAsia="zh-CN"/>
              </w:rPr>
              <w:t>”</w:t>
            </w:r>
            <w:r>
              <w:rPr>
                <w:color w:val="auto"/>
                <w:szCs w:val="21"/>
              </w:rPr>
              <w:t>，因此应编制环境影响报告表。</w:t>
            </w: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b/>
                <w:color w:val="auto"/>
              </w:rPr>
            </w:pPr>
            <w:r>
              <w:rPr>
                <w:rFonts w:hint="eastAsia"/>
                <w:b/>
                <w:color w:val="auto"/>
              </w:rPr>
              <w:t xml:space="preserve">表2-1 </w:t>
            </w:r>
            <w:r>
              <w:rPr>
                <w:rFonts w:hint="eastAsia"/>
                <w:b/>
                <w:color w:val="auto"/>
                <w:lang w:val="en-US" w:eastAsia="zh-CN"/>
              </w:rPr>
              <w:t xml:space="preserve"> </w:t>
            </w:r>
            <w:r>
              <w:rPr>
                <w:rFonts w:hint="eastAsia"/>
                <w:b/>
                <w:color w:val="auto"/>
              </w:rPr>
              <w:t>项目环评分类管理类别判定</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3255"/>
              <w:gridCol w:w="2178"/>
              <w:gridCol w:w="165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1" w:type="dxa"/>
                  <w:gridSpan w:val="2"/>
                  <w:tcBorders>
                    <w:tl2br w:val="single" w:color="auto" w:sz="4" w:space="0"/>
                  </w:tcBorders>
                  <w:noWrap w:val="0"/>
                  <w:vAlign w:val="center"/>
                </w:tcPr>
                <w:p>
                  <w:pPr>
                    <w:adjustRightInd w:val="0"/>
                    <w:ind w:left="-50" w:right="-50"/>
                    <w:jc w:val="right"/>
                    <w:rPr>
                      <w:b/>
                      <w:color w:val="auto"/>
                      <w:sz w:val="18"/>
                      <w:szCs w:val="18"/>
                    </w:rPr>
                  </w:pPr>
                  <w:r>
                    <w:rPr>
                      <w:rFonts w:hint="eastAsia"/>
                      <w:b/>
                      <w:color w:val="auto"/>
                      <w:sz w:val="18"/>
                      <w:szCs w:val="18"/>
                    </w:rPr>
                    <w:t>环评类别</w:t>
                  </w:r>
                </w:p>
                <w:p>
                  <w:pPr>
                    <w:adjustRightInd w:val="0"/>
                    <w:ind w:left="-50" w:right="-50"/>
                    <w:jc w:val="left"/>
                    <w:rPr>
                      <w:b/>
                      <w:color w:val="auto"/>
                      <w:sz w:val="18"/>
                      <w:szCs w:val="18"/>
                    </w:rPr>
                  </w:pPr>
                  <w:r>
                    <w:rPr>
                      <w:rFonts w:hint="eastAsia"/>
                      <w:b/>
                      <w:color w:val="auto"/>
                      <w:sz w:val="18"/>
                      <w:szCs w:val="18"/>
                    </w:rPr>
                    <w:t>项目类别</w:t>
                  </w:r>
                </w:p>
              </w:tc>
              <w:tc>
                <w:tcPr>
                  <w:tcW w:w="2178" w:type="dxa"/>
                  <w:noWrap w:val="0"/>
                  <w:vAlign w:val="center"/>
                </w:tcPr>
                <w:p>
                  <w:pPr>
                    <w:adjustRightInd w:val="0"/>
                    <w:ind w:left="-50" w:right="-50"/>
                    <w:jc w:val="center"/>
                    <w:rPr>
                      <w:b/>
                      <w:color w:val="auto"/>
                      <w:sz w:val="18"/>
                      <w:szCs w:val="18"/>
                    </w:rPr>
                  </w:pPr>
                  <w:r>
                    <w:rPr>
                      <w:rFonts w:hint="eastAsia"/>
                      <w:b/>
                      <w:color w:val="auto"/>
                      <w:sz w:val="18"/>
                      <w:szCs w:val="18"/>
                    </w:rPr>
                    <w:t>报告书</w:t>
                  </w:r>
                </w:p>
              </w:tc>
              <w:tc>
                <w:tcPr>
                  <w:tcW w:w="1655" w:type="dxa"/>
                  <w:noWrap w:val="0"/>
                  <w:vAlign w:val="center"/>
                </w:tcPr>
                <w:p>
                  <w:pPr>
                    <w:adjustRightInd w:val="0"/>
                    <w:ind w:left="-50" w:right="-50"/>
                    <w:jc w:val="center"/>
                    <w:rPr>
                      <w:b/>
                      <w:color w:val="auto"/>
                      <w:sz w:val="18"/>
                      <w:szCs w:val="18"/>
                    </w:rPr>
                  </w:pPr>
                  <w:r>
                    <w:rPr>
                      <w:rFonts w:hint="eastAsia"/>
                      <w:b/>
                      <w:color w:val="auto"/>
                      <w:sz w:val="18"/>
                      <w:szCs w:val="18"/>
                    </w:rPr>
                    <w:t>报告表</w:t>
                  </w:r>
                </w:p>
              </w:tc>
              <w:tc>
                <w:tcPr>
                  <w:tcW w:w="807" w:type="dxa"/>
                  <w:noWrap w:val="0"/>
                  <w:vAlign w:val="center"/>
                </w:tcPr>
                <w:p>
                  <w:pPr>
                    <w:adjustRightInd w:val="0"/>
                    <w:ind w:left="-50" w:right="-50"/>
                    <w:jc w:val="center"/>
                    <w:rPr>
                      <w:b/>
                      <w:color w:val="auto"/>
                      <w:sz w:val="18"/>
                      <w:szCs w:val="18"/>
                    </w:rPr>
                  </w:pPr>
                  <w:r>
                    <w:rPr>
                      <w:rFonts w:hint="eastAsia"/>
                      <w:b/>
                      <w:color w:val="auto"/>
                      <w:sz w:val="18"/>
                      <w:szCs w:val="18"/>
                    </w:rPr>
                    <w:t>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1" w:type="dxa"/>
                  <w:gridSpan w:val="5"/>
                  <w:noWrap w:val="0"/>
                  <w:vAlign w:val="center"/>
                </w:tcPr>
                <w:p>
                  <w:pPr>
                    <w:adjustRightInd w:val="0"/>
                    <w:ind w:left="-50" w:right="-50"/>
                    <w:jc w:val="left"/>
                    <w:rPr>
                      <w:b/>
                      <w:color w:val="auto"/>
                      <w:sz w:val="18"/>
                      <w:szCs w:val="18"/>
                    </w:rPr>
                  </w:pPr>
                  <w:r>
                    <w:rPr>
                      <w:rFonts w:hint="eastAsia" w:hAnsi="宋体"/>
                      <w:b/>
                      <w:bCs/>
                      <w:color w:val="auto"/>
                      <w:sz w:val="18"/>
                      <w:szCs w:val="18"/>
                    </w:rPr>
                    <w:t>三十二、专用设备制造业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6" w:type="dxa"/>
                  <w:noWrap w:val="0"/>
                  <w:vAlign w:val="center"/>
                </w:tcPr>
                <w:p>
                  <w:pPr>
                    <w:adjustRightInd w:val="0"/>
                    <w:ind w:left="-50" w:right="-50"/>
                    <w:jc w:val="center"/>
                    <w:rPr>
                      <w:rFonts w:hint="default" w:eastAsia="宋体"/>
                      <w:color w:val="auto"/>
                      <w:sz w:val="18"/>
                      <w:szCs w:val="18"/>
                      <w:lang w:val="en-US" w:eastAsia="zh-CN"/>
                    </w:rPr>
                  </w:pPr>
                  <w:r>
                    <w:rPr>
                      <w:rFonts w:hint="eastAsia"/>
                      <w:color w:val="auto"/>
                      <w:sz w:val="18"/>
                      <w:szCs w:val="18"/>
                      <w:lang w:val="en-US" w:eastAsia="zh-CN"/>
                    </w:rPr>
                    <w:t>70</w:t>
                  </w:r>
                </w:p>
              </w:tc>
              <w:tc>
                <w:tcPr>
                  <w:tcW w:w="3255" w:type="dxa"/>
                  <w:noWrap w:val="0"/>
                  <w:vAlign w:val="center"/>
                </w:tcPr>
                <w:p>
                  <w:pPr>
                    <w:autoSpaceDE w:val="0"/>
                    <w:autoSpaceDN w:val="0"/>
                    <w:adjustRightInd w:val="0"/>
                    <w:jc w:val="center"/>
                    <w:rPr>
                      <w:rFonts w:hAnsi="宋体"/>
                      <w:color w:val="auto"/>
                      <w:sz w:val="18"/>
                      <w:szCs w:val="18"/>
                    </w:rPr>
                  </w:pPr>
                  <w:r>
                    <w:rPr>
                      <w:rFonts w:hint="eastAsia" w:hAnsi="宋体"/>
                      <w:color w:val="auto"/>
                      <w:sz w:val="18"/>
                      <w:szCs w:val="18"/>
                    </w:rPr>
                    <w:t>采矿、冶金、建筑专用设备制造351；化工、木材、非金属加工专用设备制造352；食品、饮料、烟草及饲料生产专用设备制造353；印刷、制药、日化及日用品生产专用设备制造354；纺织、服装和皮革加工专用设备制造355；电子和电工机械专用设备制造356；农、林、牧、渔专用机械制造357；医疗仪器设备及器械制造358；环保、邮政、社会公共服务及其他专用设备制造359</w:t>
                  </w:r>
                </w:p>
              </w:tc>
              <w:tc>
                <w:tcPr>
                  <w:tcW w:w="2178" w:type="dxa"/>
                  <w:noWrap w:val="0"/>
                  <w:vAlign w:val="center"/>
                </w:tcPr>
                <w:p>
                  <w:pPr>
                    <w:autoSpaceDE w:val="0"/>
                    <w:autoSpaceDN w:val="0"/>
                    <w:adjustRightInd w:val="0"/>
                    <w:jc w:val="center"/>
                    <w:rPr>
                      <w:rFonts w:hAnsi="宋体"/>
                      <w:color w:val="auto"/>
                      <w:sz w:val="18"/>
                      <w:szCs w:val="18"/>
                    </w:rPr>
                  </w:pPr>
                  <w:r>
                    <w:rPr>
                      <w:rFonts w:hint="eastAsia" w:hAnsi="宋体"/>
                      <w:color w:val="auto"/>
                      <w:sz w:val="18"/>
                      <w:szCs w:val="18"/>
                    </w:rPr>
                    <w:t>有电镀工艺的；年用溶剂型涂料（含稀释剂）10吨及以上的</w:t>
                  </w:r>
                </w:p>
              </w:tc>
              <w:tc>
                <w:tcPr>
                  <w:tcW w:w="1655" w:type="dxa"/>
                  <w:noWrap w:val="0"/>
                  <w:vAlign w:val="center"/>
                </w:tcPr>
                <w:p>
                  <w:pPr>
                    <w:autoSpaceDE w:val="0"/>
                    <w:autoSpaceDN w:val="0"/>
                    <w:adjustRightInd w:val="0"/>
                    <w:jc w:val="center"/>
                    <w:rPr>
                      <w:color w:val="auto"/>
                      <w:sz w:val="18"/>
                      <w:szCs w:val="18"/>
                    </w:rPr>
                  </w:pPr>
                  <w:r>
                    <w:rPr>
                      <w:rFonts w:hint="eastAsia" w:hAnsi="宋体"/>
                      <w:b/>
                      <w:bCs/>
                      <w:color w:val="auto"/>
                      <w:sz w:val="18"/>
                      <w:szCs w:val="18"/>
                    </w:rPr>
                    <w:t>其他</w:t>
                  </w:r>
                  <w:r>
                    <w:rPr>
                      <w:rFonts w:hint="eastAsia" w:hAnsi="宋体"/>
                      <w:color w:val="auto"/>
                      <w:sz w:val="18"/>
                      <w:szCs w:val="18"/>
                    </w:rPr>
                    <w:t>（仅分割、焊接、组装的除外；年用非溶剂型低VOCs含量涂料10吨以下的除外）</w:t>
                  </w:r>
                </w:p>
              </w:tc>
              <w:tc>
                <w:tcPr>
                  <w:tcW w:w="807" w:type="dxa"/>
                  <w:noWrap w:val="0"/>
                  <w:vAlign w:val="center"/>
                </w:tcPr>
                <w:p>
                  <w:pPr>
                    <w:adjustRightInd w:val="0"/>
                    <w:ind w:left="-50" w:right="-50"/>
                    <w:jc w:val="center"/>
                    <w:rPr>
                      <w:color w:val="auto"/>
                      <w:sz w:val="18"/>
                      <w:szCs w:val="18"/>
                    </w:rPr>
                  </w:pPr>
                  <w:r>
                    <w:rPr>
                      <w:rFonts w:hint="eastAsia"/>
                      <w:color w:val="auto"/>
                      <w:sz w:val="18"/>
                      <w:szCs w:val="18"/>
                    </w:rPr>
                    <w:t>/</w:t>
                  </w:r>
                </w:p>
              </w:tc>
            </w:tr>
          </w:tbl>
          <w:p>
            <w:pPr>
              <w:adjustRightInd w:val="0"/>
              <w:snapToGrid w:val="0"/>
              <w:spacing w:line="360" w:lineRule="auto"/>
              <w:ind w:firstLine="420" w:firstLineChars="200"/>
              <w:jc w:val="left"/>
              <w:rPr>
                <w:rFonts w:hint="eastAsia"/>
                <w:color w:val="auto"/>
                <w:szCs w:val="21"/>
              </w:rPr>
            </w:pPr>
            <w:r>
              <w:rPr>
                <w:color w:val="auto"/>
                <w:szCs w:val="21"/>
              </w:rPr>
              <w:t>对照《固定污染源排污许可分类管理名录》（2019年版），本项目属于《名录》中</w:t>
            </w:r>
            <w:r>
              <w:rPr>
                <w:rFonts w:hint="eastAsia"/>
                <w:color w:val="auto"/>
                <w:szCs w:val="21"/>
                <w:lang w:eastAsia="zh-CN"/>
              </w:rPr>
              <w:t>“</w:t>
            </w:r>
            <w:r>
              <w:rPr>
                <w:rFonts w:hint="eastAsia"/>
                <w:color w:val="auto"/>
                <w:szCs w:val="21"/>
              </w:rPr>
              <w:t>三十、专用设备制造业 35</w:t>
            </w:r>
            <w:r>
              <w:rPr>
                <w:color w:val="auto"/>
                <w:szCs w:val="21"/>
              </w:rPr>
              <w:t>，</w:t>
            </w:r>
            <w:r>
              <w:rPr>
                <w:rFonts w:hint="eastAsia"/>
                <w:color w:val="auto"/>
                <w:szCs w:val="21"/>
              </w:rPr>
              <w:t>涉及通用工序重点管理的</w:t>
            </w:r>
            <w:r>
              <w:rPr>
                <w:rFonts w:hint="eastAsia"/>
                <w:color w:val="auto"/>
                <w:szCs w:val="21"/>
                <w:lang w:val="en-US" w:eastAsia="zh-CN"/>
              </w:rPr>
              <w:t>”</w:t>
            </w:r>
            <w:r>
              <w:rPr>
                <w:color w:val="auto"/>
                <w:szCs w:val="21"/>
              </w:rPr>
              <w:t>，</w:t>
            </w:r>
            <w:r>
              <w:rPr>
                <w:rFonts w:hint="eastAsia"/>
                <w:color w:val="auto"/>
                <w:szCs w:val="21"/>
                <w:lang w:val="en-US" w:eastAsia="zh-CN"/>
              </w:rPr>
              <w:t>不涉及通用工序，</w:t>
            </w:r>
            <w:r>
              <w:rPr>
                <w:color w:val="auto"/>
                <w:szCs w:val="21"/>
              </w:rPr>
              <w:t>属于排污许可中</w:t>
            </w:r>
            <w:r>
              <w:rPr>
                <w:rFonts w:hint="eastAsia"/>
                <w:color w:val="auto"/>
                <w:szCs w:val="21"/>
                <w:lang w:eastAsia="zh-CN"/>
              </w:rPr>
              <w:t>“</w:t>
            </w:r>
            <w:r>
              <w:rPr>
                <w:rFonts w:hint="eastAsia"/>
                <w:color w:val="auto"/>
                <w:szCs w:val="21"/>
              </w:rPr>
              <w:t>登记</w:t>
            </w:r>
            <w:r>
              <w:rPr>
                <w:color w:val="auto"/>
                <w:szCs w:val="21"/>
              </w:rPr>
              <w:t>管理</w:t>
            </w:r>
            <w:r>
              <w:rPr>
                <w:rFonts w:hint="eastAsia"/>
                <w:color w:val="auto"/>
                <w:szCs w:val="21"/>
                <w:lang w:eastAsia="zh-CN"/>
              </w:rPr>
              <w:t>”</w:t>
            </w:r>
            <w:r>
              <w:rPr>
                <w:rFonts w:hint="eastAsia"/>
                <w:color w:val="auto"/>
                <w:szCs w:val="21"/>
              </w:rPr>
              <w:t>，</w:t>
            </w:r>
            <w:r>
              <w:rPr>
                <w:color w:val="auto"/>
                <w:szCs w:val="21"/>
              </w:rPr>
              <w:t>因此本项目</w:t>
            </w:r>
            <w:r>
              <w:rPr>
                <w:rFonts w:hint="eastAsia"/>
                <w:color w:val="auto"/>
                <w:szCs w:val="21"/>
              </w:rPr>
              <w:t>在实际排污前需在</w:t>
            </w:r>
            <w:r>
              <w:rPr>
                <w:color w:val="auto"/>
                <w:szCs w:val="21"/>
              </w:rPr>
              <w:t>全国排污许可证管理信息平台填报</w:t>
            </w:r>
            <w:r>
              <w:rPr>
                <w:rFonts w:hint="eastAsia"/>
                <w:color w:val="auto"/>
                <w:szCs w:val="21"/>
              </w:rPr>
              <w:t>排污登记表，完善排污信息。</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color w:val="auto"/>
              </w:rPr>
            </w:pPr>
            <w:r>
              <w:rPr>
                <w:rFonts w:hint="eastAsia"/>
                <w:b/>
                <w:color w:val="auto"/>
              </w:rPr>
              <w:t xml:space="preserve">表2-2 </w:t>
            </w:r>
            <w:r>
              <w:rPr>
                <w:rFonts w:hint="eastAsia"/>
                <w:b/>
                <w:color w:val="auto"/>
                <w:lang w:val="en-US" w:eastAsia="zh-CN"/>
              </w:rPr>
              <w:t xml:space="preserve"> </w:t>
            </w:r>
            <w:r>
              <w:rPr>
                <w:rFonts w:hint="eastAsia"/>
                <w:b/>
                <w:color w:val="auto"/>
              </w:rPr>
              <w:t>项目排污许可管理类别判定</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2599"/>
              <w:gridCol w:w="2055"/>
              <w:gridCol w:w="192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2" w:type="dxa"/>
                  <w:noWrap w:val="0"/>
                  <w:vAlign w:val="center"/>
                </w:tcPr>
                <w:p>
                  <w:pPr>
                    <w:adjustRightInd w:val="0"/>
                    <w:ind w:left="-50" w:right="-50"/>
                    <w:jc w:val="center"/>
                    <w:rPr>
                      <w:b/>
                      <w:color w:val="auto"/>
                      <w:sz w:val="18"/>
                      <w:szCs w:val="18"/>
                    </w:rPr>
                  </w:pPr>
                  <w:r>
                    <w:rPr>
                      <w:rFonts w:hint="eastAsia"/>
                      <w:b/>
                      <w:color w:val="auto"/>
                      <w:sz w:val="18"/>
                      <w:szCs w:val="18"/>
                    </w:rPr>
                    <w:t>序号</w:t>
                  </w:r>
                </w:p>
              </w:tc>
              <w:tc>
                <w:tcPr>
                  <w:tcW w:w="2599" w:type="dxa"/>
                  <w:noWrap w:val="0"/>
                  <w:vAlign w:val="center"/>
                </w:tcPr>
                <w:p>
                  <w:pPr>
                    <w:adjustRightInd w:val="0"/>
                    <w:ind w:left="-50" w:right="-50"/>
                    <w:jc w:val="center"/>
                    <w:rPr>
                      <w:b/>
                      <w:color w:val="auto"/>
                      <w:sz w:val="18"/>
                      <w:szCs w:val="18"/>
                    </w:rPr>
                  </w:pPr>
                  <w:r>
                    <w:rPr>
                      <w:rFonts w:hint="eastAsia"/>
                      <w:b/>
                      <w:color w:val="auto"/>
                      <w:sz w:val="18"/>
                      <w:szCs w:val="18"/>
                    </w:rPr>
                    <w:t>行业类别</w:t>
                  </w:r>
                </w:p>
              </w:tc>
              <w:tc>
                <w:tcPr>
                  <w:tcW w:w="2055" w:type="dxa"/>
                  <w:noWrap w:val="0"/>
                  <w:vAlign w:val="center"/>
                </w:tcPr>
                <w:p>
                  <w:pPr>
                    <w:adjustRightInd w:val="0"/>
                    <w:ind w:left="-50" w:right="-50"/>
                    <w:jc w:val="center"/>
                    <w:rPr>
                      <w:b/>
                      <w:color w:val="auto"/>
                      <w:sz w:val="18"/>
                      <w:szCs w:val="18"/>
                    </w:rPr>
                  </w:pPr>
                  <w:r>
                    <w:rPr>
                      <w:rFonts w:hint="eastAsia"/>
                      <w:b/>
                      <w:color w:val="auto"/>
                      <w:sz w:val="18"/>
                      <w:szCs w:val="18"/>
                    </w:rPr>
                    <w:t>重点管理</w:t>
                  </w:r>
                </w:p>
              </w:tc>
              <w:tc>
                <w:tcPr>
                  <w:tcW w:w="1920" w:type="dxa"/>
                  <w:noWrap w:val="0"/>
                  <w:vAlign w:val="center"/>
                </w:tcPr>
                <w:p>
                  <w:pPr>
                    <w:adjustRightInd w:val="0"/>
                    <w:ind w:left="-50" w:right="-50"/>
                    <w:jc w:val="center"/>
                    <w:rPr>
                      <w:b/>
                      <w:color w:val="auto"/>
                      <w:sz w:val="18"/>
                      <w:szCs w:val="18"/>
                    </w:rPr>
                  </w:pPr>
                  <w:r>
                    <w:rPr>
                      <w:rFonts w:hint="eastAsia"/>
                      <w:b/>
                      <w:color w:val="auto"/>
                      <w:sz w:val="18"/>
                      <w:szCs w:val="18"/>
                    </w:rPr>
                    <w:t>简化管理</w:t>
                  </w:r>
                </w:p>
              </w:tc>
              <w:tc>
                <w:tcPr>
                  <w:tcW w:w="1325" w:type="dxa"/>
                  <w:noWrap w:val="0"/>
                  <w:vAlign w:val="center"/>
                </w:tcPr>
                <w:p>
                  <w:pPr>
                    <w:adjustRightInd w:val="0"/>
                    <w:ind w:left="-50" w:right="-50"/>
                    <w:jc w:val="center"/>
                    <w:rPr>
                      <w:b/>
                      <w:color w:val="auto"/>
                      <w:sz w:val="18"/>
                      <w:szCs w:val="18"/>
                    </w:rPr>
                  </w:pPr>
                  <w:r>
                    <w:rPr>
                      <w:rFonts w:hint="eastAsia"/>
                      <w:b/>
                      <w:color w:val="auto"/>
                      <w:sz w:val="18"/>
                      <w:szCs w:val="18"/>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1" w:type="dxa"/>
                  <w:gridSpan w:val="5"/>
                  <w:noWrap w:val="0"/>
                  <w:vAlign w:val="center"/>
                </w:tcPr>
                <w:p>
                  <w:pPr>
                    <w:adjustRightInd w:val="0"/>
                    <w:ind w:left="-50" w:right="-50"/>
                    <w:jc w:val="left"/>
                    <w:rPr>
                      <w:rFonts w:hAnsi="宋体"/>
                      <w:b/>
                      <w:bCs/>
                      <w:color w:val="auto"/>
                      <w:sz w:val="18"/>
                      <w:szCs w:val="18"/>
                    </w:rPr>
                  </w:pPr>
                  <w:r>
                    <w:rPr>
                      <w:rFonts w:hint="eastAsia" w:hAnsi="宋体"/>
                      <w:b/>
                      <w:bCs/>
                      <w:color w:val="auto"/>
                      <w:sz w:val="18"/>
                      <w:szCs w:val="18"/>
                    </w:rPr>
                    <w:t>三十、专用设备制造业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2" w:type="dxa"/>
                  <w:noWrap w:val="0"/>
                  <w:vAlign w:val="center"/>
                </w:tcPr>
                <w:p>
                  <w:pPr>
                    <w:adjustRightInd w:val="0"/>
                    <w:ind w:left="-50" w:right="-50"/>
                    <w:jc w:val="center"/>
                    <w:rPr>
                      <w:rFonts w:hint="eastAsia" w:eastAsia="宋体"/>
                      <w:color w:val="auto"/>
                      <w:sz w:val="18"/>
                      <w:szCs w:val="18"/>
                      <w:lang w:eastAsia="zh-CN"/>
                    </w:rPr>
                  </w:pPr>
                  <w:r>
                    <w:rPr>
                      <w:rFonts w:hint="eastAsia"/>
                      <w:color w:val="auto"/>
                      <w:sz w:val="18"/>
                      <w:szCs w:val="18"/>
                    </w:rPr>
                    <w:t>8</w:t>
                  </w:r>
                  <w:r>
                    <w:rPr>
                      <w:rFonts w:hint="eastAsia"/>
                      <w:color w:val="auto"/>
                      <w:sz w:val="18"/>
                      <w:szCs w:val="18"/>
                      <w:lang w:val="en-US" w:eastAsia="zh-CN"/>
                    </w:rPr>
                    <w:t>4</w:t>
                  </w:r>
                </w:p>
              </w:tc>
              <w:tc>
                <w:tcPr>
                  <w:tcW w:w="2599" w:type="dxa"/>
                  <w:noWrap w:val="0"/>
                  <w:vAlign w:val="center"/>
                </w:tcPr>
                <w:p>
                  <w:pPr>
                    <w:adjustRightInd w:val="0"/>
                    <w:ind w:left="-50" w:right="-50"/>
                    <w:jc w:val="center"/>
                    <w:rPr>
                      <w:rFonts w:hAnsi="宋体"/>
                      <w:color w:val="auto"/>
                      <w:sz w:val="18"/>
                      <w:szCs w:val="18"/>
                    </w:rPr>
                  </w:pPr>
                  <w:r>
                    <w:rPr>
                      <w:rFonts w:hint="eastAsia"/>
                      <w:color w:val="auto"/>
                      <w:sz w:val="18"/>
                      <w:szCs w:val="18"/>
                    </w:rPr>
                    <w:t>采矿、冶金、建筑专用设备制造351，化工、木材、非金属加工专用设备制造352，食品、饮料、烟草及饲料生产专用设备制造353，印刷、制药、日化及日用品生产专用设备制造354，纺织、服装和皮革加工专用设备制造355，电子和电工机械专用设备制造356，农、林、牧、渔专用机械制造357，医疗仪器设备及器械制造358，环保、邮政、社会公共服务及其他专 用设备制造359</w:t>
                  </w:r>
                </w:p>
              </w:tc>
              <w:tc>
                <w:tcPr>
                  <w:tcW w:w="2055" w:type="dxa"/>
                  <w:noWrap w:val="0"/>
                  <w:vAlign w:val="center"/>
                </w:tcPr>
                <w:p>
                  <w:pPr>
                    <w:adjustRightInd w:val="0"/>
                    <w:ind w:left="-50" w:right="-50"/>
                    <w:jc w:val="center"/>
                    <w:rPr>
                      <w:rFonts w:hint="eastAsia"/>
                      <w:color w:val="auto"/>
                      <w:sz w:val="18"/>
                      <w:szCs w:val="18"/>
                    </w:rPr>
                  </w:pPr>
                  <w:r>
                    <w:rPr>
                      <w:rFonts w:hint="eastAsia"/>
                      <w:color w:val="auto"/>
                      <w:sz w:val="18"/>
                      <w:szCs w:val="18"/>
                    </w:rPr>
                    <w:t>涉及通用工序重点管理的</w:t>
                  </w:r>
                </w:p>
              </w:tc>
              <w:tc>
                <w:tcPr>
                  <w:tcW w:w="1920" w:type="dxa"/>
                  <w:noWrap w:val="0"/>
                  <w:vAlign w:val="center"/>
                </w:tcPr>
                <w:p>
                  <w:pPr>
                    <w:adjustRightInd w:val="0"/>
                    <w:ind w:left="-50" w:right="-50"/>
                    <w:jc w:val="center"/>
                    <w:rPr>
                      <w:rFonts w:hint="eastAsia"/>
                      <w:color w:val="auto"/>
                      <w:sz w:val="18"/>
                      <w:szCs w:val="18"/>
                    </w:rPr>
                  </w:pPr>
                  <w:r>
                    <w:rPr>
                      <w:rFonts w:hint="eastAsia"/>
                      <w:color w:val="auto"/>
                      <w:sz w:val="18"/>
                      <w:szCs w:val="18"/>
                    </w:rPr>
                    <w:t>涉及通用工序简化管理的</w:t>
                  </w:r>
                </w:p>
              </w:tc>
              <w:tc>
                <w:tcPr>
                  <w:tcW w:w="1325" w:type="dxa"/>
                  <w:noWrap w:val="0"/>
                  <w:vAlign w:val="center"/>
                </w:tcPr>
                <w:p>
                  <w:pPr>
                    <w:adjustRightInd w:val="0"/>
                    <w:ind w:left="-50" w:right="-50"/>
                    <w:jc w:val="center"/>
                    <w:rPr>
                      <w:rFonts w:hAnsi="宋体"/>
                      <w:b/>
                      <w:color w:val="auto"/>
                      <w:sz w:val="18"/>
                      <w:szCs w:val="18"/>
                    </w:rPr>
                  </w:pPr>
                  <w:r>
                    <w:rPr>
                      <w:rFonts w:hint="eastAsia"/>
                      <w:b/>
                      <w:bCs/>
                      <w:color w:val="auto"/>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1" w:type="dxa"/>
                  <w:gridSpan w:val="5"/>
                  <w:noWrap w:val="0"/>
                  <w:vAlign w:val="center"/>
                </w:tcPr>
                <w:p>
                  <w:pPr>
                    <w:adjustRightInd w:val="0"/>
                    <w:ind w:left="-50" w:right="-50"/>
                    <w:jc w:val="both"/>
                    <w:rPr>
                      <w:rFonts w:hint="eastAsia"/>
                      <w:color w:val="auto"/>
                      <w:sz w:val="18"/>
                      <w:szCs w:val="18"/>
                    </w:rPr>
                  </w:pPr>
                  <w:r>
                    <w:rPr>
                      <w:rFonts w:hint="eastAsia" w:hAnsi="宋体"/>
                      <w:b/>
                      <w:bCs/>
                      <w:color w:val="auto"/>
                      <w:sz w:val="18"/>
                      <w:szCs w:val="18"/>
                      <w:lang w:val="en-US" w:eastAsia="zh-CN"/>
                    </w:rPr>
                    <w:t>五十一</w:t>
                  </w:r>
                  <w:r>
                    <w:rPr>
                      <w:rFonts w:hint="eastAsia" w:hAnsi="宋体"/>
                      <w:b/>
                      <w:bCs/>
                      <w:color w:val="auto"/>
                      <w:sz w:val="18"/>
                      <w:szCs w:val="18"/>
                    </w:rPr>
                    <w:t>、</w:t>
                  </w:r>
                  <w:r>
                    <w:rPr>
                      <w:rFonts w:hint="eastAsia" w:hAnsi="宋体"/>
                      <w:b/>
                      <w:bCs/>
                      <w:color w:val="auto"/>
                      <w:sz w:val="18"/>
                      <w:szCs w:val="18"/>
                      <w:lang w:val="en-US" w:eastAsia="zh-CN"/>
                    </w:rPr>
                    <w:t>通用工序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1" w:type="dxa"/>
                  <w:gridSpan w:val="5"/>
                  <w:noWrap w:val="0"/>
                  <w:vAlign w:val="center"/>
                </w:tcPr>
                <w:p>
                  <w:pPr>
                    <w:adjustRightInd w:val="0"/>
                    <w:ind w:left="-50" w:right="-50"/>
                    <w:jc w:val="both"/>
                    <w:rPr>
                      <w:rFonts w:hint="default" w:eastAsia="宋体"/>
                      <w:color w:val="auto"/>
                      <w:sz w:val="18"/>
                      <w:szCs w:val="18"/>
                      <w:lang w:val="en-US" w:eastAsia="zh-CN"/>
                    </w:rPr>
                  </w:pPr>
                  <w:r>
                    <w:rPr>
                      <w:rFonts w:hint="eastAsia"/>
                      <w:color w:val="auto"/>
                      <w:sz w:val="18"/>
                      <w:szCs w:val="18"/>
                      <w:lang w:val="en-US" w:eastAsia="zh-CN"/>
                    </w:rPr>
                    <w:t>本项目不涉及</w:t>
                  </w:r>
                </w:p>
              </w:tc>
            </w:tr>
          </w:tbl>
          <w:p>
            <w:pPr>
              <w:adjustRightInd w:val="0"/>
              <w:snapToGrid w:val="0"/>
              <w:spacing w:line="360" w:lineRule="auto"/>
              <w:ind w:firstLine="420" w:firstLineChars="200"/>
              <w:jc w:val="left"/>
              <w:rPr>
                <w:color w:val="auto"/>
                <w:szCs w:val="21"/>
              </w:rPr>
            </w:pPr>
            <w:r>
              <w:rPr>
                <w:color w:val="auto"/>
                <w:szCs w:val="21"/>
              </w:rPr>
              <w:t>为此，</w:t>
            </w:r>
            <w:r>
              <w:rPr>
                <w:rFonts w:hint="eastAsia"/>
                <w:color w:val="auto"/>
                <w:szCs w:val="21"/>
              </w:rPr>
              <w:t>科沛达半导体</w:t>
            </w:r>
            <w:r>
              <w:rPr>
                <w:rFonts w:hint="eastAsia"/>
                <w:color w:val="auto"/>
                <w:szCs w:val="21"/>
                <w:lang w:eastAsia="zh-CN"/>
              </w:rPr>
              <w:t>（</w:t>
            </w:r>
            <w:r>
              <w:rPr>
                <w:rFonts w:hint="eastAsia"/>
                <w:color w:val="auto"/>
                <w:szCs w:val="21"/>
              </w:rPr>
              <w:t>安徽</w:t>
            </w:r>
            <w:r>
              <w:rPr>
                <w:rFonts w:hint="eastAsia"/>
                <w:color w:val="auto"/>
                <w:szCs w:val="21"/>
                <w:lang w:eastAsia="zh-CN"/>
              </w:rPr>
              <w:t>）</w:t>
            </w:r>
            <w:r>
              <w:rPr>
                <w:rFonts w:hint="eastAsia"/>
                <w:color w:val="auto"/>
                <w:szCs w:val="21"/>
              </w:rPr>
              <w:t>有限公司</w:t>
            </w:r>
            <w:r>
              <w:rPr>
                <w:color w:val="auto"/>
                <w:szCs w:val="21"/>
              </w:rPr>
              <w:t>委托我公司承担了本项目环境影响评价工作。接受委托后，我公司对项目建设场地周围环境进行了现场踏勘、调查，在收集项目相关资料的基础上进行了分析，根据国家和地方有关环保法律法规，并依据相关技术导则和规范要求，编制了本项目环境影响报告表。</w:t>
            </w:r>
          </w:p>
          <w:p>
            <w:pPr>
              <w:pStyle w:val="106"/>
              <w:ind w:firstLine="422"/>
              <w:rPr>
                <w:b/>
                <w:bCs/>
                <w:color w:val="auto"/>
                <w:sz w:val="21"/>
                <w:szCs w:val="21"/>
              </w:rPr>
            </w:pPr>
            <w:r>
              <w:rPr>
                <w:rFonts w:hint="eastAsia"/>
                <w:b/>
                <w:bCs/>
                <w:color w:val="auto"/>
                <w:sz w:val="21"/>
                <w:szCs w:val="21"/>
                <w:lang w:val="en-US" w:eastAsia="zh-CN"/>
              </w:rPr>
              <w:t>2.</w:t>
            </w:r>
            <w:r>
              <w:rPr>
                <w:b/>
                <w:bCs/>
                <w:color w:val="auto"/>
                <w:sz w:val="21"/>
                <w:szCs w:val="21"/>
              </w:rPr>
              <w:t>2</w:t>
            </w:r>
            <w:r>
              <w:rPr>
                <w:rFonts w:hint="eastAsia"/>
                <w:b/>
                <w:bCs/>
                <w:color w:val="auto"/>
                <w:sz w:val="21"/>
                <w:szCs w:val="21"/>
              </w:rPr>
              <w:t>、</w:t>
            </w:r>
            <w:r>
              <w:rPr>
                <w:b/>
                <w:bCs/>
                <w:color w:val="auto"/>
                <w:sz w:val="21"/>
                <w:szCs w:val="21"/>
              </w:rPr>
              <w:t>工程建设内容</w:t>
            </w:r>
          </w:p>
          <w:p>
            <w:pPr>
              <w:spacing w:line="360" w:lineRule="auto"/>
              <w:ind w:firstLine="420" w:firstLineChars="200"/>
              <w:rPr>
                <w:color w:val="auto"/>
                <w:szCs w:val="21"/>
              </w:rPr>
            </w:pPr>
            <w:r>
              <w:rPr>
                <w:color w:val="auto"/>
                <w:szCs w:val="21"/>
              </w:rPr>
              <w:t>本项目</w:t>
            </w:r>
            <w:r>
              <w:rPr>
                <w:rFonts w:hint="eastAsia"/>
                <w:color w:val="auto"/>
                <w:szCs w:val="21"/>
                <w:lang w:val="en-US" w:eastAsia="zh-CN"/>
              </w:rPr>
              <w:t>购置淮南安成经济开发区工业用地建设厂房、办公楼及其他辅助用房，配套相应的半导体生产线设备，进行半导体设备生产加工</w:t>
            </w:r>
            <w:r>
              <w:rPr>
                <w:rFonts w:hint="eastAsia"/>
                <w:color w:val="auto"/>
                <w:szCs w:val="21"/>
              </w:rPr>
              <w:t>，</w:t>
            </w:r>
            <w:r>
              <w:rPr>
                <w:rFonts w:hint="eastAsia"/>
                <w:color w:val="auto"/>
                <w:szCs w:val="21"/>
                <w:lang w:val="en-US" w:eastAsia="zh-CN"/>
              </w:rPr>
              <w:t>拟建</w:t>
            </w:r>
            <w:r>
              <w:rPr>
                <w:rFonts w:hint="eastAsia"/>
                <w:color w:val="auto"/>
                <w:szCs w:val="21"/>
              </w:rPr>
              <w:t>工程建设内容见下表。</w:t>
            </w:r>
          </w:p>
          <w:p>
            <w:pPr>
              <w:adjustRightInd w:val="0"/>
              <w:snapToGrid w:val="0"/>
              <w:jc w:val="center"/>
              <w:rPr>
                <w:rFonts w:hint="eastAsia"/>
                <w:b/>
                <w:bCs/>
                <w:color w:val="auto"/>
                <w:szCs w:val="21"/>
              </w:rPr>
            </w:pPr>
            <w:r>
              <w:rPr>
                <w:b/>
                <w:bCs/>
                <w:color w:val="auto"/>
                <w:szCs w:val="21"/>
              </w:rPr>
              <w:t>表</w:t>
            </w:r>
            <w:r>
              <w:rPr>
                <w:rFonts w:hint="eastAsia"/>
                <w:b/>
                <w:bCs/>
                <w:color w:val="auto"/>
                <w:szCs w:val="21"/>
              </w:rPr>
              <w:t xml:space="preserve">2-3 </w:t>
            </w:r>
            <w:r>
              <w:rPr>
                <w:rFonts w:hint="eastAsia"/>
                <w:b/>
                <w:bCs/>
                <w:color w:val="auto"/>
                <w:szCs w:val="21"/>
                <w:lang w:val="en-US" w:eastAsia="zh-CN"/>
              </w:rPr>
              <w:t xml:space="preserve"> 拟</w:t>
            </w:r>
            <w:r>
              <w:rPr>
                <w:rFonts w:hint="eastAsia"/>
                <w:b/>
                <w:bCs/>
                <w:color w:val="auto"/>
                <w:szCs w:val="21"/>
              </w:rPr>
              <w:t>建项目</w:t>
            </w:r>
            <w:r>
              <w:rPr>
                <w:b/>
                <w:bCs/>
                <w:color w:val="auto"/>
                <w:szCs w:val="21"/>
              </w:rPr>
              <w:t>工程建设内容一览表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629"/>
              <w:gridCol w:w="1013"/>
              <w:gridCol w:w="4191"/>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82" w:type="pct"/>
                  <w:noWrap w:val="0"/>
                  <w:vAlign w:val="center"/>
                </w:tcPr>
                <w:p>
                  <w:pPr>
                    <w:tabs>
                      <w:tab w:val="left" w:pos="3255"/>
                    </w:tabs>
                    <w:snapToGrid w:val="0"/>
                    <w:ind w:left="-105" w:leftChars="-50" w:right="-105" w:rightChars="-50"/>
                    <w:jc w:val="center"/>
                    <w:rPr>
                      <w:rFonts w:hAnsi="宋体"/>
                      <w:b/>
                      <w:color w:val="auto"/>
                      <w:szCs w:val="21"/>
                    </w:rPr>
                  </w:pPr>
                  <w:r>
                    <w:rPr>
                      <w:rFonts w:hAnsi="宋体"/>
                      <w:b/>
                      <w:color w:val="auto"/>
                      <w:szCs w:val="21"/>
                    </w:rPr>
                    <w:t>工程类别</w:t>
                  </w:r>
                </w:p>
              </w:tc>
              <w:tc>
                <w:tcPr>
                  <w:tcW w:w="982" w:type="pct"/>
                  <w:gridSpan w:val="2"/>
                  <w:noWrap w:val="0"/>
                  <w:vAlign w:val="center"/>
                </w:tcPr>
                <w:p>
                  <w:pPr>
                    <w:tabs>
                      <w:tab w:val="left" w:pos="3255"/>
                    </w:tabs>
                    <w:snapToGrid w:val="0"/>
                    <w:jc w:val="center"/>
                    <w:rPr>
                      <w:rFonts w:hAnsi="宋体"/>
                      <w:b/>
                      <w:color w:val="auto"/>
                      <w:szCs w:val="21"/>
                    </w:rPr>
                  </w:pPr>
                  <w:r>
                    <w:rPr>
                      <w:rFonts w:hAnsi="宋体"/>
                      <w:b/>
                      <w:color w:val="auto"/>
                      <w:szCs w:val="21"/>
                    </w:rPr>
                    <w:t>单项工程名称</w:t>
                  </w:r>
                </w:p>
              </w:tc>
              <w:tc>
                <w:tcPr>
                  <w:tcW w:w="2506" w:type="pct"/>
                  <w:noWrap w:val="0"/>
                  <w:vAlign w:val="center"/>
                </w:tcPr>
                <w:p>
                  <w:pPr>
                    <w:tabs>
                      <w:tab w:val="left" w:pos="3255"/>
                    </w:tabs>
                    <w:snapToGrid w:val="0"/>
                    <w:jc w:val="center"/>
                    <w:rPr>
                      <w:rFonts w:hAnsi="宋体"/>
                      <w:b/>
                      <w:color w:val="auto"/>
                      <w:szCs w:val="21"/>
                    </w:rPr>
                  </w:pPr>
                  <w:r>
                    <w:rPr>
                      <w:rFonts w:hint="eastAsia"/>
                      <w:b/>
                      <w:color w:val="auto"/>
                      <w:szCs w:val="21"/>
                      <w:lang w:val="en-US" w:eastAsia="zh-CN"/>
                    </w:rPr>
                    <w:t>拟建</w:t>
                  </w:r>
                  <w:r>
                    <w:rPr>
                      <w:rFonts w:hint="eastAsia"/>
                      <w:b/>
                      <w:color w:val="auto"/>
                      <w:szCs w:val="21"/>
                    </w:rPr>
                    <w:t>工程建设内容及</w:t>
                  </w:r>
                  <w:r>
                    <w:rPr>
                      <w:rFonts w:hint="eastAsia" w:hAnsi="宋体"/>
                      <w:b/>
                      <w:color w:val="auto"/>
                      <w:szCs w:val="21"/>
                    </w:rPr>
                    <w:t>规模</w:t>
                  </w:r>
                </w:p>
              </w:tc>
              <w:tc>
                <w:tcPr>
                  <w:tcW w:w="829" w:type="pct"/>
                  <w:noWrap w:val="0"/>
                  <w:vAlign w:val="center"/>
                </w:tcPr>
                <w:p>
                  <w:pPr>
                    <w:tabs>
                      <w:tab w:val="left" w:pos="3255"/>
                    </w:tabs>
                    <w:snapToGrid w:val="0"/>
                    <w:jc w:val="center"/>
                    <w:rPr>
                      <w:rFonts w:hint="eastAsia" w:hAnsi="宋体"/>
                      <w:b/>
                      <w:color w:val="auto"/>
                      <w:szCs w:val="21"/>
                    </w:rPr>
                  </w:pPr>
                  <w:r>
                    <w:rPr>
                      <w:rFonts w:hint="eastAsia"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82" w:type="pct"/>
                  <w:noWrap w:val="0"/>
                  <w:vAlign w:val="center"/>
                </w:tcPr>
                <w:p>
                  <w:pPr>
                    <w:tabs>
                      <w:tab w:val="left" w:pos="3255"/>
                    </w:tabs>
                    <w:snapToGrid w:val="0"/>
                    <w:ind w:left="-105" w:leftChars="-50" w:right="-105" w:rightChars="-50"/>
                    <w:jc w:val="center"/>
                    <w:rPr>
                      <w:rFonts w:hAnsi="宋体"/>
                      <w:color w:val="auto"/>
                      <w:sz w:val="18"/>
                      <w:szCs w:val="18"/>
                    </w:rPr>
                  </w:pPr>
                  <w:r>
                    <w:rPr>
                      <w:rFonts w:hAnsi="宋体"/>
                      <w:color w:val="auto"/>
                      <w:sz w:val="18"/>
                      <w:szCs w:val="18"/>
                    </w:rPr>
                    <w:t>主体工程</w:t>
                  </w:r>
                </w:p>
              </w:tc>
              <w:tc>
                <w:tcPr>
                  <w:tcW w:w="982" w:type="pct"/>
                  <w:gridSpan w:val="2"/>
                  <w:noWrap w:val="0"/>
                  <w:vAlign w:val="center"/>
                </w:tcPr>
                <w:p>
                  <w:pPr>
                    <w:pStyle w:val="141"/>
                    <w:snapToGrid w:val="0"/>
                    <w:ind w:left="-105" w:leftChars="-50" w:right="-105" w:rightChars="-50"/>
                    <w:jc w:val="center"/>
                    <w:rPr>
                      <w:color w:val="auto"/>
                      <w:szCs w:val="21"/>
                    </w:rPr>
                  </w:pPr>
                  <w:r>
                    <w:rPr>
                      <w:rFonts w:hint="eastAsia" w:ascii="Times New Roman" w:cs="Times New Roman"/>
                      <w:bCs/>
                      <w:color w:val="auto"/>
                      <w:sz w:val="18"/>
                      <w:szCs w:val="18"/>
                      <w:lang w:val="en-US" w:eastAsia="zh-CN"/>
                    </w:rPr>
                    <w:t>生产</w:t>
                  </w:r>
                  <w:r>
                    <w:rPr>
                      <w:rFonts w:hint="eastAsia" w:ascii="Times New Roman" w:cs="Times New Roman"/>
                      <w:bCs/>
                      <w:color w:val="auto"/>
                      <w:sz w:val="18"/>
                      <w:szCs w:val="18"/>
                    </w:rPr>
                    <w:t>车间</w:t>
                  </w:r>
                </w:p>
              </w:tc>
              <w:tc>
                <w:tcPr>
                  <w:tcW w:w="2506" w:type="pct"/>
                  <w:noWrap w:val="0"/>
                  <w:vAlign w:val="center"/>
                </w:tcPr>
                <w:p>
                  <w:pPr>
                    <w:pStyle w:val="141"/>
                    <w:snapToGrid w:val="0"/>
                    <w:spacing w:before="0"/>
                    <w:ind w:left="0"/>
                    <w:jc w:val="left"/>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rPr>
                    <w:t>位于厂区</w:t>
                  </w:r>
                  <w:r>
                    <w:rPr>
                      <w:rFonts w:hint="eastAsia" w:ascii="Times New Roman" w:hAnsi="Times New Roman" w:cs="Times New Roman"/>
                      <w:color w:val="auto"/>
                      <w:sz w:val="18"/>
                      <w:szCs w:val="18"/>
                      <w:lang w:val="en-US" w:eastAsia="zh-CN"/>
                    </w:rPr>
                    <w:t>西</w:t>
                  </w:r>
                  <w:r>
                    <w:rPr>
                      <w:rFonts w:hint="eastAsia" w:ascii="Times New Roman" w:hAnsi="Times New Roman" w:cs="Times New Roman"/>
                      <w:color w:val="auto"/>
                      <w:sz w:val="18"/>
                      <w:szCs w:val="18"/>
                      <w:lang w:val="en-US"/>
                    </w:rPr>
                    <w:t>侧，1</w:t>
                  </w:r>
                  <w:r>
                    <w:rPr>
                      <w:rFonts w:hint="eastAsia" w:ascii="Times New Roman" w:hAnsi="Times New Roman" w:cs="Times New Roman"/>
                      <w:color w:val="auto"/>
                      <w:sz w:val="18"/>
                      <w:szCs w:val="18"/>
                      <w:lang w:val="en-US" w:eastAsia="zh-CN"/>
                    </w:rPr>
                    <w:t>F，H10m，</w:t>
                  </w:r>
                  <w:r>
                    <w:rPr>
                      <w:rFonts w:hint="eastAsia" w:ascii="Times New Roman" w:hAnsi="Times New Roman" w:cs="Times New Roman"/>
                      <w:color w:val="auto"/>
                      <w:sz w:val="18"/>
                      <w:szCs w:val="18"/>
                      <w:lang w:val="en-US"/>
                    </w:rPr>
                    <w:t>厂房建筑面积1</w:t>
                  </w:r>
                  <w:r>
                    <w:rPr>
                      <w:rFonts w:hint="eastAsia" w:ascii="Times New Roman" w:hAnsi="Times New Roman" w:cs="Times New Roman"/>
                      <w:color w:val="auto"/>
                      <w:sz w:val="18"/>
                      <w:szCs w:val="18"/>
                      <w:lang w:val="en-US" w:eastAsia="zh-CN"/>
                    </w:rPr>
                    <w:t>2766</w:t>
                  </w:r>
                  <w:r>
                    <w:rPr>
                      <w:rFonts w:hint="eastAsia" w:ascii="Times New Roman" w:hAnsi="Times New Roman" w:cs="Times New Roman"/>
                      <w:color w:val="auto"/>
                      <w:sz w:val="18"/>
                      <w:szCs w:val="18"/>
                      <w:lang w:val="en-US"/>
                    </w:rPr>
                    <w:t>m</w:t>
                  </w:r>
                  <w:r>
                    <w:rPr>
                      <w:rFonts w:hint="eastAsia" w:ascii="Times New Roman" w:hAnsi="Times New Roman" w:cs="Times New Roman"/>
                      <w:color w:val="auto"/>
                      <w:sz w:val="18"/>
                      <w:szCs w:val="18"/>
                      <w:vertAlign w:val="superscript"/>
                      <w:lang w:val="en-US"/>
                    </w:rPr>
                    <w:t>2</w:t>
                  </w:r>
                  <w:r>
                    <w:rPr>
                      <w:rFonts w:hint="eastAsia" w:ascii="Times New Roman" w:hAnsi="Times New Roman" w:cs="Times New Roman"/>
                      <w:color w:val="auto"/>
                      <w:sz w:val="18"/>
                      <w:szCs w:val="18"/>
                      <w:lang w:val="en-US"/>
                    </w:rPr>
                    <w:t>，</w:t>
                  </w:r>
                  <w:r>
                    <w:rPr>
                      <w:rFonts w:hint="eastAsia" w:ascii="Times New Roman" w:hAnsi="Times New Roman" w:cs="Times New Roman"/>
                      <w:color w:val="auto"/>
                      <w:sz w:val="18"/>
                      <w:szCs w:val="18"/>
                      <w:highlight w:val="none"/>
                      <w:lang w:val="en-US"/>
                    </w:rPr>
                    <w:t>共</w:t>
                  </w:r>
                  <w:r>
                    <w:rPr>
                      <w:rFonts w:hint="eastAsia" w:ascii="Times New Roman" w:hAnsi="Times New Roman" w:cs="Times New Roman"/>
                      <w:color w:val="auto"/>
                      <w:sz w:val="18"/>
                      <w:szCs w:val="18"/>
                      <w:highlight w:val="none"/>
                      <w:lang w:val="en-US" w:eastAsia="zh-CN"/>
                    </w:rPr>
                    <w:t>分为机加工区（包括金属板材和塑料板材）、组装调试区（洁净车间）、人工打包区，</w:t>
                  </w:r>
                  <w:r>
                    <w:rPr>
                      <w:rFonts w:hint="eastAsia" w:ascii="Times New Roman" w:hAnsi="Times New Roman" w:cs="Times New Roman"/>
                      <w:color w:val="auto"/>
                      <w:sz w:val="18"/>
                      <w:szCs w:val="18"/>
                      <w:highlight w:val="none"/>
                      <w:lang w:val="en-US"/>
                    </w:rPr>
                    <w:t>设</w:t>
                  </w:r>
                  <w:r>
                    <w:rPr>
                      <w:rFonts w:hint="eastAsia" w:ascii="Times New Roman" w:hAnsi="Times New Roman" w:cs="Times New Roman"/>
                      <w:color w:val="auto"/>
                      <w:sz w:val="18"/>
                      <w:szCs w:val="18"/>
                      <w:lang w:val="en-US"/>
                    </w:rPr>
                    <w:t>置电液同步数控折弯机、双螺杆空压机、普通车床、数控车床、数控加工中心、金属带锯床、裁板锯床、气保焊机、塑料板焊机、数控雕刻机、光纤激光切割机等设备</w:t>
                  </w:r>
                  <w:r>
                    <w:rPr>
                      <w:rFonts w:hint="eastAsia" w:ascii="Times New Roman" w:hAnsi="Times New Roman" w:cs="Times New Roman"/>
                      <w:color w:val="auto"/>
                      <w:sz w:val="18"/>
                      <w:szCs w:val="18"/>
                      <w:lang w:val="en-US" w:eastAsia="zh-CN"/>
                    </w:rPr>
                    <w:t>，形成年加工生产500~800台半导体设备生产能力。</w:t>
                  </w:r>
                </w:p>
              </w:tc>
              <w:tc>
                <w:tcPr>
                  <w:tcW w:w="829" w:type="pct"/>
                  <w:noWrap w:val="0"/>
                  <w:vAlign w:val="center"/>
                </w:tcPr>
                <w:p>
                  <w:pPr>
                    <w:pStyle w:val="141"/>
                    <w:snapToGrid w:val="0"/>
                    <w:ind w:left="-105" w:leftChars="-50" w:right="-105" w:rightChars="-50"/>
                    <w:jc w:val="center"/>
                    <w:rPr>
                      <w:rFonts w:hint="eastAsia"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restart"/>
                  <w:noWrap w:val="0"/>
                  <w:vAlign w:val="center"/>
                </w:tcPr>
                <w:p>
                  <w:pPr>
                    <w:tabs>
                      <w:tab w:val="left" w:pos="3255"/>
                    </w:tabs>
                    <w:snapToGrid w:val="0"/>
                    <w:ind w:left="-105" w:leftChars="-50" w:right="-105" w:rightChars="-50"/>
                    <w:jc w:val="center"/>
                    <w:rPr>
                      <w:rFonts w:hAnsi="宋体"/>
                      <w:color w:val="auto"/>
                      <w:sz w:val="18"/>
                      <w:szCs w:val="18"/>
                    </w:rPr>
                  </w:pPr>
                  <w:r>
                    <w:rPr>
                      <w:rFonts w:hAnsi="宋体"/>
                      <w:color w:val="auto"/>
                      <w:sz w:val="18"/>
                      <w:szCs w:val="18"/>
                    </w:rPr>
                    <w:t>辅助工程</w:t>
                  </w:r>
                </w:p>
              </w:tc>
              <w:tc>
                <w:tcPr>
                  <w:tcW w:w="982" w:type="pct"/>
                  <w:gridSpan w:val="2"/>
                  <w:noWrap w:val="0"/>
                  <w:vAlign w:val="center"/>
                </w:tcPr>
                <w:p>
                  <w:pPr>
                    <w:autoSpaceDE w:val="0"/>
                    <w:autoSpaceDN w:val="0"/>
                    <w:adjustRightInd w:val="0"/>
                    <w:snapToGrid w:val="0"/>
                    <w:ind w:left="-105" w:leftChars="-50" w:right="-105" w:rightChars="-50"/>
                    <w:jc w:val="center"/>
                    <w:rPr>
                      <w:rFonts w:hAnsi="宋体"/>
                      <w:color w:val="auto"/>
                      <w:sz w:val="18"/>
                      <w:szCs w:val="18"/>
                    </w:rPr>
                  </w:pPr>
                  <w:r>
                    <w:rPr>
                      <w:rFonts w:hint="eastAsia" w:hAnsi="宋体"/>
                      <w:color w:val="auto"/>
                      <w:sz w:val="18"/>
                      <w:szCs w:val="18"/>
                    </w:rPr>
                    <w:t>办公楼</w:t>
                  </w:r>
                </w:p>
              </w:tc>
              <w:tc>
                <w:tcPr>
                  <w:tcW w:w="2506" w:type="pct"/>
                  <w:noWrap w:val="0"/>
                  <w:vAlign w:val="center"/>
                </w:tcPr>
                <w:p>
                  <w:pPr>
                    <w:autoSpaceDE w:val="0"/>
                    <w:autoSpaceDN w:val="0"/>
                    <w:adjustRightInd w:val="0"/>
                    <w:snapToGrid w:val="0"/>
                    <w:ind w:left="-105" w:leftChars="-50" w:right="-105" w:rightChars="-50"/>
                    <w:jc w:val="center"/>
                    <w:rPr>
                      <w:rFonts w:hAnsi="宋体"/>
                      <w:color w:val="auto"/>
                      <w:sz w:val="18"/>
                      <w:szCs w:val="18"/>
                    </w:rPr>
                  </w:pPr>
                  <w:r>
                    <w:rPr>
                      <w:rFonts w:hint="eastAsia"/>
                      <w:bCs/>
                      <w:color w:val="auto"/>
                      <w:sz w:val="18"/>
                      <w:szCs w:val="18"/>
                      <w:lang w:val="en-US" w:eastAsia="zh-CN"/>
                    </w:rPr>
                    <w:t>占地面积1034</w:t>
                  </w:r>
                  <w:r>
                    <w:rPr>
                      <w:rFonts w:hint="eastAsia"/>
                      <w:bCs/>
                      <w:color w:val="auto"/>
                      <w:sz w:val="18"/>
                      <w:szCs w:val="18"/>
                    </w:rPr>
                    <w:t>m</w:t>
                  </w:r>
                  <w:r>
                    <w:rPr>
                      <w:rFonts w:hint="eastAsia"/>
                      <w:bCs/>
                      <w:color w:val="auto"/>
                      <w:sz w:val="18"/>
                      <w:szCs w:val="18"/>
                      <w:vertAlign w:val="superscript"/>
                    </w:rPr>
                    <w:t>2</w:t>
                  </w:r>
                  <w:r>
                    <w:rPr>
                      <w:rFonts w:hint="eastAsia"/>
                      <w:bCs/>
                      <w:color w:val="auto"/>
                      <w:sz w:val="18"/>
                      <w:szCs w:val="18"/>
                      <w:vertAlign w:val="baseline"/>
                      <w:lang w:eastAsia="zh-CN"/>
                    </w:rPr>
                    <w:t>，</w:t>
                  </w:r>
                  <w:r>
                    <w:rPr>
                      <w:rFonts w:hint="eastAsia"/>
                      <w:bCs/>
                      <w:color w:val="auto"/>
                      <w:sz w:val="18"/>
                      <w:szCs w:val="18"/>
                      <w:vertAlign w:val="baseline"/>
                      <w:lang w:val="en-US" w:eastAsia="zh-CN"/>
                    </w:rPr>
                    <w:t>5F，总建筑5170</w:t>
                  </w:r>
                  <w:r>
                    <w:rPr>
                      <w:rFonts w:hint="eastAsia"/>
                      <w:bCs/>
                      <w:color w:val="auto"/>
                      <w:sz w:val="18"/>
                      <w:szCs w:val="18"/>
                    </w:rPr>
                    <w:t>m</w:t>
                  </w:r>
                  <w:r>
                    <w:rPr>
                      <w:rFonts w:hint="eastAsia"/>
                      <w:bCs/>
                      <w:color w:val="auto"/>
                      <w:sz w:val="18"/>
                      <w:szCs w:val="18"/>
                      <w:vertAlign w:val="superscript"/>
                    </w:rPr>
                    <w:t>2</w:t>
                  </w:r>
                  <w:r>
                    <w:rPr>
                      <w:bCs/>
                      <w:color w:val="auto"/>
                      <w:sz w:val="18"/>
                      <w:szCs w:val="18"/>
                    </w:rPr>
                    <w:t>，位于</w:t>
                  </w:r>
                  <w:r>
                    <w:rPr>
                      <w:rFonts w:hint="eastAsia"/>
                      <w:bCs/>
                      <w:color w:val="auto"/>
                      <w:sz w:val="18"/>
                      <w:szCs w:val="18"/>
                    </w:rPr>
                    <w:t>厂区东侧</w:t>
                  </w:r>
                </w:p>
              </w:tc>
              <w:tc>
                <w:tcPr>
                  <w:tcW w:w="829" w:type="pct"/>
                  <w:noWrap w:val="0"/>
                  <w:vAlign w:val="center"/>
                </w:tcPr>
                <w:p>
                  <w:pPr>
                    <w:autoSpaceDE w:val="0"/>
                    <w:autoSpaceDN w:val="0"/>
                    <w:snapToGrid w:val="0"/>
                    <w:ind w:left="7" w:leftChars="1" w:right="11" w:hanging="5" w:hangingChars="3"/>
                    <w:jc w:val="center"/>
                    <w:rPr>
                      <w:rFonts w:hint="eastAsia"/>
                      <w:color w:val="auto"/>
                      <w:sz w:val="18"/>
                      <w:szCs w:val="18"/>
                    </w:rPr>
                  </w:pPr>
                  <w:r>
                    <w:rPr>
                      <w:rFonts w:hint="eastAsia" w:ascii="Times New Roman" w:hAnsi="Times New Roman" w:cs="Times New Roman"/>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continue"/>
                  <w:noWrap w:val="0"/>
                  <w:vAlign w:val="center"/>
                </w:tcPr>
                <w:p>
                  <w:pPr>
                    <w:tabs>
                      <w:tab w:val="left" w:pos="3255"/>
                    </w:tabs>
                    <w:snapToGrid w:val="0"/>
                    <w:ind w:left="-105" w:leftChars="-50" w:right="-105" w:rightChars="-50"/>
                    <w:jc w:val="center"/>
                    <w:rPr>
                      <w:rFonts w:hAnsi="宋体"/>
                      <w:color w:val="auto"/>
                      <w:sz w:val="18"/>
                      <w:szCs w:val="18"/>
                    </w:rPr>
                  </w:pPr>
                </w:p>
              </w:tc>
              <w:tc>
                <w:tcPr>
                  <w:tcW w:w="982" w:type="pct"/>
                  <w:gridSpan w:val="2"/>
                  <w:noWrap w:val="0"/>
                  <w:vAlign w:val="center"/>
                </w:tcPr>
                <w:p>
                  <w:pPr>
                    <w:autoSpaceDE w:val="0"/>
                    <w:autoSpaceDN w:val="0"/>
                    <w:adjustRightInd w:val="0"/>
                    <w:snapToGrid w:val="0"/>
                    <w:ind w:left="-105" w:leftChars="-50" w:right="-105" w:rightChars="-50"/>
                    <w:jc w:val="center"/>
                    <w:rPr>
                      <w:rFonts w:hint="eastAsia" w:hAnsi="宋体"/>
                      <w:color w:val="auto"/>
                      <w:sz w:val="18"/>
                      <w:szCs w:val="18"/>
                    </w:rPr>
                  </w:pPr>
                  <w:r>
                    <w:rPr>
                      <w:rFonts w:hint="eastAsia" w:hAnsi="宋体"/>
                      <w:color w:val="auto"/>
                      <w:sz w:val="18"/>
                      <w:szCs w:val="18"/>
                    </w:rPr>
                    <w:t>门卫</w:t>
                  </w:r>
                </w:p>
              </w:tc>
              <w:tc>
                <w:tcPr>
                  <w:tcW w:w="2506" w:type="pct"/>
                  <w:noWrap w:val="0"/>
                  <w:vAlign w:val="center"/>
                </w:tcPr>
                <w:p>
                  <w:pPr>
                    <w:autoSpaceDE w:val="0"/>
                    <w:autoSpaceDN w:val="0"/>
                    <w:adjustRightInd w:val="0"/>
                    <w:snapToGrid w:val="0"/>
                    <w:ind w:left="-105" w:leftChars="-50" w:right="-105" w:rightChars="-50"/>
                    <w:jc w:val="center"/>
                    <w:rPr>
                      <w:rFonts w:hAnsi="宋体"/>
                      <w:color w:val="auto"/>
                      <w:sz w:val="18"/>
                      <w:szCs w:val="18"/>
                    </w:rPr>
                  </w:pPr>
                  <w:r>
                    <w:rPr>
                      <w:bCs/>
                      <w:color w:val="auto"/>
                      <w:sz w:val="18"/>
                      <w:szCs w:val="18"/>
                    </w:rPr>
                    <w:t>面积</w:t>
                  </w:r>
                  <w:r>
                    <w:rPr>
                      <w:rFonts w:hint="eastAsia"/>
                      <w:bCs/>
                      <w:color w:val="auto"/>
                      <w:sz w:val="18"/>
                      <w:szCs w:val="18"/>
                      <w:lang w:val="en-US" w:eastAsia="zh-CN"/>
                    </w:rPr>
                    <w:t>3</w:t>
                  </w:r>
                  <w:r>
                    <w:rPr>
                      <w:rFonts w:hint="eastAsia"/>
                      <w:bCs/>
                      <w:color w:val="auto"/>
                      <w:sz w:val="18"/>
                      <w:szCs w:val="18"/>
                    </w:rPr>
                    <w:t>0m</w:t>
                  </w:r>
                  <w:r>
                    <w:rPr>
                      <w:rFonts w:hint="eastAsia"/>
                      <w:bCs/>
                      <w:color w:val="auto"/>
                      <w:sz w:val="18"/>
                      <w:szCs w:val="18"/>
                      <w:vertAlign w:val="superscript"/>
                    </w:rPr>
                    <w:t>2</w:t>
                  </w:r>
                  <w:r>
                    <w:rPr>
                      <w:bCs/>
                      <w:color w:val="auto"/>
                      <w:sz w:val="18"/>
                      <w:szCs w:val="18"/>
                    </w:rPr>
                    <w:t>，位于</w:t>
                  </w:r>
                  <w:r>
                    <w:rPr>
                      <w:rFonts w:hint="eastAsia"/>
                      <w:bCs/>
                      <w:color w:val="auto"/>
                      <w:sz w:val="18"/>
                      <w:szCs w:val="18"/>
                    </w:rPr>
                    <w:t>厂区东侧</w:t>
                  </w:r>
                </w:p>
              </w:tc>
              <w:tc>
                <w:tcPr>
                  <w:tcW w:w="829" w:type="pct"/>
                  <w:noWrap w:val="0"/>
                  <w:vAlign w:val="center"/>
                </w:tcPr>
                <w:p>
                  <w:pPr>
                    <w:autoSpaceDE w:val="0"/>
                    <w:autoSpaceDN w:val="0"/>
                    <w:snapToGrid w:val="0"/>
                    <w:ind w:left="7" w:leftChars="1" w:right="11" w:hanging="5" w:hangingChars="3"/>
                    <w:jc w:val="center"/>
                    <w:rPr>
                      <w:rFonts w:hint="eastAsia"/>
                      <w:color w:val="auto"/>
                      <w:sz w:val="18"/>
                      <w:szCs w:val="18"/>
                    </w:rPr>
                  </w:pPr>
                  <w:r>
                    <w:rPr>
                      <w:rFonts w:hint="eastAsia" w:ascii="Times New Roman" w:hAnsi="Times New Roman" w:cs="Times New Roman"/>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continue"/>
                  <w:noWrap w:val="0"/>
                  <w:vAlign w:val="center"/>
                </w:tcPr>
                <w:p>
                  <w:pPr>
                    <w:tabs>
                      <w:tab w:val="left" w:pos="3255"/>
                    </w:tabs>
                    <w:snapToGrid w:val="0"/>
                    <w:ind w:left="-105" w:leftChars="-50" w:right="-105" w:rightChars="-50"/>
                    <w:jc w:val="center"/>
                    <w:rPr>
                      <w:rFonts w:hAnsi="宋体"/>
                      <w:color w:val="auto"/>
                      <w:sz w:val="18"/>
                      <w:szCs w:val="18"/>
                    </w:rPr>
                  </w:pPr>
                </w:p>
              </w:tc>
              <w:tc>
                <w:tcPr>
                  <w:tcW w:w="982" w:type="pct"/>
                  <w:gridSpan w:val="2"/>
                  <w:noWrap w:val="0"/>
                  <w:vAlign w:val="center"/>
                </w:tcPr>
                <w:p>
                  <w:pPr>
                    <w:autoSpaceDE w:val="0"/>
                    <w:autoSpaceDN w:val="0"/>
                    <w:adjustRightInd w:val="0"/>
                    <w:snapToGrid w:val="0"/>
                    <w:ind w:left="-105" w:leftChars="-50" w:right="-105" w:rightChars="-50"/>
                    <w:jc w:val="center"/>
                    <w:rPr>
                      <w:rFonts w:hint="default" w:hAnsi="宋体" w:eastAsia="宋体"/>
                      <w:color w:val="auto"/>
                      <w:sz w:val="18"/>
                      <w:szCs w:val="18"/>
                      <w:lang w:val="en-US" w:eastAsia="zh-CN"/>
                    </w:rPr>
                  </w:pPr>
                  <w:r>
                    <w:rPr>
                      <w:rFonts w:hint="eastAsia" w:hAnsi="宋体"/>
                      <w:color w:val="auto"/>
                      <w:sz w:val="18"/>
                      <w:szCs w:val="18"/>
                      <w:lang w:val="en-US" w:eastAsia="zh-CN"/>
                    </w:rPr>
                    <w:t>食堂</w:t>
                  </w:r>
                </w:p>
              </w:tc>
              <w:tc>
                <w:tcPr>
                  <w:tcW w:w="2506" w:type="pct"/>
                  <w:noWrap w:val="0"/>
                  <w:vAlign w:val="center"/>
                </w:tcPr>
                <w:p>
                  <w:pPr>
                    <w:autoSpaceDE w:val="0"/>
                    <w:autoSpaceDN w:val="0"/>
                    <w:adjustRightInd w:val="0"/>
                    <w:snapToGrid w:val="0"/>
                    <w:ind w:left="-105" w:leftChars="-50" w:right="-105" w:rightChars="-50"/>
                    <w:jc w:val="center"/>
                    <w:rPr>
                      <w:rFonts w:hint="default" w:ascii="Times New Roman" w:hAnsi="Times New Roman" w:eastAsia="宋体" w:cs="Times New Roman"/>
                      <w:bCs/>
                      <w:color w:val="auto"/>
                      <w:kern w:val="2"/>
                      <w:sz w:val="18"/>
                      <w:szCs w:val="18"/>
                      <w:lang w:val="en-US" w:eastAsia="zh-CN" w:bidi="ar-SA"/>
                    </w:rPr>
                  </w:pPr>
                  <w:r>
                    <w:rPr>
                      <w:rFonts w:hint="eastAsia"/>
                      <w:color w:val="auto"/>
                      <w:sz w:val="18"/>
                      <w:szCs w:val="18"/>
                      <w:lang w:val="en-US" w:eastAsia="zh-CN"/>
                    </w:rPr>
                    <w:t>位于生产车间南侧，面积约456m</w:t>
                  </w:r>
                  <w:r>
                    <w:rPr>
                      <w:rFonts w:hint="eastAsia"/>
                      <w:color w:val="auto"/>
                      <w:sz w:val="18"/>
                      <w:szCs w:val="18"/>
                      <w:vertAlign w:val="superscript"/>
                      <w:lang w:val="en-US" w:eastAsia="zh-CN"/>
                    </w:rPr>
                    <w:t>2</w:t>
                  </w:r>
                  <w:r>
                    <w:rPr>
                      <w:rFonts w:hint="eastAsia"/>
                      <w:color w:val="auto"/>
                      <w:sz w:val="18"/>
                      <w:szCs w:val="18"/>
                      <w:lang w:val="en-US" w:eastAsia="zh-CN"/>
                    </w:rPr>
                    <w:t>，可提供每日一餐；就餐人数100人；</w:t>
                  </w:r>
                </w:p>
              </w:tc>
              <w:tc>
                <w:tcPr>
                  <w:tcW w:w="829" w:type="pct"/>
                  <w:noWrap w:val="0"/>
                  <w:vAlign w:val="center"/>
                </w:tcPr>
                <w:p>
                  <w:pPr>
                    <w:autoSpaceDE w:val="0"/>
                    <w:autoSpaceDN w:val="0"/>
                    <w:snapToGrid w:val="0"/>
                    <w:ind w:left="7" w:leftChars="1" w:right="11" w:hanging="5" w:hangingChars="3"/>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continue"/>
                  <w:noWrap w:val="0"/>
                  <w:vAlign w:val="center"/>
                </w:tcPr>
                <w:p>
                  <w:pPr>
                    <w:tabs>
                      <w:tab w:val="left" w:pos="3255"/>
                    </w:tabs>
                    <w:snapToGrid w:val="0"/>
                    <w:ind w:left="-105" w:leftChars="-50" w:right="-105" w:rightChars="-50"/>
                    <w:jc w:val="center"/>
                    <w:rPr>
                      <w:rFonts w:hAnsi="宋体"/>
                      <w:color w:val="auto"/>
                      <w:sz w:val="18"/>
                      <w:szCs w:val="18"/>
                    </w:rPr>
                  </w:pPr>
                </w:p>
              </w:tc>
              <w:tc>
                <w:tcPr>
                  <w:tcW w:w="982" w:type="pct"/>
                  <w:gridSpan w:val="2"/>
                  <w:noWrap w:val="0"/>
                  <w:vAlign w:val="center"/>
                </w:tcPr>
                <w:p>
                  <w:pPr>
                    <w:autoSpaceDE w:val="0"/>
                    <w:autoSpaceDN w:val="0"/>
                    <w:adjustRightInd w:val="0"/>
                    <w:snapToGrid w:val="0"/>
                    <w:ind w:left="-105" w:leftChars="-50" w:right="-105" w:rightChars="-50"/>
                    <w:jc w:val="center"/>
                    <w:rPr>
                      <w:rFonts w:hint="default" w:hAnsi="宋体"/>
                      <w:color w:val="auto"/>
                      <w:sz w:val="18"/>
                      <w:szCs w:val="18"/>
                      <w:lang w:val="en-US" w:eastAsia="zh-CN"/>
                    </w:rPr>
                  </w:pPr>
                  <w:r>
                    <w:rPr>
                      <w:rFonts w:hint="eastAsia" w:hAnsi="宋体"/>
                      <w:color w:val="auto"/>
                      <w:sz w:val="18"/>
                      <w:szCs w:val="18"/>
                      <w:lang w:val="en-US" w:eastAsia="zh-CN"/>
                    </w:rPr>
                    <w:t>设备间</w:t>
                  </w:r>
                </w:p>
              </w:tc>
              <w:tc>
                <w:tcPr>
                  <w:tcW w:w="2506" w:type="pct"/>
                  <w:noWrap w:val="0"/>
                  <w:vAlign w:val="center"/>
                </w:tcPr>
                <w:p>
                  <w:pPr>
                    <w:autoSpaceDE w:val="0"/>
                    <w:autoSpaceDN w:val="0"/>
                    <w:adjustRightInd w:val="0"/>
                    <w:snapToGrid w:val="0"/>
                    <w:ind w:left="-105" w:leftChars="-50" w:right="-105" w:rightChars="-50"/>
                    <w:jc w:val="center"/>
                    <w:rPr>
                      <w:rFonts w:hint="eastAsia"/>
                      <w:color w:val="auto"/>
                      <w:sz w:val="18"/>
                      <w:szCs w:val="18"/>
                      <w:lang w:val="en-US" w:eastAsia="zh-CN"/>
                    </w:rPr>
                  </w:pPr>
                  <w:r>
                    <w:rPr>
                      <w:rFonts w:hint="eastAsia"/>
                      <w:color w:val="auto"/>
                      <w:sz w:val="18"/>
                      <w:szCs w:val="18"/>
                      <w:lang w:val="en-US" w:eastAsia="zh-CN"/>
                    </w:rPr>
                    <w:t>位于生产车间东北角辅楼，面积约900m</w:t>
                  </w:r>
                  <w:r>
                    <w:rPr>
                      <w:rFonts w:hint="eastAsia"/>
                      <w:color w:val="auto"/>
                      <w:sz w:val="18"/>
                      <w:szCs w:val="18"/>
                      <w:vertAlign w:val="superscript"/>
                      <w:lang w:val="en-US" w:eastAsia="zh-CN"/>
                    </w:rPr>
                    <w:t>2</w:t>
                  </w:r>
                  <w:r>
                    <w:rPr>
                      <w:rFonts w:hint="eastAsia"/>
                      <w:color w:val="auto"/>
                      <w:sz w:val="18"/>
                      <w:szCs w:val="18"/>
                      <w:lang w:val="en-US" w:eastAsia="zh-CN"/>
                    </w:rPr>
                    <w:t>，主要布置空调系统，空压机、纯水机</w:t>
                  </w:r>
                </w:p>
              </w:tc>
              <w:tc>
                <w:tcPr>
                  <w:tcW w:w="829" w:type="pct"/>
                  <w:noWrap w:val="0"/>
                  <w:vAlign w:val="center"/>
                </w:tcPr>
                <w:p>
                  <w:pPr>
                    <w:autoSpaceDE w:val="0"/>
                    <w:autoSpaceDN w:val="0"/>
                    <w:snapToGrid w:val="0"/>
                    <w:ind w:left="7" w:leftChars="1" w:right="11" w:hanging="5" w:hangingChars="3"/>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restart"/>
                  <w:noWrap w:val="0"/>
                  <w:vAlign w:val="center"/>
                </w:tcPr>
                <w:p>
                  <w:pPr>
                    <w:tabs>
                      <w:tab w:val="left" w:pos="3255"/>
                    </w:tabs>
                    <w:snapToGrid w:val="0"/>
                    <w:ind w:left="-105" w:leftChars="-50" w:right="-105" w:rightChars="-50"/>
                    <w:rPr>
                      <w:rFonts w:hAnsi="宋体"/>
                      <w:color w:val="auto"/>
                      <w:szCs w:val="21"/>
                    </w:rPr>
                  </w:pPr>
                  <w:r>
                    <w:rPr>
                      <w:rFonts w:hAnsi="宋体"/>
                      <w:color w:val="auto"/>
                      <w:sz w:val="18"/>
                      <w:szCs w:val="18"/>
                    </w:rPr>
                    <w:t>储运工程</w:t>
                  </w:r>
                </w:p>
              </w:tc>
              <w:tc>
                <w:tcPr>
                  <w:tcW w:w="982" w:type="pct"/>
                  <w:gridSpan w:val="2"/>
                  <w:noWrap w:val="0"/>
                  <w:vAlign w:val="center"/>
                </w:tcPr>
                <w:p>
                  <w:pPr>
                    <w:pStyle w:val="141"/>
                    <w:snapToGrid w:val="0"/>
                    <w:ind w:left="-105" w:leftChars="-50" w:right="-105" w:rightChars="-50"/>
                    <w:jc w:val="center"/>
                    <w:rPr>
                      <w:rFonts w:ascii="Times New Roman" w:cs="Times New Roman"/>
                      <w:color w:val="auto"/>
                      <w:sz w:val="18"/>
                      <w:szCs w:val="18"/>
                    </w:rPr>
                  </w:pPr>
                  <w:r>
                    <w:rPr>
                      <w:rFonts w:hint="eastAsia" w:ascii="Times New Roman" w:cs="Times New Roman"/>
                      <w:color w:val="auto"/>
                      <w:sz w:val="18"/>
                      <w:szCs w:val="18"/>
                      <w:lang w:val="en-US" w:eastAsia="zh-CN"/>
                    </w:rPr>
                    <w:t>原辅料</w:t>
                  </w:r>
                  <w:r>
                    <w:rPr>
                      <w:rFonts w:ascii="Times New Roman" w:cs="Times New Roman"/>
                      <w:color w:val="auto"/>
                      <w:sz w:val="18"/>
                      <w:szCs w:val="18"/>
                    </w:rPr>
                    <w:t>仓库</w:t>
                  </w:r>
                </w:p>
              </w:tc>
              <w:tc>
                <w:tcPr>
                  <w:tcW w:w="2506" w:type="pct"/>
                  <w:noWrap w:val="0"/>
                  <w:vAlign w:val="center"/>
                </w:tcPr>
                <w:p>
                  <w:pPr>
                    <w:autoSpaceDE w:val="0"/>
                    <w:autoSpaceDN w:val="0"/>
                    <w:adjustRightInd w:val="0"/>
                    <w:snapToGrid w:val="0"/>
                    <w:ind w:left="-105" w:leftChars="-50" w:right="-105" w:rightChars="-50"/>
                    <w:jc w:val="center"/>
                    <w:rPr>
                      <w:color w:val="auto"/>
                      <w:sz w:val="18"/>
                      <w:szCs w:val="18"/>
                    </w:rPr>
                  </w:pPr>
                  <w:r>
                    <w:rPr>
                      <w:rFonts w:hint="eastAsia"/>
                      <w:bCs/>
                      <w:color w:val="auto"/>
                      <w:sz w:val="18"/>
                      <w:szCs w:val="18"/>
                      <w:lang w:val="en-US" w:eastAsia="zh-CN"/>
                    </w:rPr>
                    <w:t>地面积1010</w:t>
                  </w:r>
                  <w:r>
                    <w:rPr>
                      <w:rFonts w:hint="eastAsia"/>
                      <w:bCs/>
                      <w:color w:val="auto"/>
                      <w:sz w:val="18"/>
                      <w:szCs w:val="18"/>
                    </w:rPr>
                    <w:t>m</w:t>
                  </w:r>
                  <w:r>
                    <w:rPr>
                      <w:rFonts w:hint="eastAsia"/>
                      <w:bCs/>
                      <w:color w:val="auto"/>
                      <w:sz w:val="18"/>
                      <w:szCs w:val="18"/>
                      <w:vertAlign w:val="superscript"/>
                    </w:rPr>
                    <w:t>2</w:t>
                  </w:r>
                  <w:r>
                    <w:rPr>
                      <w:rFonts w:hint="eastAsia"/>
                      <w:bCs/>
                      <w:color w:val="auto"/>
                      <w:sz w:val="18"/>
                      <w:szCs w:val="18"/>
                      <w:vertAlign w:val="baseline"/>
                      <w:lang w:eastAsia="zh-CN"/>
                    </w:rPr>
                    <w:t>，</w:t>
                  </w:r>
                  <w:r>
                    <w:rPr>
                      <w:rFonts w:hint="eastAsia"/>
                      <w:bCs/>
                      <w:color w:val="auto"/>
                      <w:sz w:val="18"/>
                      <w:szCs w:val="18"/>
                      <w:vertAlign w:val="baseline"/>
                      <w:lang w:val="en-US" w:eastAsia="zh-CN"/>
                    </w:rPr>
                    <w:t>2F，总建筑2004</w:t>
                  </w:r>
                  <w:r>
                    <w:rPr>
                      <w:rFonts w:hint="eastAsia"/>
                      <w:bCs/>
                      <w:color w:val="auto"/>
                      <w:sz w:val="18"/>
                      <w:szCs w:val="18"/>
                    </w:rPr>
                    <w:t>m</w:t>
                  </w:r>
                  <w:r>
                    <w:rPr>
                      <w:rFonts w:hint="eastAsia"/>
                      <w:bCs/>
                      <w:color w:val="auto"/>
                      <w:sz w:val="18"/>
                      <w:szCs w:val="18"/>
                      <w:vertAlign w:val="superscript"/>
                    </w:rPr>
                    <w:t>2</w:t>
                  </w:r>
                  <w:r>
                    <w:rPr>
                      <w:bCs/>
                      <w:color w:val="auto"/>
                      <w:sz w:val="18"/>
                      <w:szCs w:val="18"/>
                    </w:rPr>
                    <w:t>，位于</w:t>
                  </w:r>
                  <w:r>
                    <w:rPr>
                      <w:rFonts w:hint="eastAsia"/>
                      <w:bCs/>
                      <w:color w:val="auto"/>
                      <w:sz w:val="18"/>
                      <w:szCs w:val="18"/>
                    </w:rPr>
                    <w:t>厂区</w:t>
                  </w:r>
                  <w:r>
                    <w:rPr>
                      <w:rFonts w:hint="eastAsia"/>
                      <w:bCs/>
                      <w:color w:val="auto"/>
                      <w:sz w:val="18"/>
                      <w:szCs w:val="18"/>
                      <w:lang w:val="en-US" w:eastAsia="zh-CN"/>
                    </w:rPr>
                    <w:t>西北角</w:t>
                  </w:r>
                  <w:r>
                    <w:rPr>
                      <w:rFonts w:hint="eastAsia"/>
                      <w:bCs/>
                      <w:color w:val="auto"/>
                      <w:sz w:val="18"/>
                      <w:szCs w:val="18"/>
                      <w:lang w:eastAsia="zh-CN"/>
                    </w:rPr>
                    <w:t>，</w:t>
                  </w:r>
                  <w:r>
                    <w:rPr>
                      <w:rFonts w:hint="eastAsia"/>
                      <w:color w:val="auto"/>
                      <w:sz w:val="18"/>
                      <w:szCs w:val="18"/>
                    </w:rPr>
                    <w:t>用于原料</w:t>
                  </w:r>
                  <w:r>
                    <w:rPr>
                      <w:rFonts w:hint="eastAsia"/>
                      <w:color w:val="auto"/>
                      <w:sz w:val="18"/>
                      <w:szCs w:val="18"/>
                      <w:lang w:eastAsia="zh-CN"/>
                    </w:rPr>
                    <w:t>、</w:t>
                  </w:r>
                  <w:r>
                    <w:rPr>
                      <w:rFonts w:hint="eastAsia"/>
                      <w:color w:val="auto"/>
                      <w:sz w:val="18"/>
                      <w:szCs w:val="18"/>
                      <w:lang w:val="en-US" w:eastAsia="zh-CN"/>
                    </w:rPr>
                    <w:t>辅料、元器件</w:t>
                  </w:r>
                  <w:r>
                    <w:rPr>
                      <w:rFonts w:hint="eastAsia"/>
                      <w:color w:val="auto"/>
                      <w:sz w:val="18"/>
                      <w:szCs w:val="18"/>
                    </w:rPr>
                    <w:t>的贮存</w:t>
                  </w:r>
                  <w:r>
                    <w:rPr>
                      <w:color w:val="auto"/>
                      <w:sz w:val="18"/>
                      <w:szCs w:val="18"/>
                    </w:rPr>
                    <w:t>，</w:t>
                  </w:r>
                  <w:r>
                    <w:rPr>
                      <w:rFonts w:hint="eastAsia"/>
                      <w:color w:val="auto"/>
                      <w:sz w:val="18"/>
                      <w:szCs w:val="18"/>
                    </w:rPr>
                    <w:t>最大存放量100</w:t>
                  </w:r>
                  <w:r>
                    <w:rPr>
                      <w:rFonts w:hint="eastAsia"/>
                      <w:color w:val="auto"/>
                      <w:sz w:val="18"/>
                      <w:szCs w:val="18"/>
                      <w:lang w:val="en-US" w:eastAsia="zh-CN"/>
                    </w:rPr>
                    <w:t>0</w:t>
                  </w:r>
                  <w:r>
                    <w:rPr>
                      <w:rFonts w:hint="eastAsia"/>
                      <w:color w:val="auto"/>
                      <w:sz w:val="18"/>
                      <w:szCs w:val="18"/>
                    </w:rPr>
                    <w:t>t。</w:t>
                  </w:r>
                </w:p>
              </w:tc>
              <w:tc>
                <w:tcPr>
                  <w:tcW w:w="829" w:type="pct"/>
                  <w:noWrap w:val="0"/>
                  <w:vAlign w:val="center"/>
                </w:tcPr>
                <w:p>
                  <w:pPr>
                    <w:autoSpaceDE w:val="0"/>
                    <w:autoSpaceDN w:val="0"/>
                    <w:snapToGrid w:val="0"/>
                    <w:ind w:left="7" w:leftChars="1" w:right="11" w:hanging="5" w:hangingChars="3"/>
                    <w:jc w:val="center"/>
                    <w:rPr>
                      <w:rFonts w:hint="eastAsia"/>
                      <w:color w:val="auto"/>
                      <w:sz w:val="18"/>
                      <w:szCs w:val="18"/>
                    </w:rPr>
                  </w:pPr>
                  <w:r>
                    <w:rPr>
                      <w:rFonts w:hint="eastAsia" w:ascii="Times New Roman" w:hAnsi="Times New Roman" w:cs="Times New Roman"/>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continue"/>
                  <w:noWrap w:val="0"/>
                  <w:vAlign w:val="center"/>
                </w:tcPr>
                <w:p>
                  <w:pPr>
                    <w:tabs>
                      <w:tab w:val="left" w:pos="3255"/>
                    </w:tabs>
                    <w:snapToGrid w:val="0"/>
                    <w:ind w:left="-105" w:leftChars="-50" w:right="-105" w:rightChars="-50"/>
                    <w:jc w:val="center"/>
                    <w:rPr>
                      <w:rFonts w:hAnsi="宋体"/>
                      <w:color w:val="auto"/>
                      <w:szCs w:val="21"/>
                    </w:rPr>
                  </w:pPr>
                </w:p>
              </w:tc>
              <w:tc>
                <w:tcPr>
                  <w:tcW w:w="982" w:type="pct"/>
                  <w:gridSpan w:val="2"/>
                  <w:noWrap w:val="0"/>
                  <w:vAlign w:val="center"/>
                </w:tcPr>
                <w:p>
                  <w:pPr>
                    <w:autoSpaceDE w:val="0"/>
                    <w:autoSpaceDN w:val="0"/>
                    <w:snapToGrid w:val="0"/>
                    <w:ind w:left="7" w:leftChars="1" w:right="11" w:hanging="5" w:hangingChars="3"/>
                    <w:jc w:val="center"/>
                    <w:rPr>
                      <w:color w:val="auto"/>
                      <w:sz w:val="18"/>
                      <w:szCs w:val="18"/>
                    </w:rPr>
                  </w:pPr>
                  <w:r>
                    <w:rPr>
                      <w:color w:val="auto"/>
                      <w:sz w:val="18"/>
                      <w:szCs w:val="18"/>
                    </w:rPr>
                    <w:t>成品仓库</w:t>
                  </w:r>
                </w:p>
              </w:tc>
              <w:tc>
                <w:tcPr>
                  <w:tcW w:w="2506" w:type="pct"/>
                  <w:noWrap w:val="0"/>
                  <w:vAlign w:val="center"/>
                </w:tcPr>
                <w:p>
                  <w:pPr>
                    <w:autoSpaceDE w:val="0"/>
                    <w:autoSpaceDN w:val="0"/>
                    <w:adjustRightInd w:val="0"/>
                    <w:snapToGrid w:val="0"/>
                    <w:ind w:left="-105" w:leftChars="-50" w:right="-105" w:rightChars="-50"/>
                    <w:jc w:val="center"/>
                    <w:rPr>
                      <w:rFonts w:hint="eastAsia"/>
                      <w:color w:val="auto"/>
                      <w:sz w:val="18"/>
                      <w:szCs w:val="18"/>
                    </w:rPr>
                  </w:pPr>
                  <w:r>
                    <w:rPr>
                      <w:rFonts w:hint="eastAsia"/>
                      <w:color w:val="auto"/>
                      <w:sz w:val="18"/>
                      <w:szCs w:val="18"/>
                    </w:rPr>
                    <w:t>1F，位于</w:t>
                  </w:r>
                  <w:r>
                    <w:rPr>
                      <w:rFonts w:hint="eastAsia"/>
                      <w:color w:val="auto"/>
                      <w:sz w:val="18"/>
                      <w:szCs w:val="18"/>
                      <w:lang w:val="en-US" w:eastAsia="zh-CN"/>
                    </w:rPr>
                    <w:t>生产车间东侧</w:t>
                  </w:r>
                  <w:r>
                    <w:rPr>
                      <w:rFonts w:hint="eastAsia"/>
                      <w:color w:val="auto"/>
                      <w:sz w:val="18"/>
                      <w:szCs w:val="18"/>
                    </w:rPr>
                    <w:t>，占地面积</w:t>
                  </w:r>
                  <w:r>
                    <w:rPr>
                      <w:rFonts w:hint="eastAsia"/>
                      <w:color w:val="auto"/>
                      <w:sz w:val="18"/>
                      <w:szCs w:val="18"/>
                      <w:lang w:val="en-US" w:eastAsia="zh-CN"/>
                    </w:rPr>
                    <w:t>6</w:t>
                  </w:r>
                  <w:r>
                    <w:rPr>
                      <w:rFonts w:hint="eastAsia"/>
                      <w:color w:val="auto"/>
                      <w:sz w:val="18"/>
                      <w:szCs w:val="18"/>
                    </w:rPr>
                    <w:t>00</w:t>
                  </w:r>
                  <w:r>
                    <w:rPr>
                      <w:color w:val="auto"/>
                      <w:sz w:val="18"/>
                      <w:szCs w:val="18"/>
                    </w:rPr>
                    <w:t>m</w:t>
                  </w:r>
                  <w:r>
                    <w:rPr>
                      <w:color w:val="auto"/>
                      <w:sz w:val="18"/>
                      <w:szCs w:val="18"/>
                      <w:vertAlign w:val="superscript"/>
                    </w:rPr>
                    <w:t>2</w:t>
                  </w:r>
                  <w:r>
                    <w:rPr>
                      <w:color w:val="auto"/>
                      <w:sz w:val="18"/>
                      <w:szCs w:val="18"/>
                    </w:rPr>
                    <w:t>，用于</w:t>
                  </w:r>
                  <w:r>
                    <w:rPr>
                      <w:rFonts w:hint="eastAsia"/>
                      <w:color w:val="auto"/>
                      <w:sz w:val="18"/>
                      <w:szCs w:val="18"/>
                      <w:lang w:val="en-US" w:eastAsia="zh-CN"/>
                    </w:rPr>
                    <w:t>组装成品暂存，</w:t>
                  </w:r>
                  <w:r>
                    <w:rPr>
                      <w:rFonts w:hint="eastAsia"/>
                      <w:color w:val="auto"/>
                      <w:sz w:val="18"/>
                      <w:szCs w:val="18"/>
                    </w:rPr>
                    <w:t>最大存放量</w:t>
                  </w:r>
                  <w:r>
                    <w:rPr>
                      <w:rFonts w:hint="eastAsia"/>
                      <w:color w:val="auto"/>
                      <w:sz w:val="18"/>
                      <w:szCs w:val="18"/>
                      <w:lang w:val="en-US" w:eastAsia="zh-CN"/>
                    </w:rPr>
                    <w:t>50台</w:t>
                  </w:r>
                  <w:r>
                    <w:rPr>
                      <w:rFonts w:hint="eastAsia"/>
                      <w:color w:val="auto"/>
                      <w:sz w:val="18"/>
                      <w:szCs w:val="18"/>
                    </w:rPr>
                    <w:t>。</w:t>
                  </w:r>
                </w:p>
              </w:tc>
              <w:tc>
                <w:tcPr>
                  <w:tcW w:w="829" w:type="pct"/>
                  <w:noWrap w:val="0"/>
                  <w:vAlign w:val="center"/>
                </w:tcPr>
                <w:p>
                  <w:pPr>
                    <w:tabs>
                      <w:tab w:val="left" w:pos="3255"/>
                    </w:tabs>
                    <w:snapToGrid w:val="0"/>
                    <w:ind w:left="-105" w:leftChars="-50" w:right="-105" w:rightChars="-50"/>
                    <w:jc w:val="center"/>
                    <w:rPr>
                      <w:rFonts w:hint="default" w:eastAsia="宋体"/>
                      <w:color w:val="auto"/>
                      <w:kern w:val="0"/>
                      <w:szCs w:val="21"/>
                      <w:lang w:val="en-US" w:eastAsia="zh-CN"/>
                    </w:rPr>
                  </w:pPr>
                  <w:r>
                    <w:rPr>
                      <w:rFonts w:hint="eastAsia"/>
                      <w:color w:val="auto"/>
                      <w:sz w:val="18"/>
                      <w:szCs w:val="18"/>
                      <w:lang w:val="en-US" w:eastAsia="zh-CN"/>
                    </w:rPr>
                    <w:t>产品属于定制件，暂存后外运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82" w:type="pct"/>
                  <w:vMerge w:val="continue"/>
                  <w:noWrap w:val="0"/>
                  <w:vAlign w:val="center"/>
                </w:tcPr>
                <w:p>
                  <w:pPr>
                    <w:tabs>
                      <w:tab w:val="left" w:pos="3255"/>
                    </w:tabs>
                    <w:snapToGrid w:val="0"/>
                    <w:ind w:left="-105" w:leftChars="-50" w:right="-105" w:rightChars="-50"/>
                    <w:jc w:val="center"/>
                    <w:rPr>
                      <w:rFonts w:hAnsi="宋体"/>
                      <w:color w:val="auto"/>
                      <w:szCs w:val="21"/>
                    </w:rPr>
                  </w:pPr>
                </w:p>
              </w:tc>
              <w:tc>
                <w:tcPr>
                  <w:tcW w:w="982" w:type="pct"/>
                  <w:gridSpan w:val="2"/>
                  <w:noWrap w:val="0"/>
                  <w:vAlign w:val="center"/>
                </w:tcPr>
                <w:p>
                  <w:pPr>
                    <w:autoSpaceDE w:val="0"/>
                    <w:autoSpaceDN w:val="0"/>
                    <w:snapToGrid w:val="0"/>
                    <w:ind w:left="7" w:leftChars="1" w:right="11" w:hanging="5" w:hangingChars="3"/>
                    <w:jc w:val="center"/>
                    <w:rPr>
                      <w:color w:val="auto"/>
                      <w:sz w:val="18"/>
                      <w:szCs w:val="18"/>
                    </w:rPr>
                  </w:pPr>
                  <w:r>
                    <w:rPr>
                      <w:rFonts w:hint="eastAsia"/>
                      <w:color w:val="auto"/>
                      <w:sz w:val="18"/>
                      <w:szCs w:val="18"/>
                    </w:rPr>
                    <w:t>运输</w:t>
                  </w:r>
                </w:p>
              </w:tc>
              <w:tc>
                <w:tcPr>
                  <w:tcW w:w="2506" w:type="pct"/>
                  <w:noWrap w:val="0"/>
                  <w:vAlign w:val="center"/>
                </w:tcPr>
                <w:p>
                  <w:pPr>
                    <w:autoSpaceDE w:val="0"/>
                    <w:autoSpaceDN w:val="0"/>
                    <w:adjustRightInd w:val="0"/>
                    <w:snapToGrid w:val="0"/>
                    <w:ind w:left="-105" w:leftChars="-50" w:right="-105" w:rightChars="-50"/>
                    <w:jc w:val="center"/>
                    <w:rPr>
                      <w:rFonts w:hint="default" w:eastAsia="宋体"/>
                      <w:color w:val="auto"/>
                      <w:sz w:val="18"/>
                      <w:szCs w:val="18"/>
                      <w:lang w:val="en-US" w:eastAsia="zh-CN"/>
                    </w:rPr>
                  </w:pPr>
                  <w:r>
                    <w:rPr>
                      <w:rFonts w:hint="eastAsia"/>
                      <w:color w:val="auto"/>
                      <w:sz w:val="18"/>
                      <w:szCs w:val="18"/>
                    </w:rPr>
                    <w:t>原辅料</w:t>
                  </w:r>
                  <w:r>
                    <w:rPr>
                      <w:rFonts w:hint="eastAsia"/>
                      <w:color w:val="auto"/>
                      <w:sz w:val="18"/>
                      <w:szCs w:val="18"/>
                      <w:lang w:val="en-US" w:eastAsia="zh-CN"/>
                    </w:rPr>
                    <w:t>车间运输采用叉车</w:t>
                  </w:r>
                  <w:r>
                    <w:rPr>
                      <w:rFonts w:hint="eastAsia"/>
                      <w:color w:val="auto"/>
                      <w:sz w:val="18"/>
                      <w:szCs w:val="18"/>
                    </w:rPr>
                    <w:t>、成品采用汽车运输</w:t>
                  </w:r>
                </w:p>
              </w:tc>
              <w:tc>
                <w:tcPr>
                  <w:tcW w:w="829" w:type="pct"/>
                  <w:noWrap w:val="0"/>
                  <w:vAlign w:val="center"/>
                </w:tcPr>
                <w:p>
                  <w:pPr>
                    <w:tabs>
                      <w:tab w:val="left" w:pos="3255"/>
                    </w:tabs>
                    <w:snapToGrid w:val="0"/>
                    <w:ind w:left="-105" w:leftChars="-50" w:right="-105" w:rightChars="-50"/>
                    <w:jc w:val="center"/>
                    <w:rPr>
                      <w:rFonts w:hint="eastAsia" w:eastAsia="宋体"/>
                      <w:color w:val="auto"/>
                      <w:sz w:val="18"/>
                      <w:szCs w:val="18"/>
                      <w:lang w:val="en-US" w:eastAsia="zh-CN"/>
                    </w:rPr>
                  </w:pPr>
                  <w:r>
                    <w:rPr>
                      <w:rFonts w:hint="eastAsia"/>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restart"/>
                  <w:noWrap w:val="0"/>
                  <w:vAlign w:val="center"/>
                </w:tcPr>
                <w:p>
                  <w:pPr>
                    <w:tabs>
                      <w:tab w:val="left" w:pos="3255"/>
                    </w:tabs>
                    <w:snapToGrid w:val="0"/>
                    <w:ind w:left="-105" w:leftChars="-50" w:right="-105" w:rightChars="-50"/>
                    <w:jc w:val="center"/>
                    <w:rPr>
                      <w:rFonts w:hAnsi="宋体"/>
                      <w:color w:val="auto"/>
                      <w:sz w:val="18"/>
                      <w:szCs w:val="18"/>
                    </w:rPr>
                  </w:pPr>
                  <w:r>
                    <w:rPr>
                      <w:rFonts w:hAnsi="宋体"/>
                      <w:color w:val="auto"/>
                      <w:sz w:val="18"/>
                      <w:szCs w:val="18"/>
                    </w:rPr>
                    <w:t>公用工程</w:t>
                  </w:r>
                </w:p>
              </w:tc>
              <w:tc>
                <w:tcPr>
                  <w:tcW w:w="982" w:type="pct"/>
                  <w:gridSpan w:val="2"/>
                  <w:noWrap w:val="0"/>
                  <w:vAlign w:val="center"/>
                </w:tcPr>
                <w:p>
                  <w:pPr>
                    <w:autoSpaceDE w:val="0"/>
                    <w:autoSpaceDN w:val="0"/>
                    <w:snapToGrid w:val="0"/>
                    <w:ind w:left="7" w:leftChars="1" w:right="11" w:hanging="5" w:hangingChars="3"/>
                    <w:jc w:val="center"/>
                    <w:rPr>
                      <w:color w:val="auto"/>
                      <w:sz w:val="18"/>
                      <w:szCs w:val="18"/>
                    </w:rPr>
                  </w:pPr>
                  <w:r>
                    <w:rPr>
                      <w:color w:val="auto"/>
                      <w:sz w:val="18"/>
                      <w:szCs w:val="18"/>
                    </w:rPr>
                    <w:t>供水</w:t>
                  </w:r>
                </w:p>
              </w:tc>
              <w:tc>
                <w:tcPr>
                  <w:tcW w:w="2506" w:type="pct"/>
                  <w:noWrap w:val="0"/>
                  <w:vAlign w:val="center"/>
                </w:tcPr>
                <w:p>
                  <w:pPr>
                    <w:autoSpaceDE w:val="0"/>
                    <w:autoSpaceDN w:val="0"/>
                    <w:adjustRightInd w:val="0"/>
                    <w:snapToGrid w:val="0"/>
                    <w:ind w:left="-105" w:leftChars="-50" w:right="-105" w:rightChars="-50"/>
                    <w:jc w:val="center"/>
                    <w:rPr>
                      <w:color w:val="auto"/>
                      <w:sz w:val="18"/>
                      <w:szCs w:val="18"/>
                    </w:rPr>
                  </w:pPr>
                  <w:r>
                    <w:rPr>
                      <w:rStyle w:val="168"/>
                      <w:color w:val="auto"/>
                      <w:kern w:val="0"/>
                      <w:sz w:val="18"/>
                      <w:szCs w:val="18"/>
                    </w:rPr>
                    <w:t>由</w:t>
                  </w:r>
                  <w:r>
                    <w:rPr>
                      <w:rStyle w:val="168"/>
                      <w:rFonts w:hint="eastAsia"/>
                      <w:color w:val="auto"/>
                      <w:kern w:val="0"/>
                      <w:sz w:val="18"/>
                      <w:szCs w:val="18"/>
                      <w:lang w:val="en-US" w:eastAsia="zh-CN"/>
                    </w:rPr>
                    <w:t>淮南安成开发区</w:t>
                  </w:r>
                  <w:r>
                    <w:rPr>
                      <w:rStyle w:val="168"/>
                      <w:color w:val="auto"/>
                      <w:kern w:val="0"/>
                      <w:sz w:val="18"/>
                      <w:szCs w:val="18"/>
                    </w:rPr>
                    <w:t>市政自来水管网提供，供水量约</w:t>
                  </w:r>
                  <w:r>
                    <w:rPr>
                      <w:rStyle w:val="168"/>
                      <w:rFonts w:hint="eastAsia"/>
                      <w:color w:val="auto"/>
                      <w:kern w:val="0"/>
                      <w:sz w:val="18"/>
                      <w:szCs w:val="18"/>
                      <w:lang w:val="en-US" w:eastAsia="zh-CN"/>
                    </w:rPr>
                    <w:t>1053</w:t>
                  </w:r>
                  <w:r>
                    <w:rPr>
                      <w:rStyle w:val="168"/>
                      <w:rFonts w:hint="eastAsia"/>
                      <w:color w:val="auto"/>
                      <w:kern w:val="0"/>
                      <w:sz w:val="18"/>
                      <w:szCs w:val="18"/>
                    </w:rPr>
                    <w:t>0</w:t>
                  </w:r>
                  <w:r>
                    <w:rPr>
                      <w:rStyle w:val="168"/>
                      <w:color w:val="auto"/>
                      <w:kern w:val="0"/>
                      <w:sz w:val="18"/>
                      <w:szCs w:val="18"/>
                    </w:rPr>
                    <w:t>t/a</w:t>
                  </w:r>
                </w:p>
              </w:tc>
              <w:tc>
                <w:tcPr>
                  <w:tcW w:w="829" w:type="pct"/>
                  <w:noWrap w:val="0"/>
                  <w:vAlign w:val="center"/>
                </w:tcPr>
                <w:p>
                  <w:pPr>
                    <w:tabs>
                      <w:tab w:val="left" w:pos="3255"/>
                    </w:tabs>
                    <w:snapToGrid w:val="0"/>
                    <w:ind w:left="-105" w:leftChars="-50" w:right="-105" w:rightChars="-50"/>
                    <w:jc w:val="center"/>
                    <w:rPr>
                      <w:rFonts w:hint="eastAsia" w:hAnsi="宋体"/>
                      <w:color w:val="auto"/>
                      <w:szCs w:val="21"/>
                    </w:rPr>
                  </w:pPr>
                  <w:r>
                    <w:rPr>
                      <w:rFonts w:hint="eastAsia"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continue"/>
                  <w:noWrap w:val="0"/>
                  <w:vAlign w:val="center"/>
                </w:tcPr>
                <w:p>
                  <w:pPr>
                    <w:tabs>
                      <w:tab w:val="left" w:pos="3255"/>
                    </w:tabs>
                    <w:snapToGrid w:val="0"/>
                    <w:ind w:left="-105" w:leftChars="-50" w:right="-105" w:rightChars="-50"/>
                    <w:jc w:val="center"/>
                    <w:rPr>
                      <w:rFonts w:hAnsi="宋体"/>
                      <w:color w:val="auto"/>
                      <w:szCs w:val="21"/>
                    </w:rPr>
                  </w:pPr>
                </w:p>
              </w:tc>
              <w:tc>
                <w:tcPr>
                  <w:tcW w:w="982" w:type="pct"/>
                  <w:gridSpan w:val="2"/>
                  <w:noWrap w:val="0"/>
                  <w:vAlign w:val="center"/>
                </w:tcPr>
                <w:p>
                  <w:pPr>
                    <w:autoSpaceDE w:val="0"/>
                    <w:autoSpaceDN w:val="0"/>
                    <w:snapToGrid w:val="0"/>
                    <w:ind w:left="7" w:leftChars="1" w:right="11" w:hanging="5" w:hangingChars="3"/>
                    <w:jc w:val="center"/>
                    <w:rPr>
                      <w:color w:val="auto"/>
                      <w:kern w:val="0"/>
                      <w:szCs w:val="21"/>
                    </w:rPr>
                  </w:pPr>
                  <w:r>
                    <w:rPr>
                      <w:color w:val="auto"/>
                      <w:sz w:val="18"/>
                      <w:szCs w:val="18"/>
                    </w:rPr>
                    <w:t>排水</w:t>
                  </w:r>
                </w:p>
              </w:tc>
              <w:tc>
                <w:tcPr>
                  <w:tcW w:w="2506" w:type="pct"/>
                  <w:noWrap w:val="0"/>
                  <w:vAlign w:val="center"/>
                </w:tcPr>
                <w:p>
                  <w:pPr>
                    <w:autoSpaceDE w:val="0"/>
                    <w:autoSpaceDN w:val="0"/>
                    <w:adjustRightInd w:val="0"/>
                    <w:snapToGrid w:val="0"/>
                    <w:ind w:left="-105" w:leftChars="-50" w:right="-105" w:rightChars="-50"/>
                    <w:jc w:val="center"/>
                    <w:rPr>
                      <w:color w:val="auto"/>
                      <w:szCs w:val="21"/>
                    </w:rPr>
                  </w:pPr>
                  <w:r>
                    <w:rPr>
                      <w:color w:val="auto"/>
                      <w:sz w:val="18"/>
                      <w:szCs w:val="18"/>
                    </w:rPr>
                    <w:t>采用雨污分流的排水体制</w:t>
                  </w:r>
                  <w:r>
                    <w:rPr>
                      <w:rFonts w:hint="eastAsia"/>
                      <w:color w:val="auto"/>
                      <w:sz w:val="18"/>
                      <w:szCs w:val="18"/>
                    </w:rPr>
                    <w:t>；</w:t>
                  </w:r>
                  <w:r>
                    <w:rPr>
                      <w:rStyle w:val="168"/>
                      <w:rFonts w:hint="eastAsia"/>
                      <w:color w:val="auto"/>
                      <w:kern w:val="0"/>
                      <w:sz w:val="18"/>
                      <w:szCs w:val="18"/>
                      <w:lang w:val="en-GB"/>
                    </w:rPr>
                    <w:t>项目排放生活污水，经化粪池收集预处理后接管</w:t>
                  </w:r>
                  <w:r>
                    <w:rPr>
                      <w:rStyle w:val="168"/>
                      <w:rFonts w:hint="eastAsia" w:ascii="Times New Roman" w:hAnsi="Times New Roman" w:cs="Times New Roman"/>
                      <w:color w:val="auto"/>
                      <w:kern w:val="0"/>
                      <w:sz w:val="18"/>
                      <w:szCs w:val="18"/>
                      <w:lang w:val="en-US" w:eastAsia="zh-CN"/>
                    </w:rPr>
                    <w:t>安成经济开发区污水处理厂；</w:t>
                  </w:r>
                  <w:r>
                    <w:rPr>
                      <w:rStyle w:val="168"/>
                      <w:rFonts w:hint="eastAsia"/>
                      <w:color w:val="auto"/>
                      <w:kern w:val="0"/>
                      <w:sz w:val="18"/>
                      <w:szCs w:val="18"/>
                      <w:lang w:val="en-US" w:eastAsia="zh-CN"/>
                    </w:rPr>
                    <w:t>纯水制备浓水、调试废水直接接管污水管网，接管</w:t>
                  </w:r>
                  <w:r>
                    <w:rPr>
                      <w:rStyle w:val="168"/>
                      <w:rFonts w:hint="eastAsia" w:ascii="Times New Roman" w:hAnsi="Times New Roman" w:cs="Times New Roman"/>
                      <w:color w:val="auto"/>
                      <w:kern w:val="0"/>
                      <w:sz w:val="18"/>
                      <w:szCs w:val="18"/>
                      <w:lang w:val="en-US" w:eastAsia="zh-CN"/>
                    </w:rPr>
                    <w:t>安成经济开发区污水处理厂；纯水进行调试后循环使用排放接管安成经济开发区污水处理厂</w:t>
                  </w:r>
                  <w:r>
                    <w:rPr>
                      <w:rFonts w:hint="eastAsia"/>
                      <w:color w:val="auto"/>
                      <w:sz w:val="18"/>
                      <w:szCs w:val="18"/>
                    </w:rPr>
                    <w:t>。</w:t>
                  </w:r>
                </w:p>
              </w:tc>
              <w:tc>
                <w:tcPr>
                  <w:tcW w:w="829" w:type="pct"/>
                  <w:noWrap w:val="0"/>
                  <w:vAlign w:val="center"/>
                </w:tcPr>
                <w:p>
                  <w:pPr>
                    <w:autoSpaceDE w:val="0"/>
                    <w:autoSpaceDN w:val="0"/>
                    <w:adjustRightInd w:val="0"/>
                    <w:snapToGrid w:val="0"/>
                    <w:ind w:left="-105" w:leftChars="-50" w:right="-105" w:rightChars="-50"/>
                    <w:jc w:val="center"/>
                    <w:rPr>
                      <w:color w:val="auto"/>
                      <w:kern w:val="0"/>
                      <w:szCs w:val="21"/>
                    </w:rPr>
                  </w:pPr>
                  <w:r>
                    <w:rPr>
                      <w:rFonts w:hint="eastAsia"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continue"/>
                  <w:noWrap w:val="0"/>
                  <w:vAlign w:val="center"/>
                </w:tcPr>
                <w:p>
                  <w:pPr>
                    <w:tabs>
                      <w:tab w:val="left" w:pos="3255"/>
                    </w:tabs>
                    <w:snapToGrid w:val="0"/>
                    <w:ind w:left="-105" w:leftChars="-50" w:right="-105" w:rightChars="-50"/>
                    <w:jc w:val="center"/>
                    <w:rPr>
                      <w:rFonts w:hAnsi="宋体"/>
                      <w:color w:val="auto"/>
                      <w:szCs w:val="21"/>
                    </w:rPr>
                  </w:pPr>
                </w:p>
              </w:tc>
              <w:tc>
                <w:tcPr>
                  <w:tcW w:w="982" w:type="pct"/>
                  <w:gridSpan w:val="2"/>
                  <w:noWrap w:val="0"/>
                  <w:vAlign w:val="center"/>
                </w:tcPr>
                <w:p>
                  <w:pPr>
                    <w:autoSpaceDE w:val="0"/>
                    <w:autoSpaceDN w:val="0"/>
                    <w:snapToGrid w:val="0"/>
                    <w:ind w:left="7" w:leftChars="1" w:right="11" w:hanging="5" w:hangingChars="3"/>
                    <w:jc w:val="center"/>
                    <w:rPr>
                      <w:color w:val="auto"/>
                      <w:kern w:val="0"/>
                      <w:szCs w:val="21"/>
                    </w:rPr>
                  </w:pPr>
                  <w:r>
                    <w:rPr>
                      <w:rFonts w:hint="eastAsia"/>
                      <w:color w:val="auto"/>
                      <w:sz w:val="18"/>
                      <w:szCs w:val="18"/>
                    </w:rPr>
                    <w:t>供电</w:t>
                  </w:r>
                </w:p>
              </w:tc>
              <w:tc>
                <w:tcPr>
                  <w:tcW w:w="2506" w:type="pct"/>
                  <w:noWrap w:val="0"/>
                  <w:vAlign w:val="center"/>
                </w:tcPr>
                <w:p>
                  <w:pPr>
                    <w:jc w:val="center"/>
                    <w:rPr>
                      <w:rFonts w:hint="eastAsia"/>
                      <w:color w:val="auto"/>
                    </w:rPr>
                  </w:pPr>
                  <w:r>
                    <w:rPr>
                      <w:rFonts w:hint="eastAsia"/>
                      <w:color w:val="auto"/>
                      <w:sz w:val="18"/>
                      <w:szCs w:val="18"/>
                    </w:rPr>
                    <w:t>由市政供电管网提供，年用电量约</w:t>
                  </w:r>
                  <w:r>
                    <w:rPr>
                      <w:rFonts w:hint="eastAsia"/>
                      <w:color w:val="auto"/>
                      <w:sz w:val="18"/>
                      <w:szCs w:val="18"/>
                      <w:lang w:val="en-US" w:eastAsia="zh-CN"/>
                    </w:rPr>
                    <w:t>50</w:t>
                  </w:r>
                  <w:r>
                    <w:rPr>
                      <w:color w:val="auto"/>
                      <w:sz w:val="18"/>
                      <w:szCs w:val="18"/>
                    </w:rPr>
                    <w:t>万k·Wh</w:t>
                  </w:r>
                  <w:r>
                    <w:rPr>
                      <w:rFonts w:hint="eastAsia"/>
                      <w:color w:val="auto"/>
                      <w:sz w:val="18"/>
                      <w:szCs w:val="18"/>
                    </w:rPr>
                    <w:t>。</w:t>
                  </w:r>
                </w:p>
              </w:tc>
              <w:tc>
                <w:tcPr>
                  <w:tcW w:w="829" w:type="pct"/>
                  <w:noWrap w:val="0"/>
                  <w:vAlign w:val="center"/>
                </w:tcPr>
                <w:p>
                  <w:pPr>
                    <w:tabs>
                      <w:tab w:val="left" w:pos="3255"/>
                    </w:tabs>
                    <w:snapToGrid w:val="0"/>
                    <w:ind w:left="-105" w:leftChars="-50" w:right="-105" w:rightChars="-50"/>
                    <w:jc w:val="center"/>
                    <w:rPr>
                      <w:color w:val="auto"/>
                      <w:kern w:val="0"/>
                      <w:szCs w:val="21"/>
                    </w:rPr>
                  </w:pPr>
                  <w:r>
                    <w:rPr>
                      <w:rFonts w:hint="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restart"/>
                  <w:noWrap w:val="0"/>
                  <w:vAlign w:val="center"/>
                </w:tcPr>
                <w:p>
                  <w:pPr>
                    <w:tabs>
                      <w:tab w:val="left" w:pos="3255"/>
                    </w:tabs>
                    <w:snapToGrid w:val="0"/>
                    <w:ind w:left="-105" w:leftChars="-50" w:right="-105" w:rightChars="-50"/>
                    <w:jc w:val="center"/>
                    <w:rPr>
                      <w:rFonts w:hAnsi="宋体"/>
                      <w:color w:val="auto"/>
                      <w:sz w:val="18"/>
                      <w:szCs w:val="18"/>
                    </w:rPr>
                  </w:pPr>
                  <w:r>
                    <w:rPr>
                      <w:rFonts w:hAnsi="宋体"/>
                      <w:color w:val="auto"/>
                      <w:sz w:val="18"/>
                      <w:szCs w:val="18"/>
                    </w:rPr>
                    <w:t>环保工程</w:t>
                  </w:r>
                </w:p>
              </w:tc>
              <w:tc>
                <w:tcPr>
                  <w:tcW w:w="376" w:type="pct"/>
                  <w:vMerge w:val="restart"/>
                  <w:noWrap w:val="0"/>
                  <w:vAlign w:val="center"/>
                </w:tcPr>
                <w:p>
                  <w:pPr>
                    <w:tabs>
                      <w:tab w:val="left" w:pos="3255"/>
                    </w:tabs>
                    <w:snapToGrid w:val="0"/>
                    <w:jc w:val="center"/>
                    <w:rPr>
                      <w:color w:val="auto"/>
                      <w:sz w:val="18"/>
                      <w:szCs w:val="18"/>
                    </w:rPr>
                  </w:pPr>
                  <w:r>
                    <w:rPr>
                      <w:rFonts w:hAnsi="宋体"/>
                      <w:color w:val="auto"/>
                      <w:sz w:val="18"/>
                      <w:szCs w:val="18"/>
                    </w:rPr>
                    <w:t>废气</w:t>
                  </w:r>
                </w:p>
              </w:tc>
              <w:tc>
                <w:tcPr>
                  <w:tcW w:w="605" w:type="pct"/>
                  <w:noWrap w:val="0"/>
                  <w:vAlign w:val="center"/>
                </w:tcPr>
                <w:p>
                  <w:pPr>
                    <w:autoSpaceDE w:val="0"/>
                    <w:autoSpaceDN w:val="0"/>
                    <w:snapToGrid w:val="0"/>
                    <w:ind w:left="-105" w:leftChars="-50" w:right="-105" w:rightChars="-50"/>
                    <w:jc w:val="center"/>
                    <w:rPr>
                      <w:rFonts w:hAnsi="宋体"/>
                      <w:color w:val="auto"/>
                      <w:sz w:val="18"/>
                      <w:szCs w:val="18"/>
                    </w:rPr>
                  </w:pPr>
                  <w:r>
                    <w:rPr>
                      <w:rFonts w:hAnsi="宋体"/>
                      <w:color w:val="auto"/>
                      <w:sz w:val="18"/>
                      <w:szCs w:val="18"/>
                    </w:rPr>
                    <w:t>有机废气</w:t>
                  </w:r>
                </w:p>
              </w:tc>
              <w:tc>
                <w:tcPr>
                  <w:tcW w:w="2506" w:type="pct"/>
                  <w:noWrap w:val="0"/>
                  <w:vAlign w:val="center"/>
                </w:tcPr>
                <w:p>
                  <w:pPr>
                    <w:autoSpaceDE w:val="0"/>
                    <w:autoSpaceDN w:val="0"/>
                    <w:snapToGrid w:val="0"/>
                    <w:ind w:left="7" w:leftChars="1" w:right="11" w:hanging="5" w:hangingChars="3"/>
                    <w:jc w:val="center"/>
                    <w:rPr>
                      <w:rFonts w:hint="default" w:hAnsi="宋体" w:eastAsia="宋体"/>
                      <w:color w:val="auto"/>
                      <w:szCs w:val="21"/>
                      <w:lang w:val="en-US" w:eastAsia="zh-CN"/>
                    </w:rPr>
                  </w:pPr>
                  <w:r>
                    <w:rPr>
                      <w:rFonts w:hint="eastAsia" w:ascii="Times New Roman" w:hAnsi="Times New Roman" w:cs="Times New Roman"/>
                      <w:color w:val="auto"/>
                      <w:sz w:val="18"/>
                      <w:szCs w:val="18"/>
                      <w:lang w:val="en-US" w:eastAsia="zh-CN"/>
                    </w:rPr>
                    <w:t>PP胶条热熔焊接产生有机废气无组织排放</w:t>
                  </w:r>
                </w:p>
              </w:tc>
              <w:tc>
                <w:tcPr>
                  <w:tcW w:w="829" w:type="pct"/>
                  <w:noWrap w:val="0"/>
                  <w:vAlign w:val="center"/>
                </w:tcPr>
                <w:p>
                  <w:pPr>
                    <w:tabs>
                      <w:tab w:val="left" w:pos="3255"/>
                    </w:tabs>
                    <w:snapToGrid w:val="0"/>
                    <w:ind w:left="-105" w:leftChars="-50" w:right="-105" w:rightChars="-50"/>
                    <w:jc w:val="center"/>
                    <w:rPr>
                      <w:rFonts w:hint="eastAsia" w:hAnsi="宋体"/>
                      <w:color w:val="auto"/>
                      <w:sz w:val="18"/>
                      <w:szCs w:val="18"/>
                    </w:rPr>
                  </w:pPr>
                  <w:r>
                    <w:rPr>
                      <w:rFonts w:hint="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82" w:type="pct"/>
                  <w:vMerge w:val="continue"/>
                  <w:noWrap w:val="0"/>
                  <w:vAlign w:val="center"/>
                </w:tcPr>
                <w:p>
                  <w:pPr>
                    <w:tabs>
                      <w:tab w:val="left" w:pos="3255"/>
                    </w:tabs>
                    <w:snapToGrid w:val="0"/>
                    <w:jc w:val="center"/>
                    <w:rPr>
                      <w:rFonts w:hAnsi="宋体"/>
                      <w:color w:val="auto"/>
                      <w:szCs w:val="21"/>
                    </w:rPr>
                  </w:pPr>
                </w:p>
              </w:tc>
              <w:tc>
                <w:tcPr>
                  <w:tcW w:w="376" w:type="pct"/>
                  <w:vMerge w:val="continue"/>
                  <w:noWrap w:val="0"/>
                  <w:vAlign w:val="center"/>
                </w:tcPr>
                <w:p>
                  <w:pPr>
                    <w:tabs>
                      <w:tab w:val="left" w:pos="3255"/>
                    </w:tabs>
                    <w:snapToGrid w:val="0"/>
                    <w:jc w:val="center"/>
                    <w:rPr>
                      <w:color w:val="auto"/>
                      <w:sz w:val="18"/>
                      <w:szCs w:val="18"/>
                    </w:rPr>
                  </w:pPr>
                </w:p>
              </w:tc>
              <w:tc>
                <w:tcPr>
                  <w:tcW w:w="605" w:type="pct"/>
                  <w:noWrap w:val="0"/>
                  <w:vAlign w:val="center"/>
                </w:tcPr>
                <w:p>
                  <w:pPr>
                    <w:autoSpaceDE w:val="0"/>
                    <w:autoSpaceDN w:val="0"/>
                    <w:snapToGrid w:val="0"/>
                    <w:ind w:left="-105" w:leftChars="-50" w:right="-105" w:rightChars="-50"/>
                    <w:jc w:val="center"/>
                    <w:rPr>
                      <w:rFonts w:hint="eastAsia" w:hAnsi="宋体"/>
                      <w:color w:val="auto"/>
                      <w:sz w:val="18"/>
                      <w:szCs w:val="18"/>
                    </w:rPr>
                  </w:pPr>
                  <w:r>
                    <w:rPr>
                      <w:rFonts w:hint="eastAsia"/>
                      <w:color w:val="auto"/>
                      <w:sz w:val="18"/>
                      <w:szCs w:val="18"/>
                    </w:rPr>
                    <w:t>颗粒物</w:t>
                  </w:r>
                </w:p>
              </w:tc>
              <w:tc>
                <w:tcPr>
                  <w:tcW w:w="2506" w:type="pct"/>
                  <w:noWrap w:val="0"/>
                  <w:vAlign w:val="center"/>
                </w:tcPr>
                <w:p>
                  <w:pPr>
                    <w:autoSpaceDE w:val="0"/>
                    <w:autoSpaceDN w:val="0"/>
                    <w:snapToGrid w:val="0"/>
                    <w:ind w:left="7" w:leftChars="1" w:right="11" w:hanging="5" w:hangingChars="3"/>
                    <w:jc w:val="center"/>
                    <w:rPr>
                      <w:rFonts w:hint="eastAsia"/>
                      <w:color w:val="auto"/>
                      <w:kern w:val="0"/>
                      <w:sz w:val="18"/>
                      <w:szCs w:val="18"/>
                    </w:rPr>
                  </w:pPr>
                  <w:r>
                    <w:rPr>
                      <w:rFonts w:hint="eastAsia"/>
                      <w:color w:val="auto"/>
                      <w:sz w:val="18"/>
                      <w:szCs w:val="18"/>
                      <w:lang w:val="en-US" w:eastAsia="zh-CN"/>
                    </w:rPr>
                    <w:t>塑料板材雕刻、切割过程产生粉尘，粉尘与车间工位处无组织排放，定期干法除尘</w:t>
                  </w:r>
                  <w:r>
                    <w:rPr>
                      <w:rFonts w:hint="eastAsia"/>
                      <w:color w:val="auto"/>
                      <w:sz w:val="18"/>
                      <w:szCs w:val="18"/>
                    </w:rPr>
                    <w:t>。</w:t>
                  </w:r>
                </w:p>
              </w:tc>
              <w:tc>
                <w:tcPr>
                  <w:tcW w:w="829" w:type="pct"/>
                  <w:noWrap w:val="0"/>
                  <w:vAlign w:val="center"/>
                </w:tcPr>
                <w:p>
                  <w:pPr>
                    <w:tabs>
                      <w:tab w:val="left" w:pos="3255"/>
                    </w:tabs>
                    <w:snapToGrid w:val="0"/>
                    <w:ind w:left="-105" w:leftChars="-50" w:right="-105" w:rightChars="-50"/>
                    <w:jc w:val="center"/>
                    <w:rPr>
                      <w:rFonts w:hint="eastAsia" w:hAnsi="宋体"/>
                      <w:color w:val="auto"/>
                      <w:sz w:val="18"/>
                      <w:szCs w:val="18"/>
                    </w:rPr>
                  </w:pPr>
                  <w:r>
                    <w:rPr>
                      <w:rFonts w:hint="eastAsia"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continue"/>
                  <w:noWrap w:val="0"/>
                  <w:vAlign w:val="center"/>
                </w:tcPr>
                <w:p>
                  <w:pPr>
                    <w:tabs>
                      <w:tab w:val="left" w:pos="3255"/>
                    </w:tabs>
                    <w:snapToGrid w:val="0"/>
                    <w:jc w:val="center"/>
                    <w:rPr>
                      <w:rFonts w:hAnsi="宋体"/>
                      <w:color w:val="auto"/>
                      <w:szCs w:val="21"/>
                    </w:rPr>
                  </w:pPr>
                </w:p>
              </w:tc>
              <w:tc>
                <w:tcPr>
                  <w:tcW w:w="982" w:type="pct"/>
                  <w:gridSpan w:val="2"/>
                  <w:noWrap w:val="0"/>
                  <w:vAlign w:val="center"/>
                </w:tcPr>
                <w:p>
                  <w:pPr>
                    <w:snapToGrid w:val="0"/>
                    <w:ind w:left="-105" w:leftChars="-50" w:right="-105" w:rightChars="-50"/>
                    <w:jc w:val="center"/>
                    <w:rPr>
                      <w:color w:val="auto"/>
                      <w:sz w:val="18"/>
                      <w:szCs w:val="18"/>
                    </w:rPr>
                  </w:pPr>
                  <w:r>
                    <w:rPr>
                      <w:color w:val="auto"/>
                      <w:sz w:val="18"/>
                      <w:szCs w:val="18"/>
                    </w:rPr>
                    <w:t>废水</w:t>
                  </w:r>
                </w:p>
              </w:tc>
              <w:tc>
                <w:tcPr>
                  <w:tcW w:w="2506" w:type="pct"/>
                  <w:noWrap w:val="0"/>
                  <w:vAlign w:val="center"/>
                </w:tcPr>
                <w:p>
                  <w:pPr>
                    <w:autoSpaceDE w:val="0"/>
                    <w:autoSpaceDN w:val="0"/>
                    <w:snapToGrid w:val="0"/>
                    <w:ind w:left="7" w:leftChars="1" w:right="11" w:hanging="5" w:hangingChars="3"/>
                    <w:jc w:val="center"/>
                    <w:rPr>
                      <w:color w:val="auto"/>
                      <w:szCs w:val="21"/>
                    </w:rPr>
                  </w:pPr>
                  <w:r>
                    <w:rPr>
                      <w:rStyle w:val="168"/>
                      <w:color w:val="auto"/>
                      <w:kern w:val="0"/>
                      <w:sz w:val="18"/>
                      <w:szCs w:val="18"/>
                      <w:lang w:val="en-GB"/>
                    </w:rPr>
                    <w:t>本项目采用雨污分流，雨水进入雨水管网，污水主要为生活污水</w:t>
                  </w:r>
                  <w:r>
                    <w:rPr>
                      <w:rStyle w:val="168"/>
                      <w:rFonts w:hint="eastAsia"/>
                      <w:color w:val="auto"/>
                      <w:kern w:val="0"/>
                      <w:sz w:val="18"/>
                      <w:szCs w:val="18"/>
                      <w:lang w:val="en-GB" w:eastAsia="zh-CN"/>
                    </w:rPr>
                    <w:t>、</w:t>
                  </w:r>
                  <w:r>
                    <w:rPr>
                      <w:rStyle w:val="168"/>
                      <w:rFonts w:hint="eastAsia"/>
                      <w:color w:val="auto"/>
                      <w:kern w:val="0"/>
                      <w:sz w:val="18"/>
                      <w:szCs w:val="18"/>
                      <w:lang w:val="en-US" w:eastAsia="zh-CN"/>
                    </w:rPr>
                    <w:t>纯水制备产生浓水、调试废水</w:t>
                  </w:r>
                  <w:r>
                    <w:rPr>
                      <w:rStyle w:val="168"/>
                      <w:color w:val="auto"/>
                      <w:kern w:val="0"/>
                      <w:sz w:val="18"/>
                      <w:szCs w:val="18"/>
                      <w:lang w:val="en-GB"/>
                    </w:rPr>
                    <w:t>，</w:t>
                  </w:r>
                  <w:r>
                    <w:rPr>
                      <w:rStyle w:val="168"/>
                      <w:rFonts w:hint="eastAsia"/>
                      <w:color w:val="auto"/>
                      <w:kern w:val="0"/>
                      <w:sz w:val="18"/>
                      <w:szCs w:val="18"/>
                      <w:lang w:val="en-US" w:eastAsia="zh-CN"/>
                    </w:rPr>
                    <w:t>生活污水</w:t>
                  </w:r>
                  <w:r>
                    <w:rPr>
                      <w:rStyle w:val="168"/>
                      <w:color w:val="auto"/>
                      <w:kern w:val="0"/>
                      <w:sz w:val="18"/>
                      <w:szCs w:val="18"/>
                      <w:lang w:val="en-GB"/>
                    </w:rPr>
                    <w:t>经</w:t>
                  </w:r>
                  <w:r>
                    <w:rPr>
                      <w:rStyle w:val="168"/>
                      <w:rFonts w:hint="eastAsia"/>
                      <w:color w:val="auto"/>
                      <w:kern w:val="0"/>
                      <w:sz w:val="18"/>
                      <w:szCs w:val="18"/>
                      <w:lang w:val="en-GB"/>
                    </w:rPr>
                    <w:t>化粪池预处理接管污水管网</w:t>
                  </w:r>
                  <w:r>
                    <w:rPr>
                      <w:rStyle w:val="168"/>
                      <w:color w:val="auto"/>
                      <w:kern w:val="0"/>
                      <w:sz w:val="18"/>
                      <w:szCs w:val="18"/>
                      <w:lang w:val="en-GB"/>
                    </w:rPr>
                    <w:t>进入</w:t>
                  </w:r>
                  <w:r>
                    <w:rPr>
                      <w:rStyle w:val="168"/>
                      <w:rFonts w:hint="eastAsia"/>
                      <w:color w:val="auto"/>
                      <w:kern w:val="0"/>
                      <w:sz w:val="18"/>
                      <w:szCs w:val="18"/>
                      <w:lang w:val="en-US" w:eastAsia="zh-CN"/>
                    </w:rPr>
                    <w:t>淮南安成经济开发区污水处理厂，纯水制备产生浓水、调试废水直接接管淮南安成经济开发区污水处理厂，尾水经处理</w:t>
                  </w:r>
                  <w:r>
                    <w:rPr>
                      <w:rStyle w:val="168"/>
                      <w:color w:val="auto"/>
                      <w:kern w:val="0"/>
                      <w:sz w:val="18"/>
                      <w:szCs w:val="18"/>
                      <w:lang w:val="en-GB"/>
                    </w:rPr>
                    <w:t>达到《城镇污水处理厂污染物排放标准》（GB18918-2002）中一</w:t>
                  </w:r>
                  <w:r>
                    <w:rPr>
                      <w:rFonts w:hint="eastAsia" w:ascii="Times New Roman" w:hAnsi="Times New Roman" w:cs="Times New Roman"/>
                      <w:color w:val="auto"/>
                      <w:sz w:val="18"/>
                      <w:szCs w:val="18"/>
                      <w:lang w:val="en-GB"/>
                    </w:rPr>
                    <w:t>级A标准</w:t>
                  </w:r>
                  <w:r>
                    <w:rPr>
                      <w:rFonts w:hint="eastAsia" w:ascii="Times New Roman" w:hAnsi="Times New Roman" w:cs="Times New Roman"/>
                      <w:color w:val="auto"/>
                      <w:sz w:val="18"/>
                      <w:szCs w:val="18"/>
                      <w:lang w:val="en-US" w:eastAsia="zh-CN"/>
                    </w:rPr>
                    <w:t>经排洪沟最终排入淮河</w:t>
                  </w:r>
                </w:p>
              </w:tc>
              <w:tc>
                <w:tcPr>
                  <w:tcW w:w="829" w:type="pct"/>
                  <w:noWrap w:val="0"/>
                  <w:vAlign w:val="center"/>
                </w:tcPr>
                <w:p>
                  <w:pPr>
                    <w:autoSpaceDE w:val="0"/>
                    <w:autoSpaceDN w:val="0"/>
                    <w:snapToGrid w:val="0"/>
                    <w:ind w:left="7" w:leftChars="1" w:right="11" w:hanging="5" w:hangingChars="3"/>
                    <w:jc w:val="center"/>
                    <w:rPr>
                      <w:rFonts w:hint="eastAsia" w:hAnsi="宋体"/>
                      <w:color w:val="auto"/>
                      <w:sz w:val="18"/>
                      <w:szCs w:val="18"/>
                    </w:rPr>
                  </w:pPr>
                  <w:r>
                    <w:rPr>
                      <w:rFonts w:hint="eastAsia"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continue"/>
                  <w:noWrap w:val="0"/>
                  <w:vAlign w:val="center"/>
                </w:tcPr>
                <w:p>
                  <w:pPr>
                    <w:tabs>
                      <w:tab w:val="left" w:pos="3255"/>
                    </w:tabs>
                    <w:snapToGrid w:val="0"/>
                    <w:jc w:val="center"/>
                    <w:rPr>
                      <w:rFonts w:hAnsi="宋体"/>
                      <w:color w:val="FF0000"/>
                      <w:szCs w:val="21"/>
                    </w:rPr>
                  </w:pPr>
                </w:p>
              </w:tc>
              <w:tc>
                <w:tcPr>
                  <w:tcW w:w="982" w:type="pct"/>
                  <w:gridSpan w:val="2"/>
                  <w:noWrap w:val="0"/>
                  <w:vAlign w:val="center"/>
                </w:tcPr>
                <w:p>
                  <w:pPr>
                    <w:snapToGrid w:val="0"/>
                    <w:ind w:left="-105" w:leftChars="-50" w:right="-105" w:rightChars="-50"/>
                    <w:jc w:val="center"/>
                    <w:rPr>
                      <w:color w:val="auto"/>
                      <w:sz w:val="18"/>
                      <w:szCs w:val="18"/>
                    </w:rPr>
                  </w:pPr>
                  <w:r>
                    <w:rPr>
                      <w:color w:val="auto"/>
                      <w:sz w:val="18"/>
                      <w:szCs w:val="18"/>
                    </w:rPr>
                    <w:t>噪声</w:t>
                  </w:r>
                </w:p>
              </w:tc>
              <w:tc>
                <w:tcPr>
                  <w:tcW w:w="2506" w:type="pct"/>
                  <w:noWrap w:val="0"/>
                  <w:vAlign w:val="center"/>
                </w:tcPr>
                <w:p>
                  <w:pPr>
                    <w:snapToGrid w:val="0"/>
                    <w:jc w:val="center"/>
                    <w:rPr>
                      <w:color w:val="auto"/>
                      <w:sz w:val="18"/>
                      <w:szCs w:val="18"/>
                    </w:rPr>
                  </w:pPr>
                  <w:r>
                    <w:rPr>
                      <w:rFonts w:hint="eastAsia"/>
                      <w:color w:val="auto"/>
                      <w:sz w:val="18"/>
                      <w:szCs w:val="18"/>
                    </w:rPr>
                    <w:t>合理布局，隔声、减振、消声等措施</w:t>
                  </w:r>
                </w:p>
              </w:tc>
              <w:tc>
                <w:tcPr>
                  <w:tcW w:w="829" w:type="pct"/>
                  <w:noWrap w:val="0"/>
                  <w:vAlign w:val="center"/>
                </w:tcPr>
                <w:p>
                  <w:pPr>
                    <w:tabs>
                      <w:tab w:val="left" w:pos="3255"/>
                    </w:tabs>
                    <w:snapToGrid w:val="0"/>
                    <w:ind w:left="-105" w:leftChars="-50" w:right="-105" w:rightChars="-50"/>
                    <w:jc w:val="center"/>
                    <w:rPr>
                      <w:rFonts w:hint="eastAsia"/>
                      <w:color w:val="auto"/>
                      <w:sz w:val="18"/>
                      <w:szCs w:val="18"/>
                    </w:rPr>
                  </w:pPr>
                  <w:r>
                    <w:rPr>
                      <w:rFonts w:hint="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continue"/>
                  <w:noWrap w:val="0"/>
                  <w:vAlign w:val="center"/>
                </w:tcPr>
                <w:p>
                  <w:pPr>
                    <w:tabs>
                      <w:tab w:val="left" w:pos="3255"/>
                    </w:tabs>
                    <w:snapToGrid w:val="0"/>
                    <w:jc w:val="center"/>
                    <w:rPr>
                      <w:rFonts w:hAnsi="宋体"/>
                      <w:color w:val="FF0000"/>
                      <w:szCs w:val="21"/>
                    </w:rPr>
                  </w:pPr>
                </w:p>
              </w:tc>
              <w:tc>
                <w:tcPr>
                  <w:tcW w:w="982" w:type="pct"/>
                  <w:gridSpan w:val="2"/>
                  <w:noWrap w:val="0"/>
                  <w:vAlign w:val="center"/>
                </w:tcPr>
                <w:p>
                  <w:pPr>
                    <w:snapToGrid w:val="0"/>
                    <w:ind w:left="-105" w:leftChars="-50" w:right="-105" w:rightChars="-50"/>
                    <w:jc w:val="center"/>
                    <w:rPr>
                      <w:color w:val="auto"/>
                      <w:sz w:val="18"/>
                      <w:szCs w:val="18"/>
                    </w:rPr>
                  </w:pPr>
                  <w:r>
                    <w:rPr>
                      <w:rFonts w:hint="eastAsia"/>
                      <w:color w:val="auto"/>
                      <w:sz w:val="18"/>
                      <w:szCs w:val="18"/>
                    </w:rPr>
                    <w:t>固废</w:t>
                  </w:r>
                </w:p>
              </w:tc>
              <w:tc>
                <w:tcPr>
                  <w:tcW w:w="2506" w:type="pct"/>
                  <w:noWrap w:val="0"/>
                  <w:vAlign w:val="center"/>
                </w:tcPr>
                <w:p>
                  <w:pPr>
                    <w:snapToGrid w:val="0"/>
                    <w:ind w:left="-105" w:leftChars="-50" w:right="-105" w:rightChars="-50"/>
                    <w:jc w:val="center"/>
                    <w:rPr>
                      <w:color w:val="auto"/>
                      <w:sz w:val="18"/>
                      <w:szCs w:val="18"/>
                    </w:rPr>
                  </w:pPr>
                  <w:r>
                    <w:rPr>
                      <w:rFonts w:hint="eastAsia"/>
                      <w:color w:val="auto"/>
                      <w:sz w:val="18"/>
                      <w:szCs w:val="18"/>
                      <w:lang w:val="en-US" w:eastAsia="zh-CN"/>
                    </w:rPr>
                    <w:t>生产车间内南侧设置</w:t>
                  </w:r>
                  <w:r>
                    <w:rPr>
                      <w:rFonts w:hint="eastAsia"/>
                      <w:color w:val="auto"/>
                      <w:sz w:val="18"/>
                      <w:szCs w:val="18"/>
                    </w:rPr>
                    <w:t>一般固废堆场</w:t>
                  </w:r>
                  <w:r>
                    <w:rPr>
                      <w:rFonts w:hint="eastAsia"/>
                      <w:color w:val="auto"/>
                      <w:sz w:val="18"/>
                      <w:szCs w:val="18"/>
                      <w:lang w:val="en-US" w:eastAsia="zh-CN"/>
                    </w:rPr>
                    <w:t>35</w:t>
                  </w:r>
                  <w:r>
                    <w:rPr>
                      <w:rFonts w:hint="eastAsia"/>
                      <w:color w:val="auto"/>
                      <w:sz w:val="18"/>
                      <w:szCs w:val="18"/>
                    </w:rPr>
                    <w:t>m</w:t>
                  </w:r>
                  <w:r>
                    <w:rPr>
                      <w:rFonts w:hint="eastAsia"/>
                      <w:color w:val="auto"/>
                      <w:sz w:val="18"/>
                      <w:szCs w:val="18"/>
                      <w:vertAlign w:val="superscript"/>
                    </w:rPr>
                    <w:t>2</w:t>
                  </w:r>
                  <w:r>
                    <w:rPr>
                      <w:rFonts w:hint="eastAsia"/>
                      <w:color w:val="auto"/>
                      <w:sz w:val="18"/>
                      <w:szCs w:val="18"/>
                      <w:vertAlign w:val="baseline"/>
                      <w:lang w:eastAsia="zh-CN"/>
                    </w:rPr>
                    <w:t>，</w:t>
                  </w:r>
                  <w:r>
                    <w:rPr>
                      <w:rFonts w:hint="eastAsia"/>
                      <w:color w:val="auto"/>
                      <w:sz w:val="18"/>
                      <w:szCs w:val="18"/>
                      <w:vertAlign w:val="baseline"/>
                      <w:lang w:val="en-US" w:eastAsia="zh-CN"/>
                    </w:rPr>
                    <w:t>用于暂存收集粉尘、机加工边角料等</w:t>
                  </w:r>
                  <w:r>
                    <w:rPr>
                      <w:rFonts w:hint="eastAsia"/>
                      <w:color w:val="auto"/>
                      <w:sz w:val="18"/>
                      <w:szCs w:val="18"/>
                    </w:rPr>
                    <w:t>；</w:t>
                  </w:r>
                  <w:r>
                    <w:rPr>
                      <w:rFonts w:hint="eastAsia" w:hAnsi="宋体"/>
                      <w:color w:val="auto"/>
                      <w:sz w:val="18"/>
                      <w:szCs w:val="18"/>
                    </w:rPr>
                    <w:t>废机油、废乳化液</w:t>
                  </w:r>
                  <w:r>
                    <w:rPr>
                      <w:rFonts w:hint="eastAsia"/>
                      <w:color w:val="auto"/>
                      <w:sz w:val="18"/>
                      <w:szCs w:val="18"/>
                    </w:rPr>
                    <w:t>等危险废物</w:t>
                  </w:r>
                  <w:r>
                    <w:rPr>
                      <w:color w:val="auto"/>
                      <w:sz w:val="18"/>
                      <w:szCs w:val="18"/>
                    </w:rPr>
                    <w:t>收集后</w:t>
                  </w:r>
                  <w:r>
                    <w:rPr>
                      <w:rFonts w:hint="eastAsia"/>
                      <w:color w:val="auto"/>
                      <w:sz w:val="18"/>
                      <w:szCs w:val="18"/>
                      <w:lang w:val="en-US" w:eastAsia="zh-CN"/>
                    </w:rPr>
                    <w:t>分别暂存于生产车间内</w:t>
                  </w:r>
                  <w:r>
                    <w:rPr>
                      <w:rFonts w:hint="eastAsia"/>
                      <w:color w:val="auto"/>
                      <w:sz w:val="18"/>
                      <w:szCs w:val="18"/>
                    </w:rPr>
                    <w:t>危废间</w:t>
                  </w:r>
                  <w:r>
                    <w:rPr>
                      <w:rFonts w:hint="eastAsia"/>
                      <w:color w:val="auto"/>
                      <w:sz w:val="18"/>
                      <w:szCs w:val="18"/>
                      <w:lang w:val="en-US" w:eastAsia="zh-CN"/>
                    </w:rPr>
                    <w:t>35</w:t>
                  </w:r>
                  <w:r>
                    <w:rPr>
                      <w:rFonts w:hint="eastAsia"/>
                      <w:color w:val="auto"/>
                      <w:sz w:val="18"/>
                      <w:szCs w:val="18"/>
                    </w:rPr>
                    <w:t>m</w:t>
                  </w:r>
                  <w:r>
                    <w:rPr>
                      <w:rFonts w:hint="eastAsia"/>
                      <w:color w:val="auto"/>
                      <w:sz w:val="18"/>
                      <w:szCs w:val="18"/>
                      <w:vertAlign w:val="superscript"/>
                    </w:rPr>
                    <w:t>2</w:t>
                  </w:r>
                  <w:r>
                    <w:rPr>
                      <w:rFonts w:hint="eastAsia"/>
                      <w:color w:val="auto"/>
                      <w:sz w:val="18"/>
                      <w:szCs w:val="18"/>
                    </w:rPr>
                    <w:t>暂存</w:t>
                  </w:r>
                  <w:r>
                    <w:rPr>
                      <w:color w:val="auto"/>
                      <w:sz w:val="18"/>
                      <w:szCs w:val="18"/>
                    </w:rPr>
                    <w:t>，后交有资质单位处置</w:t>
                  </w:r>
                  <w:r>
                    <w:rPr>
                      <w:rFonts w:hint="eastAsia"/>
                      <w:color w:val="auto"/>
                      <w:sz w:val="18"/>
                      <w:szCs w:val="18"/>
                    </w:rPr>
                    <w:t>；</w:t>
                  </w:r>
                  <w:r>
                    <w:rPr>
                      <w:color w:val="auto"/>
                      <w:sz w:val="18"/>
                      <w:szCs w:val="18"/>
                    </w:rPr>
                    <w:t>职工生活垃圾交由环卫部门处理处置</w:t>
                  </w:r>
                </w:p>
              </w:tc>
              <w:tc>
                <w:tcPr>
                  <w:tcW w:w="829" w:type="pct"/>
                  <w:noWrap w:val="0"/>
                  <w:vAlign w:val="center"/>
                </w:tcPr>
                <w:p>
                  <w:pPr>
                    <w:tabs>
                      <w:tab w:val="left" w:pos="3255"/>
                    </w:tabs>
                    <w:snapToGrid w:val="0"/>
                    <w:ind w:left="-105" w:leftChars="-50" w:right="-105" w:rightChars="-50"/>
                    <w:jc w:val="center"/>
                    <w:rPr>
                      <w:rFonts w:hint="eastAsia" w:hAnsi="宋体"/>
                      <w:color w:val="auto"/>
                      <w:szCs w:val="21"/>
                    </w:rPr>
                  </w:pPr>
                  <w:r>
                    <w:rPr>
                      <w:rFonts w:hint="eastAsia"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Merge w:val="continue"/>
                  <w:noWrap w:val="0"/>
                  <w:vAlign w:val="center"/>
                </w:tcPr>
                <w:p>
                  <w:pPr>
                    <w:tabs>
                      <w:tab w:val="left" w:pos="3255"/>
                    </w:tabs>
                    <w:snapToGrid w:val="0"/>
                    <w:jc w:val="center"/>
                    <w:rPr>
                      <w:rFonts w:hAnsi="宋体"/>
                      <w:color w:val="FF0000"/>
                      <w:szCs w:val="21"/>
                    </w:rPr>
                  </w:pPr>
                </w:p>
              </w:tc>
              <w:tc>
                <w:tcPr>
                  <w:tcW w:w="982" w:type="pct"/>
                  <w:gridSpan w:val="2"/>
                  <w:noWrap w:val="0"/>
                  <w:vAlign w:val="center"/>
                </w:tcPr>
                <w:p>
                  <w:pPr>
                    <w:snapToGrid w:val="0"/>
                    <w:ind w:left="-105" w:leftChars="-50" w:right="-105" w:rightChars="-50"/>
                    <w:jc w:val="center"/>
                    <w:rPr>
                      <w:color w:val="auto"/>
                      <w:sz w:val="18"/>
                      <w:szCs w:val="18"/>
                    </w:rPr>
                  </w:pPr>
                  <w:r>
                    <w:rPr>
                      <w:rFonts w:hint="eastAsia"/>
                      <w:color w:val="auto"/>
                      <w:sz w:val="18"/>
                      <w:szCs w:val="18"/>
                    </w:rPr>
                    <w:t>风险防范</w:t>
                  </w:r>
                </w:p>
              </w:tc>
              <w:tc>
                <w:tcPr>
                  <w:tcW w:w="2506" w:type="pct"/>
                  <w:noWrap w:val="0"/>
                  <w:vAlign w:val="center"/>
                </w:tcPr>
                <w:p>
                  <w:pPr>
                    <w:autoSpaceDE w:val="0"/>
                    <w:autoSpaceDN w:val="0"/>
                    <w:snapToGrid w:val="0"/>
                    <w:ind w:left="2" w:right="11"/>
                    <w:rPr>
                      <w:color w:val="auto"/>
                      <w:sz w:val="18"/>
                      <w:szCs w:val="18"/>
                    </w:rPr>
                  </w:pPr>
                  <w:r>
                    <w:rPr>
                      <w:color w:val="auto"/>
                      <w:sz w:val="18"/>
                      <w:szCs w:val="18"/>
                    </w:rPr>
                    <w:t>危废暂存库</w:t>
                  </w:r>
                  <w:r>
                    <w:rPr>
                      <w:rFonts w:hint="eastAsia"/>
                      <w:color w:val="auto"/>
                      <w:sz w:val="18"/>
                      <w:szCs w:val="18"/>
                    </w:rPr>
                    <w:t>按照重点防渗区进行防渗，日常应注意设置充足的</w:t>
                  </w:r>
                  <w:r>
                    <w:rPr>
                      <w:rFonts w:hint="eastAsia"/>
                      <w:color w:val="auto"/>
                      <w:sz w:val="18"/>
                      <w:szCs w:val="18"/>
                      <w:lang w:eastAsia="zh-CN"/>
                    </w:rPr>
                    <w:t>应急物资</w:t>
                  </w:r>
                  <w:r>
                    <w:rPr>
                      <w:rFonts w:hint="eastAsia"/>
                      <w:color w:val="auto"/>
                      <w:sz w:val="18"/>
                      <w:szCs w:val="18"/>
                    </w:rPr>
                    <w:t>，及消防设备的维护保养。</w:t>
                  </w:r>
                </w:p>
              </w:tc>
              <w:tc>
                <w:tcPr>
                  <w:tcW w:w="829" w:type="pct"/>
                  <w:noWrap w:val="0"/>
                  <w:vAlign w:val="center"/>
                </w:tcPr>
                <w:p>
                  <w:pPr>
                    <w:tabs>
                      <w:tab w:val="left" w:pos="3255"/>
                    </w:tabs>
                    <w:snapToGrid w:val="0"/>
                    <w:ind w:left="-105" w:leftChars="-50" w:right="-105" w:rightChars="-50"/>
                    <w:jc w:val="center"/>
                    <w:rPr>
                      <w:rFonts w:hint="eastAsia" w:hAnsi="宋体"/>
                      <w:color w:val="auto"/>
                      <w:szCs w:val="21"/>
                    </w:rPr>
                  </w:pPr>
                  <w:r>
                    <w:rPr>
                      <w:rFonts w:hint="eastAsia" w:hAnsi="宋体"/>
                      <w:color w:val="auto"/>
                      <w:szCs w:val="21"/>
                    </w:rPr>
                    <w:t>/</w:t>
                  </w:r>
                </w:p>
              </w:tc>
            </w:tr>
          </w:tbl>
          <w:p>
            <w:pPr>
              <w:pStyle w:val="106"/>
              <w:ind w:firstLine="422"/>
              <w:rPr>
                <w:b/>
                <w:bCs/>
                <w:color w:val="auto"/>
                <w:sz w:val="21"/>
                <w:szCs w:val="21"/>
              </w:rPr>
            </w:pPr>
            <w:r>
              <w:rPr>
                <w:rFonts w:hint="eastAsia"/>
                <w:b/>
                <w:bCs/>
                <w:color w:val="auto"/>
                <w:sz w:val="21"/>
                <w:szCs w:val="21"/>
                <w:lang w:val="en-US" w:eastAsia="zh-CN"/>
              </w:rPr>
              <w:t>2.</w:t>
            </w:r>
            <w:r>
              <w:rPr>
                <w:rFonts w:hint="eastAsia"/>
                <w:b/>
                <w:bCs/>
                <w:color w:val="auto"/>
                <w:sz w:val="21"/>
                <w:szCs w:val="21"/>
              </w:rPr>
              <w:t>3</w:t>
            </w:r>
            <w:r>
              <w:rPr>
                <w:rFonts w:hint="eastAsia"/>
                <w:b/>
                <w:bCs/>
                <w:color w:val="auto"/>
                <w:sz w:val="21"/>
                <w:szCs w:val="21"/>
                <w:lang w:eastAsia="zh-CN"/>
              </w:rPr>
              <w:t>、</w:t>
            </w:r>
            <w:r>
              <w:rPr>
                <w:b/>
                <w:bCs/>
                <w:color w:val="auto"/>
                <w:sz w:val="21"/>
                <w:szCs w:val="21"/>
              </w:rPr>
              <w:t>产品方案</w:t>
            </w:r>
          </w:p>
          <w:p>
            <w:pPr>
              <w:spacing w:line="360" w:lineRule="auto"/>
              <w:ind w:firstLine="420" w:firstLineChars="200"/>
              <w:rPr>
                <w:rFonts w:hint="default" w:eastAsia="宋体"/>
                <w:color w:val="auto"/>
                <w:szCs w:val="21"/>
                <w:lang w:val="en-US" w:eastAsia="zh-CN"/>
              </w:rPr>
            </w:pPr>
            <w:r>
              <w:rPr>
                <w:rFonts w:hint="eastAsia"/>
                <w:color w:val="auto"/>
                <w:szCs w:val="21"/>
              </w:rPr>
              <w:t>本项目</w:t>
            </w:r>
            <w:r>
              <w:rPr>
                <w:rFonts w:hint="eastAsia"/>
                <w:color w:val="auto"/>
                <w:szCs w:val="21"/>
                <w:lang w:val="en-US" w:eastAsia="zh-CN"/>
              </w:rPr>
              <w:t>外购钢材机加工、焊接成型，外购塑料板材雕刻、胶黏，与元器件及相关配件进行组装、调试，生产半导体清洗设备，</w:t>
            </w:r>
            <w:r>
              <w:rPr>
                <w:color w:val="auto"/>
                <w:szCs w:val="21"/>
              </w:rPr>
              <w:t>项目产品方案见表</w:t>
            </w:r>
            <w:r>
              <w:rPr>
                <w:rFonts w:hint="eastAsia"/>
                <w:color w:val="auto"/>
                <w:szCs w:val="21"/>
              </w:rPr>
              <w:t>2-4。</w:t>
            </w:r>
            <w:r>
              <w:rPr>
                <w:rFonts w:hint="eastAsia"/>
                <w:color w:val="auto"/>
                <w:szCs w:val="21"/>
                <w:lang w:val="en-US" w:eastAsia="zh-CN"/>
              </w:rPr>
              <w:t>下列产品的生产工艺相同，主要是采用生产加工不同规格的板材配套外购各种电子元器件、五金件进行组装调试。</w:t>
            </w:r>
          </w:p>
          <w:p>
            <w:pPr>
              <w:pStyle w:val="149"/>
              <w:spacing w:line="300" w:lineRule="exact"/>
              <w:rPr>
                <w:rFonts w:hint="eastAsia"/>
                <w:color w:val="auto"/>
                <w:szCs w:val="21"/>
              </w:rPr>
            </w:pPr>
            <w:r>
              <w:rPr>
                <w:color w:val="auto"/>
                <w:szCs w:val="21"/>
              </w:rPr>
              <w:t>表</w:t>
            </w:r>
            <w:r>
              <w:rPr>
                <w:rFonts w:hint="eastAsia"/>
                <w:color w:val="auto"/>
                <w:szCs w:val="21"/>
              </w:rPr>
              <w:t>2-4</w:t>
            </w:r>
            <w:r>
              <w:rPr>
                <w:color w:val="auto"/>
                <w:szCs w:val="21"/>
              </w:rPr>
              <w:t xml:space="preserve"> </w:t>
            </w:r>
            <w:r>
              <w:rPr>
                <w:rFonts w:hint="eastAsia"/>
                <w:color w:val="auto"/>
                <w:szCs w:val="21"/>
                <w:lang w:val="en-US" w:eastAsia="zh-CN"/>
              </w:rPr>
              <w:t xml:space="preserve"> </w:t>
            </w:r>
            <w:r>
              <w:rPr>
                <w:color w:val="auto"/>
                <w:szCs w:val="21"/>
              </w:rPr>
              <w:t>本项目主要产品方案</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2"/>
              <w:gridCol w:w="1614"/>
              <w:gridCol w:w="1422"/>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widowControl/>
                    <w:adjustRightInd w:val="0"/>
                    <w:snapToGrid w:val="0"/>
                    <w:jc w:val="center"/>
                    <w:rPr>
                      <w:b/>
                      <w:color w:val="auto"/>
                      <w:w w:val="103"/>
                      <w:sz w:val="18"/>
                      <w:szCs w:val="18"/>
                    </w:rPr>
                  </w:pPr>
                  <w:r>
                    <w:rPr>
                      <w:b/>
                      <w:bCs/>
                      <w:color w:val="auto"/>
                      <w:kern w:val="0"/>
                      <w:sz w:val="18"/>
                      <w:szCs w:val="18"/>
                    </w:rPr>
                    <w:t>产品名称</w:t>
                  </w:r>
                </w:p>
              </w:tc>
              <w:tc>
                <w:tcPr>
                  <w:tcW w:w="965" w:type="pct"/>
                  <w:noWrap w:val="0"/>
                  <w:vAlign w:val="center"/>
                </w:tcPr>
                <w:p>
                  <w:pPr>
                    <w:widowControl/>
                    <w:adjustRightInd w:val="0"/>
                    <w:snapToGrid w:val="0"/>
                    <w:jc w:val="center"/>
                    <w:rPr>
                      <w:b/>
                      <w:color w:val="auto"/>
                      <w:w w:val="103"/>
                      <w:sz w:val="18"/>
                      <w:szCs w:val="18"/>
                    </w:rPr>
                  </w:pPr>
                  <w:r>
                    <w:rPr>
                      <w:b/>
                      <w:bCs/>
                      <w:color w:val="auto"/>
                      <w:kern w:val="0"/>
                      <w:sz w:val="18"/>
                      <w:szCs w:val="18"/>
                    </w:rPr>
                    <w:t>规格</w:t>
                  </w:r>
                </w:p>
              </w:tc>
              <w:tc>
                <w:tcPr>
                  <w:tcW w:w="850" w:type="pct"/>
                  <w:noWrap w:val="0"/>
                  <w:vAlign w:val="center"/>
                </w:tcPr>
                <w:p>
                  <w:pPr>
                    <w:jc w:val="center"/>
                    <w:rPr>
                      <w:rFonts w:hint="eastAsia" w:eastAsia="宋体"/>
                      <w:b/>
                      <w:color w:val="auto"/>
                      <w:w w:val="103"/>
                      <w:sz w:val="18"/>
                      <w:szCs w:val="18"/>
                      <w:lang w:eastAsia="zh-CN"/>
                    </w:rPr>
                  </w:pPr>
                  <w:r>
                    <w:rPr>
                      <w:b/>
                      <w:bCs/>
                      <w:color w:val="auto"/>
                      <w:position w:val="-1"/>
                      <w:sz w:val="18"/>
                      <w:szCs w:val="18"/>
                    </w:rPr>
                    <w:t>年产量</w:t>
                  </w:r>
                  <w:r>
                    <w:rPr>
                      <w:rFonts w:hint="eastAsia"/>
                      <w:b/>
                      <w:bCs/>
                      <w:color w:val="auto"/>
                      <w:position w:val="-1"/>
                      <w:sz w:val="18"/>
                      <w:szCs w:val="18"/>
                      <w:lang w:val="en-US" w:eastAsia="zh-CN"/>
                    </w:rPr>
                    <w:t>台</w:t>
                  </w:r>
                </w:p>
              </w:tc>
              <w:tc>
                <w:tcPr>
                  <w:tcW w:w="1011" w:type="pct"/>
                  <w:noWrap w:val="0"/>
                  <w:vAlign w:val="center"/>
                </w:tcPr>
                <w:p>
                  <w:pPr>
                    <w:adjustRightInd w:val="0"/>
                    <w:snapToGrid w:val="0"/>
                    <w:jc w:val="center"/>
                    <w:rPr>
                      <w:b/>
                      <w:color w:val="auto"/>
                      <w:w w:val="103"/>
                      <w:sz w:val="18"/>
                      <w:szCs w:val="18"/>
                    </w:rPr>
                  </w:pPr>
                  <w:r>
                    <w:rPr>
                      <w:rFonts w:hint="eastAsia"/>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color w:val="auto"/>
                      <w:sz w:val="18"/>
                      <w:szCs w:val="18"/>
                    </w:rPr>
                  </w:pPr>
                  <w:r>
                    <w:rPr>
                      <w:rFonts w:hint="default"/>
                      <w:color w:val="auto"/>
                      <w:sz w:val="18"/>
                      <w:szCs w:val="18"/>
                    </w:rPr>
                    <w:t>cassette less清洗机（无盒</w:t>
                  </w:r>
                  <w:r>
                    <w:rPr>
                      <w:rFonts w:hint="eastAsia"/>
                      <w:color w:val="auto"/>
                      <w:sz w:val="18"/>
                      <w:szCs w:val="18"/>
                      <w:lang w:val="en-US" w:eastAsia="zh-CN"/>
                    </w:rPr>
                    <w:t>搬运</w:t>
                  </w:r>
                  <w:r>
                    <w:rPr>
                      <w:rFonts w:hint="default"/>
                      <w:color w:val="auto"/>
                      <w:sz w:val="18"/>
                      <w:szCs w:val="18"/>
                    </w:rPr>
                    <w:t>）</w:t>
                  </w:r>
                </w:p>
              </w:tc>
              <w:tc>
                <w:tcPr>
                  <w:tcW w:w="965" w:type="pct"/>
                  <w:noWrap w:val="0"/>
                  <w:vAlign w:val="center"/>
                </w:tcPr>
                <w:p>
                  <w:pPr>
                    <w:jc w:val="center"/>
                    <w:rPr>
                      <w:color w:val="auto"/>
                      <w:w w:val="103"/>
                      <w:sz w:val="18"/>
                      <w:szCs w:val="18"/>
                    </w:rPr>
                  </w:pPr>
                  <w:r>
                    <w:rPr>
                      <w:rFonts w:hint="default"/>
                      <w:color w:val="auto"/>
                      <w:sz w:val="18"/>
                      <w:szCs w:val="18"/>
                    </w:rPr>
                    <w:t>8/12寸</w:t>
                  </w:r>
                </w:p>
              </w:tc>
              <w:tc>
                <w:tcPr>
                  <w:tcW w:w="850" w:type="pct"/>
                  <w:vMerge w:val="restart"/>
                  <w:noWrap w:val="0"/>
                  <w:vAlign w:val="center"/>
                </w:tcPr>
                <w:p>
                  <w:pPr>
                    <w:jc w:val="center"/>
                    <w:rPr>
                      <w:rFonts w:hint="default" w:eastAsia="宋体"/>
                      <w:color w:val="auto"/>
                      <w:w w:val="103"/>
                      <w:sz w:val="18"/>
                      <w:szCs w:val="18"/>
                      <w:lang w:val="en-US" w:eastAsia="zh-CN"/>
                    </w:rPr>
                  </w:pPr>
                  <w:r>
                    <w:rPr>
                      <w:rFonts w:hint="eastAsia"/>
                      <w:color w:val="auto"/>
                      <w:w w:val="103"/>
                      <w:sz w:val="18"/>
                      <w:szCs w:val="18"/>
                      <w:lang w:val="en-US" w:eastAsia="zh-CN"/>
                    </w:rPr>
                    <w:t>500~800</w:t>
                  </w:r>
                </w:p>
              </w:tc>
              <w:tc>
                <w:tcPr>
                  <w:tcW w:w="1011" w:type="pct"/>
                  <w:vMerge w:val="restart"/>
                  <w:noWrap w:val="0"/>
                  <w:vAlign w:val="center"/>
                </w:tcPr>
                <w:p>
                  <w:pPr>
                    <w:pStyle w:val="141"/>
                    <w:jc w:val="center"/>
                    <w:rPr>
                      <w:rFonts w:hint="default" w:ascii="Times New Roman" w:hAnsi="Times New Roman" w:eastAsia="宋体" w:cs="Times New Roman"/>
                      <w:color w:val="auto"/>
                      <w:w w:val="103"/>
                      <w:sz w:val="18"/>
                      <w:szCs w:val="18"/>
                      <w:lang w:val="en-US" w:eastAsia="zh-CN"/>
                    </w:rPr>
                  </w:pPr>
                  <w:r>
                    <w:rPr>
                      <w:rFonts w:hint="default" w:ascii="Times New Roman" w:hAnsi="Times New Roman" w:eastAsia="宋体" w:cs="Times New Roman"/>
                      <w:kern w:val="2"/>
                      <w:sz w:val="18"/>
                      <w:szCs w:val="18"/>
                      <w:lang w:val="en-US" w:eastAsia="zh-CN" w:bidi="ar-SA"/>
                    </w:rPr>
                    <w:t>根据订单要求，外购元器件进行生产加工，属于非标定制加工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全自动晶圆片清洗机（工艺定制）</w:t>
                  </w:r>
                </w:p>
              </w:tc>
              <w:tc>
                <w:tcPr>
                  <w:tcW w:w="965" w:type="pct"/>
                  <w:noWrap w:val="0"/>
                  <w:vAlign w:val="center"/>
                </w:tcPr>
                <w:p>
                  <w:pPr>
                    <w:jc w:val="center"/>
                    <w:rPr>
                      <w:color w:val="FF0000"/>
                      <w:w w:val="103"/>
                      <w:sz w:val="18"/>
                      <w:szCs w:val="18"/>
                    </w:rPr>
                  </w:pPr>
                  <w:r>
                    <w:rPr>
                      <w:rFonts w:hint="default"/>
                      <w:sz w:val="18"/>
                      <w:szCs w:val="18"/>
                    </w:rPr>
                    <w:t>工艺定制</w:t>
                  </w:r>
                </w:p>
              </w:tc>
              <w:tc>
                <w:tcPr>
                  <w:tcW w:w="850" w:type="pct"/>
                  <w:vMerge w:val="continue"/>
                  <w:noWrap w:val="0"/>
                  <w:vAlign w:val="center"/>
                </w:tcPr>
                <w:p>
                  <w:pPr>
                    <w:jc w:val="center"/>
                    <w:rPr>
                      <w:color w:val="FF0000"/>
                      <w:w w:val="103"/>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全自动RCA清洗机</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BOE腐蚀机（半自动前后式）</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全自动有机去光阻/去蜡清洗设备</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薄化后清洗机</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边缘剥离腐蚀机</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晶圆片单片清洗机（刷洗/二流体）</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8/12寸单片清洗机（SC-1/兆声/二流体）</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Metal Lift-off去光阻清洗机（金属剥离机）</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甩干机（4-8寸）</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清洗铲片沾蜡四连抛自动线</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陶瓷盘清洗上蜡一体机（1X2T）</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全自动片盒/cassette清洗机</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2" w:type="pct"/>
                  <w:noWrap w:val="0"/>
                  <w:vAlign w:val="center"/>
                </w:tcPr>
                <w:p>
                  <w:pPr>
                    <w:bidi w:val="0"/>
                    <w:jc w:val="center"/>
                    <w:rPr>
                      <w:rFonts w:hint="default"/>
                      <w:sz w:val="18"/>
                      <w:szCs w:val="18"/>
                    </w:rPr>
                  </w:pPr>
                  <w:r>
                    <w:rPr>
                      <w:rFonts w:hint="default"/>
                      <w:sz w:val="18"/>
                      <w:szCs w:val="18"/>
                    </w:rPr>
                    <w:t>CDS/SDS供液系统</w:t>
                  </w:r>
                </w:p>
              </w:tc>
              <w:tc>
                <w:tcPr>
                  <w:tcW w:w="965" w:type="pct"/>
                  <w:noWrap w:val="0"/>
                  <w:vAlign w:val="center"/>
                </w:tcPr>
                <w:p>
                  <w:pPr>
                    <w:jc w:val="center"/>
                    <w:rPr>
                      <w:rFonts w:hint="eastAsia" w:eastAsia="宋体"/>
                      <w:color w:val="FF0000"/>
                      <w:w w:val="103"/>
                      <w:sz w:val="18"/>
                      <w:szCs w:val="18"/>
                      <w:lang w:val="en-US" w:eastAsia="zh-CN"/>
                    </w:rPr>
                  </w:pPr>
                  <w:r>
                    <w:rPr>
                      <w:rFonts w:hint="default"/>
                      <w:sz w:val="18"/>
                      <w:szCs w:val="18"/>
                    </w:rPr>
                    <w:t>工艺定制</w:t>
                  </w:r>
                </w:p>
              </w:tc>
              <w:tc>
                <w:tcPr>
                  <w:tcW w:w="850" w:type="pct"/>
                  <w:vMerge w:val="continue"/>
                  <w:noWrap w:val="0"/>
                  <w:vAlign w:val="center"/>
                </w:tcPr>
                <w:p>
                  <w:pPr>
                    <w:jc w:val="center"/>
                    <w:rPr>
                      <w:rFonts w:hint="eastAsia"/>
                      <w:color w:val="FF0000"/>
                      <w:sz w:val="18"/>
                      <w:szCs w:val="18"/>
                    </w:rPr>
                  </w:pPr>
                </w:p>
              </w:tc>
              <w:tc>
                <w:tcPr>
                  <w:tcW w:w="1011" w:type="pct"/>
                  <w:vMerge w:val="continue"/>
                  <w:noWrap w:val="0"/>
                  <w:vAlign w:val="center"/>
                </w:tcPr>
                <w:p>
                  <w:pPr>
                    <w:adjustRightInd w:val="0"/>
                    <w:snapToGrid w:val="0"/>
                    <w:jc w:val="center"/>
                    <w:rPr>
                      <w:color w:val="FF0000"/>
                      <w:w w:val="103"/>
                      <w:sz w:val="18"/>
                      <w:szCs w:val="18"/>
                    </w:rPr>
                  </w:pPr>
                </w:p>
              </w:tc>
            </w:tr>
          </w:tbl>
          <w:p>
            <w:pPr>
              <w:pStyle w:val="106"/>
              <w:ind w:firstLine="422"/>
              <w:jc w:val="left"/>
              <w:rPr>
                <w:color w:val="auto"/>
                <w:sz w:val="21"/>
                <w:szCs w:val="21"/>
              </w:rPr>
            </w:pPr>
            <w:r>
              <w:rPr>
                <w:rFonts w:hint="eastAsia"/>
                <w:b/>
                <w:bCs/>
                <w:color w:val="auto"/>
                <w:sz w:val="21"/>
                <w:szCs w:val="21"/>
                <w:lang w:val="en-US" w:eastAsia="zh-CN"/>
              </w:rPr>
              <w:t>2.</w:t>
            </w:r>
            <w:r>
              <w:rPr>
                <w:rFonts w:hint="eastAsia"/>
                <w:b/>
                <w:bCs/>
                <w:color w:val="auto"/>
                <w:sz w:val="21"/>
                <w:szCs w:val="21"/>
              </w:rPr>
              <w:t>4</w:t>
            </w:r>
            <w:r>
              <w:rPr>
                <w:rFonts w:hint="eastAsia"/>
                <w:b/>
                <w:bCs/>
                <w:color w:val="auto"/>
                <w:sz w:val="21"/>
                <w:szCs w:val="21"/>
                <w:lang w:eastAsia="zh-CN"/>
              </w:rPr>
              <w:t>、</w:t>
            </w:r>
            <w:r>
              <w:rPr>
                <w:rFonts w:hint="eastAsia"/>
                <w:b/>
                <w:bCs/>
                <w:color w:val="auto"/>
                <w:sz w:val="21"/>
                <w:szCs w:val="21"/>
              </w:rPr>
              <w:t>项目</w:t>
            </w:r>
            <w:r>
              <w:rPr>
                <w:b/>
                <w:bCs/>
                <w:color w:val="auto"/>
                <w:sz w:val="21"/>
                <w:szCs w:val="21"/>
              </w:rPr>
              <w:t>原辅材料</w:t>
            </w:r>
          </w:p>
          <w:p>
            <w:pPr>
              <w:autoSpaceDE w:val="0"/>
              <w:autoSpaceDN w:val="0"/>
              <w:adjustRightInd w:val="0"/>
              <w:spacing w:line="360" w:lineRule="auto"/>
              <w:ind w:firstLine="420" w:firstLineChars="200"/>
              <w:jc w:val="left"/>
              <w:rPr>
                <w:rFonts w:hint="eastAsia" w:ascii="宋体" w:hAnsi="宋体"/>
                <w:color w:val="auto"/>
                <w:szCs w:val="21"/>
              </w:rPr>
            </w:pPr>
            <w:r>
              <w:rPr>
                <w:rFonts w:hint="eastAsia" w:ascii="宋体" w:hAnsi="宋体"/>
                <w:color w:val="auto"/>
                <w:szCs w:val="21"/>
              </w:rPr>
              <w:t>本项目原辅材料用量如下：</w:t>
            </w:r>
          </w:p>
          <w:p>
            <w:pPr>
              <w:pStyle w:val="149"/>
              <w:spacing w:line="300" w:lineRule="exact"/>
              <w:rPr>
                <w:rFonts w:hint="eastAsia"/>
                <w:color w:val="auto"/>
                <w:szCs w:val="21"/>
              </w:rPr>
            </w:pPr>
            <w:r>
              <w:rPr>
                <w:color w:val="auto"/>
                <w:szCs w:val="21"/>
              </w:rPr>
              <w:t>表</w:t>
            </w:r>
            <w:r>
              <w:rPr>
                <w:rFonts w:hint="eastAsia"/>
                <w:color w:val="auto"/>
                <w:szCs w:val="21"/>
              </w:rPr>
              <w:t>2-5</w:t>
            </w:r>
            <w:r>
              <w:rPr>
                <w:rFonts w:hint="eastAsia"/>
                <w:color w:val="auto"/>
                <w:szCs w:val="21"/>
                <w:lang w:val="en-US" w:eastAsia="zh-CN"/>
              </w:rPr>
              <w:t xml:space="preserve">  </w:t>
            </w:r>
            <w:r>
              <w:rPr>
                <w:color w:val="auto"/>
                <w:szCs w:val="21"/>
              </w:rPr>
              <w:t>主要原辅材料消耗情况一览表</w:t>
            </w:r>
          </w:p>
          <w:tbl>
            <w:tblPr>
              <w:tblStyle w:val="4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36"/>
              <w:gridCol w:w="1313"/>
              <w:gridCol w:w="774"/>
              <w:gridCol w:w="960"/>
              <w:gridCol w:w="1063"/>
              <w:gridCol w:w="100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3" w:type="pct"/>
                  <w:noWrap w:val="0"/>
                  <w:vAlign w:val="center"/>
                </w:tcPr>
                <w:p>
                  <w:pPr>
                    <w:snapToGrid w:val="0"/>
                    <w:spacing w:line="240" w:lineRule="atLeast"/>
                    <w:jc w:val="center"/>
                    <w:rPr>
                      <w:b/>
                      <w:color w:val="auto"/>
                      <w:sz w:val="18"/>
                      <w:szCs w:val="18"/>
                    </w:rPr>
                  </w:pPr>
                  <w:r>
                    <w:rPr>
                      <w:b/>
                      <w:color w:val="auto"/>
                      <w:sz w:val="18"/>
                      <w:szCs w:val="18"/>
                    </w:rPr>
                    <w:t>序号</w:t>
                  </w:r>
                </w:p>
              </w:tc>
              <w:tc>
                <w:tcPr>
                  <w:tcW w:w="739" w:type="pct"/>
                  <w:noWrap w:val="0"/>
                  <w:vAlign w:val="center"/>
                </w:tcPr>
                <w:p>
                  <w:pPr>
                    <w:snapToGrid w:val="0"/>
                    <w:spacing w:line="240" w:lineRule="atLeast"/>
                    <w:jc w:val="center"/>
                    <w:rPr>
                      <w:b/>
                      <w:color w:val="auto"/>
                      <w:sz w:val="18"/>
                      <w:szCs w:val="18"/>
                    </w:rPr>
                  </w:pPr>
                  <w:r>
                    <w:rPr>
                      <w:b/>
                      <w:color w:val="auto"/>
                      <w:sz w:val="18"/>
                      <w:szCs w:val="18"/>
                    </w:rPr>
                    <w:t>名称</w:t>
                  </w:r>
                </w:p>
              </w:tc>
              <w:tc>
                <w:tcPr>
                  <w:tcW w:w="785" w:type="pct"/>
                  <w:noWrap w:val="0"/>
                  <w:vAlign w:val="center"/>
                </w:tcPr>
                <w:p>
                  <w:pPr>
                    <w:snapToGrid w:val="0"/>
                    <w:spacing w:line="240" w:lineRule="atLeast"/>
                    <w:jc w:val="center"/>
                    <w:rPr>
                      <w:b/>
                      <w:color w:val="auto"/>
                      <w:sz w:val="18"/>
                      <w:szCs w:val="18"/>
                    </w:rPr>
                  </w:pPr>
                  <w:r>
                    <w:rPr>
                      <w:b/>
                      <w:color w:val="auto"/>
                      <w:szCs w:val="21"/>
                    </w:rPr>
                    <w:t>性状</w:t>
                  </w:r>
                </w:p>
              </w:tc>
              <w:tc>
                <w:tcPr>
                  <w:tcW w:w="463" w:type="pct"/>
                  <w:noWrap w:val="0"/>
                  <w:vAlign w:val="center"/>
                </w:tcPr>
                <w:p>
                  <w:pPr>
                    <w:snapToGrid w:val="0"/>
                    <w:spacing w:line="240" w:lineRule="atLeast"/>
                    <w:ind w:left="-105" w:leftChars="-50" w:right="-105" w:rightChars="-50"/>
                    <w:jc w:val="center"/>
                    <w:rPr>
                      <w:b/>
                      <w:color w:val="auto"/>
                      <w:sz w:val="18"/>
                      <w:szCs w:val="18"/>
                    </w:rPr>
                  </w:pPr>
                  <w:r>
                    <w:rPr>
                      <w:b/>
                      <w:color w:val="auto"/>
                      <w:sz w:val="18"/>
                      <w:szCs w:val="18"/>
                    </w:rPr>
                    <w:t>单位</w:t>
                  </w:r>
                </w:p>
              </w:tc>
              <w:tc>
                <w:tcPr>
                  <w:tcW w:w="574" w:type="pct"/>
                  <w:noWrap w:val="0"/>
                  <w:vAlign w:val="center"/>
                </w:tcPr>
                <w:p>
                  <w:pPr>
                    <w:snapToGrid w:val="0"/>
                    <w:spacing w:line="240" w:lineRule="atLeast"/>
                    <w:ind w:left="-105" w:leftChars="-50" w:right="-105" w:rightChars="-50"/>
                    <w:jc w:val="center"/>
                    <w:rPr>
                      <w:b/>
                      <w:color w:val="auto"/>
                      <w:sz w:val="18"/>
                      <w:szCs w:val="18"/>
                    </w:rPr>
                  </w:pPr>
                  <w:r>
                    <w:rPr>
                      <w:b/>
                      <w:color w:val="auto"/>
                      <w:sz w:val="18"/>
                      <w:szCs w:val="18"/>
                    </w:rPr>
                    <w:t>消耗量</w:t>
                  </w:r>
                </w:p>
              </w:tc>
              <w:tc>
                <w:tcPr>
                  <w:tcW w:w="636" w:type="pct"/>
                  <w:noWrap w:val="0"/>
                  <w:vAlign w:val="center"/>
                </w:tcPr>
                <w:p>
                  <w:pPr>
                    <w:snapToGrid w:val="0"/>
                    <w:spacing w:line="240" w:lineRule="atLeast"/>
                    <w:ind w:left="-105" w:leftChars="-50" w:right="-105" w:rightChars="-50"/>
                    <w:jc w:val="center"/>
                    <w:rPr>
                      <w:b/>
                      <w:color w:val="auto"/>
                      <w:sz w:val="18"/>
                      <w:szCs w:val="18"/>
                    </w:rPr>
                  </w:pPr>
                  <w:r>
                    <w:rPr>
                      <w:b/>
                      <w:color w:val="auto"/>
                      <w:sz w:val="18"/>
                      <w:szCs w:val="18"/>
                    </w:rPr>
                    <w:t>储存方式</w:t>
                  </w:r>
                </w:p>
              </w:tc>
              <w:tc>
                <w:tcPr>
                  <w:tcW w:w="599" w:type="pct"/>
                  <w:noWrap w:val="0"/>
                  <w:vAlign w:val="center"/>
                </w:tcPr>
                <w:p>
                  <w:pPr>
                    <w:snapToGrid w:val="0"/>
                    <w:spacing w:line="240" w:lineRule="atLeast"/>
                    <w:ind w:left="-105" w:leftChars="-50" w:right="-105" w:rightChars="-50"/>
                    <w:jc w:val="center"/>
                    <w:rPr>
                      <w:b/>
                      <w:color w:val="auto"/>
                      <w:sz w:val="18"/>
                      <w:szCs w:val="18"/>
                    </w:rPr>
                  </w:pPr>
                  <w:r>
                    <w:rPr>
                      <w:b/>
                      <w:color w:val="auto"/>
                      <w:sz w:val="18"/>
                      <w:szCs w:val="18"/>
                    </w:rPr>
                    <w:t>最大</w:t>
                  </w:r>
                </w:p>
                <w:p>
                  <w:pPr>
                    <w:snapToGrid w:val="0"/>
                    <w:spacing w:line="240" w:lineRule="atLeast"/>
                    <w:ind w:left="-105" w:leftChars="-50" w:right="-105" w:rightChars="-50"/>
                    <w:jc w:val="center"/>
                    <w:rPr>
                      <w:b/>
                      <w:color w:val="auto"/>
                      <w:sz w:val="18"/>
                      <w:szCs w:val="18"/>
                    </w:rPr>
                  </w:pPr>
                  <w:r>
                    <w:rPr>
                      <w:b/>
                      <w:color w:val="auto"/>
                      <w:sz w:val="18"/>
                      <w:szCs w:val="18"/>
                    </w:rPr>
                    <w:t>储存量</w:t>
                  </w:r>
                </w:p>
              </w:tc>
              <w:tc>
                <w:tcPr>
                  <w:tcW w:w="769" w:type="pct"/>
                  <w:noWrap w:val="0"/>
                  <w:vAlign w:val="center"/>
                </w:tcPr>
                <w:p>
                  <w:pPr>
                    <w:snapToGrid w:val="0"/>
                    <w:spacing w:line="240" w:lineRule="atLeast"/>
                    <w:ind w:left="-105" w:leftChars="-50" w:right="-105" w:rightChars="-50"/>
                    <w:jc w:val="center"/>
                    <w:rPr>
                      <w:b/>
                      <w:color w:val="auto"/>
                      <w:sz w:val="18"/>
                      <w:szCs w:val="18"/>
                    </w:rPr>
                  </w:pPr>
                  <w:r>
                    <w:rPr>
                      <w:b/>
                      <w:color w:val="auto"/>
                      <w:sz w:val="18"/>
                      <w:szCs w:val="1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pacing w:line="240" w:lineRule="atLeast"/>
                    <w:jc w:val="center"/>
                    <w:rPr>
                      <w:color w:val="auto"/>
                      <w:sz w:val="18"/>
                      <w:szCs w:val="18"/>
                    </w:rPr>
                  </w:pPr>
                  <w:r>
                    <w:rPr>
                      <w:color w:val="auto"/>
                      <w:sz w:val="18"/>
                      <w:szCs w:val="18"/>
                    </w:rPr>
                    <w:t>1</w:t>
                  </w:r>
                </w:p>
              </w:tc>
              <w:tc>
                <w:tcPr>
                  <w:tcW w:w="739" w:type="pct"/>
                  <w:noWrap w:val="0"/>
                  <w:vAlign w:val="center"/>
                </w:tcPr>
                <w:p>
                  <w:pPr>
                    <w:adjustRightInd w:val="0"/>
                    <w:snapToGrid w:val="0"/>
                    <w:jc w:val="center"/>
                    <w:rPr>
                      <w:rFonts w:hint="eastAsia" w:ascii="Times New Roman" w:hAnsi="Times New Roman" w:cs="Times New Roman"/>
                      <w:bCs/>
                      <w:color w:val="auto"/>
                      <w:sz w:val="18"/>
                      <w:szCs w:val="18"/>
                    </w:rPr>
                  </w:pPr>
                  <w:r>
                    <w:rPr>
                      <w:rFonts w:hint="eastAsia" w:cs="Times New Roman"/>
                      <w:bCs/>
                      <w:color w:val="auto"/>
                      <w:sz w:val="18"/>
                      <w:szCs w:val="18"/>
                      <w:lang w:val="en-US" w:eastAsia="zh-CN"/>
                    </w:rPr>
                    <w:t>切削液</w:t>
                  </w:r>
                </w:p>
              </w:tc>
              <w:tc>
                <w:tcPr>
                  <w:tcW w:w="785" w:type="pct"/>
                  <w:noWrap w:val="0"/>
                  <w:vAlign w:val="center"/>
                </w:tcPr>
                <w:p>
                  <w:pPr>
                    <w:snapToGrid w:val="0"/>
                    <w:spacing w:line="240" w:lineRule="atLeast"/>
                    <w:jc w:val="center"/>
                    <w:rPr>
                      <w:rFonts w:hint="default" w:eastAsia="宋体"/>
                      <w:color w:val="auto"/>
                      <w:sz w:val="18"/>
                      <w:szCs w:val="18"/>
                      <w:lang w:val="en-US" w:eastAsia="zh-CN"/>
                    </w:rPr>
                  </w:pPr>
                  <w:r>
                    <w:rPr>
                      <w:rFonts w:hint="eastAsia"/>
                      <w:color w:val="auto"/>
                      <w:sz w:val="18"/>
                      <w:szCs w:val="18"/>
                      <w:lang w:val="en-US" w:eastAsia="zh-CN"/>
                    </w:rPr>
                    <w:t>18L/桶 液体</w:t>
                  </w:r>
                </w:p>
              </w:tc>
              <w:tc>
                <w:tcPr>
                  <w:tcW w:w="463" w:type="pct"/>
                  <w:noWrap w:val="0"/>
                  <w:vAlign w:val="center"/>
                </w:tcPr>
                <w:p>
                  <w:pPr>
                    <w:spacing w:line="240" w:lineRule="atLeast"/>
                    <w:jc w:val="center"/>
                    <w:rPr>
                      <w:color w:val="auto"/>
                      <w:sz w:val="18"/>
                      <w:szCs w:val="18"/>
                    </w:rPr>
                  </w:pPr>
                  <w:r>
                    <w:rPr>
                      <w:color w:val="auto"/>
                      <w:sz w:val="18"/>
                      <w:szCs w:val="18"/>
                    </w:rPr>
                    <w:t>t/a</w:t>
                  </w:r>
                </w:p>
              </w:tc>
              <w:tc>
                <w:tcPr>
                  <w:tcW w:w="574" w:type="pct"/>
                  <w:noWrap w:val="0"/>
                  <w:vAlign w:val="center"/>
                </w:tcPr>
                <w:p>
                  <w:pPr>
                    <w:spacing w:line="240" w:lineRule="atLeast"/>
                    <w:jc w:val="center"/>
                    <w:rPr>
                      <w:rFonts w:hint="eastAsia" w:eastAsia="宋体"/>
                      <w:color w:val="auto"/>
                      <w:sz w:val="18"/>
                      <w:szCs w:val="18"/>
                      <w:lang w:eastAsia="zh-CN"/>
                    </w:rPr>
                  </w:pPr>
                  <w:r>
                    <w:rPr>
                      <w:rFonts w:hint="eastAsia"/>
                      <w:color w:val="auto"/>
                      <w:sz w:val="18"/>
                      <w:szCs w:val="18"/>
                      <w:lang w:val="en-US" w:eastAsia="zh-CN"/>
                    </w:rPr>
                    <w:t>1</w:t>
                  </w:r>
                </w:p>
              </w:tc>
              <w:tc>
                <w:tcPr>
                  <w:tcW w:w="636" w:type="pct"/>
                  <w:noWrap w:val="0"/>
                  <w:vAlign w:val="center"/>
                </w:tcPr>
                <w:p>
                  <w:pPr>
                    <w:spacing w:line="240" w:lineRule="atLeast"/>
                    <w:ind w:left="-105" w:leftChars="-50" w:right="-105" w:rightChars="-50"/>
                    <w:jc w:val="center"/>
                    <w:rPr>
                      <w:color w:val="auto"/>
                      <w:sz w:val="18"/>
                      <w:szCs w:val="18"/>
                    </w:rPr>
                  </w:pPr>
                  <w:r>
                    <w:rPr>
                      <w:rFonts w:hint="eastAsia"/>
                      <w:color w:val="auto"/>
                      <w:sz w:val="18"/>
                      <w:szCs w:val="18"/>
                      <w:lang w:val="en-US" w:eastAsia="zh-CN"/>
                    </w:rPr>
                    <w:t>桶装</w:t>
                  </w:r>
                </w:p>
              </w:tc>
              <w:tc>
                <w:tcPr>
                  <w:tcW w:w="599"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0.2</w:t>
                  </w:r>
                </w:p>
              </w:tc>
              <w:tc>
                <w:tcPr>
                  <w:tcW w:w="769" w:type="pct"/>
                  <w:noWrap w:val="0"/>
                  <w:vAlign w:val="center"/>
                </w:tcPr>
                <w:p>
                  <w:pPr>
                    <w:spacing w:line="240" w:lineRule="atLeast"/>
                    <w:ind w:left="-105" w:leftChars="-50" w:right="-105" w:rightChars="-50"/>
                    <w:jc w:val="center"/>
                    <w:rPr>
                      <w:rFonts w:hint="default" w:eastAsia="宋体"/>
                      <w:color w:val="auto"/>
                      <w:sz w:val="18"/>
                      <w:szCs w:val="18"/>
                      <w:lang w:val="en-US" w:eastAsia="zh-CN"/>
                    </w:rPr>
                  </w:pPr>
                  <w:r>
                    <w:rPr>
                      <w:rFonts w:hint="eastAsia"/>
                      <w:color w:val="auto"/>
                      <w:sz w:val="18"/>
                      <w:szCs w:val="18"/>
                      <w:lang w:val="en-US" w:eastAsia="zh-CN"/>
                    </w:rPr>
                    <w:t>机加工冷却润滑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pacing w:line="240" w:lineRule="atLeast"/>
                    <w:jc w:val="center"/>
                    <w:rPr>
                      <w:color w:val="auto"/>
                      <w:sz w:val="18"/>
                      <w:szCs w:val="18"/>
                    </w:rPr>
                  </w:pPr>
                  <w:r>
                    <w:rPr>
                      <w:color w:val="auto"/>
                      <w:sz w:val="18"/>
                      <w:szCs w:val="18"/>
                    </w:rPr>
                    <w:t>2</w:t>
                  </w:r>
                </w:p>
              </w:tc>
              <w:tc>
                <w:tcPr>
                  <w:tcW w:w="739" w:type="pct"/>
                  <w:noWrap w:val="0"/>
                  <w:vAlign w:val="center"/>
                </w:tcPr>
                <w:p>
                  <w:pPr>
                    <w:adjustRightInd w:val="0"/>
                    <w:snapToGrid w:val="0"/>
                    <w:jc w:val="center"/>
                    <w:rPr>
                      <w:rFonts w:hint="eastAsia" w:ascii="Times New Roman" w:hAnsi="Times New Roman" w:cs="Times New Roman"/>
                      <w:bCs/>
                      <w:color w:val="auto"/>
                      <w:sz w:val="18"/>
                      <w:szCs w:val="18"/>
                    </w:rPr>
                  </w:pPr>
                  <w:r>
                    <w:rPr>
                      <w:rFonts w:hint="eastAsia" w:ascii="Times New Roman" w:hAnsi="Times New Roman" w:cs="Times New Roman"/>
                      <w:bCs/>
                      <w:color w:val="auto"/>
                      <w:sz w:val="18"/>
                      <w:szCs w:val="18"/>
                      <w:lang w:val="en-US" w:eastAsia="zh-CN"/>
                    </w:rPr>
                    <w:t>PP板材</w:t>
                  </w:r>
                </w:p>
              </w:tc>
              <w:tc>
                <w:tcPr>
                  <w:tcW w:w="785" w:type="pct"/>
                  <w:noWrap w:val="0"/>
                  <w:vAlign w:val="center"/>
                </w:tcPr>
                <w:p>
                  <w:pPr>
                    <w:jc w:val="center"/>
                    <w:rPr>
                      <w:color w:val="auto"/>
                      <w:sz w:val="18"/>
                      <w:szCs w:val="18"/>
                    </w:rPr>
                  </w:pPr>
                  <w:r>
                    <w:rPr>
                      <w:rFonts w:hint="eastAsia"/>
                      <w:color w:val="auto"/>
                      <w:sz w:val="18"/>
                      <w:szCs w:val="18"/>
                      <w:lang w:val="en-US" w:eastAsia="zh-CN"/>
                    </w:rPr>
                    <w:t>厚度3~40mm</w:t>
                  </w:r>
                </w:p>
              </w:tc>
              <w:tc>
                <w:tcPr>
                  <w:tcW w:w="463" w:type="pct"/>
                  <w:noWrap w:val="0"/>
                  <w:vAlign w:val="center"/>
                </w:tcPr>
                <w:p>
                  <w:pPr>
                    <w:spacing w:line="240" w:lineRule="atLeast"/>
                    <w:jc w:val="center"/>
                    <w:rPr>
                      <w:color w:val="auto"/>
                      <w:sz w:val="18"/>
                      <w:szCs w:val="18"/>
                    </w:rPr>
                  </w:pPr>
                  <w:r>
                    <w:rPr>
                      <w:color w:val="auto"/>
                      <w:sz w:val="18"/>
                      <w:szCs w:val="18"/>
                    </w:rPr>
                    <w:t>t/a</w:t>
                  </w:r>
                </w:p>
              </w:tc>
              <w:tc>
                <w:tcPr>
                  <w:tcW w:w="574" w:type="pct"/>
                  <w:noWrap w:val="0"/>
                  <w:vAlign w:val="center"/>
                </w:tcPr>
                <w:p>
                  <w:pPr>
                    <w:spacing w:line="240" w:lineRule="atLeast"/>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200</w:t>
                  </w:r>
                </w:p>
              </w:tc>
              <w:tc>
                <w:tcPr>
                  <w:tcW w:w="636" w:type="pct"/>
                  <w:noWrap w:val="0"/>
                  <w:vAlign w:val="center"/>
                </w:tcPr>
                <w:p>
                  <w:pPr>
                    <w:spacing w:line="240" w:lineRule="atLeast"/>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袋装</w:t>
                  </w:r>
                </w:p>
              </w:tc>
              <w:tc>
                <w:tcPr>
                  <w:tcW w:w="599" w:type="pct"/>
                  <w:noWrap w:val="0"/>
                  <w:vAlign w:val="center"/>
                </w:tcPr>
                <w:p>
                  <w:pPr>
                    <w:spacing w:line="240" w:lineRule="atLeast"/>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20t</w:t>
                  </w:r>
                </w:p>
              </w:tc>
              <w:tc>
                <w:tcPr>
                  <w:tcW w:w="769" w:type="pct"/>
                  <w:noWrap w:val="0"/>
                  <w:vAlign w:val="center"/>
                </w:tcPr>
                <w:p>
                  <w:pPr>
                    <w:spacing w:line="240" w:lineRule="atLeast"/>
                    <w:ind w:left="-105" w:leftChars="-50" w:right="-105" w:rightChars="-50"/>
                    <w:jc w:val="center"/>
                    <w:rPr>
                      <w:rFonts w:hint="default" w:eastAsia="宋体"/>
                      <w:color w:val="auto"/>
                      <w:sz w:val="18"/>
                      <w:szCs w:val="18"/>
                      <w:lang w:val="en-US" w:eastAsia="zh-CN"/>
                    </w:rPr>
                  </w:pPr>
                  <w:r>
                    <w:rPr>
                      <w:rFonts w:hint="eastAsia"/>
                      <w:color w:val="auto"/>
                      <w:sz w:val="18"/>
                      <w:szCs w:val="18"/>
                    </w:rPr>
                    <w:t>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pacing w:line="240" w:lineRule="atLeast"/>
                    <w:jc w:val="center"/>
                    <w:rPr>
                      <w:color w:val="auto"/>
                      <w:sz w:val="18"/>
                      <w:szCs w:val="18"/>
                    </w:rPr>
                  </w:pPr>
                  <w:r>
                    <w:rPr>
                      <w:rFonts w:hint="eastAsia"/>
                      <w:color w:val="auto"/>
                      <w:sz w:val="18"/>
                      <w:szCs w:val="18"/>
                    </w:rPr>
                    <w:t>3</w:t>
                  </w:r>
                </w:p>
              </w:tc>
              <w:tc>
                <w:tcPr>
                  <w:tcW w:w="739" w:type="pct"/>
                  <w:noWrap w:val="0"/>
                  <w:vAlign w:val="center"/>
                </w:tcPr>
                <w:p>
                  <w:pPr>
                    <w:adjustRightInd w:val="0"/>
                    <w:snapToGrid w:val="0"/>
                    <w:jc w:val="center"/>
                    <w:rPr>
                      <w:rFonts w:hint="eastAsia" w:ascii="Times New Roman" w:hAnsi="Times New Roman" w:cs="Times New Roman"/>
                      <w:bCs/>
                      <w:color w:val="auto"/>
                      <w:sz w:val="18"/>
                      <w:szCs w:val="18"/>
                    </w:rPr>
                  </w:pPr>
                  <w:r>
                    <w:rPr>
                      <w:rFonts w:hint="eastAsia" w:ascii="Times New Roman" w:hAnsi="Times New Roman" w:cs="Times New Roman"/>
                      <w:bCs/>
                      <w:color w:val="auto"/>
                      <w:sz w:val="18"/>
                      <w:szCs w:val="18"/>
                      <w:lang w:val="en-US" w:eastAsia="zh-CN"/>
                    </w:rPr>
                    <w:t>钢材</w:t>
                  </w:r>
                </w:p>
              </w:tc>
              <w:tc>
                <w:tcPr>
                  <w:tcW w:w="785" w:type="pct"/>
                  <w:noWrap w:val="0"/>
                  <w:vAlign w:val="center"/>
                </w:tcPr>
                <w:p>
                  <w:pPr>
                    <w:jc w:val="center"/>
                    <w:rPr>
                      <w:color w:val="auto"/>
                    </w:rPr>
                  </w:pPr>
                  <w:r>
                    <w:rPr>
                      <w:rFonts w:hint="eastAsia"/>
                      <w:color w:val="auto"/>
                      <w:sz w:val="18"/>
                      <w:szCs w:val="18"/>
                      <w:lang w:val="en-US" w:eastAsia="zh-CN"/>
                    </w:rPr>
                    <w:t>厚度3~40mm</w:t>
                  </w:r>
                </w:p>
              </w:tc>
              <w:tc>
                <w:tcPr>
                  <w:tcW w:w="463" w:type="pct"/>
                  <w:noWrap w:val="0"/>
                  <w:vAlign w:val="center"/>
                </w:tcPr>
                <w:p>
                  <w:pPr>
                    <w:spacing w:line="240" w:lineRule="atLeast"/>
                    <w:jc w:val="center"/>
                    <w:rPr>
                      <w:color w:val="auto"/>
                      <w:sz w:val="18"/>
                      <w:szCs w:val="18"/>
                    </w:rPr>
                  </w:pPr>
                  <w:r>
                    <w:rPr>
                      <w:color w:val="auto"/>
                      <w:sz w:val="18"/>
                      <w:szCs w:val="18"/>
                    </w:rPr>
                    <w:t>t/a</w:t>
                  </w:r>
                </w:p>
              </w:tc>
              <w:tc>
                <w:tcPr>
                  <w:tcW w:w="574"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20</w:t>
                  </w:r>
                </w:p>
              </w:tc>
              <w:tc>
                <w:tcPr>
                  <w:tcW w:w="636" w:type="pct"/>
                  <w:noWrap w:val="0"/>
                  <w:vAlign w:val="center"/>
                </w:tcPr>
                <w:p>
                  <w:pPr>
                    <w:spacing w:line="240" w:lineRule="atLeast"/>
                    <w:ind w:left="-105" w:leftChars="-50" w:right="-105" w:rightChars="-50"/>
                    <w:jc w:val="center"/>
                    <w:rPr>
                      <w:color w:val="auto"/>
                      <w:sz w:val="18"/>
                      <w:szCs w:val="18"/>
                    </w:rPr>
                  </w:pPr>
                  <w:r>
                    <w:rPr>
                      <w:rFonts w:hint="eastAsia"/>
                      <w:color w:val="auto"/>
                      <w:sz w:val="18"/>
                      <w:szCs w:val="18"/>
                    </w:rPr>
                    <w:t>/</w:t>
                  </w:r>
                </w:p>
              </w:tc>
              <w:tc>
                <w:tcPr>
                  <w:tcW w:w="599" w:type="pct"/>
                  <w:noWrap w:val="0"/>
                  <w:vAlign w:val="center"/>
                </w:tcPr>
                <w:p>
                  <w:pPr>
                    <w:spacing w:line="240" w:lineRule="atLeast"/>
                    <w:jc w:val="center"/>
                    <w:rPr>
                      <w:color w:val="auto"/>
                      <w:sz w:val="18"/>
                      <w:szCs w:val="18"/>
                    </w:rPr>
                  </w:pPr>
                  <w:r>
                    <w:rPr>
                      <w:rFonts w:hint="eastAsia"/>
                      <w:color w:val="auto"/>
                      <w:sz w:val="18"/>
                      <w:szCs w:val="18"/>
                      <w:lang w:val="en-US" w:eastAsia="zh-CN"/>
                    </w:rPr>
                    <w:t>5</w:t>
                  </w:r>
                  <w:r>
                    <w:rPr>
                      <w:rFonts w:hint="eastAsia"/>
                      <w:color w:val="auto"/>
                      <w:sz w:val="18"/>
                      <w:szCs w:val="18"/>
                    </w:rPr>
                    <w:t>t</w:t>
                  </w:r>
                </w:p>
              </w:tc>
              <w:tc>
                <w:tcPr>
                  <w:tcW w:w="769" w:type="pct"/>
                  <w:noWrap w:val="0"/>
                  <w:vAlign w:val="center"/>
                </w:tcPr>
                <w:p>
                  <w:pPr>
                    <w:spacing w:line="240" w:lineRule="atLeast"/>
                    <w:ind w:left="-105" w:leftChars="-50" w:right="-105" w:rightChars="-50"/>
                    <w:jc w:val="center"/>
                    <w:rPr>
                      <w:color w:val="auto"/>
                      <w:sz w:val="18"/>
                      <w:szCs w:val="18"/>
                    </w:rPr>
                  </w:pPr>
                  <w:r>
                    <w:rPr>
                      <w:rFonts w:hint="eastAsia"/>
                      <w:color w:val="auto"/>
                      <w:sz w:val="18"/>
                      <w:szCs w:val="18"/>
                    </w:rPr>
                    <w:t>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pacing w:line="240" w:lineRule="atLeast"/>
                    <w:jc w:val="center"/>
                    <w:rPr>
                      <w:rFonts w:hint="eastAsia"/>
                      <w:color w:val="auto"/>
                      <w:sz w:val="18"/>
                      <w:szCs w:val="18"/>
                    </w:rPr>
                  </w:pPr>
                  <w:r>
                    <w:rPr>
                      <w:rFonts w:hint="eastAsia"/>
                      <w:color w:val="auto"/>
                      <w:sz w:val="18"/>
                      <w:szCs w:val="18"/>
                    </w:rPr>
                    <w:t>4</w:t>
                  </w:r>
                </w:p>
              </w:tc>
              <w:tc>
                <w:tcPr>
                  <w:tcW w:w="739" w:type="pct"/>
                  <w:noWrap w:val="0"/>
                  <w:vAlign w:val="center"/>
                </w:tcPr>
                <w:p>
                  <w:pPr>
                    <w:adjustRightInd w:val="0"/>
                    <w:snapToGrid w:val="0"/>
                    <w:jc w:val="center"/>
                    <w:rPr>
                      <w:rFonts w:hint="eastAsia" w:ascii="Times New Roman" w:hAnsi="Times New Roman" w:cs="Times New Roman"/>
                      <w:bCs/>
                      <w:color w:val="auto"/>
                      <w:sz w:val="18"/>
                      <w:szCs w:val="18"/>
                    </w:rPr>
                  </w:pPr>
                  <w:r>
                    <w:rPr>
                      <w:rFonts w:hint="eastAsia" w:ascii="Times New Roman" w:hAnsi="Times New Roman" w:cs="Times New Roman"/>
                      <w:bCs/>
                      <w:color w:val="auto"/>
                      <w:sz w:val="18"/>
                      <w:szCs w:val="18"/>
                      <w:lang w:val="en-US" w:eastAsia="zh-CN"/>
                    </w:rPr>
                    <w:t>PP管道</w:t>
                  </w:r>
                </w:p>
              </w:tc>
              <w:tc>
                <w:tcPr>
                  <w:tcW w:w="785"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100m/卷</w:t>
                  </w:r>
                </w:p>
              </w:tc>
              <w:tc>
                <w:tcPr>
                  <w:tcW w:w="463" w:type="pct"/>
                  <w:noWrap w:val="0"/>
                  <w:vAlign w:val="center"/>
                </w:tcPr>
                <w:p>
                  <w:pPr>
                    <w:spacing w:line="240" w:lineRule="atLeast"/>
                    <w:jc w:val="center"/>
                    <w:rPr>
                      <w:color w:val="auto"/>
                      <w:sz w:val="18"/>
                      <w:szCs w:val="18"/>
                    </w:rPr>
                  </w:pPr>
                  <w:r>
                    <w:rPr>
                      <w:color w:val="auto"/>
                      <w:sz w:val="18"/>
                      <w:szCs w:val="18"/>
                    </w:rPr>
                    <w:t>t/a</w:t>
                  </w:r>
                </w:p>
              </w:tc>
              <w:tc>
                <w:tcPr>
                  <w:tcW w:w="574"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15</w:t>
                  </w:r>
                </w:p>
              </w:tc>
              <w:tc>
                <w:tcPr>
                  <w:tcW w:w="636" w:type="pct"/>
                  <w:noWrap w:val="0"/>
                  <w:vAlign w:val="center"/>
                </w:tcPr>
                <w:p>
                  <w:pPr>
                    <w:spacing w:line="240" w:lineRule="atLeast"/>
                    <w:ind w:left="-105" w:leftChars="-50" w:right="-105" w:rightChars="-50"/>
                    <w:jc w:val="center"/>
                    <w:rPr>
                      <w:rFonts w:hint="eastAsia" w:eastAsia="宋体"/>
                      <w:color w:val="auto"/>
                      <w:sz w:val="18"/>
                      <w:szCs w:val="18"/>
                      <w:lang w:eastAsia="zh-CN"/>
                    </w:rPr>
                  </w:pPr>
                  <w:r>
                    <w:rPr>
                      <w:rFonts w:hint="eastAsia"/>
                      <w:color w:val="auto"/>
                      <w:sz w:val="18"/>
                      <w:szCs w:val="18"/>
                      <w:lang w:val="en-US" w:eastAsia="zh-CN"/>
                    </w:rPr>
                    <w:t>袋装</w:t>
                  </w:r>
                </w:p>
              </w:tc>
              <w:tc>
                <w:tcPr>
                  <w:tcW w:w="599" w:type="pct"/>
                  <w:noWrap w:val="0"/>
                  <w:vAlign w:val="center"/>
                </w:tcPr>
                <w:p>
                  <w:pPr>
                    <w:spacing w:line="240" w:lineRule="atLeast"/>
                    <w:jc w:val="center"/>
                    <w:rPr>
                      <w:rFonts w:hint="eastAsia"/>
                      <w:color w:val="auto"/>
                      <w:sz w:val="18"/>
                      <w:szCs w:val="18"/>
                    </w:rPr>
                  </w:pPr>
                  <w:r>
                    <w:rPr>
                      <w:rFonts w:hint="eastAsia"/>
                      <w:color w:val="auto"/>
                      <w:sz w:val="18"/>
                      <w:szCs w:val="18"/>
                      <w:lang w:val="en-US" w:eastAsia="zh-CN"/>
                    </w:rPr>
                    <w:t>1</w:t>
                  </w:r>
                  <w:r>
                    <w:rPr>
                      <w:rFonts w:hint="eastAsia"/>
                      <w:color w:val="auto"/>
                      <w:sz w:val="18"/>
                      <w:szCs w:val="18"/>
                    </w:rPr>
                    <w:t>t</w:t>
                  </w:r>
                </w:p>
              </w:tc>
              <w:tc>
                <w:tcPr>
                  <w:tcW w:w="769" w:type="pct"/>
                  <w:noWrap w:val="0"/>
                  <w:vAlign w:val="center"/>
                </w:tcPr>
                <w:p>
                  <w:pPr>
                    <w:spacing w:line="240" w:lineRule="atLeast"/>
                    <w:ind w:left="-105" w:leftChars="-50" w:right="-105" w:rightChars="-50"/>
                    <w:jc w:val="center"/>
                    <w:rPr>
                      <w:rFonts w:hint="eastAsia" w:eastAsia="宋体"/>
                      <w:color w:val="auto"/>
                      <w:sz w:val="18"/>
                      <w:szCs w:val="18"/>
                      <w:lang w:eastAsia="zh-CN"/>
                    </w:rPr>
                  </w:pPr>
                  <w:r>
                    <w:rPr>
                      <w:rFonts w:hint="eastAsia"/>
                      <w:color w:val="auto"/>
                      <w:sz w:val="18"/>
                      <w:szCs w:val="18"/>
                      <w:lang w:val="en-US" w:eastAsia="zh-CN"/>
                    </w:rPr>
                    <w:t>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pacing w:line="240" w:lineRule="atLeast"/>
                    <w:jc w:val="center"/>
                    <w:rPr>
                      <w:rFonts w:hint="eastAsia"/>
                      <w:color w:val="auto"/>
                      <w:sz w:val="18"/>
                      <w:szCs w:val="18"/>
                    </w:rPr>
                  </w:pPr>
                  <w:r>
                    <w:rPr>
                      <w:rFonts w:hint="eastAsia"/>
                      <w:color w:val="auto"/>
                      <w:sz w:val="18"/>
                      <w:szCs w:val="18"/>
                    </w:rPr>
                    <w:t>5</w:t>
                  </w:r>
                </w:p>
              </w:tc>
              <w:tc>
                <w:tcPr>
                  <w:tcW w:w="739" w:type="pct"/>
                  <w:noWrap w:val="0"/>
                  <w:vAlign w:val="center"/>
                </w:tcPr>
                <w:p>
                  <w:pPr>
                    <w:adjustRightInd w:val="0"/>
                    <w:snapToGrid w:val="0"/>
                    <w:jc w:val="center"/>
                    <w:rPr>
                      <w:rFonts w:hint="eastAsia" w:ascii="Times New Roman" w:hAnsi="Times New Roman" w:cs="Times New Roman"/>
                      <w:bCs/>
                      <w:color w:val="auto"/>
                      <w:sz w:val="18"/>
                      <w:szCs w:val="18"/>
                    </w:rPr>
                  </w:pPr>
                  <w:r>
                    <w:rPr>
                      <w:rFonts w:hint="eastAsia" w:ascii="Times New Roman" w:hAnsi="Times New Roman" w:cs="Times New Roman"/>
                      <w:bCs/>
                      <w:color w:val="auto"/>
                      <w:sz w:val="18"/>
                      <w:szCs w:val="18"/>
                      <w:lang w:val="en-US" w:eastAsia="zh-CN"/>
                    </w:rPr>
                    <w:t>五金件</w:t>
                  </w:r>
                </w:p>
              </w:tc>
              <w:tc>
                <w:tcPr>
                  <w:tcW w:w="785" w:type="pct"/>
                  <w:noWrap w:val="0"/>
                  <w:vAlign w:val="center"/>
                </w:tcPr>
                <w:p>
                  <w:pPr>
                    <w:jc w:val="center"/>
                    <w:rPr>
                      <w:rFonts w:hint="eastAsia" w:eastAsia="宋体"/>
                      <w:color w:val="auto"/>
                      <w:sz w:val="18"/>
                      <w:szCs w:val="18"/>
                      <w:lang w:eastAsia="zh-CN"/>
                    </w:rPr>
                  </w:pPr>
                  <w:r>
                    <w:rPr>
                      <w:rFonts w:hint="eastAsia"/>
                      <w:color w:val="auto"/>
                      <w:sz w:val="18"/>
                      <w:szCs w:val="18"/>
                      <w:lang w:val="en-US" w:eastAsia="zh-CN"/>
                    </w:rPr>
                    <w:t>/</w:t>
                  </w:r>
                </w:p>
              </w:tc>
              <w:tc>
                <w:tcPr>
                  <w:tcW w:w="463" w:type="pct"/>
                  <w:noWrap w:val="0"/>
                  <w:vAlign w:val="center"/>
                </w:tcPr>
                <w:p>
                  <w:pPr>
                    <w:spacing w:line="240" w:lineRule="atLeast"/>
                    <w:jc w:val="center"/>
                    <w:rPr>
                      <w:color w:val="auto"/>
                      <w:sz w:val="18"/>
                      <w:szCs w:val="18"/>
                    </w:rPr>
                  </w:pPr>
                  <w:r>
                    <w:rPr>
                      <w:color w:val="auto"/>
                      <w:sz w:val="18"/>
                      <w:szCs w:val="18"/>
                    </w:rPr>
                    <w:t>t/a</w:t>
                  </w:r>
                </w:p>
              </w:tc>
              <w:tc>
                <w:tcPr>
                  <w:tcW w:w="574"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80</w:t>
                  </w:r>
                </w:p>
              </w:tc>
              <w:tc>
                <w:tcPr>
                  <w:tcW w:w="636" w:type="pct"/>
                  <w:noWrap w:val="0"/>
                  <w:vAlign w:val="center"/>
                </w:tcPr>
                <w:p>
                  <w:pPr>
                    <w:spacing w:line="240" w:lineRule="atLeast"/>
                    <w:ind w:left="-105" w:leftChars="-50" w:right="-105" w:rightChars="-50"/>
                    <w:jc w:val="center"/>
                    <w:rPr>
                      <w:rFonts w:hint="eastAsia" w:eastAsia="宋体"/>
                      <w:color w:val="auto"/>
                      <w:sz w:val="18"/>
                      <w:szCs w:val="18"/>
                      <w:lang w:eastAsia="zh-CN"/>
                    </w:rPr>
                  </w:pPr>
                  <w:r>
                    <w:rPr>
                      <w:rFonts w:hint="eastAsia"/>
                      <w:color w:val="auto"/>
                      <w:sz w:val="18"/>
                      <w:szCs w:val="18"/>
                      <w:lang w:val="en-US" w:eastAsia="zh-CN"/>
                    </w:rPr>
                    <w:t>箱装</w:t>
                  </w:r>
                </w:p>
              </w:tc>
              <w:tc>
                <w:tcPr>
                  <w:tcW w:w="599" w:type="pct"/>
                  <w:noWrap w:val="0"/>
                  <w:vAlign w:val="center"/>
                </w:tcPr>
                <w:p>
                  <w:pPr>
                    <w:spacing w:line="240" w:lineRule="atLeast"/>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t</w:t>
                  </w:r>
                </w:p>
              </w:tc>
              <w:tc>
                <w:tcPr>
                  <w:tcW w:w="769" w:type="pct"/>
                  <w:noWrap w:val="0"/>
                  <w:vAlign w:val="center"/>
                </w:tcPr>
                <w:p>
                  <w:pPr>
                    <w:spacing w:line="240" w:lineRule="atLeast"/>
                    <w:ind w:left="-105" w:leftChars="-50" w:right="-105" w:rightChars="-50"/>
                    <w:jc w:val="center"/>
                    <w:rPr>
                      <w:color w:val="auto"/>
                      <w:sz w:val="18"/>
                      <w:szCs w:val="18"/>
                    </w:rPr>
                  </w:pPr>
                  <w:r>
                    <w:rPr>
                      <w:rFonts w:hint="eastAsia"/>
                      <w:color w:val="auto"/>
                      <w:sz w:val="18"/>
                      <w:szCs w:val="18"/>
                      <w:lang w:val="en-US" w:eastAsia="zh-CN"/>
                    </w:rPr>
                    <w:t>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pacing w:line="240" w:lineRule="atLeast"/>
                    <w:jc w:val="center"/>
                    <w:rPr>
                      <w:color w:val="auto"/>
                      <w:sz w:val="18"/>
                      <w:szCs w:val="18"/>
                    </w:rPr>
                  </w:pPr>
                  <w:r>
                    <w:rPr>
                      <w:rFonts w:hint="eastAsia"/>
                      <w:color w:val="auto"/>
                      <w:sz w:val="18"/>
                      <w:szCs w:val="18"/>
                    </w:rPr>
                    <w:t>6</w:t>
                  </w:r>
                </w:p>
              </w:tc>
              <w:tc>
                <w:tcPr>
                  <w:tcW w:w="739" w:type="pct"/>
                  <w:noWrap w:val="0"/>
                  <w:vAlign w:val="center"/>
                </w:tcPr>
                <w:p>
                  <w:pPr>
                    <w:adjustRightInd w:val="0"/>
                    <w:snapToGrid w:val="0"/>
                    <w:jc w:val="center"/>
                    <w:rPr>
                      <w:rFonts w:hint="eastAsia" w:ascii="Times New Roman" w:hAnsi="Times New Roman" w:cs="Times New Roman"/>
                      <w:bCs/>
                      <w:color w:val="auto"/>
                      <w:sz w:val="18"/>
                      <w:szCs w:val="18"/>
                    </w:rPr>
                  </w:pPr>
                  <w:r>
                    <w:rPr>
                      <w:rFonts w:hint="eastAsia" w:ascii="Times New Roman" w:hAnsi="Times New Roman" w:cs="Times New Roman"/>
                      <w:bCs/>
                      <w:color w:val="auto"/>
                      <w:sz w:val="18"/>
                      <w:szCs w:val="18"/>
                      <w:lang w:val="en-US" w:eastAsia="zh-CN"/>
                    </w:rPr>
                    <w:t>电缆电器件</w:t>
                  </w:r>
                </w:p>
              </w:tc>
              <w:tc>
                <w:tcPr>
                  <w:tcW w:w="785" w:type="pct"/>
                  <w:noWrap w:val="0"/>
                  <w:vAlign w:val="center"/>
                </w:tcPr>
                <w:p>
                  <w:pPr>
                    <w:snapToGrid w:val="0"/>
                    <w:spacing w:line="240" w:lineRule="atLeast"/>
                    <w:jc w:val="center"/>
                    <w:rPr>
                      <w:rFonts w:hint="eastAsia" w:eastAsia="宋体"/>
                      <w:color w:val="auto"/>
                      <w:sz w:val="18"/>
                      <w:szCs w:val="18"/>
                      <w:lang w:eastAsia="zh-CN"/>
                    </w:rPr>
                  </w:pPr>
                  <w:r>
                    <w:rPr>
                      <w:rFonts w:hint="eastAsia"/>
                      <w:color w:val="auto"/>
                      <w:sz w:val="18"/>
                      <w:szCs w:val="18"/>
                      <w:lang w:val="en-US" w:eastAsia="zh-CN"/>
                    </w:rPr>
                    <w:t>/</w:t>
                  </w:r>
                </w:p>
              </w:tc>
              <w:tc>
                <w:tcPr>
                  <w:tcW w:w="463" w:type="pct"/>
                  <w:noWrap w:val="0"/>
                  <w:vAlign w:val="center"/>
                </w:tcPr>
                <w:p>
                  <w:pPr>
                    <w:jc w:val="center"/>
                    <w:rPr>
                      <w:color w:val="auto"/>
                    </w:rPr>
                  </w:pPr>
                  <w:r>
                    <w:rPr>
                      <w:color w:val="auto"/>
                      <w:sz w:val="18"/>
                      <w:szCs w:val="18"/>
                    </w:rPr>
                    <w:t>t/a</w:t>
                  </w:r>
                </w:p>
              </w:tc>
              <w:tc>
                <w:tcPr>
                  <w:tcW w:w="574"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50</w:t>
                  </w:r>
                </w:p>
              </w:tc>
              <w:tc>
                <w:tcPr>
                  <w:tcW w:w="636" w:type="pct"/>
                  <w:noWrap w:val="0"/>
                  <w:vAlign w:val="center"/>
                </w:tcPr>
                <w:p>
                  <w:pPr>
                    <w:jc w:val="center"/>
                    <w:rPr>
                      <w:color w:val="auto"/>
                    </w:rPr>
                  </w:pPr>
                  <w:r>
                    <w:rPr>
                      <w:color w:val="auto"/>
                      <w:sz w:val="18"/>
                      <w:szCs w:val="18"/>
                    </w:rPr>
                    <w:t>袋装</w:t>
                  </w:r>
                </w:p>
              </w:tc>
              <w:tc>
                <w:tcPr>
                  <w:tcW w:w="599" w:type="pct"/>
                  <w:noWrap w:val="0"/>
                  <w:vAlign w:val="center"/>
                </w:tcPr>
                <w:p>
                  <w:pPr>
                    <w:spacing w:line="240" w:lineRule="atLeast"/>
                    <w:jc w:val="center"/>
                    <w:rPr>
                      <w:color w:val="auto"/>
                      <w:sz w:val="18"/>
                      <w:szCs w:val="18"/>
                    </w:rPr>
                  </w:pPr>
                  <w:r>
                    <w:rPr>
                      <w:rFonts w:hint="eastAsia"/>
                      <w:color w:val="auto"/>
                      <w:sz w:val="18"/>
                      <w:szCs w:val="18"/>
                      <w:lang w:val="en-US" w:eastAsia="zh-CN"/>
                    </w:rPr>
                    <w:t>5</w:t>
                  </w:r>
                  <w:r>
                    <w:rPr>
                      <w:color w:val="auto"/>
                      <w:sz w:val="18"/>
                      <w:szCs w:val="18"/>
                    </w:rPr>
                    <w:t>t</w:t>
                  </w:r>
                </w:p>
              </w:tc>
              <w:tc>
                <w:tcPr>
                  <w:tcW w:w="769" w:type="pct"/>
                  <w:noWrap w:val="0"/>
                  <w:vAlign w:val="center"/>
                </w:tcPr>
                <w:p>
                  <w:pPr>
                    <w:spacing w:line="240" w:lineRule="atLeast"/>
                    <w:ind w:left="-105" w:leftChars="-50" w:right="-105" w:rightChars="-50"/>
                    <w:jc w:val="center"/>
                    <w:rPr>
                      <w:color w:val="auto"/>
                      <w:sz w:val="18"/>
                      <w:szCs w:val="18"/>
                    </w:rPr>
                  </w:pPr>
                  <w:r>
                    <w:rPr>
                      <w:rFonts w:hint="eastAsia"/>
                      <w:color w:val="auto"/>
                      <w:sz w:val="18"/>
                      <w:szCs w:val="18"/>
                      <w:lang w:val="en-US" w:eastAsia="zh-CN"/>
                    </w:rPr>
                    <w:t>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pacing w:line="240" w:lineRule="atLeast"/>
                    <w:jc w:val="center"/>
                    <w:rPr>
                      <w:rFonts w:hint="eastAsia"/>
                      <w:color w:val="auto"/>
                      <w:sz w:val="18"/>
                      <w:szCs w:val="18"/>
                    </w:rPr>
                  </w:pPr>
                  <w:r>
                    <w:rPr>
                      <w:rFonts w:hint="eastAsia"/>
                      <w:color w:val="auto"/>
                      <w:sz w:val="18"/>
                      <w:szCs w:val="18"/>
                    </w:rPr>
                    <w:t>7</w:t>
                  </w:r>
                </w:p>
              </w:tc>
              <w:tc>
                <w:tcPr>
                  <w:tcW w:w="739" w:type="pct"/>
                  <w:noWrap w:val="0"/>
                  <w:vAlign w:val="center"/>
                </w:tcPr>
                <w:p>
                  <w:pPr>
                    <w:adjustRightInd w:val="0"/>
                    <w:snapToGrid w:val="0"/>
                    <w:jc w:val="center"/>
                    <w:rPr>
                      <w:rFonts w:hint="eastAsia" w:ascii="Times New Roman" w:hAnsi="Times New Roman" w:cs="Times New Roman"/>
                      <w:bCs/>
                      <w:color w:val="auto"/>
                      <w:sz w:val="18"/>
                      <w:szCs w:val="18"/>
                    </w:rPr>
                  </w:pPr>
                  <w:r>
                    <w:rPr>
                      <w:rFonts w:hint="eastAsia" w:ascii="Times New Roman" w:hAnsi="Times New Roman" w:cs="Times New Roman"/>
                      <w:bCs/>
                      <w:color w:val="auto"/>
                      <w:sz w:val="18"/>
                      <w:szCs w:val="18"/>
                      <w:lang w:val="en-US" w:eastAsia="zh-CN"/>
                    </w:rPr>
                    <w:t>氩气</w:t>
                  </w:r>
                </w:p>
              </w:tc>
              <w:tc>
                <w:tcPr>
                  <w:tcW w:w="785" w:type="pct"/>
                  <w:noWrap w:val="0"/>
                  <w:vAlign w:val="center"/>
                </w:tcPr>
                <w:p>
                  <w:pPr>
                    <w:snapToGrid w:val="0"/>
                    <w:spacing w:line="240" w:lineRule="atLeast"/>
                    <w:jc w:val="center"/>
                    <w:rPr>
                      <w:rFonts w:hint="default" w:eastAsia="宋体"/>
                      <w:color w:val="auto"/>
                      <w:sz w:val="18"/>
                      <w:szCs w:val="18"/>
                      <w:lang w:val="en-US" w:eastAsia="zh-CN"/>
                    </w:rPr>
                  </w:pPr>
                  <w:r>
                    <w:rPr>
                      <w:rFonts w:hint="eastAsia"/>
                      <w:color w:val="auto"/>
                      <w:sz w:val="18"/>
                      <w:szCs w:val="18"/>
                      <w:lang w:val="en-US" w:eastAsia="zh-CN"/>
                    </w:rPr>
                    <w:t>40L/瓶</w:t>
                  </w:r>
                </w:p>
              </w:tc>
              <w:tc>
                <w:tcPr>
                  <w:tcW w:w="463" w:type="pct"/>
                  <w:noWrap w:val="0"/>
                  <w:vAlign w:val="center"/>
                </w:tcPr>
                <w:p>
                  <w:pPr>
                    <w:jc w:val="center"/>
                    <w:rPr>
                      <w:rFonts w:hint="eastAsia" w:eastAsia="宋体"/>
                      <w:color w:val="auto"/>
                      <w:sz w:val="18"/>
                      <w:szCs w:val="18"/>
                      <w:lang w:val="en-US" w:eastAsia="zh-CN"/>
                    </w:rPr>
                  </w:pPr>
                  <w:r>
                    <w:rPr>
                      <w:rFonts w:hint="eastAsia"/>
                      <w:color w:val="auto"/>
                      <w:sz w:val="18"/>
                      <w:szCs w:val="18"/>
                      <w:lang w:val="en-US" w:eastAsia="zh-CN"/>
                    </w:rPr>
                    <w:t>瓶</w:t>
                  </w:r>
                </w:p>
              </w:tc>
              <w:tc>
                <w:tcPr>
                  <w:tcW w:w="574"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500</w:t>
                  </w:r>
                </w:p>
              </w:tc>
              <w:tc>
                <w:tcPr>
                  <w:tcW w:w="636" w:type="pct"/>
                  <w:noWrap w:val="0"/>
                  <w:vAlign w:val="center"/>
                </w:tcPr>
                <w:p>
                  <w:pPr>
                    <w:jc w:val="center"/>
                    <w:rPr>
                      <w:color w:val="auto"/>
                      <w:sz w:val="18"/>
                      <w:szCs w:val="18"/>
                    </w:rPr>
                  </w:pPr>
                  <w:r>
                    <w:rPr>
                      <w:rFonts w:hint="eastAsia"/>
                      <w:color w:val="auto"/>
                      <w:sz w:val="18"/>
                      <w:szCs w:val="18"/>
                      <w:lang w:val="en-US" w:eastAsia="zh-CN"/>
                    </w:rPr>
                    <w:t>瓶</w:t>
                  </w:r>
                  <w:r>
                    <w:rPr>
                      <w:rFonts w:hint="eastAsia"/>
                      <w:color w:val="auto"/>
                      <w:sz w:val="18"/>
                      <w:szCs w:val="18"/>
                    </w:rPr>
                    <w:t>装</w:t>
                  </w:r>
                </w:p>
              </w:tc>
              <w:tc>
                <w:tcPr>
                  <w:tcW w:w="599"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50</w:t>
                  </w:r>
                </w:p>
              </w:tc>
              <w:tc>
                <w:tcPr>
                  <w:tcW w:w="769" w:type="pct"/>
                  <w:noWrap w:val="0"/>
                  <w:vAlign w:val="center"/>
                </w:tcPr>
                <w:p>
                  <w:pPr>
                    <w:spacing w:line="240" w:lineRule="atLeast"/>
                    <w:ind w:left="-105" w:leftChars="-50" w:right="-105" w:rightChars="-50"/>
                    <w:jc w:val="center"/>
                    <w:rPr>
                      <w:rFonts w:hint="default" w:eastAsia="宋体"/>
                      <w:color w:val="auto"/>
                      <w:sz w:val="18"/>
                      <w:szCs w:val="18"/>
                      <w:lang w:val="en-US" w:eastAsia="zh-CN"/>
                    </w:rPr>
                  </w:pPr>
                  <w:r>
                    <w:rPr>
                      <w:rFonts w:hint="eastAsia"/>
                      <w:color w:val="auto"/>
                      <w:sz w:val="18"/>
                      <w:szCs w:val="18"/>
                      <w:lang w:val="en-US" w:eastAsia="zh-CN"/>
                    </w:rPr>
                    <w:t>调试用气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pacing w:line="240" w:lineRule="atLeast"/>
                    <w:jc w:val="center"/>
                    <w:rPr>
                      <w:color w:val="auto"/>
                      <w:sz w:val="18"/>
                      <w:szCs w:val="18"/>
                    </w:rPr>
                  </w:pPr>
                  <w:r>
                    <w:rPr>
                      <w:rFonts w:hint="eastAsia"/>
                      <w:color w:val="auto"/>
                      <w:sz w:val="18"/>
                      <w:szCs w:val="18"/>
                    </w:rPr>
                    <w:t>8</w:t>
                  </w:r>
                </w:p>
              </w:tc>
              <w:tc>
                <w:tcPr>
                  <w:tcW w:w="739" w:type="pct"/>
                  <w:noWrap w:val="0"/>
                  <w:vAlign w:val="center"/>
                </w:tcPr>
                <w:p>
                  <w:pPr>
                    <w:adjustRightInd w:val="0"/>
                    <w:snapToGrid w:val="0"/>
                    <w:jc w:val="center"/>
                    <w:rPr>
                      <w:rFonts w:hint="eastAsia" w:ascii="Times New Roman" w:hAnsi="Times New Roman" w:cs="Times New Roman"/>
                      <w:bCs/>
                      <w:color w:val="auto"/>
                      <w:sz w:val="18"/>
                      <w:szCs w:val="18"/>
                    </w:rPr>
                  </w:pPr>
                  <w:r>
                    <w:rPr>
                      <w:rFonts w:hint="eastAsia" w:ascii="Times New Roman" w:hAnsi="Times New Roman" w:cs="Times New Roman"/>
                      <w:bCs/>
                      <w:color w:val="auto"/>
                      <w:sz w:val="18"/>
                      <w:szCs w:val="18"/>
                      <w:lang w:val="en-US" w:eastAsia="zh-CN"/>
                    </w:rPr>
                    <w:t>氮气</w:t>
                  </w:r>
                </w:p>
              </w:tc>
              <w:tc>
                <w:tcPr>
                  <w:tcW w:w="785" w:type="pct"/>
                  <w:noWrap w:val="0"/>
                  <w:vAlign w:val="center"/>
                </w:tcPr>
                <w:p>
                  <w:pPr>
                    <w:snapToGrid w:val="0"/>
                    <w:spacing w:line="240" w:lineRule="atLeast"/>
                    <w:jc w:val="center"/>
                    <w:rPr>
                      <w:rFonts w:hint="eastAsia"/>
                      <w:color w:val="auto"/>
                      <w:sz w:val="18"/>
                      <w:szCs w:val="18"/>
                    </w:rPr>
                  </w:pPr>
                  <w:r>
                    <w:rPr>
                      <w:rFonts w:hint="eastAsia"/>
                      <w:color w:val="auto"/>
                      <w:sz w:val="18"/>
                      <w:szCs w:val="18"/>
                      <w:lang w:val="en-US" w:eastAsia="zh-CN"/>
                    </w:rPr>
                    <w:t>40L/瓶</w:t>
                  </w:r>
                </w:p>
              </w:tc>
              <w:tc>
                <w:tcPr>
                  <w:tcW w:w="463" w:type="pct"/>
                  <w:noWrap w:val="0"/>
                  <w:vAlign w:val="center"/>
                </w:tcPr>
                <w:p>
                  <w:pPr>
                    <w:jc w:val="center"/>
                    <w:rPr>
                      <w:color w:val="auto"/>
                      <w:sz w:val="18"/>
                      <w:szCs w:val="18"/>
                    </w:rPr>
                  </w:pPr>
                  <w:r>
                    <w:rPr>
                      <w:rFonts w:hint="eastAsia"/>
                      <w:color w:val="auto"/>
                      <w:sz w:val="18"/>
                      <w:szCs w:val="18"/>
                      <w:lang w:val="en-US" w:eastAsia="zh-CN"/>
                    </w:rPr>
                    <w:t>瓶</w:t>
                  </w:r>
                </w:p>
              </w:tc>
              <w:tc>
                <w:tcPr>
                  <w:tcW w:w="574"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150</w:t>
                  </w:r>
                </w:p>
              </w:tc>
              <w:tc>
                <w:tcPr>
                  <w:tcW w:w="636" w:type="pct"/>
                  <w:noWrap w:val="0"/>
                  <w:vAlign w:val="center"/>
                </w:tcPr>
                <w:p>
                  <w:pPr>
                    <w:jc w:val="center"/>
                    <w:rPr>
                      <w:color w:val="auto"/>
                      <w:sz w:val="18"/>
                      <w:szCs w:val="18"/>
                    </w:rPr>
                  </w:pPr>
                  <w:r>
                    <w:rPr>
                      <w:rFonts w:hint="eastAsia"/>
                      <w:color w:val="auto"/>
                      <w:sz w:val="18"/>
                      <w:szCs w:val="18"/>
                      <w:lang w:val="en-US" w:eastAsia="zh-CN"/>
                    </w:rPr>
                    <w:t>瓶</w:t>
                  </w:r>
                  <w:r>
                    <w:rPr>
                      <w:rFonts w:hint="eastAsia"/>
                      <w:color w:val="auto"/>
                      <w:sz w:val="18"/>
                      <w:szCs w:val="18"/>
                    </w:rPr>
                    <w:t>装</w:t>
                  </w:r>
                </w:p>
              </w:tc>
              <w:tc>
                <w:tcPr>
                  <w:tcW w:w="599"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15</w:t>
                  </w:r>
                </w:p>
              </w:tc>
              <w:tc>
                <w:tcPr>
                  <w:tcW w:w="769" w:type="pct"/>
                  <w:noWrap w:val="0"/>
                  <w:vAlign w:val="center"/>
                </w:tcPr>
                <w:p>
                  <w:pPr>
                    <w:spacing w:line="240" w:lineRule="atLeast"/>
                    <w:ind w:left="-105" w:leftChars="-50" w:right="-105" w:rightChars="-50"/>
                    <w:jc w:val="center"/>
                    <w:rPr>
                      <w:rFonts w:hint="eastAsia"/>
                      <w:color w:val="auto"/>
                      <w:sz w:val="18"/>
                      <w:szCs w:val="18"/>
                    </w:rPr>
                  </w:pPr>
                  <w:r>
                    <w:rPr>
                      <w:rFonts w:hint="eastAsia"/>
                      <w:color w:val="auto"/>
                      <w:sz w:val="18"/>
                      <w:szCs w:val="18"/>
                      <w:lang w:val="en-US" w:eastAsia="zh-CN"/>
                    </w:rPr>
                    <w:t>调试用气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napToGrid w:val="0"/>
                    <w:spacing w:line="240" w:lineRule="atLeast"/>
                    <w:jc w:val="center"/>
                    <w:rPr>
                      <w:color w:val="auto"/>
                      <w:sz w:val="18"/>
                      <w:szCs w:val="18"/>
                    </w:rPr>
                  </w:pPr>
                  <w:r>
                    <w:rPr>
                      <w:rFonts w:hint="eastAsia"/>
                      <w:color w:val="auto"/>
                      <w:sz w:val="18"/>
                      <w:szCs w:val="18"/>
                    </w:rPr>
                    <w:t>9</w:t>
                  </w:r>
                </w:p>
              </w:tc>
              <w:tc>
                <w:tcPr>
                  <w:tcW w:w="739" w:type="pct"/>
                  <w:noWrap w:val="0"/>
                  <w:vAlign w:val="center"/>
                </w:tcPr>
                <w:p>
                  <w:pPr>
                    <w:adjustRightInd w:val="0"/>
                    <w:snapToGrid w:val="0"/>
                    <w:jc w:val="center"/>
                    <w:rPr>
                      <w:rFonts w:hint="eastAsia" w:ascii="Times New Roman" w:hAnsi="Times New Roman" w:cs="Times New Roman"/>
                      <w:bCs/>
                      <w:color w:val="auto"/>
                      <w:sz w:val="18"/>
                      <w:szCs w:val="18"/>
                    </w:rPr>
                  </w:pPr>
                  <w:r>
                    <w:rPr>
                      <w:rFonts w:hint="eastAsia" w:ascii="Times New Roman" w:hAnsi="Times New Roman" w:cs="Times New Roman"/>
                      <w:bCs/>
                      <w:color w:val="auto"/>
                      <w:sz w:val="18"/>
                      <w:szCs w:val="18"/>
                      <w:lang w:val="en-US" w:eastAsia="zh-CN"/>
                    </w:rPr>
                    <w:t>氧气</w:t>
                  </w:r>
                </w:p>
              </w:tc>
              <w:tc>
                <w:tcPr>
                  <w:tcW w:w="785" w:type="pct"/>
                  <w:noWrap w:val="0"/>
                  <w:vAlign w:val="center"/>
                </w:tcPr>
                <w:p>
                  <w:pPr>
                    <w:jc w:val="center"/>
                    <w:rPr>
                      <w:color w:val="auto"/>
                    </w:rPr>
                  </w:pPr>
                  <w:r>
                    <w:rPr>
                      <w:rFonts w:hint="eastAsia"/>
                      <w:color w:val="auto"/>
                      <w:sz w:val="18"/>
                      <w:szCs w:val="18"/>
                      <w:lang w:val="en-US" w:eastAsia="zh-CN"/>
                    </w:rPr>
                    <w:t>瓶装40L/瓶</w:t>
                  </w:r>
                </w:p>
              </w:tc>
              <w:tc>
                <w:tcPr>
                  <w:tcW w:w="463" w:type="pct"/>
                  <w:noWrap w:val="0"/>
                  <w:vAlign w:val="center"/>
                </w:tcPr>
                <w:p>
                  <w:pPr>
                    <w:jc w:val="center"/>
                    <w:rPr>
                      <w:color w:val="auto"/>
                    </w:rPr>
                  </w:pPr>
                  <w:r>
                    <w:rPr>
                      <w:color w:val="auto"/>
                      <w:sz w:val="18"/>
                      <w:szCs w:val="18"/>
                    </w:rPr>
                    <w:t>t/a</w:t>
                  </w:r>
                </w:p>
              </w:tc>
              <w:tc>
                <w:tcPr>
                  <w:tcW w:w="574" w:type="pct"/>
                  <w:noWrap w:val="0"/>
                  <w:vAlign w:val="center"/>
                </w:tcPr>
                <w:p>
                  <w:pPr>
                    <w:spacing w:line="240" w:lineRule="atLeast"/>
                    <w:jc w:val="center"/>
                    <w:rPr>
                      <w:color w:val="auto"/>
                      <w:sz w:val="18"/>
                      <w:szCs w:val="18"/>
                    </w:rPr>
                  </w:pPr>
                  <w:r>
                    <w:rPr>
                      <w:rFonts w:hint="eastAsia"/>
                      <w:color w:val="auto"/>
                      <w:sz w:val="18"/>
                      <w:szCs w:val="18"/>
                    </w:rPr>
                    <w:t>0</w:t>
                  </w:r>
                </w:p>
              </w:tc>
              <w:tc>
                <w:tcPr>
                  <w:tcW w:w="636" w:type="pct"/>
                  <w:noWrap w:val="0"/>
                  <w:vAlign w:val="center"/>
                </w:tcPr>
                <w:p>
                  <w:pPr>
                    <w:jc w:val="center"/>
                    <w:rPr>
                      <w:color w:val="auto"/>
                      <w:sz w:val="18"/>
                      <w:szCs w:val="18"/>
                    </w:rPr>
                  </w:pPr>
                  <w:r>
                    <w:rPr>
                      <w:rFonts w:hint="eastAsia"/>
                      <w:color w:val="auto"/>
                      <w:sz w:val="18"/>
                      <w:szCs w:val="18"/>
                    </w:rPr>
                    <w:t>桶装</w:t>
                  </w:r>
                </w:p>
              </w:tc>
              <w:tc>
                <w:tcPr>
                  <w:tcW w:w="599" w:type="pct"/>
                  <w:noWrap w:val="0"/>
                  <w:vAlign w:val="center"/>
                </w:tcPr>
                <w:p>
                  <w:pPr>
                    <w:spacing w:line="240" w:lineRule="atLeast"/>
                    <w:jc w:val="center"/>
                    <w:rPr>
                      <w:rFonts w:hint="eastAsia"/>
                      <w:color w:val="auto"/>
                      <w:sz w:val="18"/>
                      <w:szCs w:val="18"/>
                    </w:rPr>
                  </w:pPr>
                  <w:r>
                    <w:rPr>
                      <w:rFonts w:hint="eastAsia"/>
                      <w:color w:val="auto"/>
                      <w:sz w:val="18"/>
                      <w:szCs w:val="18"/>
                    </w:rPr>
                    <w:t>0.5</w:t>
                  </w:r>
                  <w:r>
                    <w:rPr>
                      <w:color w:val="auto"/>
                      <w:sz w:val="18"/>
                      <w:szCs w:val="18"/>
                    </w:rPr>
                    <w:t>t</w:t>
                  </w:r>
                </w:p>
              </w:tc>
              <w:tc>
                <w:tcPr>
                  <w:tcW w:w="769" w:type="pct"/>
                  <w:noWrap w:val="0"/>
                  <w:vAlign w:val="center"/>
                </w:tcPr>
                <w:p>
                  <w:pPr>
                    <w:spacing w:line="240" w:lineRule="atLeast"/>
                    <w:ind w:left="-105" w:leftChars="-50" w:right="-105" w:rightChars="-50"/>
                    <w:jc w:val="center"/>
                    <w:rPr>
                      <w:color w:val="auto"/>
                      <w:sz w:val="18"/>
                      <w:szCs w:val="18"/>
                    </w:rPr>
                  </w:pPr>
                  <w:r>
                    <w:rPr>
                      <w:rFonts w:hint="eastAsia"/>
                      <w:color w:val="auto"/>
                      <w:sz w:val="18"/>
                      <w:szCs w:val="18"/>
                      <w:lang w:val="en-US" w:eastAsia="zh-CN"/>
                    </w:rPr>
                    <w:t>焊接用气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napToGrid w:val="0"/>
                    <w:spacing w:line="240" w:lineRule="atLeast"/>
                    <w:jc w:val="center"/>
                    <w:rPr>
                      <w:rFonts w:hint="default" w:eastAsia="宋体"/>
                      <w:color w:val="auto"/>
                      <w:sz w:val="18"/>
                      <w:szCs w:val="18"/>
                      <w:lang w:val="en-US" w:eastAsia="zh-CN"/>
                    </w:rPr>
                  </w:pPr>
                  <w:r>
                    <w:rPr>
                      <w:rFonts w:hint="eastAsia"/>
                      <w:color w:val="auto"/>
                      <w:sz w:val="18"/>
                      <w:szCs w:val="18"/>
                      <w:lang w:val="en-US" w:eastAsia="zh-CN"/>
                    </w:rPr>
                    <w:t>10</w:t>
                  </w:r>
                </w:p>
              </w:tc>
              <w:tc>
                <w:tcPr>
                  <w:tcW w:w="739" w:type="pct"/>
                  <w:noWrap w:val="0"/>
                  <w:vAlign w:val="center"/>
                </w:tcPr>
                <w:p>
                  <w:pPr>
                    <w:adjustRightInd w:val="0"/>
                    <w:snapToGrid w:val="0"/>
                    <w:jc w:val="center"/>
                    <w:rPr>
                      <w:rFonts w:hint="default" w:ascii="Times New Roman" w:hAnsi="Times New Roman" w:cs="Times New Roman"/>
                      <w:bCs/>
                      <w:color w:val="auto"/>
                      <w:sz w:val="18"/>
                      <w:szCs w:val="18"/>
                      <w:lang w:val="en-US" w:eastAsia="zh-CN"/>
                    </w:rPr>
                  </w:pPr>
                  <w:r>
                    <w:rPr>
                      <w:rFonts w:hint="eastAsia" w:ascii="Times New Roman" w:hAnsi="Times New Roman" w:cs="Times New Roman"/>
                      <w:bCs/>
                      <w:color w:val="auto"/>
                      <w:sz w:val="18"/>
                      <w:szCs w:val="18"/>
                      <w:lang w:val="en-US" w:eastAsia="zh-CN"/>
                    </w:rPr>
                    <w:t>PP胶条</w:t>
                  </w:r>
                </w:p>
              </w:tc>
              <w:tc>
                <w:tcPr>
                  <w:tcW w:w="785" w:type="pct"/>
                  <w:noWrap w:val="0"/>
                  <w:vAlign w:val="center"/>
                </w:tcPr>
                <w:p>
                  <w:pPr>
                    <w:jc w:val="center"/>
                    <w:rPr>
                      <w:rFonts w:hint="default"/>
                      <w:color w:val="auto"/>
                      <w:sz w:val="18"/>
                      <w:szCs w:val="18"/>
                      <w:lang w:val="en-US" w:eastAsia="zh-CN"/>
                    </w:rPr>
                  </w:pPr>
                  <w:r>
                    <w:rPr>
                      <w:rFonts w:hint="eastAsia"/>
                      <w:color w:val="auto"/>
                      <w:sz w:val="18"/>
                      <w:szCs w:val="18"/>
                      <w:lang w:val="en-US" w:eastAsia="zh-CN"/>
                    </w:rPr>
                    <w:t>5kg/包</w:t>
                  </w:r>
                </w:p>
              </w:tc>
              <w:tc>
                <w:tcPr>
                  <w:tcW w:w="463" w:type="pct"/>
                  <w:noWrap w:val="0"/>
                  <w:vAlign w:val="center"/>
                </w:tcPr>
                <w:p>
                  <w:pPr>
                    <w:jc w:val="center"/>
                    <w:rPr>
                      <w:color w:val="auto"/>
                      <w:sz w:val="18"/>
                      <w:szCs w:val="18"/>
                    </w:rPr>
                  </w:pPr>
                  <w:r>
                    <w:rPr>
                      <w:color w:val="auto"/>
                      <w:sz w:val="18"/>
                      <w:szCs w:val="18"/>
                    </w:rPr>
                    <w:t>t/a</w:t>
                  </w:r>
                </w:p>
              </w:tc>
              <w:tc>
                <w:tcPr>
                  <w:tcW w:w="574" w:type="pct"/>
                  <w:noWrap w:val="0"/>
                  <w:vAlign w:val="center"/>
                </w:tcPr>
                <w:p>
                  <w:pPr>
                    <w:spacing w:line="240" w:lineRule="atLeast"/>
                    <w:jc w:val="center"/>
                    <w:rPr>
                      <w:rFonts w:hint="eastAsia" w:eastAsia="宋体"/>
                      <w:color w:val="auto"/>
                      <w:sz w:val="18"/>
                      <w:szCs w:val="18"/>
                      <w:lang w:val="en-US" w:eastAsia="zh-CN"/>
                    </w:rPr>
                  </w:pPr>
                  <w:r>
                    <w:rPr>
                      <w:rFonts w:hint="eastAsia"/>
                      <w:color w:val="auto"/>
                      <w:sz w:val="18"/>
                      <w:szCs w:val="18"/>
                      <w:lang w:val="en-US" w:eastAsia="zh-CN"/>
                    </w:rPr>
                    <w:t>8</w:t>
                  </w:r>
                </w:p>
              </w:tc>
              <w:tc>
                <w:tcPr>
                  <w:tcW w:w="636" w:type="pct"/>
                  <w:noWrap w:val="0"/>
                  <w:vAlign w:val="center"/>
                </w:tcPr>
                <w:p>
                  <w:pPr>
                    <w:jc w:val="center"/>
                    <w:rPr>
                      <w:rFonts w:hint="eastAsia"/>
                      <w:color w:val="auto"/>
                      <w:sz w:val="18"/>
                      <w:szCs w:val="18"/>
                    </w:rPr>
                  </w:pPr>
                  <w:r>
                    <w:rPr>
                      <w:rFonts w:hint="eastAsia"/>
                      <w:color w:val="auto"/>
                      <w:sz w:val="18"/>
                      <w:szCs w:val="18"/>
                      <w:lang w:val="en-US" w:eastAsia="zh-CN"/>
                    </w:rPr>
                    <w:t>袋装</w:t>
                  </w:r>
                </w:p>
              </w:tc>
              <w:tc>
                <w:tcPr>
                  <w:tcW w:w="599" w:type="pct"/>
                  <w:noWrap w:val="0"/>
                  <w:vAlign w:val="center"/>
                </w:tcPr>
                <w:p>
                  <w:pPr>
                    <w:spacing w:line="240" w:lineRule="atLeast"/>
                    <w:jc w:val="center"/>
                    <w:rPr>
                      <w:rFonts w:hint="eastAsia" w:eastAsia="宋体"/>
                      <w:color w:val="auto"/>
                      <w:sz w:val="18"/>
                      <w:szCs w:val="18"/>
                      <w:lang w:val="en-US" w:eastAsia="zh-CN"/>
                    </w:rPr>
                  </w:pPr>
                  <w:r>
                    <w:rPr>
                      <w:rFonts w:hint="eastAsia"/>
                      <w:color w:val="auto"/>
                      <w:sz w:val="18"/>
                      <w:szCs w:val="18"/>
                      <w:lang w:val="en-US" w:eastAsia="zh-CN"/>
                    </w:rPr>
                    <w:t>1</w:t>
                  </w:r>
                  <w:r>
                    <w:rPr>
                      <w:color w:val="auto"/>
                      <w:sz w:val="18"/>
                      <w:szCs w:val="18"/>
                    </w:rPr>
                    <w:t>t</w:t>
                  </w:r>
                </w:p>
              </w:tc>
              <w:tc>
                <w:tcPr>
                  <w:tcW w:w="769" w:type="pct"/>
                  <w:noWrap w:val="0"/>
                  <w:vAlign w:val="center"/>
                </w:tcPr>
                <w:p>
                  <w:pPr>
                    <w:spacing w:line="240" w:lineRule="atLeast"/>
                    <w:ind w:left="-105" w:leftChars="-50" w:right="-105" w:rightChars="-50"/>
                    <w:jc w:val="center"/>
                    <w:rPr>
                      <w:rFonts w:hint="default"/>
                      <w:color w:val="auto"/>
                      <w:sz w:val="18"/>
                      <w:szCs w:val="18"/>
                      <w:lang w:val="en-US" w:eastAsia="zh-CN"/>
                    </w:rPr>
                  </w:pPr>
                  <w:r>
                    <w:rPr>
                      <w:rFonts w:hint="eastAsia"/>
                      <w:color w:val="auto"/>
                      <w:sz w:val="18"/>
                      <w:szCs w:val="18"/>
                      <w:lang w:val="en-US" w:eastAsia="zh-CN"/>
                    </w:rPr>
                    <w:t>塑料焊接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napToGrid w:val="0"/>
                    <w:spacing w:line="240" w:lineRule="atLeast"/>
                    <w:jc w:val="center"/>
                    <w:rPr>
                      <w:rFonts w:hint="eastAsia" w:eastAsia="宋体"/>
                      <w:color w:val="auto"/>
                      <w:sz w:val="18"/>
                      <w:szCs w:val="18"/>
                      <w:lang w:eastAsia="zh-CN"/>
                    </w:rPr>
                  </w:pPr>
                  <w:r>
                    <w:rPr>
                      <w:rFonts w:hint="eastAsia"/>
                      <w:color w:val="auto"/>
                      <w:sz w:val="18"/>
                      <w:szCs w:val="18"/>
                    </w:rPr>
                    <w:t>1</w:t>
                  </w:r>
                  <w:r>
                    <w:rPr>
                      <w:rFonts w:hint="eastAsia"/>
                      <w:color w:val="auto"/>
                      <w:sz w:val="18"/>
                      <w:szCs w:val="18"/>
                      <w:lang w:val="en-US" w:eastAsia="zh-CN"/>
                    </w:rPr>
                    <w:t>1</w:t>
                  </w:r>
                </w:p>
              </w:tc>
              <w:tc>
                <w:tcPr>
                  <w:tcW w:w="739" w:type="pct"/>
                  <w:noWrap w:val="0"/>
                  <w:vAlign w:val="center"/>
                </w:tcPr>
                <w:p>
                  <w:pPr>
                    <w:adjustRightInd w:val="0"/>
                    <w:snapToGrid w:val="0"/>
                    <w:jc w:val="center"/>
                    <w:rPr>
                      <w:rFonts w:hint="default" w:eastAsia="宋体"/>
                      <w:bCs/>
                      <w:color w:val="auto"/>
                      <w:sz w:val="18"/>
                      <w:szCs w:val="18"/>
                      <w:lang w:val="en-US" w:eastAsia="zh-CN"/>
                    </w:rPr>
                  </w:pPr>
                  <w:r>
                    <w:rPr>
                      <w:rFonts w:hint="eastAsia"/>
                      <w:bCs/>
                      <w:color w:val="auto"/>
                      <w:sz w:val="18"/>
                      <w:szCs w:val="18"/>
                      <w:lang w:val="en-US" w:eastAsia="zh-CN"/>
                    </w:rPr>
                    <w:t>液压油</w:t>
                  </w:r>
                </w:p>
              </w:tc>
              <w:tc>
                <w:tcPr>
                  <w:tcW w:w="785" w:type="pct"/>
                  <w:noWrap w:val="0"/>
                  <w:vAlign w:val="center"/>
                </w:tcPr>
                <w:p>
                  <w:pPr>
                    <w:jc w:val="center"/>
                    <w:rPr>
                      <w:color w:val="auto"/>
                    </w:rPr>
                  </w:pPr>
                  <w:r>
                    <w:rPr>
                      <w:rFonts w:hint="eastAsia"/>
                      <w:color w:val="auto"/>
                      <w:sz w:val="18"/>
                      <w:szCs w:val="18"/>
                      <w:lang w:val="en-US" w:eastAsia="zh-CN"/>
                    </w:rPr>
                    <w:t>18L/桶 液体</w:t>
                  </w:r>
                </w:p>
              </w:tc>
              <w:tc>
                <w:tcPr>
                  <w:tcW w:w="463" w:type="pct"/>
                  <w:noWrap w:val="0"/>
                  <w:vAlign w:val="center"/>
                </w:tcPr>
                <w:p>
                  <w:pPr>
                    <w:jc w:val="center"/>
                    <w:rPr>
                      <w:color w:val="auto"/>
                    </w:rPr>
                  </w:pPr>
                  <w:r>
                    <w:rPr>
                      <w:rFonts w:hint="eastAsia"/>
                      <w:color w:val="auto"/>
                      <w:sz w:val="18"/>
                      <w:szCs w:val="18"/>
                      <w:lang w:val="en-US" w:eastAsia="zh-CN"/>
                    </w:rPr>
                    <w:t>L</w:t>
                  </w:r>
                  <w:r>
                    <w:rPr>
                      <w:color w:val="auto"/>
                      <w:sz w:val="18"/>
                      <w:szCs w:val="18"/>
                    </w:rPr>
                    <w:t>/a</w:t>
                  </w:r>
                </w:p>
              </w:tc>
              <w:tc>
                <w:tcPr>
                  <w:tcW w:w="574"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300</w:t>
                  </w:r>
                </w:p>
              </w:tc>
              <w:tc>
                <w:tcPr>
                  <w:tcW w:w="636" w:type="pct"/>
                  <w:noWrap w:val="0"/>
                  <w:vAlign w:val="center"/>
                </w:tcPr>
                <w:p>
                  <w:pPr>
                    <w:jc w:val="center"/>
                    <w:rPr>
                      <w:color w:val="auto"/>
                    </w:rPr>
                  </w:pPr>
                  <w:r>
                    <w:rPr>
                      <w:rFonts w:hint="eastAsia"/>
                      <w:color w:val="auto"/>
                      <w:sz w:val="18"/>
                      <w:szCs w:val="18"/>
                    </w:rPr>
                    <w:t>桶</w:t>
                  </w:r>
                  <w:r>
                    <w:rPr>
                      <w:color w:val="auto"/>
                      <w:sz w:val="18"/>
                      <w:szCs w:val="18"/>
                    </w:rPr>
                    <w:t>装</w:t>
                  </w:r>
                </w:p>
              </w:tc>
              <w:tc>
                <w:tcPr>
                  <w:tcW w:w="599"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90L</w:t>
                  </w:r>
                </w:p>
              </w:tc>
              <w:tc>
                <w:tcPr>
                  <w:tcW w:w="769" w:type="pct"/>
                  <w:noWrap w:val="0"/>
                  <w:vAlign w:val="center"/>
                </w:tcPr>
                <w:p>
                  <w:pPr>
                    <w:spacing w:line="240" w:lineRule="atLeast"/>
                    <w:ind w:left="-105" w:leftChars="-50" w:right="-105" w:rightChars="-50"/>
                    <w:jc w:val="center"/>
                    <w:rPr>
                      <w:rFonts w:hint="default" w:eastAsia="宋体"/>
                      <w:color w:val="FF0000"/>
                      <w:sz w:val="18"/>
                      <w:szCs w:val="18"/>
                      <w:lang w:val="en-US" w:eastAsia="zh-CN"/>
                    </w:rPr>
                  </w:pPr>
                  <w:r>
                    <w:rPr>
                      <w:rFonts w:hint="eastAsia"/>
                      <w:color w:val="auto"/>
                      <w:sz w:val="18"/>
                      <w:szCs w:val="18"/>
                      <w:lang w:val="en-US" w:eastAsia="zh-CN"/>
                    </w:rPr>
                    <w:t>机械润滑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napToGrid w:val="0"/>
                    <w:spacing w:line="240" w:lineRule="atLeast"/>
                    <w:jc w:val="center"/>
                    <w:rPr>
                      <w:rFonts w:hint="eastAsia" w:eastAsia="宋体"/>
                      <w:color w:val="auto"/>
                      <w:sz w:val="18"/>
                      <w:szCs w:val="18"/>
                      <w:lang w:eastAsia="zh-CN"/>
                    </w:rPr>
                  </w:pPr>
                  <w:r>
                    <w:rPr>
                      <w:rFonts w:hint="eastAsia"/>
                      <w:color w:val="auto"/>
                      <w:sz w:val="18"/>
                      <w:szCs w:val="18"/>
                    </w:rPr>
                    <w:t>1</w:t>
                  </w:r>
                  <w:r>
                    <w:rPr>
                      <w:rFonts w:hint="eastAsia"/>
                      <w:color w:val="auto"/>
                      <w:sz w:val="18"/>
                      <w:szCs w:val="18"/>
                      <w:lang w:val="en-US" w:eastAsia="zh-CN"/>
                    </w:rPr>
                    <w:t>2</w:t>
                  </w:r>
                </w:p>
              </w:tc>
              <w:tc>
                <w:tcPr>
                  <w:tcW w:w="739" w:type="pct"/>
                  <w:noWrap w:val="0"/>
                  <w:vAlign w:val="center"/>
                </w:tcPr>
                <w:p>
                  <w:pPr>
                    <w:adjustRightInd w:val="0"/>
                    <w:snapToGrid w:val="0"/>
                    <w:jc w:val="center"/>
                    <w:rPr>
                      <w:rFonts w:hint="eastAsia" w:eastAsia="宋体"/>
                      <w:bCs/>
                      <w:color w:val="auto"/>
                      <w:sz w:val="18"/>
                      <w:szCs w:val="18"/>
                      <w:lang w:eastAsia="zh-CN"/>
                    </w:rPr>
                  </w:pPr>
                  <w:r>
                    <w:rPr>
                      <w:rFonts w:hint="eastAsia"/>
                      <w:bCs/>
                      <w:color w:val="auto"/>
                      <w:sz w:val="18"/>
                      <w:szCs w:val="18"/>
                      <w:lang w:val="en-US" w:eastAsia="zh-CN"/>
                    </w:rPr>
                    <w:t>柴油</w:t>
                  </w:r>
                </w:p>
              </w:tc>
              <w:tc>
                <w:tcPr>
                  <w:tcW w:w="785" w:type="pct"/>
                  <w:noWrap w:val="0"/>
                  <w:vAlign w:val="center"/>
                </w:tcPr>
                <w:p>
                  <w:pPr>
                    <w:jc w:val="center"/>
                    <w:rPr>
                      <w:color w:val="auto"/>
                    </w:rPr>
                  </w:pPr>
                  <w:r>
                    <w:rPr>
                      <w:rFonts w:hint="eastAsia"/>
                      <w:color w:val="auto"/>
                      <w:sz w:val="18"/>
                      <w:szCs w:val="18"/>
                    </w:rPr>
                    <w:t>液体</w:t>
                  </w:r>
                </w:p>
              </w:tc>
              <w:tc>
                <w:tcPr>
                  <w:tcW w:w="463" w:type="pct"/>
                  <w:noWrap w:val="0"/>
                  <w:vAlign w:val="center"/>
                </w:tcPr>
                <w:p>
                  <w:pPr>
                    <w:jc w:val="center"/>
                    <w:rPr>
                      <w:color w:val="auto"/>
                    </w:rPr>
                  </w:pPr>
                  <w:r>
                    <w:rPr>
                      <w:rFonts w:hint="eastAsia"/>
                      <w:color w:val="auto"/>
                      <w:sz w:val="18"/>
                      <w:szCs w:val="18"/>
                      <w:lang w:val="en-US" w:eastAsia="zh-CN"/>
                    </w:rPr>
                    <w:t>m</w:t>
                  </w:r>
                  <w:r>
                    <w:rPr>
                      <w:rFonts w:hint="eastAsia"/>
                      <w:color w:val="auto"/>
                      <w:sz w:val="18"/>
                      <w:szCs w:val="18"/>
                      <w:vertAlign w:val="superscript"/>
                      <w:lang w:val="en-US" w:eastAsia="zh-CN"/>
                    </w:rPr>
                    <w:t>3</w:t>
                  </w:r>
                  <w:r>
                    <w:rPr>
                      <w:color w:val="auto"/>
                      <w:sz w:val="18"/>
                      <w:szCs w:val="18"/>
                    </w:rPr>
                    <w:t>/a</w:t>
                  </w:r>
                </w:p>
              </w:tc>
              <w:tc>
                <w:tcPr>
                  <w:tcW w:w="574"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0.5</w:t>
                  </w:r>
                </w:p>
              </w:tc>
              <w:tc>
                <w:tcPr>
                  <w:tcW w:w="636"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w:t>
                  </w:r>
                </w:p>
              </w:tc>
              <w:tc>
                <w:tcPr>
                  <w:tcW w:w="599" w:type="pct"/>
                  <w:noWrap w:val="0"/>
                  <w:vAlign w:val="center"/>
                </w:tcPr>
                <w:p>
                  <w:pPr>
                    <w:spacing w:line="240" w:lineRule="atLeast"/>
                    <w:jc w:val="center"/>
                    <w:rPr>
                      <w:rFonts w:hint="eastAsia"/>
                      <w:color w:val="auto"/>
                      <w:sz w:val="18"/>
                      <w:szCs w:val="18"/>
                    </w:rPr>
                  </w:pPr>
                  <w:r>
                    <w:rPr>
                      <w:rFonts w:hint="eastAsia"/>
                      <w:color w:val="auto"/>
                      <w:sz w:val="18"/>
                      <w:szCs w:val="18"/>
                      <w:lang w:val="en-US" w:eastAsia="zh-CN"/>
                    </w:rPr>
                    <w:t>0.5m</w:t>
                  </w:r>
                  <w:r>
                    <w:rPr>
                      <w:rFonts w:hint="eastAsia"/>
                      <w:color w:val="auto"/>
                      <w:sz w:val="18"/>
                      <w:szCs w:val="18"/>
                      <w:vertAlign w:val="superscript"/>
                      <w:lang w:val="en-US" w:eastAsia="zh-CN"/>
                    </w:rPr>
                    <w:t>3</w:t>
                  </w:r>
                </w:p>
              </w:tc>
              <w:tc>
                <w:tcPr>
                  <w:tcW w:w="769" w:type="pct"/>
                  <w:noWrap w:val="0"/>
                  <w:vAlign w:val="center"/>
                </w:tcPr>
                <w:p>
                  <w:pPr>
                    <w:spacing w:line="240" w:lineRule="atLeast"/>
                    <w:ind w:left="-105" w:leftChars="-50" w:right="-105" w:rightChars="-50"/>
                    <w:jc w:val="center"/>
                    <w:rPr>
                      <w:rFonts w:hint="default" w:eastAsia="宋体"/>
                      <w:color w:val="auto"/>
                      <w:sz w:val="18"/>
                      <w:szCs w:val="18"/>
                      <w:lang w:val="en-US" w:eastAsia="zh-CN"/>
                    </w:rPr>
                  </w:pPr>
                  <w:r>
                    <w:rPr>
                      <w:rFonts w:hint="eastAsia"/>
                      <w:color w:val="auto"/>
                      <w:sz w:val="18"/>
                      <w:szCs w:val="18"/>
                      <w:lang w:val="en-US" w:eastAsia="zh-CN"/>
                    </w:rPr>
                    <w:t>柴油机发电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napToGrid w:val="0"/>
                    <w:spacing w:line="240" w:lineRule="atLeast"/>
                    <w:jc w:val="center"/>
                    <w:rPr>
                      <w:rFonts w:hint="default" w:eastAsia="宋体"/>
                      <w:color w:val="auto"/>
                      <w:sz w:val="18"/>
                      <w:szCs w:val="18"/>
                      <w:lang w:val="en-US" w:eastAsia="zh-CN"/>
                    </w:rPr>
                  </w:pPr>
                  <w:r>
                    <w:rPr>
                      <w:rFonts w:hint="eastAsia"/>
                      <w:color w:val="auto"/>
                      <w:sz w:val="18"/>
                      <w:szCs w:val="18"/>
                      <w:lang w:val="en-US" w:eastAsia="zh-CN"/>
                    </w:rPr>
                    <w:t>13</w:t>
                  </w:r>
                </w:p>
              </w:tc>
              <w:tc>
                <w:tcPr>
                  <w:tcW w:w="739" w:type="pct"/>
                  <w:noWrap w:val="0"/>
                  <w:vAlign w:val="center"/>
                </w:tcPr>
                <w:p>
                  <w:pPr>
                    <w:adjustRightInd w:val="0"/>
                    <w:snapToGrid w:val="0"/>
                    <w:jc w:val="center"/>
                    <w:rPr>
                      <w:rFonts w:hint="default"/>
                      <w:bCs/>
                      <w:color w:val="auto"/>
                      <w:sz w:val="18"/>
                      <w:szCs w:val="18"/>
                      <w:lang w:val="en-US" w:eastAsia="zh-CN"/>
                    </w:rPr>
                  </w:pPr>
                  <w:r>
                    <w:rPr>
                      <w:rFonts w:hint="eastAsia"/>
                      <w:bCs/>
                      <w:color w:val="auto"/>
                      <w:sz w:val="18"/>
                      <w:szCs w:val="18"/>
                      <w:lang w:val="en-US" w:eastAsia="zh-CN"/>
                    </w:rPr>
                    <w:t>不锈钢焊丝</w:t>
                  </w:r>
                </w:p>
              </w:tc>
              <w:tc>
                <w:tcPr>
                  <w:tcW w:w="785" w:type="pct"/>
                  <w:noWrap w:val="0"/>
                  <w:vAlign w:val="center"/>
                </w:tcPr>
                <w:p>
                  <w:pPr>
                    <w:jc w:val="center"/>
                    <w:rPr>
                      <w:rFonts w:hint="eastAsia" w:eastAsia="宋体"/>
                      <w:color w:val="auto"/>
                      <w:sz w:val="18"/>
                      <w:szCs w:val="18"/>
                      <w:lang w:val="en-US" w:eastAsia="zh-CN"/>
                    </w:rPr>
                  </w:pPr>
                  <w:r>
                    <w:rPr>
                      <w:rFonts w:hint="eastAsia"/>
                      <w:color w:val="auto"/>
                      <w:sz w:val="18"/>
                      <w:szCs w:val="18"/>
                    </w:rPr>
                    <w:t>5kg/包</w:t>
                  </w:r>
                </w:p>
              </w:tc>
              <w:tc>
                <w:tcPr>
                  <w:tcW w:w="463" w:type="pct"/>
                  <w:noWrap w:val="0"/>
                  <w:vAlign w:val="center"/>
                </w:tcPr>
                <w:p>
                  <w:pPr>
                    <w:jc w:val="center"/>
                    <w:rPr>
                      <w:rFonts w:hint="eastAsia"/>
                      <w:color w:val="auto"/>
                      <w:sz w:val="18"/>
                      <w:szCs w:val="18"/>
                      <w:lang w:val="en-US" w:eastAsia="zh-CN"/>
                    </w:rPr>
                  </w:pPr>
                  <w:r>
                    <w:rPr>
                      <w:color w:val="auto"/>
                      <w:sz w:val="18"/>
                      <w:szCs w:val="18"/>
                    </w:rPr>
                    <w:t>t/a</w:t>
                  </w:r>
                </w:p>
              </w:tc>
              <w:tc>
                <w:tcPr>
                  <w:tcW w:w="574" w:type="pct"/>
                  <w:noWrap w:val="0"/>
                  <w:vAlign w:val="center"/>
                </w:tcPr>
                <w:p>
                  <w:pPr>
                    <w:spacing w:line="240" w:lineRule="atLeast"/>
                    <w:jc w:val="center"/>
                    <w:rPr>
                      <w:rFonts w:hint="default"/>
                      <w:color w:val="auto"/>
                      <w:sz w:val="18"/>
                      <w:szCs w:val="18"/>
                      <w:lang w:val="en-US" w:eastAsia="zh-CN"/>
                    </w:rPr>
                  </w:pPr>
                  <w:r>
                    <w:rPr>
                      <w:rFonts w:hint="eastAsia"/>
                      <w:color w:val="auto"/>
                      <w:sz w:val="18"/>
                      <w:szCs w:val="18"/>
                      <w:lang w:val="en-US" w:eastAsia="zh-CN"/>
                    </w:rPr>
                    <w:t>0.3</w:t>
                  </w:r>
                </w:p>
              </w:tc>
              <w:tc>
                <w:tcPr>
                  <w:tcW w:w="636" w:type="pct"/>
                  <w:noWrap w:val="0"/>
                  <w:vAlign w:val="center"/>
                </w:tcPr>
                <w:p>
                  <w:pPr>
                    <w:jc w:val="center"/>
                    <w:rPr>
                      <w:rFonts w:hint="default"/>
                      <w:color w:val="auto"/>
                      <w:sz w:val="18"/>
                      <w:szCs w:val="18"/>
                      <w:lang w:val="en-US" w:eastAsia="zh-CN"/>
                    </w:rPr>
                  </w:pPr>
                  <w:r>
                    <w:rPr>
                      <w:rFonts w:hint="eastAsia"/>
                      <w:color w:val="auto"/>
                      <w:sz w:val="18"/>
                      <w:szCs w:val="18"/>
                      <w:lang w:val="en-US" w:eastAsia="zh-CN"/>
                    </w:rPr>
                    <w:t>袋装</w:t>
                  </w:r>
                </w:p>
              </w:tc>
              <w:tc>
                <w:tcPr>
                  <w:tcW w:w="599" w:type="pct"/>
                  <w:noWrap w:val="0"/>
                  <w:vAlign w:val="center"/>
                </w:tcPr>
                <w:p>
                  <w:pPr>
                    <w:spacing w:line="240" w:lineRule="atLeast"/>
                    <w:jc w:val="center"/>
                    <w:rPr>
                      <w:rFonts w:hint="default"/>
                      <w:color w:val="auto"/>
                      <w:sz w:val="18"/>
                      <w:szCs w:val="18"/>
                      <w:lang w:val="en-US" w:eastAsia="zh-CN"/>
                    </w:rPr>
                  </w:pPr>
                  <w:r>
                    <w:rPr>
                      <w:rFonts w:hint="eastAsia"/>
                      <w:color w:val="auto"/>
                      <w:sz w:val="18"/>
                      <w:szCs w:val="18"/>
                      <w:lang w:val="en-US" w:eastAsia="zh-CN"/>
                    </w:rPr>
                    <w:t>0.03</w:t>
                  </w:r>
                </w:p>
              </w:tc>
              <w:tc>
                <w:tcPr>
                  <w:tcW w:w="769" w:type="pct"/>
                  <w:noWrap w:val="0"/>
                  <w:vAlign w:val="center"/>
                </w:tcPr>
                <w:p>
                  <w:pPr>
                    <w:spacing w:line="240" w:lineRule="atLeast"/>
                    <w:ind w:left="-105" w:leftChars="-50" w:right="-105" w:rightChars="-50"/>
                    <w:jc w:val="center"/>
                    <w:rPr>
                      <w:rFonts w:hint="default"/>
                      <w:color w:val="auto"/>
                      <w:sz w:val="18"/>
                      <w:szCs w:val="18"/>
                      <w:lang w:val="en-US" w:eastAsia="zh-CN"/>
                    </w:rPr>
                  </w:pPr>
                  <w:r>
                    <w:rPr>
                      <w:rFonts w:hint="eastAsia"/>
                      <w:color w:val="auto"/>
                      <w:sz w:val="18"/>
                      <w:szCs w:val="18"/>
                      <w:lang w:val="en-US" w:eastAsia="zh-CN"/>
                    </w:rPr>
                    <w:t>焊接用料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napToGrid w:val="0"/>
                    <w:spacing w:line="240" w:lineRule="atLeast"/>
                    <w:jc w:val="center"/>
                    <w:rPr>
                      <w:rFonts w:hint="eastAsia" w:eastAsia="宋体"/>
                      <w:color w:val="auto"/>
                      <w:sz w:val="18"/>
                      <w:szCs w:val="18"/>
                      <w:lang w:eastAsia="zh-CN"/>
                    </w:rPr>
                  </w:pPr>
                  <w:r>
                    <w:rPr>
                      <w:rFonts w:hint="eastAsia"/>
                      <w:color w:val="auto"/>
                      <w:sz w:val="18"/>
                      <w:szCs w:val="18"/>
                    </w:rPr>
                    <w:t>1</w:t>
                  </w:r>
                  <w:r>
                    <w:rPr>
                      <w:rFonts w:hint="eastAsia"/>
                      <w:color w:val="auto"/>
                      <w:sz w:val="18"/>
                      <w:szCs w:val="18"/>
                      <w:lang w:val="en-US" w:eastAsia="zh-CN"/>
                    </w:rPr>
                    <w:t>4</w:t>
                  </w:r>
                </w:p>
              </w:tc>
              <w:tc>
                <w:tcPr>
                  <w:tcW w:w="739" w:type="pct"/>
                  <w:vMerge w:val="restart"/>
                  <w:noWrap w:val="0"/>
                  <w:vAlign w:val="center"/>
                </w:tcPr>
                <w:p>
                  <w:pPr>
                    <w:snapToGrid w:val="0"/>
                    <w:spacing w:line="240" w:lineRule="atLeast"/>
                    <w:ind w:left="-105" w:leftChars="-50" w:right="-105" w:rightChars="-50"/>
                    <w:jc w:val="center"/>
                    <w:rPr>
                      <w:color w:val="auto"/>
                      <w:sz w:val="18"/>
                      <w:szCs w:val="18"/>
                    </w:rPr>
                  </w:pPr>
                  <w:r>
                    <w:rPr>
                      <w:color w:val="auto"/>
                      <w:sz w:val="18"/>
                      <w:szCs w:val="18"/>
                    </w:rPr>
                    <w:t>能源</w:t>
                  </w:r>
                </w:p>
              </w:tc>
              <w:tc>
                <w:tcPr>
                  <w:tcW w:w="785" w:type="pct"/>
                  <w:noWrap w:val="0"/>
                  <w:vAlign w:val="center"/>
                </w:tcPr>
                <w:p>
                  <w:pPr>
                    <w:snapToGrid w:val="0"/>
                    <w:spacing w:line="240" w:lineRule="atLeast"/>
                    <w:jc w:val="center"/>
                    <w:rPr>
                      <w:color w:val="auto"/>
                      <w:sz w:val="18"/>
                      <w:szCs w:val="18"/>
                    </w:rPr>
                  </w:pPr>
                  <w:r>
                    <w:rPr>
                      <w:color w:val="auto"/>
                      <w:sz w:val="18"/>
                      <w:szCs w:val="18"/>
                    </w:rPr>
                    <w:t>电</w:t>
                  </w:r>
                </w:p>
              </w:tc>
              <w:tc>
                <w:tcPr>
                  <w:tcW w:w="463" w:type="pct"/>
                  <w:noWrap w:val="0"/>
                  <w:vAlign w:val="center"/>
                </w:tcPr>
                <w:p>
                  <w:pPr>
                    <w:adjustRightInd w:val="0"/>
                    <w:spacing w:line="240" w:lineRule="atLeast"/>
                    <w:ind w:left="-105" w:leftChars="-50" w:right="-105" w:rightChars="-50"/>
                    <w:jc w:val="center"/>
                    <w:rPr>
                      <w:color w:val="auto"/>
                      <w:sz w:val="18"/>
                      <w:szCs w:val="18"/>
                    </w:rPr>
                  </w:pPr>
                  <w:r>
                    <w:rPr>
                      <w:color w:val="auto"/>
                      <w:sz w:val="18"/>
                      <w:szCs w:val="18"/>
                    </w:rPr>
                    <w:t>kWh/a</w:t>
                  </w:r>
                </w:p>
              </w:tc>
              <w:tc>
                <w:tcPr>
                  <w:tcW w:w="574" w:type="pct"/>
                  <w:noWrap w:val="0"/>
                  <w:vAlign w:val="center"/>
                </w:tcPr>
                <w:p>
                  <w:pPr>
                    <w:adjustRightInd w:val="0"/>
                    <w:spacing w:line="240" w:lineRule="atLeast"/>
                    <w:ind w:left="-105" w:leftChars="-50" w:right="-105" w:rightChars="-50"/>
                    <w:jc w:val="center"/>
                    <w:rPr>
                      <w:color w:val="auto"/>
                      <w:sz w:val="18"/>
                      <w:szCs w:val="18"/>
                    </w:rPr>
                  </w:pPr>
                  <w:r>
                    <w:rPr>
                      <w:rFonts w:hint="eastAsia"/>
                      <w:color w:val="auto"/>
                      <w:sz w:val="18"/>
                      <w:szCs w:val="18"/>
                      <w:lang w:val="en-US" w:eastAsia="zh-CN"/>
                    </w:rPr>
                    <w:t>50</w:t>
                  </w:r>
                  <w:r>
                    <w:rPr>
                      <w:rFonts w:hint="eastAsia"/>
                      <w:color w:val="auto"/>
                      <w:sz w:val="18"/>
                      <w:szCs w:val="18"/>
                    </w:rPr>
                    <w:t>万</w:t>
                  </w:r>
                </w:p>
              </w:tc>
              <w:tc>
                <w:tcPr>
                  <w:tcW w:w="636" w:type="pct"/>
                  <w:noWrap w:val="0"/>
                  <w:vAlign w:val="center"/>
                </w:tcPr>
                <w:p>
                  <w:pPr>
                    <w:snapToGrid w:val="0"/>
                    <w:spacing w:line="240" w:lineRule="atLeast"/>
                    <w:ind w:left="-105" w:leftChars="-50" w:right="-105" w:rightChars="-50"/>
                    <w:jc w:val="center"/>
                    <w:rPr>
                      <w:color w:val="auto"/>
                      <w:sz w:val="18"/>
                      <w:szCs w:val="18"/>
                    </w:rPr>
                  </w:pPr>
                  <w:r>
                    <w:rPr>
                      <w:rFonts w:hint="eastAsia"/>
                      <w:color w:val="auto"/>
                      <w:sz w:val="18"/>
                      <w:szCs w:val="18"/>
                    </w:rPr>
                    <w:t>/</w:t>
                  </w:r>
                </w:p>
              </w:tc>
              <w:tc>
                <w:tcPr>
                  <w:tcW w:w="599" w:type="pct"/>
                  <w:noWrap w:val="0"/>
                  <w:vAlign w:val="center"/>
                </w:tcPr>
                <w:p>
                  <w:pPr>
                    <w:snapToGrid w:val="0"/>
                    <w:spacing w:line="240" w:lineRule="atLeast"/>
                    <w:jc w:val="center"/>
                    <w:rPr>
                      <w:color w:val="auto"/>
                      <w:sz w:val="18"/>
                      <w:szCs w:val="18"/>
                    </w:rPr>
                  </w:pPr>
                  <w:r>
                    <w:rPr>
                      <w:color w:val="auto"/>
                      <w:sz w:val="18"/>
                      <w:szCs w:val="18"/>
                    </w:rPr>
                    <w:t>/</w:t>
                  </w:r>
                </w:p>
              </w:tc>
              <w:tc>
                <w:tcPr>
                  <w:tcW w:w="769" w:type="pct"/>
                  <w:noWrap w:val="0"/>
                  <w:vAlign w:val="center"/>
                </w:tcPr>
                <w:p>
                  <w:pPr>
                    <w:snapToGrid w:val="0"/>
                    <w:spacing w:line="240" w:lineRule="atLeast"/>
                    <w:jc w:val="center"/>
                    <w:rPr>
                      <w:color w:val="auto"/>
                      <w:sz w:val="18"/>
                      <w:szCs w:val="18"/>
                    </w:rPr>
                  </w:pPr>
                  <w:r>
                    <w:rPr>
                      <w:rFonts w:hint="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3" w:type="pct"/>
                  <w:noWrap w:val="0"/>
                  <w:vAlign w:val="center"/>
                </w:tcPr>
                <w:p>
                  <w:pPr>
                    <w:snapToGrid w:val="0"/>
                    <w:spacing w:line="240" w:lineRule="atLeast"/>
                    <w:jc w:val="center"/>
                    <w:rPr>
                      <w:rFonts w:hint="eastAsia" w:eastAsia="宋体"/>
                      <w:color w:val="auto"/>
                      <w:sz w:val="18"/>
                      <w:szCs w:val="18"/>
                      <w:lang w:eastAsia="zh-CN"/>
                    </w:rPr>
                  </w:pPr>
                  <w:r>
                    <w:rPr>
                      <w:rFonts w:hint="eastAsia"/>
                      <w:color w:val="auto"/>
                      <w:sz w:val="18"/>
                      <w:szCs w:val="18"/>
                    </w:rPr>
                    <w:t>1</w:t>
                  </w:r>
                  <w:r>
                    <w:rPr>
                      <w:rFonts w:hint="eastAsia"/>
                      <w:color w:val="auto"/>
                      <w:sz w:val="18"/>
                      <w:szCs w:val="18"/>
                      <w:lang w:val="en-US" w:eastAsia="zh-CN"/>
                    </w:rPr>
                    <w:t>5</w:t>
                  </w:r>
                </w:p>
              </w:tc>
              <w:tc>
                <w:tcPr>
                  <w:tcW w:w="739" w:type="pct"/>
                  <w:vMerge w:val="continue"/>
                  <w:noWrap w:val="0"/>
                  <w:vAlign w:val="center"/>
                </w:tcPr>
                <w:p>
                  <w:pPr>
                    <w:snapToGrid w:val="0"/>
                    <w:spacing w:line="240" w:lineRule="atLeast"/>
                    <w:jc w:val="center"/>
                    <w:rPr>
                      <w:color w:val="auto"/>
                      <w:sz w:val="18"/>
                      <w:szCs w:val="18"/>
                    </w:rPr>
                  </w:pPr>
                </w:p>
              </w:tc>
              <w:tc>
                <w:tcPr>
                  <w:tcW w:w="785" w:type="pct"/>
                  <w:noWrap w:val="0"/>
                  <w:vAlign w:val="center"/>
                </w:tcPr>
                <w:p>
                  <w:pPr>
                    <w:snapToGrid w:val="0"/>
                    <w:spacing w:line="240" w:lineRule="atLeast"/>
                    <w:jc w:val="center"/>
                    <w:rPr>
                      <w:color w:val="auto"/>
                      <w:sz w:val="18"/>
                      <w:szCs w:val="18"/>
                    </w:rPr>
                  </w:pPr>
                  <w:r>
                    <w:rPr>
                      <w:color w:val="auto"/>
                      <w:sz w:val="18"/>
                      <w:szCs w:val="18"/>
                    </w:rPr>
                    <w:t>水</w:t>
                  </w:r>
                </w:p>
              </w:tc>
              <w:tc>
                <w:tcPr>
                  <w:tcW w:w="463" w:type="pct"/>
                  <w:noWrap w:val="0"/>
                  <w:vAlign w:val="center"/>
                </w:tcPr>
                <w:p>
                  <w:pPr>
                    <w:spacing w:line="240" w:lineRule="atLeast"/>
                    <w:jc w:val="center"/>
                    <w:rPr>
                      <w:color w:val="auto"/>
                      <w:sz w:val="18"/>
                      <w:szCs w:val="18"/>
                    </w:rPr>
                  </w:pPr>
                  <w:r>
                    <w:rPr>
                      <w:color w:val="auto"/>
                      <w:sz w:val="18"/>
                      <w:szCs w:val="18"/>
                    </w:rPr>
                    <w:t>m</w:t>
                  </w:r>
                  <w:r>
                    <w:rPr>
                      <w:color w:val="auto"/>
                      <w:sz w:val="18"/>
                      <w:szCs w:val="18"/>
                      <w:vertAlign w:val="superscript"/>
                    </w:rPr>
                    <w:t>3</w:t>
                  </w:r>
                  <w:r>
                    <w:rPr>
                      <w:color w:val="auto"/>
                      <w:sz w:val="18"/>
                      <w:szCs w:val="18"/>
                    </w:rPr>
                    <w:t>/a</w:t>
                  </w:r>
                </w:p>
              </w:tc>
              <w:tc>
                <w:tcPr>
                  <w:tcW w:w="574"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10500</w:t>
                  </w:r>
                </w:p>
              </w:tc>
              <w:tc>
                <w:tcPr>
                  <w:tcW w:w="636" w:type="pct"/>
                  <w:noWrap w:val="0"/>
                  <w:vAlign w:val="center"/>
                </w:tcPr>
                <w:p>
                  <w:pPr>
                    <w:snapToGrid w:val="0"/>
                    <w:spacing w:line="240" w:lineRule="atLeast"/>
                    <w:ind w:left="-105" w:leftChars="-50" w:right="-105" w:rightChars="-50"/>
                    <w:jc w:val="center"/>
                    <w:rPr>
                      <w:color w:val="auto"/>
                      <w:sz w:val="18"/>
                      <w:szCs w:val="18"/>
                    </w:rPr>
                  </w:pPr>
                  <w:r>
                    <w:rPr>
                      <w:rFonts w:hint="eastAsia"/>
                      <w:color w:val="auto"/>
                      <w:sz w:val="18"/>
                      <w:szCs w:val="18"/>
                    </w:rPr>
                    <w:t>/</w:t>
                  </w:r>
                </w:p>
              </w:tc>
              <w:tc>
                <w:tcPr>
                  <w:tcW w:w="599" w:type="pct"/>
                  <w:noWrap w:val="0"/>
                  <w:vAlign w:val="center"/>
                </w:tcPr>
                <w:p>
                  <w:pPr>
                    <w:snapToGrid w:val="0"/>
                    <w:spacing w:line="240" w:lineRule="atLeast"/>
                    <w:jc w:val="center"/>
                    <w:rPr>
                      <w:color w:val="auto"/>
                      <w:sz w:val="18"/>
                      <w:szCs w:val="18"/>
                    </w:rPr>
                  </w:pPr>
                  <w:r>
                    <w:rPr>
                      <w:color w:val="auto"/>
                      <w:sz w:val="18"/>
                      <w:szCs w:val="18"/>
                    </w:rPr>
                    <w:t>/</w:t>
                  </w:r>
                </w:p>
              </w:tc>
              <w:tc>
                <w:tcPr>
                  <w:tcW w:w="769" w:type="pct"/>
                  <w:noWrap w:val="0"/>
                  <w:vAlign w:val="center"/>
                </w:tcPr>
                <w:p>
                  <w:pPr>
                    <w:snapToGrid w:val="0"/>
                    <w:spacing w:line="240" w:lineRule="atLeast"/>
                    <w:jc w:val="center"/>
                    <w:rPr>
                      <w:color w:val="auto"/>
                      <w:sz w:val="18"/>
                      <w:szCs w:val="18"/>
                    </w:rPr>
                  </w:pPr>
                  <w:r>
                    <w:rPr>
                      <w:rFonts w:hint="eastAsia"/>
                      <w:color w:val="auto"/>
                      <w:sz w:val="18"/>
                      <w:szCs w:val="18"/>
                    </w:rPr>
                    <w:t>/</w:t>
                  </w:r>
                </w:p>
              </w:tc>
            </w:tr>
          </w:tbl>
          <w:p>
            <w:pPr>
              <w:pStyle w:val="149"/>
              <w:jc w:val="left"/>
              <w:rPr>
                <w:rFonts w:hint="eastAsia"/>
                <w:color w:val="auto"/>
                <w:sz w:val="18"/>
                <w:szCs w:val="18"/>
              </w:rPr>
            </w:pPr>
            <w:r>
              <w:rPr>
                <w:rFonts w:hint="eastAsia"/>
                <w:color w:val="auto"/>
                <w:sz w:val="18"/>
                <w:szCs w:val="18"/>
                <w:lang w:val="en-US" w:eastAsia="zh-CN"/>
              </w:rPr>
              <w:t>注：柴油作为厂区备用电源柴油发电机发电能源，厂区暂存量为发电机配套油箱最大储存量，存储于储油间内，其他位置不再进行存储柴油。</w:t>
            </w:r>
          </w:p>
          <w:p>
            <w:pPr>
              <w:pStyle w:val="149"/>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szCs w:val="21"/>
              </w:rPr>
            </w:pPr>
            <w:r>
              <w:rPr>
                <w:color w:val="auto"/>
                <w:szCs w:val="21"/>
              </w:rPr>
              <w:t>表</w:t>
            </w:r>
            <w:r>
              <w:rPr>
                <w:rFonts w:hint="eastAsia"/>
                <w:color w:val="auto"/>
                <w:szCs w:val="21"/>
              </w:rPr>
              <w:t xml:space="preserve">2-6 </w:t>
            </w:r>
            <w:r>
              <w:rPr>
                <w:rFonts w:hint="eastAsia"/>
                <w:color w:val="auto"/>
                <w:szCs w:val="21"/>
                <w:lang w:val="en-US" w:eastAsia="zh-CN"/>
              </w:rPr>
              <w:t xml:space="preserve"> </w:t>
            </w:r>
            <w:r>
              <w:rPr>
                <w:rFonts w:hint="eastAsia"/>
                <w:color w:val="auto"/>
                <w:szCs w:val="21"/>
              </w:rPr>
              <w:t>主要原辅材料理化性质一览表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962"/>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 w:val="18"/>
                      <w:szCs w:val="18"/>
                    </w:rPr>
                  </w:pPr>
                  <w:r>
                    <w:rPr>
                      <w:b/>
                      <w:bCs/>
                      <w:color w:val="auto"/>
                      <w:sz w:val="18"/>
                      <w:szCs w:val="18"/>
                    </w:rPr>
                    <w:t>序号</w:t>
                  </w:r>
                </w:p>
              </w:tc>
              <w:tc>
                <w:tcPr>
                  <w:tcW w:w="575" w:type="pct"/>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sz w:val="18"/>
                      <w:szCs w:val="18"/>
                    </w:rPr>
                  </w:pPr>
                  <w:r>
                    <w:rPr>
                      <w:b/>
                      <w:bCs/>
                      <w:color w:val="auto"/>
                      <w:sz w:val="18"/>
                      <w:szCs w:val="18"/>
                    </w:rPr>
                    <w:t>物质名称</w:t>
                  </w:r>
                </w:p>
              </w:tc>
              <w:tc>
                <w:tcPr>
                  <w:tcW w:w="4003" w:type="pct"/>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sz w:val="18"/>
                      <w:szCs w:val="18"/>
                    </w:rPr>
                  </w:pPr>
                  <w:r>
                    <w:rPr>
                      <w:b/>
                      <w:bCs/>
                      <w:color w:val="auto"/>
                      <w:sz w:val="18"/>
                      <w:szCs w:val="18"/>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auto"/>
                      <w:sz w:val="18"/>
                      <w:szCs w:val="18"/>
                    </w:rPr>
                  </w:pPr>
                  <w:r>
                    <w:rPr>
                      <w:rFonts w:hint="eastAsia"/>
                      <w:bCs/>
                      <w:color w:val="auto"/>
                      <w:sz w:val="18"/>
                      <w:szCs w:val="18"/>
                    </w:rPr>
                    <w:t>1</w:t>
                  </w:r>
                </w:p>
              </w:tc>
              <w:tc>
                <w:tcPr>
                  <w:tcW w:w="575" w:type="pct"/>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sz w:val="18"/>
                      <w:szCs w:val="18"/>
                    </w:rPr>
                  </w:pPr>
                  <w:r>
                    <w:rPr>
                      <w:rFonts w:hint="eastAsia"/>
                      <w:color w:val="auto"/>
                      <w:sz w:val="18"/>
                      <w:szCs w:val="18"/>
                    </w:rPr>
                    <w:t>切削液</w:t>
                  </w:r>
                </w:p>
              </w:tc>
              <w:tc>
                <w:tcPr>
                  <w:tcW w:w="4003" w:type="pct"/>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eastAsia="宋体"/>
                      <w:b/>
                      <w:bCs/>
                      <w:color w:val="auto"/>
                      <w:sz w:val="18"/>
                      <w:szCs w:val="18"/>
                      <w:lang w:eastAsia="zh-CN"/>
                    </w:rPr>
                  </w:pPr>
                  <w:r>
                    <w:rPr>
                      <w:rFonts w:hint="default" w:ascii="Times New Roman" w:hAnsi="Times New Roman" w:cs="Times New Roman"/>
                      <w:color w:val="auto"/>
                      <w:sz w:val="18"/>
                      <w:szCs w:val="18"/>
                      <w:lang w:val="en-US" w:eastAsia="zh-CN"/>
                    </w:rPr>
                    <w:t>本项目</w:t>
                  </w:r>
                  <w:r>
                    <w:rPr>
                      <w:rFonts w:hint="default" w:ascii="Times New Roman" w:hAnsi="Times New Roman" w:cs="Times New Roman"/>
                      <w:color w:val="auto"/>
                      <w:sz w:val="18"/>
                      <w:szCs w:val="18"/>
                    </w:rPr>
                    <w:t>铝合金切削液，主要成分有矿物油</w:t>
                  </w:r>
                  <w:r>
                    <w:rPr>
                      <w:rFonts w:hint="eastAsia" w:cs="Times New Roman"/>
                      <w:color w:val="auto"/>
                      <w:sz w:val="18"/>
                      <w:szCs w:val="18"/>
                      <w:lang w:eastAsia="zh-CN"/>
                    </w:rPr>
                    <w:t>20%~30%</w:t>
                  </w:r>
                  <w:r>
                    <w:rPr>
                      <w:rFonts w:hint="default" w:ascii="Times New Roman" w:hAnsi="Times New Roman" w:cs="Times New Roman"/>
                      <w:color w:val="auto"/>
                      <w:sz w:val="18"/>
                      <w:szCs w:val="18"/>
                    </w:rPr>
                    <w:t>、羧酸</w:t>
                  </w:r>
                  <w:r>
                    <w:rPr>
                      <w:rFonts w:hint="eastAsia" w:cs="Times New Roman"/>
                      <w:color w:val="auto"/>
                      <w:sz w:val="18"/>
                      <w:szCs w:val="18"/>
                      <w:lang w:eastAsia="zh-CN"/>
                    </w:rPr>
                    <w:t>5%~15%</w:t>
                  </w:r>
                  <w:r>
                    <w:rPr>
                      <w:rFonts w:hint="default" w:ascii="Times New Roman" w:hAnsi="Times New Roman" w:cs="Times New Roman"/>
                      <w:color w:val="auto"/>
                      <w:sz w:val="18"/>
                      <w:szCs w:val="18"/>
                    </w:rPr>
                    <w:t>、防锈剂</w:t>
                  </w:r>
                  <w:r>
                    <w:rPr>
                      <w:rFonts w:hint="eastAsia" w:cs="Times New Roman"/>
                      <w:color w:val="auto"/>
                      <w:sz w:val="18"/>
                      <w:szCs w:val="18"/>
                      <w:lang w:eastAsia="zh-CN"/>
                    </w:rPr>
                    <w:t>5%~10%</w:t>
                  </w:r>
                  <w:r>
                    <w:rPr>
                      <w:rFonts w:hint="default" w:ascii="Times New Roman" w:hAnsi="Times New Roman" w:cs="Times New Roman"/>
                      <w:color w:val="auto"/>
                      <w:sz w:val="18"/>
                      <w:szCs w:val="18"/>
                    </w:rPr>
                    <w:t>、有色金属保护剂</w:t>
                  </w:r>
                  <w:r>
                    <w:rPr>
                      <w:rFonts w:hint="eastAsia" w:cs="Times New Roman"/>
                      <w:color w:val="auto"/>
                      <w:sz w:val="18"/>
                      <w:szCs w:val="18"/>
                      <w:lang w:eastAsia="zh-CN"/>
                    </w:rPr>
                    <w:t>5%~15%</w:t>
                  </w:r>
                  <w:r>
                    <w:rPr>
                      <w:rFonts w:hint="default" w:ascii="Times New Roman" w:hAnsi="Times New Roman" w:cs="Times New Roman"/>
                      <w:color w:val="auto"/>
                      <w:sz w:val="18"/>
                      <w:szCs w:val="18"/>
                    </w:rPr>
                    <w:t>、极压剂</w:t>
                  </w:r>
                  <w:r>
                    <w:rPr>
                      <w:rFonts w:hint="eastAsia" w:cs="Times New Roman"/>
                      <w:color w:val="auto"/>
                      <w:sz w:val="18"/>
                      <w:szCs w:val="18"/>
                      <w:lang w:eastAsia="zh-CN"/>
                    </w:rPr>
                    <w:t>5%~10%</w:t>
                  </w:r>
                  <w:r>
                    <w:rPr>
                      <w:rFonts w:hint="default" w:ascii="Times New Roman" w:hAnsi="Times New Roman" w:cs="Times New Roman"/>
                      <w:color w:val="auto"/>
                      <w:sz w:val="18"/>
                      <w:szCs w:val="18"/>
                    </w:rPr>
                    <w:t>、表面活性剂</w:t>
                  </w:r>
                  <w:r>
                    <w:rPr>
                      <w:rFonts w:hint="eastAsia" w:cs="Times New Roman"/>
                      <w:color w:val="auto"/>
                      <w:sz w:val="18"/>
                      <w:szCs w:val="18"/>
                      <w:lang w:eastAsia="zh-CN"/>
                    </w:rPr>
                    <w:t>1%~5%</w:t>
                  </w:r>
                  <w:r>
                    <w:rPr>
                      <w:rFonts w:hint="default" w:ascii="Times New Roman" w:hAnsi="Times New Roman" w:cs="Times New Roman"/>
                      <w:color w:val="auto"/>
                      <w:sz w:val="18"/>
                      <w:szCs w:val="18"/>
                    </w:rPr>
                    <w:t>、水（</w:t>
                  </w:r>
                  <w:r>
                    <w:rPr>
                      <w:rFonts w:hint="eastAsia" w:cs="Times New Roman"/>
                      <w:color w:val="auto"/>
                      <w:sz w:val="18"/>
                      <w:szCs w:val="18"/>
                      <w:lang w:eastAsia="zh-CN"/>
                    </w:rPr>
                    <w:t>15%~59%</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外观与性状：黄色至棕色清澈液体，气味：低气味，pH值：8.80~9.80（5%），熔点/凝固点(°C)：无资料，闪点(开口，℃)：不适用，易燃性：不可燃，(相对)蒸气密度(空气=1)，相对密度(水=1)0.93~0.99g/cm</w:t>
                  </w:r>
                  <w:r>
                    <w:rPr>
                      <w:rFonts w:hint="default" w:ascii="Times New Roman" w:hAnsi="Times New Roman" w:cs="Times New Roman"/>
                      <w:color w:val="auto"/>
                      <w:sz w:val="18"/>
                      <w:szCs w:val="18"/>
                      <w:vertAlign w:val="superscript"/>
                      <w:lang w:val="en-US" w:eastAsia="zh-CN"/>
                    </w:rPr>
                    <w:t>3</w:t>
                  </w:r>
                  <w:r>
                    <w:rPr>
                      <w:rFonts w:hint="default" w:ascii="Times New Roman" w:hAnsi="Times New Roman" w:cs="Times New Roman"/>
                      <w:color w:val="auto"/>
                      <w:sz w:val="18"/>
                      <w:szCs w:val="18"/>
                      <w:vertAlign w:val="baseline"/>
                      <w:lang w:val="en-US" w:eastAsia="zh-CN"/>
                    </w:rPr>
                    <w:t>，</w:t>
                  </w:r>
                  <w:r>
                    <w:rPr>
                      <w:rFonts w:hint="default" w:ascii="Times New Roman" w:hAnsi="Times New Roman" w:cs="Times New Roman"/>
                      <w:color w:val="auto"/>
                      <w:sz w:val="18"/>
                      <w:szCs w:val="18"/>
                      <w:lang w:val="en-US" w:eastAsia="zh-CN"/>
                    </w:rPr>
                    <w:t>溶解性：完全水溶。</w:t>
                  </w:r>
                  <w:r>
                    <w:rPr>
                      <w:rFonts w:hint="eastAsia" w:ascii="Times New Roman" w:hAnsi="Times New Roman" w:cs="Times New Roman"/>
                      <w:color w:val="auto"/>
                      <w:sz w:val="18"/>
                      <w:szCs w:val="18"/>
                      <w:lang w:val="en-US" w:eastAsia="zh-CN"/>
                    </w:rPr>
                    <w:t>（见附件6）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auto"/>
                      <w:sz w:val="18"/>
                      <w:szCs w:val="18"/>
                    </w:rPr>
                  </w:pPr>
                  <w:r>
                    <w:rPr>
                      <w:rFonts w:hint="eastAsia"/>
                      <w:bCs/>
                      <w:color w:val="auto"/>
                      <w:sz w:val="18"/>
                      <w:szCs w:val="18"/>
                    </w:rPr>
                    <w:t>2</w:t>
                  </w:r>
                </w:p>
              </w:tc>
              <w:tc>
                <w:tcPr>
                  <w:tcW w:w="575"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eastAsia="宋体"/>
                      <w:bCs/>
                      <w:color w:val="auto"/>
                      <w:sz w:val="18"/>
                      <w:szCs w:val="18"/>
                      <w:lang w:val="en-US" w:eastAsia="zh-CN"/>
                    </w:rPr>
                  </w:pPr>
                  <w:r>
                    <w:rPr>
                      <w:rFonts w:hint="eastAsia"/>
                      <w:bCs/>
                      <w:color w:val="auto"/>
                      <w:sz w:val="18"/>
                      <w:szCs w:val="18"/>
                      <w:lang w:val="en-US" w:eastAsia="zh-CN"/>
                    </w:rPr>
                    <w:t>PP胶条</w:t>
                  </w:r>
                </w:p>
              </w:tc>
              <w:tc>
                <w:tcPr>
                  <w:tcW w:w="4003" w:type="pct"/>
                  <w:tcBorders>
                    <w:top w:val="single" w:color="auto" w:sz="4" w:space="0"/>
                    <w:left w:val="nil"/>
                    <w:bottom w:val="single" w:color="auto" w:sz="4" w:space="0"/>
                    <w:right w:val="single" w:color="auto" w:sz="4" w:space="0"/>
                  </w:tcBorders>
                  <w:noWrap w:val="0"/>
                  <w:vAlign w:val="center"/>
                </w:tcPr>
                <w:p>
                  <w:pPr>
                    <w:adjustRightInd w:val="0"/>
                    <w:snapToGrid w:val="0"/>
                    <w:jc w:val="left"/>
                    <w:rPr>
                      <w:color w:val="auto"/>
                      <w:sz w:val="18"/>
                      <w:szCs w:val="18"/>
                    </w:rPr>
                  </w:pPr>
                  <w:r>
                    <w:rPr>
                      <w:rFonts w:hint="eastAsia"/>
                      <w:color w:val="auto"/>
                      <w:sz w:val="18"/>
                      <w:szCs w:val="18"/>
                    </w:rPr>
                    <w:t>聚丙烯是丙烯通过加聚反应而成的聚合物。系白色蜡状材料，外观透明而轻。化学式为</w:t>
                  </w:r>
                  <w:r>
                    <w:rPr>
                      <w:rFonts w:hint="eastAsia"/>
                      <w:color w:val="auto"/>
                      <w:sz w:val="18"/>
                      <w:szCs w:val="18"/>
                      <w:lang w:eastAsia="zh-CN"/>
                    </w:rPr>
                    <w:t>（</w:t>
                  </w:r>
                  <w:r>
                    <w:rPr>
                      <w:rFonts w:hint="eastAsia"/>
                      <w:color w:val="auto"/>
                      <w:sz w:val="18"/>
                      <w:szCs w:val="18"/>
                    </w:rPr>
                    <w:t>C</w:t>
                  </w:r>
                  <w:r>
                    <w:rPr>
                      <w:rFonts w:hint="eastAsia"/>
                      <w:color w:val="auto"/>
                      <w:sz w:val="18"/>
                      <w:szCs w:val="18"/>
                      <w:vertAlign w:val="subscript"/>
                    </w:rPr>
                    <w:t>3</w:t>
                  </w:r>
                  <w:r>
                    <w:rPr>
                      <w:rFonts w:hint="eastAsia"/>
                      <w:color w:val="auto"/>
                      <w:sz w:val="18"/>
                      <w:szCs w:val="18"/>
                    </w:rPr>
                    <w:t>H</w:t>
                  </w:r>
                  <w:r>
                    <w:rPr>
                      <w:rFonts w:hint="eastAsia"/>
                      <w:color w:val="auto"/>
                      <w:sz w:val="18"/>
                      <w:szCs w:val="18"/>
                      <w:vertAlign w:val="subscript"/>
                    </w:rPr>
                    <w:t>6</w:t>
                  </w:r>
                  <w:r>
                    <w:rPr>
                      <w:rFonts w:hint="eastAsia"/>
                      <w:color w:val="auto"/>
                      <w:sz w:val="18"/>
                      <w:szCs w:val="18"/>
                      <w:vertAlign w:val="subscript"/>
                      <w:lang w:eastAsia="zh-CN"/>
                    </w:rPr>
                    <w:t>）</w:t>
                  </w:r>
                  <w:r>
                    <w:rPr>
                      <w:rFonts w:hint="eastAsia"/>
                      <w:color w:val="auto"/>
                      <w:sz w:val="18"/>
                      <w:szCs w:val="18"/>
                    </w:rPr>
                    <w:t>n，密度为0.89～0.91g/cm</w:t>
                  </w:r>
                  <w:r>
                    <w:rPr>
                      <w:rFonts w:hint="eastAsia"/>
                      <w:color w:val="auto"/>
                      <w:sz w:val="18"/>
                      <w:szCs w:val="18"/>
                      <w:vertAlign w:val="superscript"/>
                    </w:rPr>
                    <w:t>3</w:t>
                  </w:r>
                  <w:r>
                    <w:rPr>
                      <w:rFonts w:hint="eastAsia"/>
                      <w:color w:val="auto"/>
                      <w:sz w:val="18"/>
                      <w:szCs w:val="18"/>
                    </w:rPr>
                    <w:t>，易燃，熔点189℃，在155℃左右软化，使用温度范围为-30～140℃。在80℃以下能耐酸、碱、盐液及多种有机溶剂的腐蚀，能在高温和氧化作用下分解。聚丙烯是一种无色、无臭、无毒、半透明固体物质。聚丙烯是一种性能优良的热塑性合成树脂，为无色半透明的热塑性轻质通用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rFonts w:hint="eastAsia"/>
                      <w:color w:val="auto"/>
                      <w:sz w:val="18"/>
                      <w:szCs w:val="18"/>
                    </w:rPr>
                    <w:t>3</w:t>
                  </w:r>
                </w:p>
              </w:tc>
              <w:tc>
                <w:tcPr>
                  <w:tcW w:w="9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color w:val="FF0000"/>
                      <w:sz w:val="18"/>
                      <w:szCs w:val="18"/>
                    </w:rPr>
                  </w:pPr>
                  <w:r>
                    <w:rPr>
                      <w:rFonts w:hint="eastAsia" w:ascii="Times New Roman" w:hAnsi="Times New Roman" w:cs="Times New Roman"/>
                      <w:bCs/>
                      <w:color w:val="auto"/>
                      <w:sz w:val="18"/>
                      <w:szCs w:val="18"/>
                      <w:lang w:val="en-US" w:eastAsia="zh-CN"/>
                    </w:rPr>
                    <w:t>氩气</w:t>
                  </w:r>
                </w:p>
              </w:tc>
              <w:tc>
                <w:tcPr>
                  <w:tcW w:w="4003" w:type="pct"/>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eastAsia="宋体"/>
                      <w:color w:val="FF0000"/>
                      <w:sz w:val="18"/>
                      <w:szCs w:val="18"/>
                      <w:lang w:eastAsia="zh-CN"/>
                    </w:rPr>
                  </w:pPr>
                  <w:r>
                    <w:rPr>
                      <w:rFonts w:hint="eastAsia"/>
                      <w:color w:val="auto"/>
                      <w:sz w:val="18"/>
                      <w:szCs w:val="18"/>
                    </w:rPr>
                    <w:t>熔点：-189.2℃，沸点：-185.9℃，密度：1.784kg/m</w:t>
                  </w:r>
                  <w:r>
                    <w:rPr>
                      <w:rFonts w:hint="eastAsia"/>
                      <w:color w:val="auto"/>
                      <w:sz w:val="18"/>
                      <w:szCs w:val="18"/>
                      <w:vertAlign w:val="superscript"/>
                    </w:rPr>
                    <w:t>3</w:t>
                  </w:r>
                  <w:r>
                    <w:rPr>
                      <w:rFonts w:hint="eastAsia"/>
                      <w:color w:val="auto"/>
                      <w:sz w:val="18"/>
                      <w:szCs w:val="18"/>
                    </w:rPr>
                    <w:t>；1394kg/m</w:t>
                  </w:r>
                  <w:r>
                    <w:rPr>
                      <w:rFonts w:hint="eastAsia"/>
                      <w:color w:val="auto"/>
                      <w:sz w:val="18"/>
                      <w:szCs w:val="18"/>
                      <w:vertAlign w:val="superscript"/>
                    </w:rPr>
                    <w:t>3</w:t>
                  </w:r>
                  <w:r>
                    <w:rPr>
                      <w:rFonts w:hint="eastAsia"/>
                      <w:color w:val="auto"/>
                      <w:sz w:val="18"/>
                      <w:szCs w:val="18"/>
                    </w:rPr>
                    <w:t>（饱和液氩，1atm），外观：无色无臭气体溶解性：微溶于水</w:t>
                  </w:r>
                  <w:r>
                    <w:rPr>
                      <w:rFonts w:hint="eastAsia"/>
                      <w:color w:val="auto"/>
                      <w:sz w:val="18"/>
                      <w:szCs w:val="18"/>
                      <w:lang w:eastAsia="zh-CN"/>
                    </w:rPr>
                    <w:t>，氩气是工业上应用很广的稀有气体。它的性质十分不活泼，既不能燃烧，也不助燃。无色无臭，饱和蒸汽压202.6kPa，危险特性：窒息性其他，在压力容器、管道中若遇高温，有存在压力容器开裂、管道爆炸的危险。普通大气压下无毒。高浓度时，使氧分压降低而发生窒息。浓度达50%以上时，引起严重症状：75%以上时，可在数分钟内死亡。当空气中浓度增高时，先出现呼吸加速，注意力不集中，疲倦乏力、烦不安、恶心、呕吐、昏迷、抽搐，以至死亡。液态氩可致皮肤冻伤，眼部接触可引起炎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4</w:t>
                  </w:r>
                </w:p>
              </w:tc>
              <w:tc>
                <w:tcPr>
                  <w:tcW w:w="9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color w:val="auto"/>
                      <w:sz w:val="18"/>
                      <w:szCs w:val="18"/>
                    </w:rPr>
                  </w:pPr>
                  <w:r>
                    <w:rPr>
                      <w:rFonts w:hint="eastAsia" w:ascii="Times New Roman" w:hAnsi="Times New Roman" w:cs="Times New Roman"/>
                      <w:bCs/>
                      <w:color w:val="auto"/>
                      <w:sz w:val="18"/>
                      <w:szCs w:val="18"/>
                      <w:lang w:val="en-US" w:eastAsia="zh-CN"/>
                    </w:rPr>
                    <w:t>氮气</w:t>
                  </w:r>
                </w:p>
              </w:tc>
              <w:tc>
                <w:tcPr>
                  <w:tcW w:w="4003" w:type="pct"/>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eastAsia="宋体"/>
                      <w:color w:val="auto"/>
                      <w:sz w:val="18"/>
                      <w:szCs w:val="18"/>
                      <w:lang w:eastAsia="zh-CN"/>
                    </w:rPr>
                  </w:pPr>
                  <w:r>
                    <w:rPr>
                      <w:rFonts w:hint="eastAsia"/>
                      <w:color w:val="auto"/>
                      <w:sz w:val="18"/>
                      <w:szCs w:val="18"/>
                    </w:rPr>
                    <w:t>无色无臭气体，熔点℃：-209.8，沸点℃：-195.6，溶于水、乙醇，饱和蒸汽压（Kpa）：1026.42(-173℃)</w:t>
                  </w:r>
                  <w:r>
                    <w:rPr>
                      <w:rFonts w:hint="eastAsia"/>
                      <w:color w:val="auto"/>
                      <w:sz w:val="18"/>
                      <w:szCs w:val="18"/>
                      <w:lang w:eastAsia="zh-CN"/>
                    </w:rPr>
                    <w:t>，若遇高热，容器内压增大，有开裂和爆炸的危险，空气中氮气含量过高，使吸入气氧分压下降，引起缺氧窒息，吸入氮气浓度不太高时，患者最初感胸闷、气短、疲软无力；继而有烦躁不安、极度兴奋、乱跑、叫喊、神情恍惚、步态不稳，称之为“氮酩酊”，可进入昏睡或昏迷状态。吸入高浓度，患者可迅速出现昏迷、呼吸心跳停止而致死亡。潜水员深潜时，可发生氮的麻醉作用；若从高压环境下过快转入常压环境。体内会形成氮气气泡，压迫神经、血管或造成微血管阻塞，发生“减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5</w:t>
                  </w:r>
                </w:p>
              </w:tc>
              <w:tc>
                <w:tcPr>
                  <w:tcW w:w="9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color w:val="auto"/>
                      <w:sz w:val="18"/>
                      <w:szCs w:val="18"/>
                    </w:rPr>
                  </w:pPr>
                  <w:r>
                    <w:rPr>
                      <w:rFonts w:hint="eastAsia" w:ascii="Times New Roman" w:hAnsi="Times New Roman" w:cs="Times New Roman"/>
                      <w:bCs/>
                      <w:color w:val="auto"/>
                      <w:sz w:val="18"/>
                      <w:szCs w:val="18"/>
                      <w:lang w:val="en-US" w:eastAsia="zh-CN"/>
                    </w:rPr>
                    <w:t>氧气</w:t>
                  </w:r>
                </w:p>
              </w:tc>
              <w:tc>
                <w:tcPr>
                  <w:tcW w:w="4003" w:type="pct"/>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eastAsia="宋体"/>
                      <w:color w:val="auto"/>
                      <w:sz w:val="18"/>
                      <w:szCs w:val="18"/>
                      <w:lang w:eastAsia="zh-CN"/>
                    </w:rPr>
                  </w:pPr>
                  <w:r>
                    <w:rPr>
                      <w:rFonts w:hint="eastAsia"/>
                      <w:color w:val="auto"/>
                      <w:sz w:val="18"/>
                      <w:szCs w:val="18"/>
                    </w:rPr>
                    <w:t>无气味，压缩气体。沸点：-183℃，熔点：-218.4℃，水中溶解度：20℃时3.1ml/100ml，蒸气相对密度（空气=1）：1.43</w:t>
                  </w:r>
                  <w:r>
                    <w:rPr>
                      <w:rFonts w:hint="eastAsia"/>
                      <w:color w:val="auto"/>
                      <w:sz w:val="18"/>
                      <w:szCs w:val="18"/>
                      <w:lang w:eastAsia="zh-CN"/>
                    </w:rPr>
                    <w:t>，不可燃，但可增进其他物质燃烧。受热引起压力升高，有爆炸危险吸入风险：普通大气压下无毒。短期接触作用：在极高浓度时该物质刺激呼吸道。该物质可能对中枢神经系统、肺和眼睛发生作用。长期或反复接触作用：吸入高浓度，肺可能受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6</w:t>
                  </w:r>
                </w:p>
              </w:tc>
              <w:tc>
                <w:tcPr>
                  <w:tcW w:w="575"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eastAsia="宋体"/>
                      <w:color w:val="auto"/>
                      <w:sz w:val="18"/>
                      <w:szCs w:val="18"/>
                      <w:lang w:eastAsia="zh-CN"/>
                    </w:rPr>
                  </w:pPr>
                  <w:r>
                    <w:rPr>
                      <w:rFonts w:hint="eastAsia"/>
                      <w:color w:val="auto"/>
                      <w:sz w:val="18"/>
                      <w:szCs w:val="18"/>
                      <w:lang w:val="en-US" w:eastAsia="zh-CN"/>
                    </w:rPr>
                    <w:t>液压油</w:t>
                  </w:r>
                </w:p>
              </w:tc>
              <w:tc>
                <w:tcPr>
                  <w:tcW w:w="4003" w:type="pct"/>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color w:val="auto"/>
                      <w:sz w:val="18"/>
                      <w:szCs w:val="18"/>
                      <w:lang w:eastAsia="zh-CN"/>
                    </w:rPr>
                  </w:pPr>
                  <w:r>
                    <w:rPr>
                      <w:rFonts w:hint="eastAsia"/>
                      <w:color w:val="auto"/>
                      <w:sz w:val="18"/>
                      <w:szCs w:val="18"/>
                    </w:rPr>
                    <w:t>主要成分：二次加氢石蜡基基础油</w:t>
                  </w:r>
                  <w:r>
                    <w:rPr>
                      <w:rFonts w:hint="eastAsia"/>
                      <w:color w:val="auto"/>
                      <w:sz w:val="18"/>
                      <w:szCs w:val="18"/>
                      <w:lang w:eastAsia="zh-CN"/>
                    </w:rPr>
                    <w:t>98.9%-99.3%</w:t>
                  </w:r>
                  <w:r>
                    <w:rPr>
                      <w:rFonts w:hint="eastAsia"/>
                      <w:color w:val="auto"/>
                      <w:sz w:val="18"/>
                      <w:szCs w:val="18"/>
                    </w:rPr>
                    <w:t>、液压油复合添加剂</w:t>
                  </w:r>
                  <w:r>
                    <w:rPr>
                      <w:rFonts w:hint="eastAsia"/>
                      <w:color w:val="auto"/>
                      <w:sz w:val="18"/>
                      <w:szCs w:val="18"/>
                      <w:lang w:eastAsia="zh-CN"/>
                    </w:rPr>
                    <w:t>0.6%-0.9%</w:t>
                  </w:r>
                  <w:r>
                    <w:rPr>
                      <w:rFonts w:hint="eastAsia"/>
                      <w:color w:val="auto"/>
                      <w:sz w:val="18"/>
                      <w:szCs w:val="18"/>
                    </w:rPr>
                    <w:t>、降凝剂</w:t>
                  </w:r>
                  <w:r>
                    <w:rPr>
                      <w:rFonts w:hint="eastAsia"/>
                      <w:color w:val="auto"/>
                      <w:sz w:val="18"/>
                      <w:szCs w:val="18"/>
                      <w:lang w:eastAsia="zh-CN"/>
                    </w:rPr>
                    <w:t>0.1%-0.2%，外观与性状：无色至浅黄色透明液体，闪点： &gt;200℃，水中溶解度：不溶，自燃温度： &gt;300℃，粘度（40℃）：与牌号数值一样，倾点：&lt;-12℃，密度（g/cm</w:t>
                  </w:r>
                  <w:r>
                    <w:rPr>
                      <w:rFonts w:hint="eastAsia"/>
                      <w:color w:val="auto"/>
                      <w:sz w:val="18"/>
                      <w:szCs w:val="18"/>
                      <w:vertAlign w:val="superscript"/>
                      <w:lang w:eastAsia="zh-CN"/>
                    </w:rPr>
                    <w:t>3</w:t>
                  </w:r>
                  <w:r>
                    <w:rPr>
                      <w:rFonts w:hint="eastAsia"/>
                      <w:color w:val="auto"/>
                      <w:sz w:val="18"/>
                      <w:szCs w:val="18"/>
                      <w:lang w:eastAsia="zh-CN"/>
                    </w:rPr>
                    <w:t>）：0.83±0.01(22)、0.84±0.01（32）、0.85±0.01（46、68）、0.86±0.01（100、150）完全燃烧产生CO</w:t>
                  </w:r>
                  <w:r>
                    <w:rPr>
                      <w:rFonts w:hint="eastAsia"/>
                      <w:color w:val="auto"/>
                      <w:sz w:val="18"/>
                      <w:szCs w:val="18"/>
                      <w:vertAlign w:val="subscript"/>
                      <w:lang w:eastAsia="zh-CN"/>
                    </w:rPr>
                    <w:t>2</w:t>
                  </w:r>
                  <w:r>
                    <w:rPr>
                      <w:rFonts w:hint="eastAsia"/>
                      <w:color w:val="auto"/>
                      <w:sz w:val="18"/>
                      <w:szCs w:val="18"/>
                      <w:lang w:eastAsia="zh-CN"/>
                    </w:rPr>
                    <w:t>、H</w:t>
                  </w:r>
                  <w:r>
                    <w:rPr>
                      <w:rFonts w:hint="eastAsia"/>
                      <w:color w:val="auto"/>
                      <w:sz w:val="18"/>
                      <w:szCs w:val="18"/>
                      <w:vertAlign w:val="subscript"/>
                      <w:lang w:eastAsia="zh-CN"/>
                    </w:rPr>
                    <w:t>2</w:t>
                  </w:r>
                  <w:r>
                    <w:rPr>
                      <w:rFonts w:hint="eastAsia"/>
                      <w:color w:val="auto"/>
                      <w:sz w:val="18"/>
                      <w:szCs w:val="18"/>
                      <w:lang w:eastAsia="zh-CN"/>
                    </w:rPr>
                    <w:t>O，未完全燃烧会产生CO。蒸气空气混合物高于闪火点可能引起火灾。毒性：无具体数据。极低毒性（根据对成分的分析）。</w:t>
                  </w:r>
                </w:p>
                <w:p>
                  <w:pPr>
                    <w:adjustRightInd w:val="0"/>
                    <w:snapToGrid w:val="0"/>
                    <w:jc w:val="left"/>
                    <w:rPr>
                      <w:rFonts w:hint="eastAsia"/>
                      <w:color w:val="auto"/>
                      <w:sz w:val="18"/>
                      <w:szCs w:val="18"/>
                    </w:rPr>
                  </w:pPr>
                  <w:r>
                    <w:rPr>
                      <w:rFonts w:hint="eastAsia"/>
                      <w:color w:val="auto"/>
                      <w:sz w:val="18"/>
                      <w:szCs w:val="18"/>
                      <w:lang w:eastAsia="zh-CN"/>
                    </w:rPr>
                    <w:t>刺激性：无具体数据。在一般温度/正常处理温度下危险性可忽略。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color w:val="auto"/>
                      <w:sz w:val="18"/>
                      <w:szCs w:val="18"/>
                      <w:lang w:val="en-US" w:eastAsia="zh-CN"/>
                    </w:rPr>
                  </w:pPr>
                  <w:r>
                    <w:rPr>
                      <w:rFonts w:hint="eastAsia"/>
                      <w:color w:val="auto"/>
                      <w:sz w:val="18"/>
                      <w:szCs w:val="18"/>
                      <w:lang w:val="en-US" w:eastAsia="zh-CN"/>
                    </w:rPr>
                    <w:t>7</w:t>
                  </w:r>
                </w:p>
              </w:tc>
              <w:tc>
                <w:tcPr>
                  <w:tcW w:w="575"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color w:val="auto"/>
                      <w:sz w:val="18"/>
                      <w:szCs w:val="18"/>
                      <w:lang w:val="en-US" w:eastAsia="zh-CN"/>
                    </w:rPr>
                  </w:pPr>
                  <w:r>
                    <w:rPr>
                      <w:rFonts w:hint="eastAsia"/>
                      <w:color w:val="auto"/>
                      <w:sz w:val="18"/>
                      <w:szCs w:val="18"/>
                      <w:lang w:val="en-US" w:eastAsia="zh-CN"/>
                    </w:rPr>
                    <w:t>柴油</w:t>
                  </w:r>
                </w:p>
              </w:tc>
              <w:tc>
                <w:tcPr>
                  <w:tcW w:w="4003" w:type="pct"/>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color w:val="auto"/>
                      <w:sz w:val="18"/>
                      <w:szCs w:val="18"/>
                      <w:lang w:eastAsia="zh-CN"/>
                    </w:rPr>
                  </w:pPr>
                  <w:r>
                    <w:rPr>
                      <w:rFonts w:hint="eastAsia"/>
                      <w:color w:val="auto"/>
                      <w:sz w:val="18"/>
                      <w:szCs w:val="18"/>
                      <w:lang w:eastAsia="zh-CN"/>
                    </w:rPr>
                    <w:t>轻质石油产品，是复杂的烃类混合物，碳原子数约10～22混合物。为压燃式发动机（即柴油机）燃料。热值为3.3*10</w:t>
                  </w:r>
                  <w:r>
                    <w:rPr>
                      <w:rFonts w:hint="eastAsia"/>
                      <w:color w:val="auto"/>
                      <w:sz w:val="18"/>
                      <w:szCs w:val="18"/>
                      <w:vertAlign w:val="superscript"/>
                      <w:lang w:eastAsia="zh-CN"/>
                    </w:rPr>
                    <w:t>7</w:t>
                  </w:r>
                  <w:r>
                    <w:rPr>
                      <w:rFonts w:hint="eastAsia"/>
                      <w:color w:val="auto"/>
                      <w:sz w:val="18"/>
                      <w:szCs w:val="18"/>
                      <w:lang w:eastAsia="zh-CN"/>
                    </w:rPr>
                    <w:t>J/L，沸点范围和黏度介于煤油与润滑油之间的液态石油馏分。易燃易挥发，不溶于水，易溶于醇和其他有机溶剂。是组分复杂的混合物，沸点范围有 180℃ ~370℃ 和 350℃ ~410℃ 两类。主要由原油蒸馏、催化裂化、热裂化、加氢裂化、石油焦化等过程生产的柴油馏分调配而成（还需经精制和加入添加剂）；由原油、页岩油等经直馏或裂化等过程制得。根据原油性质的不同，有石蜡基柴油、环烷基柴油、环烷-芳烃基柴油等。人体侵入途径：皮肤吸收为主、呼吸道吸入。柴油的毒性类似于煤油，但由于添加剂（如硫化酯类）的影响，毒性可能比煤油略大。主要有麻醉和刺激作用。</w:t>
                  </w: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olor w:val="auto"/>
                <w:szCs w:val="21"/>
              </w:rPr>
            </w:pPr>
            <w:r>
              <w:rPr>
                <w:rFonts w:hint="eastAsia"/>
                <w:color w:val="auto"/>
                <w:szCs w:val="21"/>
              </w:rPr>
              <w:t>（1）</w:t>
            </w:r>
            <w:r>
              <w:rPr>
                <w:rFonts w:hint="eastAsia"/>
                <w:color w:val="auto"/>
                <w:szCs w:val="21"/>
                <w:lang w:val="en-US" w:eastAsia="zh-CN"/>
              </w:rPr>
              <w:t>PP胶条</w:t>
            </w:r>
            <w:r>
              <w:rPr>
                <w:rFonts w:hint="eastAsia"/>
                <w:color w:val="auto"/>
                <w:szCs w:val="21"/>
              </w:rPr>
              <w:t>VOCs含量核算：</w:t>
            </w:r>
          </w:p>
          <w:p>
            <w:pPr>
              <w:pStyle w:val="123"/>
              <w:ind w:firstLine="420"/>
              <w:rPr>
                <w:rFonts w:hint="default" w:hAnsi="宋体" w:eastAsia="宋体"/>
                <w:color w:val="auto"/>
                <w:sz w:val="21"/>
                <w:szCs w:val="21"/>
                <w:lang w:val="en-US" w:eastAsia="zh-CN"/>
              </w:rPr>
            </w:pPr>
            <w:r>
              <w:rPr>
                <w:rFonts w:hint="eastAsia" w:hAnsi="宋体"/>
                <w:color w:val="auto"/>
                <w:sz w:val="21"/>
                <w:szCs w:val="21"/>
                <w:lang w:val="en-US" w:eastAsia="zh-CN"/>
              </w:rPr>
              <w:t>本项目塑料板材需进行热塑焊接，外购PP胶条经过热熔胶枪热熔后作为胶条使用，本项目所使用PP胶条为聚丙烯材质，参照《292塑料制品行业系数手册》中2929塑料零件及其他塑料制品制造行业系数表，塑料零件—配料混合挤出/注塑——挥发性有机物产污系数：2.7kg/t-产品，则本项目PP胶条经热熔后</w:t>
            </w:r>
            <w:r>
              <w:rPr>
                <w:rFonts w:hint="eastAsia"/>
                <w:color w:val="auto"/>
                <w:sz w:val="21"/>
                <w:szCs w:val="21"/>
              </w:rPr>
              <w:t>VOCs</w:t>
            </w:r>
            <w:r>
              <w:rPr>
                <w:rFonts w:hint="eastAsia"/>
                <w:color w:val="auto"/>
                <w:sz w:val="21"/>
                <w:szCs w:val="21"/>
                <w:lang w:val="en-US" w:eastAsia="zh-CN"/>
              </w:rPr>
              <w:t>产生系数为2.7kg/t-产品，即PP胶条</w:t>
            </w:r>
            <w:r>
              <w:rPr>
                <w:rFonts w:hint="eastAsia"/>
                <w:color w:val="auto"/>
                <w:sz w:val="21"/>
                <w:szCs w:val="21"/>
              </w:rPr>
              <w:t>VOCs</w:t>
            </w:r>
            <w:r>
              <w:rPr>
                <w:rFonts w:hint="eastAsia"/>
                <w:color w:val="auto"/>
                <w:sz w:val="21"/>
                <w:szCs w:val="21"/>
                <w:lang w:val="en-US" w:eastAsia="zh-CN"/>
              </w:rPr>
              <w:t>物质含量限值2.7g/kg，对标《胶黏剂挥发性有机化合物限量》（GB33372-2020）表3热塑类本体型胶黏剂VOC含量限量≤50g/kg限量要求。</w:t>
            </w:r>
          </w:p>
          <w:p>
            <w:pPr>
              <w:pStyle w:val="123"/>
              <w:adjustRightInd/>
              <w:snapToGrid/>
              <w:ind w:firstLine="482" w:firstLineChars="0"/>
              <w:rPr>
                <w:b/>
                <w:bCs/>
                <w:color w:val="auto"/>
                <w:sz w:val="21"/>
                <w:szCs w:val="21"/>
                <w:lang w:val="en-US" w:eastAsia="zh-CN"/>
              </w:rPr>
            </w:pPr>
            <w:r>
              <w:rPr>
                <w:b/>
                <w:bCs/>
                <w:color w:val="auto"/>
                <w:sz w:val="21"/>
                <w:szCs w:val="21"/>
                <w:lang w:val="en-US" w:eastAsia="zh-CN"/>
              </w:rPr>
              <w:t>2.</w:t>
            </w:r>
            <w:r>
              <w:rPr>
                <w:rFonts w:hint="eastAsia"/>
                <w:b/>
                <w:bCs/>
                <w:color w:val="auto"/>
                <w:sz w:val="21"/>
                <w:szCs w:val="21"/>
                <w:lang w:val="en-US" w:eastAsia="zh-CN"/>
              </w:rPr>
              <w:t>5</w:t>
            </w:r>
            <w:r>
              <w:rPr>
                <w:b/>
                <w:bCs/>
                <w:color w:val="auto"/>
                <w:sz w:val="21"/>
                <w:szCs w:val="21"/>
                <w:lang w:val="en-US" w:eastAsia="zh-CN"/>
              </w:rPr>
              <w:t>主要生产设备</w:t>
            </w:r>
          </w:p>
          <w:p>
            <w:pPr>
              <w:spacing w:line="360" w:lineRule="auto"/>
              <w:ind w:firstLine="420" w:firstLineChars="200"/>
              <w:jc w:val="left"/>
              <w:rPr>
                <w:rFonts w:hint="eastAsia" w:ascii="宋体" w:hAnsi="宋体" w:cs="宋体"/>
                <w:color w:val="auto"/>
                <w:szCs w:val="21"/>
              </w:rPr>
            </w:pPr>
            <w:r>
              <w:rPr>
                <w:rFonts w:hint="eastAsia" w:hAnsi="宋体"/>
                <w:color w:val="auto"/>
                <w:kern w:val="0"/>
                <w:szCs w:val="21"/>
              </w:rPr>
              <w:t>本次</w:t>
            </w:r>
            <w:r>
              <w:rPr>
                <w:rFonts w:hint="eastAsia" w:hAnsi="宋体"/>
                <w:color w:val="auto"/>
                <w:kern w:val="0"/>
                <w:szCs w:val="21"/>
                <w:lang w:val="en-US" w:eastAsia="zh-CN"/>
              </w:rPr>
              <w:t>项目生产</w:t>
            </w:r>
            <w:r>
              <w:rPr>
                <w:rFonts w:hint="eastAsia" w:hAnsi="宋体"/>
                <w:color w:val="auto"/>
                <w:kern w:val="0"/>
                <w:szCs w:val="21"/>
              </w:rPr>
              <w:t>设备情况见下表2-</w:t>
            </w:r>
            <w:r>
              <w:rPr>
                <w:rFonts w:hint="eastAsia" w:hAnsi="宋体"/>
                <w:color w:val="auto"/>
                <w:kern w:val="0"/>
                <w:szCs w:val="21"/>
                <w:lang w:val="en-US" w:eastAsia="zh-CN"/>
              </w:rPr>
              <w:t>7</w:t>
            </w:r>
            <w:r>
              <w:rPr>
                <w:rFonts w:hint="eastAsia" w:hAnsi="宋体"/>
                <w:color w:val="auto"/>
                <w:kern w:val="0"/>
                <w:szCs w:val="21"/>
              </w:rPr>
              <w:t>。</w:t>
            </w:r>
          </w:p>
          <w:p>
            <w:pPr>
              <w:widowControl/>
              <w:spacing w:line="240" w:lineRule="atLeast"/>
              <w:jc w:val="center"/>
              <w:rPr>
                <w:rFonts w:hint="eastAsia"/>
                <w:b/>
                <w:color w:val="auto"/>
                <w:kern w:val="0"/>
                <w:szCs w:val="21"/>
                <w:lang w:bidi="ar"/>
              </w:rPr>
            </w:pPr>
            <w:r>
              <w:rPr>
                <w:rFonts w:hint="eastAsia" w:ascii="宋体" w:hAnsi="宋体" w:cs="宋体"/>
                <w:b/>
                <w:color w:val="auto"/>
                <w:kern w:val="0"/>
                <w:szCs w:val="21"/>
                <w:lang w:bidi="ar"/>
              </w:rPr>
              <w:t>表</w:t>
            </w:r>
            <w:r>
              <w:rPr>
                <w:b/>
                <w:color w:val="auto"/>
                <w:kern w:val="0"/>
                <w:szCs w:val="21"/>
                <w:lang w:bidi="ar"/>
              </w:rPr>
              <w:t>2</w:t>
            </w:r>
            <w:r>
              <w:rPr>
                <w:rFonts w:hint="eastAsia"/>
                <w:b/>
                <w:color w:val="auto"/>
                <w:kern w:val="0"/>
                <w:szCs w:val="21"/>
                <w:lang w:bidi="ar"/>
              </w:rPr>
              <w:t>-</w:t>
            </w:r>
            <w:r>
              <w:rPr>
                <w:rFonts w:hint="eastAsia"/>
                <w:b/>
                <w:color w:val="auto"/>
                <w:kern w:val="0"/>
                <w:szCs w:val="21"/>
                <w:lang w:val="en-US" w:eastAsia="zh-CN" w:bidi="ar"/>
              </w:rPr>
              <w:t xml:space="preserve">7  </w:t>
            </w:r>
            <w:r>
              <w:rPr>
                <w:rFonts w:hint="eastAsia"/>
                <w:b/>
                <w:color w:val="auto"/>
                <w:kern w:val="0"/>
                <w:szCs w:val="21"/>
                <w:lang w:bidi="ar"/>
              </w:rPr>
              <w:t>主要生产设备一览表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036"/>
              <w:gridCol w:w="1909"/>
              <w:gridCol w:w="158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tcBorders>
                    <w:top w:val="single" w:color="auto" w:sz="4" w:space="0"/>
                    <w:left w:val="single" w:color="auto" w:sz="4" w:space="0"/>
                    <w:right w:val="single" w:color="auto" w:sz="4" w:space="0"/>
                  </w:tcBorders>
                  <w:noWrap w:val="0"/>
                  <w:vAlign w:val="center"/>
                </w:tcPr>
                <w:p>
                  <w:pPr>
                    <w:adjustRightInd w:val="0"/>
                    <w:snapToGrid w:val="0"/>
                    <w:jc w:val="center"/>
                    <w:rPr>
                      <w:b/>
                      <w:bCs/>
                      <w:color w:val="auto"/>
                      <w:sz w:val="18"/>
                      <w:szCs w:val="18"/>
                    </w:rPr>
                  </w:pPr>
                  <w:r>
                    <w:rPr>
                      <w:rFonts w:hint="eastAsia"/>
                      <w:b/>
                      <w:bCs/>
                      <w:color w:val="auto"/>
                      <w:sz w:val="18"/>
                      <w:szCs w:val="18"/>
                    </w:rPr>
                    <w:t>生产单元</w:t>
                  </w:r>
                </w:p>
              </w:tc>
              <w:tc>
                <w:tcPr>
                  <w:tcW w:w="1217" w:type="pct"/>
                  <w:tcBorders>
                    <w:top w:val="single" w:color="auto" w:sz="4" w:space="0"/>
                    <w:left w:val="nil"/>
                    <w:right w:val="single" w:color="auto" w:sz="4" w:space="0"/>
                  </w:tcBorders>
                  <w:noWrap w:val="0"/>
                  <w:vAlign w:val="center"/>
                </w:tcPr>
                <w:p>
                  <w:pPr>
                    <w:adjustRightInd w:val="0"/>
                    <w:snapToGrid w:val="0"/>
                    <w:jc w:val="center"/>
                    <w:rPr>
                      <w:b/>
                      <w:bCs/>
                      <w:color w:val="auto"/>
                      <w:sz w:val="18"/>
                      <w:szCs w:val="18"/>
                    </w:rPr>
                  </w:pPr>
                  <w:r>
                    <w:rPr>
                      <w:rFonts w:hint="eastAsia"/>
                      <w:b/>
                      <w:bCs/>
                      <w:color w:val="auto"/>
                      <w:sz w:val="18"/>
                      <w:szCs w:val="18"/>
                    </w:rPr>
                    <w:t>设备名称</w:t>
                  </w:r>
                </w:p>
              </w:tc>
              <w:tc>
                <w:tcPr>
                  <w:tcW w:w="1141" w:type="pct"/>
                  <w:tcBorders>
                    <w:top w:val="single" w:color="auto" w:sz="4" w:space="0"/>
                    <w:left w:val="nil"/>
                    <w:right w:val="single" w:color="auto" w:sz="4" w:space="0"/>
                  </w:tcBorders>
                  <w:noWrap w:val="0"/>
                  <w:vAlign w:val="center"/>
                </w:tcPr>
                <w:p>
                  <w:pPr>
                    <w:adjustRightInd w:val="0"/>
                    <w:snapToGrid w:val="0"/>
                    <w:jc w:val="center"/>
                    <w:rPr>
                      <w:b/>
                      <w:bCs/>
                      <w:color w:val="auto"/>
                      <w:sz w:val="18"/>
                      <w:szCs w:val="18"/>
                    </w:rPr>
                  </w:pPr>
                  <w:r>
                    <w:rPr>
                      <w:b/>
                      <w:bCs/>
                      <w:color w:val="auto"/>
                      <w:sz w:val="18"/>
                      <w:szCs w:val="18"/>
                    </w:rPr>
                    <w:t>型号</w:t>
                  </w:r>
                </w:p>
              </w:tc>
              <w:tc>
                <w:tcPr>
                  <w:tcW w:w="948" w:type="pct"/>
                  <w:tcBorders>
                    <w:top w:val="single" w:color="auto" w:sz="4" w:space="0"/>
                    <w:left w:val="nil"/>
                    <w:right w:val="single" w:color="auto" w:sz="4" w:space="0"/>
                  </w:tcBorders>
                  <w:noWrap w:val="0"/>
                  <w:vAlign w:val="center"/>
                </w:tcPr>
                <w:p>
                  <w:pPr>
                    <w:adjustRightInd w:val="0"/>
                    <w:snapToGrid w:val="0"/>
                    <w:jc w:val="center"/>
                    <w:rPr>
                      <w:b/>
                      <w:bCs/>
                      <w:color w:val="auto"/>
                      <w:sz w:val="18"/>
                      <w:szCs w:val="18"/>
                    </w:rPr>
                  </w:pPr>
                  <w:r>
                    <w:rPr>
                      <w:b/>
                      <w:bCs/>
                      <w:color w:val="auto"/>
                      <w:sz w:val="18"/>
                      <w:szCs w:val="18"/>
                    </w:rPr>
                    <w:t>数量（台/套）</w:t>
                  </w:r>
                </w:p>
              </w:tc>
              <w:tc>
                <w:tcPr>
                  <w:tcW w:w="776" w:type="pct"/>
                  <w:tcBorders>
                    <w:top w:val="single" w:color="auto" w:sz="4" w:space="0"/>
                    <w:left w:val="nil"/>
                    <w:right w:val="single" w:color="auto" w:sz="4" w:space="0"/>
                  </w:tcBorders>
                  <w:noWrap w:val="0"/>
                  <w:vAlign w:val="center"/>
                </w:tcPr>
                <w:p>
                  <w:pPr>
                    <w:adjustRightInd w:val="0"/>
                    <w:snapToGrid w:val="0"/>
                    <w:jc w:val="center"/>
                    <w:rPr>
                      <w:b/>
                      <w:bCs/>
                      <w:color w:val="auto"/>
                      <w:sz w:val="18"/>
                      <w:szCs w:val="18"/>
                    </w:rPr>
                  </w:pPr>
                  <w:r>
                    <w:rPr>
                      <w:b/>
                      <w:bCs/>
                      <w:color w:val="auto"/>
                      <w:sz w:val="18"/>
                      <w:szCs w:val="18"/>
                    </w:rPr>
                    <w:t>对应工序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restart"/>
                  <w:tcBorders>
                    <w:top w:val="nil"/>
                    <w:left w:val="single" w:color="auto" w:sz="4" w:space="0"/>
                    <w:right w:val="single" w:color="auto" w:sz="4" w:space="0"/>
                  </w:tcBorders>
                  <w:noWrap w:val="0"/>
                  <w:vAlign w:val="center"/>
                </w:tcPr>
                <w:p>
                  <w:pPr>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机加工</w:t>
                  </w:r>
                </w:p>
              </w:tc>
              <w:tc>
                <w:tcPr>
                  <w:tcW w:w="1217" w:type="pc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bCs/>
                      <w:color w:val="auto"/>
                      <w:sz w:val="18"/>
                      <w:szCs w:val="18"/>
                    </w:rPr>
                  </w:pPr>
                  <w:r>
                    <w:rPr>
                      <w:rFonts w:hint="eastAsia" w:asciiTheme="minorEastAsia" w:hAnsiTheme="minorEastAsia" w:eastAsiaTheme="minorEastAsia"/>
                      <w:color w:val="auto"/>
                      <w:sz w:val="18"/>
                      <w:szCs w:val="18"/>
                    </w:rPr>
                    <w:t>电液同步数控折弯机</w:t>
                  </w:r>
                </w:p>
              </w:tc>
              <w:tc>
                <w:tcPr>
                  <w:tcW w:w="1141" w:type="pct"/>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w:t>
                  </w:r>
                </w:p>
              </w:tc>
              <w:tc>
                <w:tcPr>
                  <w:tcW w:w="948" w:type="pct"/>
                  <w:tcBorders>
                    <w:top w:val="single" w:color="auto" w:sz="4" w:space="0"/>
                    <w:left w:val="nil"/>
                    <w:bottom w:val="single" w:color="auto" w:sz="4" w:space="0"/>
                    <w:right w:val="single" w:color="auto" w:sz="4" w:space="0"/>
                  </w:tcBorders>
                  <w:noWrap w:val="0"/>
                  <w:vAlign w:val="center"/>
                </w:tcPr>
                <w:p>
                  <w:pPr>
                    <w:widowControl/>
                    <w:jc w:val="center"/>
                    <w:textAlignment w:val="center"/>
                    <w:rPr>
                      <w:color w:val="auto"/>
                      <w:sz w:val="18"/>
                      <w:szCs w:val="18"/>
                    </w:rPr>
                  </w:pPr>
                  <w:r>
                    <w:rPr>
                      <w:rFonts w:hint="eastAsia"/>
                      <w:color w:val="auto"/>
                      <w:sz w:val="18"/>
                      <w:szCs w:val="18"/>
                    </w:rPr>
                    <w:t>2</w:t>
                  </w:r>
                </w:p>
              </w:tc>
              <w:tc>
                <w:tcPr>
                  <w:tcW w:w="77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eastAsia="宋体"/>
                      <w:color w:val="auto"/>
                      <w:sz w:val="18"/>
                      <w:szCs w:val="18"/>
                      <w:lang w:val="en-US" w:eastAsia="zh-CN"/>
                    </w:rPr>
                  </w:pPr>
                  <w:r>
                    <w:rPr>
                      <w:rFonts w:hint="eastAsia"/>
                      <w:color w:val="auto"/>
                      <w:sz w:val="18"/>
                      <w:szCs w:val="18"/>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auto"/>
                      <w:sz w:val="18"/>
                      <w:szCs w:val="18"/>
                    </w:rPr>
                  </w:pPr>
                </w:p>
              </w:tc>
              <w:tc>
                <w:tcPr>
                  <w:tcW w:w="1217" w:type="pc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宋体" w:hAnsi="宋体" w:cs="宋体"/>
                      <w:color w:val="auto"/>
                      <w:sz w:val="18"/>
                      <w:szCs w:val="18"/>
                    </w:rPr>
                  </w:pPr>
                  <w:r>
                    <w:rPr>
                      <w:rFonts w:hint="eastAsia"/>
                      <w:color w:val="auto"/>
                      <w:sz w:val="18"/>
                      <w:szCs w:val="18"/>
                    </w:rPr>
                    <w:t>双螺杆空压机</w:t>
                  </w:r>
                </w:p>
              </w:tc>
              <w:tc>
                <w:tcPr>
                  <w:tcW w:w="1141" w:type="pct"/>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bCs/>
                      <w:color w:val="auto"/>
                      <w:kern w:val="2"/>
                      <w:sz w:val="18"/>
                      <w:szCs w:val="18"/>
                      <w:lang w:val="en-US" w:eastAsia="zh-CN" w:bidi="ar-SA"/>
                    </w:rPr>
                  </w:pPr>
                  <w:r>
                    <w:rPr>
                      <w:rFonts w:hint="eastAsia"/>
                      <w:bCs/>
                      <w:color w:val="auto"/>
                      <w:sz w:val="18"/>
                      <w:szCs w:val="18"/>
                    </w:rPr>
                    <w:t>/</w:t>
                  </w:r>
                </w:p>
              </w:tc>
              <w:tc>
                <w:tcPr>
                  <w:tcW w:w="948"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eastAsia="宋体"/>
                      <w:color w:val="auto"/>
                      <w:sz w:val="18"/>
                      <w:szCs w:val="18"/>
                      <w:lang w:eastAsia="zh-CN"/>
                    </w:rPr>
                  </w:pPr>
                  <w:r>
                    <w:rPr>
                      <w:rFonts w:hint="eastAsia"/>
                      <w:color w:val="auto"/>
                      <w:sz w:val="18"/>
                      <w:szCs w:val="18"/>
                      <w:lang w:val="en-US" w:eastAsia="zh-CN"/>
                    </w:rPr>
                    <w:t>3</w:t>
                  </w:r>
                </w:p>
              </w:tc>
              <w:tc>
                <w:tcPr>
                  <w:tcW w:w="77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color w:val="auto"/>
                      <w:sz w:val="18"/>
                      <w:szCs w:val="18"/>
                    </w:rPr>
                  </w:pPr>
                  <w:r>
                    <w:rPr>
                      <w:rFonts w:hint="eastAsia"/>
                      <w:color w:val="auto"/>
                      <w:sz w:val="18"/>
                      <w:szCs w:val="18"/>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color w:val="auto"/>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宋体" w:hAnsi="宋体" w:cs="宋体"/>
                      <w:color w:val="auto"/>
                      <w:sz w:val="18"/>
                      <w:szCs w:val="18"/>
                    </w:rPr>
                  </w:pPr>
                  <w:r>
                    <w:rPr>
                      <w:rFonts w:hint="eastAsia"/>
                      <w:color w:val="auto"/>
                      <w:sz w:val="18"/>
                      <w:szCs w:val="18"/>
                    </w:rPr>
                    <w:t>普通车床</w:t>
                  </w:r>
                </w:p>
              </w:tc>
              <w:tc>
                <w:tcPr>
                  <w:tcW w:w="1141" w:type="pct"/>
                  <w:tcBorders>
                    <w:top w:val="single" w:color="auto" w:sz="4" w:space="0"/>
                    <w:left w:val="nil"/>
                    <w:bottom w:val="single" w:color="auto" w:sz="4" w:space="0"/>
                    <w:right w:val="single" w:color="auto" w:sz="4" w:space="0"/>
                  </w:tcBorders>
                  <w:noWrap w:val="0"/>
                  <w:vAlign w:val="center"/>
                </w:tcPr>
                <w:p>
                  <w:pPr>
                    <w:jc w:val="center"/>
                    <w:rPr>
                      <w:bCs/>
                      <w:color w:val="auto"/>
                      <w:sz w:val="18"/>
                      <w:szCs w:val="18"/>
                    </w:rPr>
                  </w:pPr>
                  <w:r>
                    <w:rPr>
                      <w:rFonts w:hint="eastAsia"/>
                      <w:bCs/>
                      <w:color w:val="auto"/>
                      <w:sz w:val="18"/>
                      <w:szCs w:val="18"/>
                    </w:rPr>
                    <w:t>/</w:t>
                  </w:r>
                </w:p>
              </w:tc>
              <w:tc>
                <w:tcPr>
                  <w:tcW w:w="948" w:type="pct"/>
                  <w:tcBorders>
                    <w:top w:val="single" w:color="auto" w:sz="4" w:space="0"/>
                    <w:left w:val="nil"/>
                    <w:bottom w:val="single" w:color="auto" w:sz="4" w:space="0"/>
                    <w:right w:val="single" w:color="auto" w:sz="4" w:space="0"/>
                  </w:tcBorders>
                  <w:noWrap w:val="0"/>
                  <w:vAlign w:val="center"/>
                </w:tcPr>
                <w:p>
                  <w:pPr>
                    <w:widowControl/>
                    <w:jc w:val="center"/>
                    <w:textAlignment w:val="center"/>
                    <w:rPr>
                      <w:color w:val="auto"/>
                      <w:kern w:val="0"/>
                      <w:sz w:val="18"/>
                      <w:szCs w:val="18"/>
                      <w:lang w:bidi="ar"/>
                    </w:rPr>
                  </w:pPr>
                  <w:r>
                    <w:rPr>
                      <w:rFonts w:hint="eastAsia"/>
                      <w:color w:val="auto"/>
                      <w:kern w:val="0"/>
                      <w:sz w:val="18"/>
                      <w:szCs w:val="18"/>
                      <w:lang w:bidi="ar"/>
                    </w:rPr>
                    <w:t>2</w:t>
                  </w:r>
                </w:p>
              </w:tc>
              <w:tc>
                <w:tcPr>
                  <w:tcW w:w="77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color w:val="auto"/>
                      <w:kern w:val="0"/>
                      <w:sz w:val="18"/>
                      <w:szCs w:val="18"/>
                      <w:lang w:bidi="ar"/>
                    </w:rPr>
                  </w:pPr>
                  <w:r>
                    <w:rPr>
                      <w:rFonts w:hint="eastAsia"/>
                      <w:color w:val="auto"/>
                      <w:sz w:val="18"/>
                      <w:szCs w:val="18"/>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auto"/>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宋体" w:hAnsi="宋体" w:cs="宋体"/>
                      <w:color w:val="auto"/>
                      <w:sz w:val="18"/>
                      <w:szCs w:val="18"/>
                    </w:rPr>
                  </w:pPr>
                  <w:r>
                    <w:rPr>
                      <w:rFonts w:hint="eastAsia" w:asciiTheme="minorEastAsia" w:hAnsiTheme="minorEastAsia" w:eastAsiaTheme="minorEastAsia"/>
                      <w:color w:val="auto"/>
                      <w:sz w:val="18"/>
                      <w:szCs w:val="18"/>
                    </w:rPr>
                    <w:t>数控车床</w:t>
                  </w:r>
                </w:p>
              </w:tc>
              <w:tc>
                <w:tcPr>
                  <w:tcW w:w="1141" w:type="pct"/>
                  <w:tcBorders>
                    <w:top w:val="single" w:color="auto" w:sz="4" w:space="0"/>
                    <w:left w:val="nil"/>
                    <w:right w:val="single" w:color="auto" w:sz="4" w:space="0"/>
                  </w:tcBorders>
                  <w:noWrap w:val="0"/>
                  <w:vAlign w:val="center"/>
                </w:tcPr>
                <w:p>
                  <w:pPr>
                    <w:adjustRightInd w:val="0"/>
                    <w:snapToGrid w:val="0"/>
                    <w:jc w:val="center"/>
                    <w:rPr>
                      <w:color w:val="auto"/>
                      <w:sz w:val="18"/>
                      <w:szCs w:val="18"/>
                    </w:rPr>
                  </w:pPr>
                  <w:r>
                    <w:rPr>
                      <w:rFonts w:hint="eastAsia"/>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eastAsia="zh-CN" w:bidi="ar"/>
                    </w:rPr>
                  </w:pPr>
                  <w:r>
                    <w:rPr>
                      <w:rFonts w:hint="eastAsia"/>
                      <w:color w:val="auto"/>
                      <w:kern w:val="0"/>
                      <w:sz w:val="18"/>
                      <w:szCs w:val="18"/>
                      <w:lang w:val="en-US" w:eastAsia="zh-CN" w:bidi="ar"/>
                    </w:rPr>
                    <w:t>6</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color w:val="auto"/>
                      <w:kern w:val="0"/>
                      <w:sz w:val="18"/>
                      <w:szCs w:val="18"/>
                      <w:lang w:bidi="ar"/>
                    </w:rPr>
                  </w:pPr>
                  <w:r>
                    <w:rPr>
                      <w:rFonts w:hint="eastAsia"/>
                      <w:color w:val="auto"/>
                      <w:sz w:val="18"/>
                      <w:szCs w:val="18"/>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auto"/>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宋体" w:hAnsi="宋体" w:cs="宋体"/>
                      <w:color w:val="auto"/>
                      <w:sz w:val="18"/>
                      <w:szCs w:val="18"/>
                    </w:rPr>
                  </w:pPr>
                  <w:r>
                    <w:rPr>
                      <w:rFonts w:hint="eastAsia" w:asciiTheme="minorEastAsia" w:hAnsiTheme="minorEastAsia" w:eastAsiaTheme="minorEastAsia"/>
                      <w:color w:val="auto"/>
                      <w:sz w:val="18"/>
                      <w:szCs w:val="18"/>
                    </w:rPr>
                    <w:t>数控加工中心</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10</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color w:val="auto"/>
                      <w:kern w:val="0"/>
                      <w:sz w:val="18"/>
                      <w:szCs w:val="18"/>
                      <w:lang w:bidi="ar"/>
                    </w:rPr>
                  </w:pPr>
                  <w:r>
                    <w:rPr>
                      <w:rFonts w:hint="eastAsia"/>
                      <w:color w:val="auto"/>
                      <w:sz w:val="18"/>
                      <w:szCs w:val="18"/>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auto"/>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宋体" w:hAnsi="宋体" w:cs="宋体"/>
                      <w:color w:val="auto"/>
                      <w:sz w:val="18"/>
                      <w:szCs w:val="18"/>
                    </w:rPr>
                  </w:pPr>
                  <w:r>
                    <w:rPr>
                      <w:rFonts w:hint="eastAsia" w:asciiTheme="minorEastAsia" w:hAnsiTheme="minorEastAsia" w:eastAsiaTheme="minorEastAsia"/>
                      <w:color w:val="auto"/>
                      <w:sz w:val="18"/>
                      <w:szCs w:val="18"/>
                      <w:lang w:val="en-US" w:eastAsia="zh-CN"/>
                    </w:rPr>
                    <w:t>金属带</w:t>
                  </w:r>
                  <w:r>
                    <w:rPr>
                      <w:rFonts w:hint="eastAsia" w:asciiTheme="minorEastAsia" w:hAnsiTheme="minorEastAsia" w:eastAsiaTheme="minorEastAsia"/>
                      <w:color w:val="auto"/>
                      <w:sz w:val="18"/>
                      <w:szCs w:val="18"/>
                    </w:rPr>
                    <w:t>锯床</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eastAsia="zh-CN" w:bidi="ar"/>
                    </w:rPr>
                  </w:pPr>
                  <w:r>
                    <w:rPr>
                      <w:rFonts w:hint="eastAsia"/>
                      <w:color w:val="auto"/>
                      <w:kern w:val="0"/>
                      <w:sz w:val="18"/>
                      <w:szCs w:val="18"/>
                      <w:lang w:val="en-US" w:eastAsia="zh-CN" w:bidi="ar"/>
                    </w:rPr>
                    <w:t>4</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color w:val="auto"/>
                      <w:kern w:val="0"/>
                      <w:sz w:val="18"/>
                      <w:szCs w:val="18"/>
                      <w:lang w:bidi="ar"/>
                    </w:rPr>
                  </w:pPr>
                  <w:r>
                    <w:rPr>
                      <w:rFonts w:hint="eastAsia"/>
                      <w:color w:val="auto"/>
                      <w:sz w:val="18"/>
                      <w:szCs w:val="18"/>
                      <w:lang w:val="en-US" w:eastAsia="zh-CN"/>
                    </w:rPr>
                    <w:t>下料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FF0000"/>
                      <w:sz w:val="18"/>
                      <w:szCs w:val="18"/>
                    </w:rPr>
                  </w:pPr>
                  <w:r>
                    <w:rPr>
                      <w:rFonts w:hint="eastAsia" w:asciiTheme="minorEastAsia" w:hAnsiTheme="minorEastAsia" w:eastAsiaTheme="minorEastAsia"/>
                      <w:color w:val="000000"/>
                      <w:sz w:val="18"/>
                      <w:szCs w:val="18"/>
                    </w:rPr>
                    <w:t>裁板锯床</w:t>
                  </w:r>
                </w:p>
              </w:tc>
              <w:tc>
                <w:tcPr>
                  <w:tcW w:w="1141" w:type="pct"/>
                  <w:tcBorders>
                    <w:top w:val="single" w:color="auto" w:sz="4" w:space="0"/>
                    <w:left w:val="nil"/>
                    <w:right w:val="single" w:color="auto" w:sz="4" w:space="0"/>
                  </w:tcBorders>
                  <w:noWrap w:val="0"/>
                  <w:vAlign w:val="center"/>
                </w:tcPr>
                <w:p>
                  <w:pPr>
                    <w:jc w:val="center"/>
                    <w:rPr>
                      <w:rFonts w:hint="eastAsia"/>
                      <w:color w:val="FF0000"/>
                      <w:sz w:val="18"/>
                      <w:szCs w:val="18"/>
                    </w:rPr>
                  </w:pPr>
                  <w:r>
                    <w:rPr>
                      <w:rFonts w:hint="eastAsia"/>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1</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下料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FF0000"/>
                      <w:sz w:val="18"/>
                      <w:szCs w:val="18"/>
                    </w:rPr>
                  </w:pPr>
                  <w:r>
                    <w:rPr>
                      <w:rFonts w:hint="eastAsia" w:asciiTheme="minorEastAsia" w:hAnsiTheme="minorEastAsia" w:eastAsiaTheme="minorEastAsia"/>
                      <w:color w:val="000000"/>
                      <w:sz w:val="18"/>
                      <w:szCs w:val="18"/>
                    </w:rPr>
                    <w:t>气保焊机</w:t>
                  </w:r>
                </w:p>
              </w:tc>
              <w:tc>
                <w:tcPr>
                  <w:tcW w:w="1141" w:type="pct"/>
                  <w:tcBorders>
                    <w:top w:val="single" w:color="auto" w:sz="4" w:space="0"/>
                    <w:left w:val="nil"/>
                    <w:right w:val="single" w:color="auto" w:sz="4" w:space="0"/>
                  </w:tcBorders>
                  <w:noWrap w:val="0"/>
                  <w:vAlign w:val="center"/>
                </w:tcPr>
                <w:p>
                  <w:pPr>
                    <w:jc w:val="center"/>
                    <w:rPr>
                      <w:rFonts w:hint="eastAsia"/>
                      <w:color w:val="FF0000"/>
                      <w:sz w:val="18"/>
                      <w:szCs w:val="18"/>
                    </w:rPr>
                  </w:pPr>
                  <w:r>
                    <w:rPr>
                      <w:rFonts w:hint="eastAsia"/>
                      <w:bCs/>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3</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光纤激光切割机</w:t>
                  </w:r>
                </w:p>
              </w:tc>
              <w:tc>
                <w:tcPr>
                  <w:tcW w:w="1141" w:type="pct"/>
                  <w:tcBorders>
                    <w:top w:val="single" w:color="auto" w:sz="4" w:space="0"/>
                    <w:left w:val="nil"/>
                    <w:right w:val="single" w:color="auto" w:sz="4" w:space="0"/>
                  </w:tcBorders>
                  <w:noWrap w:val="0"/>
                  <w:vAlign w:val="center"/>
                </w:tcPr>
                <w:p>
                  <w:pPr>
                    <w:jc w:val="center"/>
                    <w:rPr>
                      <w:rFonts w:hint="eastAsia"/>
                      <w:color w:val="FF0000"/>
                      <w:sz w:val="18"/>
                      <w:szCs w:val="18"/>
                    </w:rPr>
                  </w:pPr>
                  <w:r>
                    <w:rPr>
                      <w:rFonts w:hint="eastAsia"/>
                      <w:bCs/>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1</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下料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olor w:val="000000"/>
                      <w:sz w:val="18"/>
                      <w:szCs w:val="18"/>
                    </w:rPr>
                  </w:pPr>
                  <w:r>
                    <w:rPr>
                      <w:rFonts w:hint="eastAsia"/>
                      <w:sz w:val="18"/>
                      <w:szCs w:val="18"/>
                    </w:rPr>
                    <w:t>摇臂铣床</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FF0000"/>
                      <w:sz w:val="18"/>
                      <w:szCs w:val="18"/>
                    </w:rPr>
                  </w:pPr>
                  <w:r>
                    <w:rPr>
                      <w:rFonts w:hint="eastAsia"/>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4</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color w:val="auto"/>
                      <w:kern w:val="0"/>
                      <w:sz w:val="18"/>
                      <w:szCs w:val="18"/>
                      <w:lang w:bidi="ar"/>
                    </w:rPr>
                  </w:pPr>
                  <w:r>
                    <w:rPr>
                      <w:rFonts w:hint="eastAsia"/>
                      <w:color w:val="auto"/>
                      <w:sz w:val="18"/>
                      <w:szCs w:val="18"/>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sz w:val="18"/>
                      <w:szCs w:val="18"/>
                    </w:rPr>
                  </w:pPr>
                  <w:r>
                    <w:rPr>
                      <w:rFonts w:hint="eastAsia" w:asciiTheme="minorEastAsia" w:hAnsiTheme="minorEastAsia" w:eastAsiaTheme="minorEastAsia"/>
                      <w:color w:val="000000"/>
                      <w:sz w:val="18"/>
                      <w:szCs w:val="18"/>
                      <w:highlight w:val="none"/>
                    </w:rPr>
                    <w:t>真空机械手一套</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FF0000"/>
                      <w:sz w:val="18"/>
                      <w:szCs w:val="18"/>
                    </w:rPr>
                  </w:pPr>
                  <w:r>
                    <w:rPr>
                      <w:rFonts w:hint="eastAsia"/>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2</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color w:val="auto"/>
                      <w:kern w:val="0"/>
                      <w:sz w:val="18"/>
                      <w:szCs w:val="18"/>
                      <w:lang w:bidi="ar"/>
                    </w:rPr>
                  </w:pPr>
                  <w:r>
                    <w:rPr>
                      <w:rFonts w:hint="eastAsia"/>
                      <w:color w:val="auto"/>
                      <w:sz w:val="18"/>
                      <w:szCs w:val="18"/>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sz w:val="18"/>
                      <w:szCs w:val="18"/>
                    </w:rPr>
                  </w:pPr>
                  <w:r>
                    <w:rPr>
                      <w:rFonts w:hint="eastAsia" w:asciiTheme="minorEastAsia" w:hAnsiTheme="minorEastAsia" w:eastAsiaTheme="minorEastAsia"/>
                      <w:color w:val="000000"/>
                      <w:sz w:val="18"/>
                      <w:szCs w:val="18"/>
                      <w:highlight w:val="none"/>
                    </w:rPr>
                    <w:t>汽化器一套</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FF0000"/>
                      <w:sz w:val="18"/>
                      <w:szCs w:val="18"/>
                    </w:rPr>
                  </w:pPr>
                  <w:r>
                    <w:rPr>
                      <w:rFonts w:hint="eastAsia"/>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1</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气体汽化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olor w:val="000000"/>
                      <w:sz w:val="18"/>
                      <w:szCs w:val="18"/>
                      <w:highlight w:val="none"/>
                    </w:rPr>
                  </w:pPr>
                  <w:r>
                    <w:rPr>
                      <w:rFonts w:hint="eastAsia" w:asciiTheme="minorEastAsia" w:hAnsiTheme="minorEastAsia" w:eastAsiaTheme="minorEastAsia"/>
                      <w:color w:val="000000"/>
                      <w:sz w:val="18"/>
                      <w:szCs w:val="18"/>
                      <w:lang w:val="en-US" w:eastAsia="zh-CN"/>
                    </w:rPr>
                    <w:t>全自动红外线对焊机</w:t>
                  </w:r>
                </w:p>
              </w:tc>
              <w:tc>
                <w:tcPr>
                  <w:tcW w:w="1141" w:type="pct"/>
                  <w:tcBorders>
                    <w:top w:val="single" w:color="auto" w:sz="4" w:space="0"/>
                    <w:left w:val="nil"/>
                    <w:right w:val="single" w:color="auto" w:sz="4" w:space="0"/>
                  </w:tcBorders>
                  <w:noWrap w:val="0"/>
                  <w:vAlign w:val="center"/>
                </w:tcPr>
                <w:p>
                  <w:pPr>
                    <w:jc w:val="center"/>
                    <w:rPr>
                      <w:rFonts w:hint="eastAsia"/>
                      <w:color w:val="FF0000"/>
                      <w:sz w:val="18"/>
                      <w:szCs w:val="18"/>
                    </w:rPr>
                  </w:pPr>
                  <w:r>
                    <w:rPr>
                      <w:rFonts w:hint="eastAsia"/>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6</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color w:val="auto"/>
                      <w:kern w:val="0"/>
                      <w:sz w:val="18"/>
                      <w:szCs w:val="18"/>
                      <w:lang w:bidi="ar"/>
                    </w:rPr>
                  </w:pPr>
                  <w:r>
                    <w:rPr>
                      <w:rFonts w:hint="eastAsia"/>
                      <w:color w:val="auto"/>
                      <w:kern w:val="0"/>
                      <w:sz w:val="18"/>
                      <w:szCs w:val="18"/>
                      <w:lang w:val="en-US" w:eastAsia="zh-CN" w:bidi="ar"/>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olor w:val="000000"/>
                      <w:sz w:val="18"/>
                      <w:szCs w:val="18"/>
                      <w:highlight w:val="none"/>
                    </w:rPr>
                  </w:pPr>
                  <w:r>
                    <w:rPr>
                      <w:rFonts w:hint="eastAsia" w:asciiTheme="minorEastAsia" w:hAnsiTheme="minorEastAsia" w:eastAsiaTheme="minorEastAsia"/>
                      <w:color w:val="000000"/>
                      <w:sz w:val="18"/>
                      <w:szCs w:val="18"/>
                    </w:rPr>
                    <w:t>数控线切割机床</w:t>
                  </w:r>
                </w:p>
              </w:tc>
              <w:tc>
                <w:tcPr>
                  <w:tcW w:w="1141" w:type="pct"/>
                  <w:tcBorders>
                    <w:top w:val="single" w:color="auto" w:sz="4" w:space="0"/>
                    <w:left w:val="nil"/>
                    <w:right w:val="single" w:color="auto" w:sz="4" w:space="0"/>
                  </w:tcBorders>
                  <w:noWrap w:val="0"/>
                  <w:vAlign w:val="center"/>
                </w:tcPr>
                <w:p>
                  <w:pPr>
                    <w:jc w:val="center"/>
                    <w:rPr>
                      <w:rFonts w:hint="eastAsia"/>
                      <w:color w:val="FF0000"/>
                      <w:sz w:val="18"/>
                      <w:szCs w:val="18"/>
                    </w:rPr>
                  </w:pPr>
                  <w:r>
                    <w:rPr>
                      <w:rFonts w:hint="eastAsia"/>
                      <w:bCs/>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4</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下料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olor w:val="000000"/>
                      <w:sz w:val="18"/>
                      <w:szCs w:val="18"/>
                      <w:highlight w:val="none"/>
                    </w:rPr>
                  </w:pPr>
                  <w:r>
                    <w:rPr>
                      <w:rFonts w:hint="eastAsia" w:asciiTheme="minorEastAsia" w:hAnsiTheme="minorEastAsia" w:eastAsiaTheme="minorEastAsia"/>
                      <w:color w:val="000000"/>
                      <w:sz w:val="18"/>
                      <w:szCs w:val="18"/>
                    </w:rPr>
                    <w:t>切管机</w:t>
                  </w:r>
                </w:p>
              </w:tc>
              <w:tc>
                <w:tcPr>
                  <w:tcW w:w="1141" w:type="pct"/>
                  <w:tcBorders>
                    <w:top w:val="single" w:color="auto" w:sz="4" w:space="0"/>
                    <w:left w:val="nil"/>
                    <w:right w:val="single" w:color="auto" w:sz="4" w:space="0"/>
                  </w:tcBorders>
                  <w:noWrap w:val="0"/>
                  <w:vAlign w:val="center"/>
                </w:tcPr>
                <w:p>
                  <w:pPr>
                    <w:jc w:val="center"/>
                    <w:rPr>
                      <w:rFonts w:hint="eastAsia"/>
                      <w:color w:val="FF0000"/>
                      <w:sz w:val="18"/>
                      <w:szCs w:val="18"/>
                    </w:rPr>
                  </w:pPr>
                  <w:r>
                    <w:rPr>
                      <w:rFonts w:hint="eastAsia"/>
                      <w:bCs/>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2</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下料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olor w:val="000000"/>
                      <w:sz w:val="18"/>
                      <w:szCs w:val="18"/>
                      <w:highlight w:val="none"/>
                    </w:rPr>
                  </w:pPr>
                  <w:r>
                    <w:rPr>
                      <w:rFonts w:hint="eastAsia" w:asciiTheme="minorEastAsia" w:hAnsiTheme="minorEastAsia" w:eastAsiaTheme="minorEastAsia"/>
                      <w:color w:val="000000"/>
                      <w:sz w:val="18"/>
                      <w:szCs w:val="18"/>
                    </w:rPr>
                    <w:t>手持式激光焊接机</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FF0000"/>
                      <w:sz w:val="18"/>
                      <w:szCs w:val="18"/>
                    </w:rPr>
                  </w:pPr>
                  <w:r>
                    <w:rPr>
                      <w:rFonts w:hint="eastAsia"/>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4</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jc w:val="center"/>
                    <w:textAlignment w:val="auto"/>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去毛刺机</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FF0000"/>
                      <w:sz w:val="18"/>
                      <w:szCs w:val="18"/>
                    </w:rPr>
                  </w:pP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1</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lang w:val="en-US" w:eastAsia="zh-CN"/>
                    </w:rPr>
                    <w:t>台式钻床</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FF0000"/>
                      <w:sz w:val="18"/>
                      <w:szCs w:val="18"/>
                    </w:rPr>
                  </w:pP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4</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color w:val="auto"/>
                      <w:kern w:val="0"/>
                      <w:sz w:val="18"/>
                      <w:szCs w:val="18"/>
                      <w:lang w:bidi="ar"/>
                    </w:rPr>
                  </w:pPr>
                  <w:r>
                    <w:rPr>
                      <w:rFonts w:hint="eastAsia"/>
                      <w:color w:val="auto"/>
                      <w:kern w:val="0"/>
                      <w:sz w:val="18"/>
                      <w:szCs w:val="18"/>
                      <w:lang w:val="en-US" w:eastAsia="zh-CN" w:bidi="ar"/>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lang w:val="en-US" w:eastAsia="zh-CN"/>
                    </w:rPr>
                    <w:t>氩弧焊机</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FF0000"/>
                      <w:sz w:val="18"/>
                      <w:szCs w:val="18"/>
                    </w:rPr>
                  </w:pPr>
                </w:p>
              </w:tc>
              <w:tc>
                <w:tcPr>
                  <w:tcW w:w="948" w:type="pct"/>
                  <w:tcBorders>
                    <w:top w:val="single" w:color="auto" w:sz="4" w:space="0"/>
                    <w:left w:val="nil"/>
                    <w:right w:val="single" w:color="auto" w:sz="4" w:space="0"/>
                  </w:tcBorders>
                  <w:noWrap w:val="0"/>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15</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lang w:val="en-US" w:eastAsia="zh-CN"/>
                    </w:rPr>
                    <w:t>砂轮机</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FF0000"/>
                      <w:sz w:val="18"/>
                      <w:szCs w:val="18"/>
                    </w:rPr>
                  </w:pP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3</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lang w:val="en-US" w:eastAsia="zh-CN"/>
                    </w:rPr>
                    <w:t>攻丝机</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FF0000"/>
                      <w:sz w:val="18"/>
                      <w:szCs w:val="18"/>
                    </w:rPr>
                  </w:pP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6</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color w:val="auto"/>
                      <w:kern w:val="0"/>
                      <w:sz w:val="18"/>
                      <w:szCs w:val="18"/>
                      <w:lang w:bidi="ar"/>
                    </w:rPr>
                  </w:pPr>
                  <w:r>
                    <w:rPr>
                      <w:rFonts w:hint="eastAsia"/>
                      <w:color w:val="auto"/>
                      <w:kern w:val="0"/>
                      <w:sz w:val="18"/>
                      <w:szCs w:val="18"/>
                      <w:lang w:val="en-US" w:eastAsia="zh-CN" w:bidi="ar"/>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lang w:val="en-US" w:eastAsia="zh-CN"/>
                    </w:rPr>
                    <w:t>管道自动焊机</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FF0000"/>
                      <w:sz w:val="18"/>
                      <w:szCs w:val="18"/>
                    </w:rPr>
                  </w:pP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2</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激光焊接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FF0000"/>
                      <w:sz w:val="18"/>
                      <w:szCs w:val="18"/>
                    </w:rPr>
                  </w:pPr>
                </w:p>
              </w:tc>
              <w:tc>
                <w:tcPr>
                  <w:tcW w:w="1217" w:type="pct"/>
                  <w:tcBorders>
                    <w:left w:val="nil"/>
                    <w:right w:val="single" w:color="auto" w:sz="4" w:space="0"/>
                  </w:tcBorders>
                  <w:noWrap w:val="0"/>
                  <w:vAlign w:val="center"/>
                </w:tcPr>
                <w:p>
                  <w:pPr>
                    <w:jc w:val="center"/>
                    <w:rPr>
                      <w:rFonts w:hint="eastAsia"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内/外圆磨机</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FF0000"/>
                      <w:sz w:val="18"/>
                      <w:szCs w:val="18"/>
                    </w:rPr>
                  </w:pP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1</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eastAsia"/>
                      <w:color w:val="auto"/>
                      <w:kern w:val="0"/>
                      <w:sz w:val="18"/>
                      <w:szCs w:val="18"/>
                      <w:lang w:bidi="ar"/>
                    </w:rPr>
                  </w:pPr>
                  <w:r>
                    <w:rPr>
                      <w:rFonts w:hint="eastAsia"/>
                      <w:color w:val="auto"/>
                      <w:kern w:val="0"/>
                      <w:sz w:val="18"/>
                      <w:szCs w:val="18"/>
                      <w:lang w:val="en-US" w:eastAsia="zh-CN" w:bidi="ar"/>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default" w:eastAsia="宋体"/>
                      <w:color w:val="auto"/>
                      <w:sz w:val="18"/>
                      <w:szCs w:val="18"/>
                      <w:lang w:val="en-US" w:eastAsia="zh-CN"/>
                    </w:rPr>
                  </w:pPr>
                </w:p>
              </w:tc>
              <w:tc>
                <w:tcPr>
                  <w:tcW w:w="1217" w:type="pct"/>
                  <w:tcBorders>
                    <w:left w:val="nil"/>
                    <w:right w:val="single" w:color="auto" w:sz="4" w:space="0"/>
                  </w:tcBorders>
                  <w:noWrap w:val="0"/>
                  <w:vAlign w:val="center"/>
                </w:tcPr>
                <w:p>
                  <w:pPr>
                    <w:jc w:val="center"/>
                    <w:rPr>
                      <w:rFonts w:ascii="宋体" w:hAnsi="宋体" w:cs="宋体"/>
                      <w:color w:val="auto"/>
                      <w:sz w:val="18"/>
                      <w:szCs w:val="18"/>
                    </w:rPr>
                  </w:pPr>
                  <w:r>
                    <w:rPr>
                      <w:rFonts w:hint="eastAsia" w:asciiTheme="minorEastAsia" w:hAnsiTheme="minorEastAsia" w:eastAsiaTheme="minorEastAsia"/>
                      <w:color w:val="auto"/>
                      <w:sz w:val="18"/>
                      <w:szCs w:val="18"/>
                      <w:lang w:val="en-US" w:eastAsia="zh-CN"/>
                    </w:rPr>
                    <w:t>数控雕刻机</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eastAsia="宋体"/>
                      <w:color w:val="auto"/>
                      <w:kern w:val="0"/>
                      <w:sz w:val="18"/>
                      <w:szCs w:val="18"/>
                      <w:lang w:eastAsia="zh-CN" w:bidi="ar"/>
                    </w:rPr>
                  </w:pPr>
                  <w:r>
                    <w:rPr>
                      <w:rFonts w:hint="eastAsia"/>
                      <w:color w:val="auto"/>
                      <w:kern w:val="0"/>
                      <w:sz w:val="18"/>
                      <w:szCs w:val="18"/>
                      <w:lang w:val="en-US" w:eastAsia="zh-CN" w:bidi="ar"/>
                    </w:rPr>
                    <w:t>6</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塑料板材下料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auto"/>
                      <w:sz w:val="18"/>
                      <w:szCs w:val="18"/>
                    </w:rPr>
                  </w:pPr>
                </w:p>
              </w:tc>
              <w:tc>
                <w:tcPr>
                  <w:tcW w:w="1217" w:type="pct"/>
                  <w:tcBorders>
                    <w:left w:val="nil"/>
                    <w:right w:val="single" w:color="auto" w:sz="4" w:space="0"/>
                  </w:tcBorders>
                  <w:noWrap w:val="0"/>
                  <w:vAlign w:val="center"/>
                </w:tcPr>
                <w:p>
                  <w:pPr>
                    <w:jc w:val="center"/>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lang w:val="en-US" w:eastAsia="zh-CN"/>
                    </w:rPr>
                    <w:t>手工焊枪</w:t>
                  </w:r>
                </w:p>
              </w:tc>
              <w:tc>
                <w:tcPr>
                  <w:tcW w:w="1141" w:type="pct"/>
                  <w:tcBorders>
                    <w:top w:val="single" w:color="auto" w:sz="4" w:space="0"/>
                    <w:left w:val="nil"/>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w:t>
                  </w:r>
                </w:p>
              </w:tc>
              <w:tc>
                <w:tcPr>
                  <w:tcW w:w="948" w:type="pct"/>
                  <w:tcBorders>
                    <w:top w:val="single" w:color="auto" w:sz="4" w:space="0"/>
                    <w:left w:val="nil"/>
                    <w:right w:val="single" w:color="auto" w:sz="4" w:space="0"/>
                  </w:tcBorders>
                  <w:noWrap w:val="0"/>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15</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热塑焊接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restart"/>
                  <w:tcBorders>
                    <w:left w:val="single" w:color="auto" w:sz="4" w:space="0"/>
                    <w:right w:val="single" w:color="auto" w:sz="4" w:space="0"/>
                  </w:tcBorders>
                  <w:noWrap w:val="0"/>
                  <w:vAlign w:val="center"/>
                </w:tcPr>
                <w:p>
                  <w:pPr>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组装调试</w:t>
                  </w:r>
                </w:p>
              </w:tc>
              <w:tc>
                <w:tcPr>
                  <w:tcW w:w="1217" w:type="pct"/>
                  <w:tcBorders>
                    <w:left w:val="nil"/>
                    <w:right w:val="single" w:color="auto" w:sz="4" w:space="0"/>
                  </w:tcBorders>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行吊</w:t>
                  </w:r>
                </w:p>
              </w:tc>
              <w:tc>
                <w:tcPr>
                  <w:tcW w:w="1141" w:type="pct"/>
                  <w:tcBorders>
                    <w:top w:val="single" w:color="auto" w:sz="4" w:space="0"/>
                    <w:left w:val="nil"/>
                    <w:right w:val="single" w:color="auto" w:sz="4" w:space="0"/>
                  </w:tcBorders>
                  <w:noWrap w:val="0"/>
                  <w:vAlign w:val="center"/>
                </w:tcPr>
                <w:p>
                  <w:pPr>
                    <w:jc w:val="center"/>
                    <w:rPr>
                      <w:color w:val="auto"/>
                      <w:sz w:val="18"/>
                      <w:szCs w:val="18"/>
                    </w:rPr>
                  </w:pP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color w:val="auto"/>
                      <w:kern w:val="0"/>
                      <w:sz w:val="18"/>
                      <w:szCs w:val="18"/>
                      <w:lang w:bidi="ar"/>
                    </w:rPr>
                  </w:pPr>
                  <w:r>
                    <w:rPr>
                      <w:rFonts w:hint="eastAsia"/>
                      <w:color w:val="auto"/>
                      <w:kern w:val="0"/>
                      <w:sz w:val="18"/>
                      <w:szCs w:val="18"/>
                      <w:lang w:bidi="ar"/>
                    </w:rPr>
                    <w:t>1</w:t>
                  </w:r>
                </w:p>
              </w:tc>
              <w:tc>
                <w:tcPr>
                  <w:tcW w:w="776" w:type="pct"/>
                  <w:tcBorders>
                    <w:top w:val="single" w:color="auto" w:sz="4" w:space="0"/>
                    <w:left w:val="nil"/>
                    <w:right w:val="single" w:color="auto" w:sz="4" w:space="0"/>
                  </w:tcBorders>
                  <w:noWrap w:val="0"/>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搬运设备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auto"/>
                      <w:sz w:val="18"/>
                      <w:szCs w:val="18"/>
                    </w:rPr>
                  </w:pPr>
                </w:p>
              </w:tc>
              <w:tc>
                <w:tcPr>
                  <w:tcW w:w="1217" w:type="pct"/>
                  <w:tcBorders>
                    <w:left w:val="nil"/>
                    <w:right w:val="single" w:color="auto" w:sz="4" w:space="0"/>
                  </w:tcBorders>
                  <w:noWrap w:val="0"/>
                  <w:vAlign w:val="center"/>
                </w:tcPr>
                <w:p>
                  <w:pPr>
                    <w:jc w:val="center"/>
                    <w:rPr>
                      <w:rFonts w:hint="eastAsia"/>
                      <w:color w:val="auto"/>
                      <w:sz w:val="18"/>
                      <w:szCs w:val="18"/>
                      <w:lang w:val="en-US" w:eastAsia="zh-CN"/>
                    </w:rPr>
                  </w:pPr>
                  <w:r>
                    <w:rPr>
                      <w:rFonts w:hint="eastAsia"/>
                      <w:color w:val="auto"/>
                      <w:sz w:val="18"/>
                      <w:szCs w:val="18"/>
                      <w:lang w:val="en-US" w:eastAsia="zh-CN"/>
                    </w:rPr>
                    <w:t>动平衡机</w:t>
                  </w:r>
                </w:p>
              </w:tc>
              <w:tc>
                <w:tcPr>
                  <w:tcW w:w="1141" w:type="pct"/>
                  <w:tcBorders>
                    <w:top w:val="single" w:color="auto" w:sz="4" w:space="0"/>
                    <w:left w:val="nil"/>
                    <w:right w:val="single" w:color="auto" w:sz="4" w:space="0"/>
                  </w:tcBorders>
                  <w:noWrap w:val="0"/>
                  <w:vAlign w:val="center"/>
                </w:tcPr>
                <w:p>
                  <w:pPr>
                    <w:jc w:val="center"/>
                    <w:rPr>
                      <w:color w:val="auto"/>
                      <w:sz w:val="18"/>
                      <w:szCs w:val="18"/>
                    </w:rPr>
                  </w:pP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color w:val="auto"/>
                      <w:kern w:val="0"/>
                      <w:sz w:val="18"/>
                      <w:szCs w:val="18"/>
                      <w:lang w:bidi="ar"/>
                    </w:rPr>
                  </w:pPr>
                  <w:r>
                    <w:rPr>
                      <w:rFonts w:hint="eastAsia"/>
                      <w:color w:val="auto"/>
                      <w:kern w:val="0"/>
                      <w:sz w:val="18"/>
                      <w:szCs w:val="18"/>
                      <w:lang w:bidi="ar"/>
                    </w:rPr>
                    <w:t>1</w:t>
                  </w:r>
                </w:p>
              </w:tc>
              <w:tc>
                <w:tcPr>
                  <w:tcW w:w="776" w:type="pct"/>
                  <w:tcBorders>
                    <w:top w:val="single" w:color="auto" w:sz="4" w:space="0"/>
                    <w:left w:val="nil"/>
                    <w:right w:val="single" w:color="auto" w:sz="4" w:space="0"/>
                  </w:tcBorders>
                  <w:noWrap w:val="0"/>
                  <w:vAlign w:val="center"/>
                </w:tcPr>
                <w:p>
                  <w:pPr>
                    <w:jc w:val="center"/>
                    <w:rPr>
                      <w:rFonts w:hint="eastAsia" w:eastAsia="宋体"/>
                      <w:color w:val="auto"/>
                      <w:sz w:val="18"/>
                      <w:szCs w:val="18"/>
                      <w:lang w:eastAsia="zh-CN"/>
                    </w:rPr>
                  </w:pPr>
                  <w:r>
                    <w:rPr>
                      <w:rFonts w:hint="eastAsia"/>
                      <w:color w:val="auto"/>
                      <w:kern w:val="0"/>
                      <w:sz w:val="18"/>
                      <w:szCs w:val="18"/>
                      <w:lang w:val="en-US" w:eastAsia="zh-CN" w:bidi="ar"/>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continue"/>
                  <w:tcBorders>
                    <w:left w:val="single" w:color="auto" w:sz="4" w:space="0"/>
                    <w:right w:val="single" w:color="auto" w:sz="4" w:space="0"/>
                  </w:tcBorders>
                  <w:noWrap w:val="0"/>
                  <w:vAlign w:val="center"/>
                </w:tcPr>
                <w:p>
                  <w:pPr>
                    <w:adjustRightInd w:val="0"/>
                    <w:snapToGrid w:val="0"/>
                    <w:jc w:val="center"/>
                    <w:rPr>
                      <w:rFonts w:hint="eastAsia"/>
                      <w:color w:val="auto"/>
                      <w:sz w:val="18"/>
                      <w:szCs w:val="18"/>
                    </w:rPr>
                  </w:pPr>
                </w:p>
              </w:tc>
              <w:tc>
                <w:tcPr>
                  <w:tcW w:w="1217" w:type="pct"/>
                  <w:tcBorders>
                    <w:left w:val="nil"/>
                    <w:right w:val="single" w:color="auto" w:sz="4" w:space="0"/>
                  </w:tcBorders>
                  <w:noWrap w:val="0"/>
                  <w:vAlign w:val="center"/>
                </w:tcPr>
                <w:p>
                  <w:pPr>
                    <w:jc w:val="center"/>
                    <w:rPr>
                      <w:rFonts w:hint="eastAsia"/>
                      <w:color w:val="auto"/>
                      <w:sz w:val="18"/>
                      <w:szCs w:val="18"/>
                      <w:lang w:val="en-US" w:eastAsia="zh-CN"/>
                    </w:rPr>
                  </w:pPr>
                  <w:r>
                    <w:rPr>
                      <w:rFonts w:hint="eastAsia"/>
                      <w:color w:val="auto"/>
                      <w:sz w:val="18"/>
                      <w:szCs w:val="18"/>
                      <w:lang w:val="en-US" w:eastAsia="zh-CN"/>
                    </w:rPr>
                    <w:t>超纯水设备</w:t>
                  </w:r>
                </w:p>
              </w:tc>
              <w:tc>
                <w:tcPr>
                  <w:tcW w:w="1141" w:type="pct"/>
                  <w:tcBorders>
                    <w:top w:val="single" w:color="auto" w:sz="4" w:space="0"/>
                    <w:left w:val="nil"/>
                    <w:right w:val="single" w:color="auto" w:sz="4" w:space="0"/>
                  </w:tcBorders>
                  <w:noWrap w:val="0"/>
                  <w:vAlign w:val="center"/>
                </w:tcPr>
                <w:p>
                  <w:pPr>
                    <w:jc w:val="center"/>
                    <w:rPr>
                      <w:color w:val="auto"/>
                      <w:sz w:val="18"/>
                      <w:szCs w:val="18"/>
                    </w:rPr>
                  </w:pPr>
                </w:p>
              </w:tc>
              <w:tc>
                <w:tcPr>
                  <w:tcW w:w="948" w:type="pct"/>
                  <w:tcBorders>
                    <w:top w:val="single" w:color="auto" w:sz="4" w:space="0"/>
                    <w:left w:val="nil"/>
                    <w:right w:val="single" w:color="auto" w:sz="4" w:space="0"/>
                  </w:tcBorders>
                  <w:noWrap w:val="0"/>
                  <w:vAlign w:val="center"/>
                </w:tcPr>
                <w:p>
                  <w:pPr>
                    <w:widowControl/>
                    <w:jc w:val="center"/>
                    <w:textAlignment w:val="center"/>
                    <w:rPr>
                      <w:rFonts w:hint="eastAsia"/>
                      <w:color w:val="auto"/>
                      <w:kern w:val="0"/>
                      <w:sz w:val="18"/>
                      <w:szCs w:val="18"/>
                      <w:lang w:bidi="ar"/>
                    </w:rPr>
                  </w:pPr>
                  <w:r>
                    <w:rPr>
                      <w:rFonts w:hint="eastAsia"/>
                      <w:color w:val="auto"/>
                      <w:kern w:val="0"/>
                      <w:sz w:val="18"/>
                      <w:szCs w:val="18"/>
                      <w:lang w:bidi="ar"/>
                    </w:rPr>
                    <w:t>1</w:t>
                  </w:r>
                </w:p>
              </w:tc>
              <w:tc>
                <w:tcPr>
                  <w:tcW w:w="776" w:type="pct"/>
                  <w:tcBorders>
                    <w:top w:val="single" w:color="auto" w:sz="4" w:space="0"/>
                    <w:left w:val="nil"/>
                    <w:right w:val="single" w:color="auto" w:sz="4" w:space="0"/>
                  </w:tcBorders>
                  <w:noWrap w:val="0"/>
                  <w:vAlign w:val="center"/>
                </w:tcPr>
                <w:p>
                  <w:pPr>
                    <w:jc w:val="center"/>
                    <w:rPr>
                      <w:rFonts w:hint="default" w:eastAsia="宋体"/>
                      <w:color w:val="auto"/>
                      <w:sz w:val="18"/>
                      <w:szCs w:val="18"/>
                      <w:lang w:val="en-US" w:eastAsia="zh-CN"/>
                    </w:rPr>
                  </w:pPr>
                  <w:r>
                    <w:rPr>
                      <w:rFonts w:hint="eastAsia"/>
                      <w:color w:val="auto"/>
                      <w:kern w:val="0"/>
                      <w:sz w:val="18"/>
                      <w:szCs w:val="18"/>
                      <w:lang w:val="en-US" w:eastAsia="zh-CN" w:bidi="ar"/>
                    </w:rPr>
                    <w:t>纯水制备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辅助单元</w:t>
                  </w:r>
                </w:p>
              </w:tc>
              <w:tc>
                <w:tcPr>
                  <w:tcW w:w="1217" w:type="pct"/>
                  <w:tcBorders>
                    <w:left w:val="nil"/>
                    <w:right w:val="single" w:color="auto" w:sz="4" w:space="0"/>
                  </w:tcBorders>
                  <w:noWrap w:val="0"/>
                  <w:vAlign w:val="center"/>
                </w:tcPr>
                <w:p>
                  <w:pPr>
                    <w:pStyle w:val="91"/>
                    <w:spacing w:before="24" w:after="24"/>
                    <w:rPr>
                      <w:rFonts w:hint="eastAsia" w:ascii="Times New Roman"/>
                      <w:color w:val="auto"/>
                      <w:sz w:val="18"/>
                      <w:szCs w:val="18"/>
                      <w:lang w:val="en-US" w:eastAsia="zh-CN"/>
                    </w:rPr>
                  </w:pPr>
                  <w:r>
                    <w:rPr>
                      <w:rFonts w:hint="eastAsia" w:ascii="Times New Roman"/>
                      <w:color w:val="auto"/>
                      <w:sz w:val="18"/>
                      <w:szCs w:val="18"/>
                      <w:lang w:val="en-US" w:eastAsia="zh-CN"/>
                    </w:rPr>
                    <w:t>叉车</w:t>
                  </w:r>
                </w:p>
              </w:tc>
              <w:tc>
                <w:tcPr>
                  <w:tcW w:w="1141" w:type="pct"/>
                  <w:tcBorders>
                    <w:top w:val="single" w:color="auto" w:sz="4" w:space="0"/>
                    <w:left w:val="nil"/>
                    <w:right w:val="single" w:color="auto" w:sz="4" w:space="0"/>
                  </w:tcBorders>
                  <w:noWrap w:val="0"/>
                  <w:vAlign w:val="center"/>
                </w:tcPr>
                <w:p>
                  <w:pPr>
                    <w:pStyle w:val="91"/>
                    <w:spacing w:before="24" w:after="24"/>
                    <w:rPr>
                      <w:rFonts w:hint="eastAsia" w:ascii="Times New Roman"/>
                      <w:color w:val="auto"/>
                      <w:sz w:val="18"/>
                      <w:szCs w:val="18"/>
                      <w:lang w:eastAsia="zh-CN"/>
                    </w:rPr>
                  </w:pPr>
                </w:p>
              </w:tc>
              <w:tc>
                <w:tcPr>
                  <w:tcW w:w="948" w:type="pct"/>
                  <w:tcBorders>
                    <w:top w:val="single" w:color="auto" w:sz="4" w:space="0"/>
                    <w:left w:val="nil"/>
                    <w:right w:val="single" w:color="auto" w:sz="4" w:space="0"/>
                  </w:tcBorders>
                  <w:noWrap w:val="0"/>
                  <w:vAlign w:val="center"/>
                </w:tcPr>
                <w:p>
                  <w:pPr>
                    <w:pStyle w:val="91"/>
                    <w:spacing w:before="24" w:after="24"/>
                    <w:rPr>
                      <w:rFonts w:hint="eastAsia" w:ascii="Times New Roman"/>
                      <w:color w:val="auto"/>
                      <w:sz w:val="18"/>
                      <w:szCs w:val="18"/>
                      <w:lang w:val="en-US" w:eastAsia="zh-CN"/>
                    </w:rPr>
                  </w:pPr>
                  <w:r>
                    <w:rPr>
                      <w:rFonts w:hint="eastAsia" w:ascii="Times New Roman"/>
                      <w:color w:val="auto"/>
                      <w:sz w:val="18"/>
                      <w:szCs w:val="18"/>
                      <w:lang w:val="en-US" w:eastAsia="zh-CN"/>
                    </w:rPr>
                    <w:t>2</w:t>
                  </w:r>
                </w:p>
              </w:tc>
              <w:tc>
                <w:tcPr>
                  <w:tcW w:w="776" w:type="pct"/>
                  <w:tcBorders>
                    <w:top w:val="single" w:color="auto" w:sz="4" w:space="0"/>
                    <w:left w:val="nil"/>
                    <w:bottom w:val="single" w:color="auto" w:sz="4" w:space="0"/>
                    <w:right w:val="single" w:color="auto" w:sz="4" w:space="0"/>
                  </w:tcBorders>
                  <w:noWrap w:val="0"/>
                  <w:vAlign w:val="center"/>
                </w:tcPr>
                <w:p>
                  <w:pPr>
                    <w:pStyle w:val="91"/>
                    <w:spacing w:before="24" w:after="24"/>
                    <w:rPr>
                      <w:rFonts w:ascii="Times New Roman"/>
                      <w:color w:val="auto"/>
                      <w:sz w:val="18"/>
                      <w:szCs w:val="18"/>
                    </w:rPr>
                  </w:pPr>
                  <w:r>
                    <w:rPr>
                      <w:rFonts w:ascii="Times New Roman"/>
                      <w:color w:val="auto"/>
                      <w:sz w:val="18"/>
                      <w:szCs w:val="18"/>
                    </w:rPr>
                    <w:t>物料运输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pct"/>
                  <w:tcBorders>
                    <w:left w:val="single" w:color="auto" w:sz="4" w:space="0"/>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环保工程</w:t>
                  </w:r>
                </w:p>
              </w:tc>
              <w:tc>
                <w:tcPr>
                  <w:tcW w:w="1217" w:type="pct"/>
                  <w:tcBorders>
                    <w:left w:val="nil"/>
                    <w:right w:val="single" w:color="auto" w:sz="4" w:space="0"/>
                  </w:tcBorders>
                  <w:noWrap w:val="0"/>
                  <w:vAlign w:val="center"/>
                </w:tcPr>
                <w:p>
                  <w:pPr>
                    <w:pStyle w:val="91"/>
                    <w:spacing w:before="24" w:after="24"/>
                    <w:rPr>
                      <w:rFonts w:hint="default" w:ascii="Times New Roman"/>
                      <w:color w:val="auto"/>
                      <w:sz w:val="18"/>
                      <w:szCs w:val="18"/>
                      <w:lang w:val="en-US" w:eastAsia="zh-CN"/>
                    </w:rPr>
                  </w:pPr>
                  <w:r>
                    <w:rPr>
                      <w:rFonts w:hint="eastAsia" w:ascii="Times New Roman"/>
                      <w:color w:val="auto"/>
                      <w:sz w:val="18"/>
                      <w:szCs w:val="18"/>
                      <w:lang w:val="en-US" w:eastAsia="zh-CN"/>
                    </w:rPr>
                    <w:t>移动式烟尘净化器</w:t>
                  </w:r>
                </w:p>
              </w:tc>
              <w:tc>
                <w:tcPr>
                  <w:tcW w:w="1141" w:type="pct"/>
                  <w:tcBorders>
                    <w:top w:val="single" w:color="auto" w:sz="4" w:space="0"/>
                    <w:left w:val="nil"/>
                    <w:right w:val="single" w:color="auto" w:sz="4" w:space="0"/>
                  </w:tcBorders>
                  <w:noWrap w:val="0"/>
                  <w:vAlign w:val="center"/>
                </w:tcPr>
                <w:p>
                  <w:pPr>
                    <w:pStyle w:val="91"/>
                    <w:spacing w:before="24" w:after="24"/>
                    <w:rPr>
                      <w:rFonts w:hint="eastAsia" w:ascii="Times New Roman"/>
                      <w:color w:val="auto"/>
                      <w:sz w:val="18"/>
                      <w:szCs w:val="18"/>
                      <w:lang w:eastAsia="zh-CN"/>
                    </w:rPr>
                  </w:pPr>
                  <w:r>
                    <w:rPr>
                      <w:rFonts w:hint="eastAsia" w:ascii="Times New Roman"/>
                      <w:color w:val="auto"/>
                      <w:sz w:val="18"/>
                      <w:szCs w:val="18"/>
                      <w:lang w:eastAsia="zh-CN"/>
                    </w:rPr>
                    <w:t>/</w:t>
                  </w:r>
                </w:p>
              </w:tc>
              <w:tc>
                <w:tcPr>
                  <w:tcW w:w="948" w:type="pct"/>
                  <w:tcBorders>
                    <w:top w:val="single" w:color="auto" w:sz="4" w:space="0"/>
                    <w:left w:val="nil"/>
                    <w:right w:val="single" w:color="auto" w:sz="4" w:space="0"/>
                  </w:tcBorders>
                  <w:noWrap w:val="0"/>
                  <w:vAlign w:val="center"/>
                </w:tcPr>
                <w:p>
                  <w:pPr>
                    <w:pStyle w:val="91"/>
                    <w:spacing w:before="24" w:after="24"/>
                    <w:rPr>
                      <w:rFonts w:hint="default" w:ascii="Times New Roman"/>
                      <w:color w:val="auto"/>
                      <w:sz w:val="18"/>
                      <w:szCs w:val="18"/>
                      <w:lang w:val="en-US" w:eastAsia="zh-CN"/>
                    </w:rPr>
                  </w:pPr>
                  <w:r>
                    <w:rPr>
                      <w:rFonts w:hint="eastAsia" w:ascii="Times New Roman"/>
                      <w:color w:val="auto"/>
                      <w:sz w:val="18"/>
                      <w:szCs w:val="18"/>
                      <w:lang w:val="en-US" w:eastAsia="zh-CN"/>
                    </w:rPr>
                    <w:t>10</w:t>
                  </w:r>
                </w:p>
              </w:tc>
              <w:tc>
                <w:tcPr>
                  <w:tcW w:w="776" w:type="pct"/>
                  <w:tcBorders>
                    <w:top w:val="single" w:color="auto" w:sz="4" w:space="0"/>
                    <w:left w:val="nil"/>
                    <w:bottom w:val="single" w:color="auto" w:sz="4" w:space="0"/>
                    <w:right w:val="single" w:color="auto" w:sz="4" w:space="0"/>
                  </w:tcBorders>
                  <w:noWrap w:val="0"/>
                  <w:vAlign w:val="center"/>
                </w:tcPr>
                <w:p>
                  <w:pPr>
                    <w:pStyle w:val="91"/>
                    <w:spacing w:before="24" w:after="24"/>
                    <w:rPr>
                      <w:rFonts w:hint="eastAsia" w:ascii="Times New Roman"/>
                      <w:color w:val="auto"/>
                      <w:sz w:val="18"/>
                      <w:szCs w:val="18"/>
                      <w:lang w:eastAsia="zh-CN"/>
                    </w:rPr>
                  </w:pPr>
                  <w:r>
                    <w:rPr>
                      <w:rFonts w:hint="eastAsia" w:ascii="Times New Roman"/>
                      <w:color w:val="auto"/>
                      <w:sz w:val="18"/>
                      <w:szCs w:val="18"/>
                      <w:lang w:eastAsia="zh-CN"/>
                    </w:rPr>
                    <w:t>废气处理</w:t>
                  </w:r>
                </w:p>
              </w:tc>
            </w:tr>
          </w:tbl>
          <w:p>
            <w:pPr>
              <w:snapToGrid w:val="0"/>
              <w:spacing w:line="360" w:lineRule="auto"/>
              <w:ind w:firstLine="482"/>
              <w:rPr>
                <w:rFonts w:hint="eastAsia"/>
                <w:bCs/>
                <w:color w:val="auto"/>
                <w:kern w:val="0"/>
              </w:rPr>
            </w:pPr>
            <w:r>
              <w:rPr>
                <w:rFonts w:hint="eastAsia"/>
                <w:bCs/>
                <w:color w:val="auto"/>
                <w:kern w:val="0"/>
              </w:rPr>
              <w:t>经查询，本项目采用的生产设备和工艺均不属于</w:t>
            </w:r>
            <w:r>
              <w:rPr>
                <w:bCs/>
                <w:snapToGrid w:val="0"/>
                <w:color w:val="auto"/>
                <w:kern w:val="0"/>
              </w:rPr>
              <w:t>《产业结构调整指导目录（20</w:t>
            </w:r>
            <w:r>
              <w:rPr>
                <w:rFonts w:hint="eastAsia"/>
                <w:bCs/>
                <w:snapToGrid w:val="0"/>
                <w:color w:val="auto"/>
                <w:kern w:val="0"/>
              </w:rPr>
              <w:t>24</w:t>
            </w:r>
            <w:r>
              <w:rPr>
                <w:bCs/>
                <w:snapToGrid w:val="0"/>
                <w:color w:val="auto"/>
                <w:kern w:val="0"/>
              </w:rPr>
              <w:t>年本）》</w:t>
            </w:r>
            <w:r>
              <w:rPr>
                <w:rFonts w:hint="eastAsia"/>
                <w:bCs/>
                <w:snapToGrid w:val="0"/>
                <w:color w:val="auto"/>
                <w:kern w:val="0"/>
              </w:rPr>
              <w:t>中限制类和淘汰类，不属于</w:t>
            </w:r>
            <w:r>
              <w:rPr>
                <w:rFonts w:hint="eastAsia"/>
                <w:bCs/>
                <w:color w:val="auto"/>
                <w:kern w:val="0"/>
              </w:rPr>
              <w:t>工业和信息化部《限期淘汰产生严重污染环境的工业固体废物的落后生产工艺设备名录》及《部分工业行业淘汰落后生产工艺装备和产品指导目录（2010年本）》。</w:t>
            </w:r>
          </w:p>
          <w:p>
            <w:pPr>
              <w:pStyle w:val="143"/>
              <w:rPr>
                <w:color w:val="auto"/>
                <w:sz w:val="21"/>
                <w:szCs w:val="21"/>
              </w:rPr>
            </w:pPr>
            <w:r>
              <w:rPr>
                <w:rFonts w:hint="eastAsia"/>
                <w:color w:val="auto"/>
                <w:sz w:val="21"/>
                <w:szCs w:val="21"/>
              </w:rPr>
              <w:t>2.6</w:t>
            </w:r>
            <w:r>
              <w:rPr>
                <w:color w:val="auto"/>
                <w:sz w:val="21"/>
                <w:szCs w:val="21"/>
              </w:rPr>
              <w:t>劳动定员</w:t>
            </w:r>
            <w:r>
              <w:rPr>
                <w:rFonts w:hint="eastAsia"/>
                <w:color w:val="auto"/>
                <w:sz w:val="21"/>
                <w:szCs w:val="21"/>
              </w:rPr>
              <w:t>及工作制度</w:t>
            </w:r>
          </w:p>
          <w:p>
            <w:pPr>
              <w:spacing w:line="360" w:lineRule="auto"/>
              <w:ind w:firstLine="420" w:firstLineChars="200"/>
              <w:rPr>
                <w:rFonts w:hint="eastAsia"/>
                <w:bCs/>
                <w:color w:val="auto"/>
                <w:szCs w:val="21"/>
                <w:lang w:eastAsia="zh-CN"/>
              </w:rPr>
            </w:pPr>
            <w:r>
              <w:rPr>
                <w:bCs/>
                <w:color w:val="auto"/>
                <w:szCs w:val="21"/>
              </w:rPr>
              <w:t>厂区内</w:t>
            </w:r>
            <w:r>
              <w:rPr>
                <w:rFonts w:hint="eastAsia"/>
                <w:bCs/>
                <w:color w:val="auto"/>
                <w:szCs w:val="21"/>
                <w:lang w:val="en-US" w:eastAsia="zh-CN"/>
              </w:rPr>
              <w:t>劳动定</w:t>
            </w:r>
            <w:r>
              <w:rPr>
                <w:bCs/>
                <w:color w:val="auto"/>
                <w:szCs w:val="21"/>
              </w:rPr>
              <w:t>员</w:t>
            </w:r>
            <w:r>
              <w:rPr>
                <w:rFonts w:hint="eastAsia"/>
                <w:bCs/>
                <w:color w:val="auto"/>
                <w:szCs w:val="21"/>
                <w:lang w:val="en-US" w:eastAsia="zh-CN"/>
              </w:rPr>
              <w:t>200</w:t>
            </w:r>
            <w:r>
              <w:rPr>
                <w:bCs/>
                <w:color w:val="auto"/>
                <w:szCs w:val="21"/>
              </w:rPr>
              <w:t>人</w:t>
            </w:r>
            <w:r>
              <w:rPr>
                <w:rFonts w:hint="eastAsia"/>
                <w:bCs/>
                <w:color w:val="auto"/>
                <w:szCs w:val="21"/>
                <w:lang w:eastAsia="zh-CN"/>
              </w:rPr>
              <w:t>；</w:t>
            </w:r>
          </w:p>
          <w:p>
            <w:pPr>
              <w:spacing w:line="360" w:lineRule="auto"/>
              <w:ind w:firstLine="420" w:firstLineChars="200"/>
              <w:rPr>
                <w:bCs/>
                <w:color w:val="auto"/>
                <w:szCs w:val="21"/>
              </w:rPr>
            </w:pPr>
            <w:r>
              <w:rPr>
                <w:bCs/>
                <w:color w:val="auto"/>
                <w:szCs w:val="21"/>
              </w:rPr>
              <w:t>工作制度：年工作300天，实行</w:t>
            </w:r>
            <w:r>
              <w:rPr>
                <w:rFonts w:hint="eastAsia"/>
                <w:bCs/>
                <w:color w:val="auto"/>
                <w:szCs w:val="21"/>
                <w:lang w:val="en-US" w:eastAsia="zh-CN"/>
              </w:rPr>
              <w:t>单</w:t>
            </w:r>
            <w:r>
              <w:rPr>
                <w:bCs/>
                <w:color w:val="auto"/>
                <w:szCs w:val="21"/>
              </w:rPr>
              <w:t>班制，每班8小时，年生产</w:t>
            </w:r>
            <w:r>
              <w:rPr>
                <w:rFonts w:hint="eastAsia"/>
                <w:bCs/>
                <w:color w:val="auto"/>
                <w:szCs w:val="21"/>
                <w:lang w:val="en-US" w:eastAsia="zh-CN"/>
              </w:rPr>
              <w:t>2400</w:t>
            </w:r>
            <w:r>
              <w:rPr>
                <w:bCs/>
                <w:color w:val="auto"/>
                <w:szCs w:val="21"/>
              </w:rPr>
              <w:t>h。</w:t>
            </w:r>
          </w:p>
          <w:p>
            <w:pPr>
              <w:pStyle w:val="143"/>
              <w:rPr>
                <w:color w:val="auto"/>
                <w:sz w:val="21"/>
                <w:szCs w:val="21"/>
              </w:rPr>
            </w:pPr>
            <w:r>
              <w:rPr>
                <w:rFonts w:hint="eastAsia"/>
                <w:color w:val="auto"/>
                <w:sz w:val="21"/>
                <w:szCs w:val="21"/>
              </w:rPr>
              <w:t>2.7</w:t>
            </w:r>
            <w:r>
              <w:rPr>
                <w:color w:val="auto"/>
                <w:sz w:val="21"/>
                <w:szCs w:val="21"/>
              </w:rPr>
              <w:t>总平面布置合理性分析总体布局：</w:t>
            </w:r>
          </w:p>
          <w:p>
            <w:pPr>
              <w:adjustRightInd w:val="0"/>
              <w:snapToGrid w:val="0"/>
              <w:spacing w:line="360" w:lineRule="auto"/>
              <w:ind w:firstLine="420" w:firstLineChars="200"/>
              <w:rPr>
                <w:color w:val="auto"/>
                <w:szCs w:val="21"/>
              </w:rPr>
            </w:pPr>
            <w:r>
              <w:rPr>
                <w:color w:val="auto"/>
                <w:szCs w:val="21"/>
              </w:rPr>
              <w:t>根据本项目生产性质及建设规模，并结合场地自然条件及现状进行总平面布置。在满足工业生产用地的前提下，统筹考虑了物料运输、管线敷设、环境保护、安全卫生及消防等方面的用地需要。力求总图布局合理，运输线路短捷、顺畅。建构筑物外形协调整齐，通道宽度适中，为自然通风、采光、排水、卫生、绿化等布置创造条件。</w:t>
            </w:r>
          </w:p>
          <w:p>
            <w:pPr>
              <w:adjustRightInd w:val="0"/>
              <w:snapToGrid w:val="0"/>
              <w:spacing w:line="360" w:lineRule="auto"/>
              <w:ind w:firstLine="420" w:firstLineChars="200"/>
              <w:rPr>
                <w:rFonts w:hint="eastAsia"/>
                <w:color w:val="auto"/>
                <w:szCs w:val="21"/>
              </w:rPr>
            </w:pPr>
            <w:r>
              <w:rPr>
                <w:color w:val="auto"/>
                <w:szCs w:val="21"/>
              </w:rPr>
              <w:t>本项目场地基本呈长方形</w:t>
            </w:r>
            <w:r>
              <w:rPr>
                <w:rFonts w:hint="eastAsia"/>
                <w:color w:val="auto"/>
                <w:szCs w:val="21"/>
              </w:rPr>
              <w:t>，生产区和生活办公区</w:t>
            </w:r>
            <w:r>
              <w:rPr>
                <w:rFonts w:hint="eastAsia"/>
                <w:color w:val="auto"/>
                <w:szCs w:val="21"/>
                <w:lang w:val="en-US" w:eastAsia="zh-CN"/>
              </w:rPr>
              <w:t>东西</w:t>
            </w:r>
            <w:r>
              <w:rPr>
                <w:rFonts w:hint="eastAsia"/>
                <w:color w:val="auto"/>
                <w:szCs w:val="21"/>
              </w:rPr>
              <w:t>分开</w:t>
            </w:r>
            <w:r>
              <w:rPr>
                <w:color w:val="auto"/>
                <w:szCs w:val="21"/>
              </w:rPr>
              <w:t>，</w:t>
            </w:r>
            <w:r>
              <w:rPr>
                <w:rFonts w:hint="eastAsia"/>
                <w:color w:val="auto"/>
                <w:szCs w:val="21"/>
              </w:rPr>
              <w:t>生产区</w:t>
            </w:r>
            <w:r>
              <w:rPr>
                <w:rFonts w:hint="eastAsia"/>
                <w:color w:val="auto"/>
                <w:szCs w:val="21"/>
                <w:lang w:val="en-US" w:eastAsia="zh-CN"/>
              </w:rPr>
              <w:t>根据生产加工需求，分为机加工区、组装调试区、人工打包区，其中组装调试区位于厂房内部北侧，加工区位于车间南侧，机加工区涉及少量污染物排放，组装调试均为洁净车间内组装，两个区域在车间内部独立划分，</w:t>
            </w:r>
            <w:r>
              <w:rPr>
                <w:rFonts w:hint="eastAsia"/>
                <w:color w:val="auto"/>
                <w:szCs w:val="21"/>
              </w:rPr>
              <w:t>办公楼位于厂区东侧。根据车间生产功能不同，</w:t>
            </w:r>
            <w:r>
              <w:rPr>
                <w:rFonts w:hint="eastAsia"/>
                <w:color w:val="auto"/>
                <w:szCs w:val="21"/>
                <w:lang w:val="en-US" w:eastAsia="zh-CN"/>
              </w:rPr>
              <w:t>不同生产区域布设不同功能生产设备，高噪声设备集中布设、采取减振措施</w:t>
            </w:r>
            <w:r>
              <w:rPr>
                <w:rFonts w:hint="eastAsia"/>
                <w:color w:val="auto"/>
                <w:szCs w:val="21"/>
              </w:rPr>
              <w:t>。</w:t>
            </w:r>
            <w:r>
              <w:rPr>
                <w:rFonts w:hint="eastAsia"/>
                <w:color w:val="auto"/>
                <w:szCs w:val="21"/>
                <w:lang w:val="en-US" w:eastAsia="zh-CN"/>
              </w:rPr>
              <w:t>厂区</w:t>
            </w:r>
            <w:r>
              <w:rPr>
                <w:color w:val="auto"/>
                <w:szCs w:val="21"/>
              </w:rPr>
              <w:t>总平面布置图示意图</w:t>
            </w:r>
            <w:r>
              <w:rPr>
                <w:rFonts w:hint="eastAsia"/>
                <w:color w:val="auto"/>
                <w:szCs w:val="21"/>
                <w:lang w:eastAsia="zh-CN"/>
              </w:rPr>
              <w:t>、</w:t>
            </w:r>
            <w:r>
              <w:rPr>
                <w:rFonts w:hint="eastAsia"/>
                <w:color w:val="auto"/>
                <w:szCs w:val="21"/>
                <w:lang w:val="en-US" w:eastAsia="zh-CN"/>
              </w:rPr>
              <w:t>车间布局图</w:t>
            </w:r>
            <w:r>
              <w:rPr>
                <w:color w:val="auto"/>
                <w:szCs w:val="21"/>
              </w:rPr>
              <w:t>见</w:t>
            </w:r>
            <w:r>
              <w:rPr>
                <w:rFonts w:hint="eastAsia"/>
                <w:color w:val="auto"/>
                <w:szCs w:val="21"/>
              </w:rPr>
              <w:t>附</w:t>
            </w:r>
            <w:r>
              <w:rPr>
                <w:color w:val="auto"/>
                <w:szCs w:val="21"/>
              </w:rPr>
              <w:t>图</w:t>
            </w:r>
            <w:r>
              <w:rPr>
                <w:rFonts w:hint="eastAsia"/>
                <w:color w:val="auto"/>
                <w:szCs w:val="21"/>
              </w:rPr>
              <w:t>3</w:t>
            </w:r>
            <w:r>
              <w:rPr>
                <w:rFonts w:hint="eastAsia"/>
                <w:color w:val="auto"/>
                <w:szCs w:val="21"/>
                <w:lang w:val="en-US" w:eastAsia="zh-CN"/>
              </w:rPr>
              <w:t>和附图4</w:t>
            </w:r>
            <w:r>
              <w:rPr>
                <w:color w:val="auto"/>
                <w:szCs w:val="21"/>
              </w:rPr>
              <w:t>。</w:t>
            </w:r>
          </w:p>
          <w:p>
            <w:pPr>
              <w:spacing w:line="360" w:lineRule="auto"/>
              <w:rPr>
                <w:b/>
                <w:bCs/>
                <w:color w:val="auto"/>
                <w:szCs w:val="21"/>
              </w:rPr>
            </w:pPr>
            <w:r>
              <w:rPr>
                <w:b/>
                <w:bCs/>
                <w:color w:val="auto"/>
                <w:szCs w:val="21"/>
              </w:rPr>
              <w:t>2.8水平衡分析</w:t>
            </w:r>
          </w:p>
          <w:p>
            <w:pPr>
              <w:adjustRightInd w:val="0"/>
              <w:snapToGrid w:val="0"/>
              <w:spacing w:line="360" w:lineRule="auto"/>
              <w:ind w:firstLine="420" w:firstLineChars="200"/>
              <w:jc w:val="left"/>
              <w:rPr>
                <w:rFonts w:hint="eastAsia"/>
                <w:bCs/>
                <w:color w:val="auto"/>
                <w:szCs w:val="21"/>
              </w:rPr>
            </w:pPr>
            <w:r>
              <w:rPr>
                <w:rFonts w:hint="eastAsia"/>
                <w:bCs/>
                <w:color w:val="auto"/>
                <w:szCs w:val="21"/>
              </w:rPr>
              <w:t>1）生活用水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color w:val="auto"/>
                <w:sz w:val="21"/>
                <w:szCs w:val="21"/>
              </w:rPr>
            </w:pPr>
            <w:r>
              <w:rPr>
                <w:bCs/>
                <w:color w:val="auto"/>
                <w:szCs w:val="21"/>
              </w:rPr>
              <w:t>本项目</w:t>
            </w:r>
            <w:r>
              <w:rPr>
                <w:rFonts w:hint="eastAsia"/>
                <w:bCs/>
                <w:color w:val="auto"/>
                <w:szCs w:val="21"/>
              </w:rPr>
              <w:t>新增员工</w:t>
            </w:r>
            <w:r>
              <w:rPr>
                <w:rFonts w:hint="eastAsia"/>
                <w:bCs/>
                <w:color w:val="auto"/>
                <w:szCs w:val="21"/>
                <w:lang w:val="en-US" w:eastAsia="zh-CN"/>
              </w:rPr>
              <w:t>200人</w:t>
            </w:r>
            <w:r>
              <w:rPr>
                <w:rFonts w:hint="eastAsia"/>
                <w:bCs/>
                <w:color w:val="auto"/>
                <w:szCs w:val="21"/>
              </w:rPr>
              <w:t>，</w:t>
            </w:r>
            <w:r>
              <w:rPr>
                <w:color w:val="auto"/>
                <w:kern w:val="0"/>
                <w:sz w:val="21"/>
                <w:szCs w:val="21"/>
              </w:rPr>
              <w:t>员工生活用水量依据</w:t>
            </w:r>
            <w:r>
              <w:rPr>
                <w:color w:val="auto"/>
                <w:sz w:val="21"/>
                <w:szCs w:val="21"/>
              </w:rPr>
              <w:t>《安徽省行业用水定额（DB34</w:t>
            </w:r>
            <w:r>
              <w:rPr>
                <w:rFonts w:hint="eastAsia"/>
                <w:color w:val="auto"/>
                <w:sz w:val="21"/>
                <w:szCs w:val="21"/>
                <w:lang w:val="en-US" w:eastAsia="zh-CN"/>
              </w:rPr>
              <w:t>/T679</w:t>
            </w:r>
            <w:r>
              <w:rPr>
                <w:color w:val="auto"/>
                <w:sz w:val="21"/>
                <w:szCs w:val="21"/>
              </w:rPr>
              <w:t>-201</w:t>
            </w:r>
            <w:r>
              <w:rPr>
                <w:rFonts w:hint="eastAsia"/>
                <w:color w:val="auto"/>
                <w:sz w:val="21"/>
                <w:szCs w:val="21"/>
                <w:lang w:val="en-US" w:eastAsia="zh-CN"/>
              </w:rPr>
              <w:t>9</w:t>
            </w:r>
            <w:r>
              <w:rPr>
                <w:color w:val="auto"/>
                <w:sz w:val="21"/>
                <w:szCs w:val="21"/>
              </w:rPr>
              <w:t>）》</w:t>
            </w:r>
            <w:r>
              <w:rPr>
                <w:color w:val="auto"/>
                <w:kern w:val="0"/>
                <w:sz w:val="21"/>
                <w:szCs w:val="21"/>
              </w:rPr>
              <w:t>相关用水定额核算</w:t>
            </w:r>
            <w:r>
              <w:rPr>
                <w:color w:val="auto"/>
                <w:sz w:val="21"/>
                <w:szCs w:val="21"/>
              </w:rPr>
              <w:t>，用水量按</w:t>
            </w:r>
            <w:r>
              <w:rPr>
                <w:rFonts w:hint="eastAsia"/>
                <w:color w:val="auto"/>
                <w:sz w:val="21"/>
                <w:szCs w:val="21"/>
                <w:lang w:val="en-US" w:eastAsia="zh-CN"/>
              </w:rPr>
              <w:t>11</w:t>
            </w:r>
            <w:r>
              <w:rPr>
                <w:color w:val="auto"/>
                <w:sz w:val="21"/>
                <w:szCs w:val="21"/>
              </w:rPr>
              <w:t>0L/（人•d）计，则生活用水量为</w:t>
            </w:r>
            <w:r>
              <w:rPr>
                <w:rFonts w:hint="eastAsia"/>
                <w:color w:val="auto"/>
                <w:sz w:val="21"/>
                <w:szCs w:val="21"/>
                <w:lang w:val="en-US" w:eastAsia="zh-CN"/>
              </w:rPr>
              <w:t>22</w:t>
            </w:r>
            <w:r>
              <w:rPr>
                <w:color w:val="auto"/>
                <w:sz w:val="21"/>
                <w:szCs w:val="21"/>
              </w:rPr>
              <w:t>m</w:t>
            </w:r>
            <w:r>
              <w:rPr>
                <w:color w:val="auto"/>
                <w:sz w:val="21"/>
                <w:szCs w:val="21"/>
                <w:vertAlign w:val="superscript"/>
              </w:rPr>
              <w:t>3</w:t>
            </w:r>
            <w:r>
              <w:rPr>
                <w:color w:val="auto"/>
                <w:sz w:val="21"/>
                <w:szCs w:val="21"/>
              </w:rPr>
              <w:t>/d，</w:t>
            </w:r>
            <w:r>
              <w:rPr>
                <w:rFonts w:hint="eastAsia"/>
                <w:color w:val="auto"/>
                <w:sz w:val="21"/>
                <w:szCs w:val="21"/>
                <w:lang w:val="en-US" w:eastAsia="zh-CN"/>
              </w:rPr>
              <w:t>6600</w:t>
            </w:r>
            <w:r>
              <w:rPr>
                <w:color w:val="auto"/>
                <w:sz w:val="21"/>
                <w:szCs w:val="21"/>
              </w:rPr>
              <w:t>m</w:t>
            </w:r>
            <w:r>
              <w:rPr>
                <w:color w:val="auto"/>
                <w:sz w:val="21"/>
                <w:szCs w:val="21"/>
                <w:vertAlign w:val="superscript"/>
              </w:rPr>
              <w:t>3</w:t>
            </w:r>
            <w:r>
              <w:rPr>
                <w:color w:val="auto"/>
                <w:sz w:val="21"/>
                <w:szCs w:val="21"/>
              </w:rPr>
              <w:t>/a。排水系数按8</w:t>
            </w:r>
            <w:r>
              <w:rPr>
                <w:rFonts w:hint="eastAsia"/>
                <w:color w:val="auto"/>
                <w:sz w:val="21"/>
                <w:szCs w:val="21"/>
              </w:rPr>
              <w:t>5</w:t>
            </w:r>
            <w:r>
              <w:rPr>
                <w:color w:val="auto"/>
                <w:sz w:val="21"/>
                <w:szCs w:val="21"/>
              </w:rPr>
              <w:t>%计算，生活污水排放量约为</w:t>
            </w:r>
            <w:r>
              <w:rPr>
                <w:rFonts w:hint="eastAsia"/>
                <w:color w:val="auto"/>
                <w:sz w:val="21"/>
                <w:szCs w:val="21"/>
                <w:lang w:val="en-US" w:eastAsia="zh-CN"/>
              </w:rPr>
              <w:t>18.7</w:t>
            </w:r>
            <w:r>
              <w:rPr>
                <w:color w:val="auto"/>
                <w:sz w:val="21"/>
                <w:szCs w:val="21"/>
              </w:rPr>
              <w:t>m</w:t>
            </w:r>
            <w:r>
              <w:rPr>
                <w:color w:val="auto"/>
                <w:sz w:val="21"/>
                <w:szCs w:val="21"/>
                <w:vertAlign w:val="superscript"/>
              </w:rPr>
              <w:t>3</w:t>
            </w:r>
            <w:r>
              <w:rPr>
                <w:color w:val="auto"/>
                <w:sz w:val="21"/>
                <w:szCs w:val="21"/>
              </w:rPr>
              <w:t>/d，</w:t>
            </w:r>
            <w:r>
              <w:rPr>
                <w:rFonts w:hint="eastAsia"/>
                <w:color w:val="auto"/>
                <w:sz w:val="21"/>
                <w:szCs w:val="21"/>
                <w:lang w:val="en-US" w:eastAsia="zh-CN"/>
              </w:rPr>
              <w:t>5610</w:t>
            </w:r>
            <w:r>
              <w:rPr>
                <w:color w:val="auto"/>
                <w:sz w:val="21"/>
                <w:szCs w:val="21"/>
              </w:rPr>
              <w:t>m</w:t>
            </w:r>
            <w:r>
              <w:rPr>
                <w:color w:val="auto"/>
                <w:sz w:val="21"/>
                <w:szCs w:val="21"/>
                <w:vertAlign w:val="superscript"/>
              </w:rPr>
              <w:t>3</w:t>
            </w:r>
            <w:r>
              <w:rPr>
                <w:color w:val="auto"/>
                <w:sz w:val="21"/>
                <w:szCs w:val="21"/>
              </w:rPr>
              <w:t>/a。</w:t>
            </w:r>
          </w:p>
          <w:p>
            <w:pPr>
              <w:pStyle w:val="87"/>
              <w:snapToGrid w:val="0"/>
              <w:spacing w:line="360" w:lineRule="auto"/>
              <w:ind w:firstLine="420" w:firstLineChars="200"/>
              <w:jc w:val="left"/>
              <w:rPr>
                <w:rFonts w:hint="eastAsia" w:ascii="Times New Roman"/>
                <w:color w:val="auto"/>
                <w:sz w:val="21"/>
                <w:szCs w:val="21"/>
              </w:rPr>
            </w:pPr>
            <w:r>
              <w:rPr>
                <w:rFonts w:hint="eastAsia" w:ascii="Times New Roman"/>
                <w:color w:val="auto"/>
                <w:sz w:val="21"/>
                <w:szCs w:val="21"/>
              </w:rPr>
              <w:t>2）生产用水</w:t>
            </w:r>
          </w:p>
          <w:p>
            <w:pPr>
              <w:adjustRightInd w:val="0"/>
              <w:snapToGrid w:val="0"/>
              <w:spacing w:line="360" w:lineRule="auto"/>
              <w:ind w:firstLine="420" w:firstLineChars="200"/>
              <w:jc w:val="left"/>
              <w:rPr>
                <w:rFonts w:hint="eastAsia"/>
                <w:color w:val="auto"/>
                <w:szCs w:val="21"/>
                <w:lang w:val="en-US" w:eastAsia="zh-CN"/>
              </w:rPr>
            </w:pPr>
            <w:r>
              <w:rPr>
                <w:rFonts w:hint="eastAsia"/>
                <w:color w:val="auto"/>
                <w:szCs w:val="21"/>
              </w:rPr>
              <w:t>本项目生产</w:t>
            </w:r>
            <w:r>
              <w:rPr>
                <w:rFonts w:hint="eastAsia"/>
                <w:color w:val="auto"/>
                <w:szCs w:val="21"/>
                <w:lang w:val="en-US" w:eastAsia="zh-CN"/>
              </w:rPr>
              <w:t>过程</w:t>
            </w:r>
            <w:r>
              <w:rPr>
                <w:rFonts w:hint="eastAsia"/>
                <w:color w:val="auto"/>
                <w:szCs w:val="21"/>
              </w:rPr>
              <w:t>涉及</w:t>
            </w:r>
            <w:r>
              <w:rPr>
                <w:rFonts w:hint="eastAsia"/>
                <w:color w:val="auto"/>
                <w:szCs w:val="21"/>
                <w:lang w:val="en-US" w:eastAsia="zh-CN"/>
              </w:rPr>
              <w:t>调试</w:t>
            </w:r>
            <w:r>
              <w:rPr>
                <w:rFonts w:hint="eastAsia"/>
                <w:color w:val="auto"/>
                <w:szCs w:val="21"/>
              </w:rPr>
              <w:t>用水</w:t>
            </w:r>
            <w:r>
              <w:rPr>
                <w:rFonts w:hint="eastAsia"/>
                <w:color w:val="auto"/>
                <w:szCs w:val="21"/>
                <w:lang w:eastAsia="zh-CN"/>
              </w:rPr>
              <w:t>，</w:t>
            </w:r>
            <w:r>
              <w:rPr>
                <w:rFonts w:hint="eastAsia"/>
                <w:color w:val="auto"/>
                <w:szCs w:val="21"/>
                <w:lang w:val="en-US" w:eastAsia="zh-CN"/>
              </w:rPr>
              <w:t>调试过程使用纯水，项目采用纯水制备系统制备纯水，工艺为自来水经过“石英砂+活性炭过滤+软化+精制过滤+RO反渗透”处理，纯水制备系统纯水收率75%，每日新鲜水用量为3t，则纯水2.25t/d，浓水0.75t/d，浓水直接接管园区污水管网</w:t>
            </w:r>
            <w:r>
              <w:rPr>
                <w:rFonts w:hint="eastAsia"/>
                <w:color w:val="auto"/>
                <w:szCs w:val="21"/>
              </w:rPr>
              <w:t>。</w:t>
            </w:r>
            <w:r>
              <w:rPr>
                <w:rFonts w:hint="eastAsia"/>
                <w:color w:val="auto"/>
                <w:szCs w:val="21"/>
                <w:lang w:val="en-US" w:eastAsia="zh-CN"/>
              </w:rPr>
              <w:t>纯水用于生产设备的调试，调试过程不添加任何试剂，调试过后直接排放。</w:t>
            </w:r>
          </w:p>
          <w:p>
            <w:pPr>
              <w:adjustRightInd w:val="0"/>
              <w:snapToGrid w:val="0"/>
              <w:spacing w:line="360" w:lineRule="auto"/>
              <w:ind w:firstLine="420" w:firstLineChars="200"/>
              <w:jc w:val="left"/>
              <w:rPr>
                <w:rFonts w:hint="default"/>
                <w:color w:val="auto"/>
                <w:szCs w:val="21"/>
                <w:lang w:val="en-US" w:eastAsia="zh-CN"/>
              </w:rPr>
            </w:pPr>
            <w:r>
              <w:rPr>
                <w:rFonts w:hint="eastAsia"/>
                <w:color w:val="auto"/>
                <w:szCs w:val="21"/>
                <w:lang w:val="en-US" w:eastAsia="zh-CN"/>
              </w:rPr>
              <w:t>纯水制备系统需定期反冲洗膜及石英砂、活性炭等过滤组件，可使膜及其他组件不结垢堵塞。本项目反冲洗包括两部分，一部分为反冲洗石英砂、活性炭等，其反冲洗水采用自来水，反冲洗频率约为5d一次，冲洗时间为</w:t>
            </w:r>
            <w:r>
              <w:rPr>
                <w:rFonts w:hint="default"/>
                <w:color w:val="auto"/>
                <w:szCs w:val="21"/>
                <w:lang w:val="en-US" w:eastAsia="zh-CN"/>
              </w:rPr>
              <w:t>20min</w:t>
            </w:r>
            <w:r>
              <w:rPr>
                <w:rFonts w:hint="eastAsia"/>
                <w:color w:val="auto"/>
                <w:szCs w:val="21"/>
                <w:lang w:val="en-US" w:eastAsia="zh-CN"/>
              </w:rPr>
              <w:t>，每次冲洗水量为</w:t>
            </w:r>
            <w:r>
              <w:rPr>
                <w:rFonts w:hint="default"/>
                <w:color w:val="auto"/>
                <w:szCs w:val="21"/>
                <w:lang w:val="en-US" w:eastAsia="zh-CN"/>
              </w:rPr>
              <w:t>0.</w:t>
            </w:r>
            <w:r>
              <w:rPr>
                <w:rFonts w:hint="eastAsia"/>
                <w:color w:val="auto"/>
                <w:szCs w:val="21"/>
                <w:lang w:val="en-US" w:eastAsia="zh-CN"/>
              </w:rPr>
              <w:t>5</w:t>
            </w:r>
            <w:r>
              <w:rPr>
                <w:rFonts w:hint="default"/>
                <w:color w:val="auto"/>
                <w:szCs w:val="21"/>
                <w:lang w:val="en-US" w:eastAsia="zh-CN"/>
              </w:rPr>
              <w:t>t</w:t>
            </w:r>
            <w:r>
              <w:rPr>
                <w:rFonts w:hint="eastAsia"/>
                <w:color w:val="auto"/>
                <w:szCs w:val="21"/>
                <w:lang w:val="en-US" w:eastAsia="zh-CN"/>
              </w:rPr>
              <w:t>。一部分为</w:t>
            </w:r>
            <w:r>
              <w:rPr>
                <w:rFonts w:hint="default"/>
                <w:color w:val="auto"/>
                <w:szCs w:val="21"/>
                <w:lang w:val="en-US" w:eastAsia="zh-CN"/>
              </w:rPr>
              <w:t>RO</w:t>
            </w:r>
            <w:r>
              <w:rPr>
                <w:rFonts w:hint="eastAsia"/>
                <w:color w:val="auto"/>
                <w:szCs w:val="21"/>
                <w:lang w:val="en-US" w:eastAsia="zh-CN"/>
              </w:rPr>
              <w:t>反渗透膜冲洗，根据企业纯水类型，冲洗频率为</w:t>
            </w:r>
            <w:r>
              <w:rPr>
                <w:rFonts w:hint="default"/>
                <w:color w:val="auto"/>
                <w:szCs w:val="21"/>
                <w:lang w:val="en-US" w:eastAsia="zh-CN"/>
              </w:rPr>
              <w:t>3</w:t>
            </w:r>
            <w:r>
              <w:rPr>
                <w:rFonts w:hint="eastAsia"/>
                <w:color w:val="auto"/>
                <w:szCs w:val="21"/>
                <w:lang w:val="en-US" w:eastAsia="zh-CN"/>
              </w:rPr>
              <w:t>月</w:t>
            </w:r>
            <w:r>
              <w:rPr>
                <w:rFonts w:hint="default"/>
                <w:color w:val="auto"/>
                <w:szCs w:val="21"/>
                <w:lang w:val="en-US" w:eastAsia="zh-CN"/>
              </w:rPr>
              <w:t>/</w:t>
            </w:r>
            <w:r>
              <w:rPr>
                <w:rFonts w:hint="eastAsia"/>
                <w:color w:val="auto"/>
                <w:szCs w:val="21"/>
                <w:lang w:val="en-US" w:eastAsia="zh-CN"/>
              </w:rPr>
              <w:t>次，由于冲洗用量较少，频次较低，环评不对其进行核算。根据上述情况，反冲洗废水产生量约0.1</w:t>
            </w:r>
            <w:r>
              <w:rPr>
                <w:rFonts w:hint="default"/>
                <w:color w:val="auto"/>
                <w:szCs w:val="21"/>
                <w:lang w:val="en-US" w:eastAsia="zh-CN"/>
              </w:rPr>
              <w:t>t/</w:t>
            </w:r>
            <w:r>
              <w:rPr>
                <w:rFonts w:hint="eastAsia"/>
                <w:color w:val="auto"/>
                <w:szCs w:val="21"/>
                <w:lang w:val="en-US" w:eastAsia="zh-CN"/>
              </w:rPr>
              <w:t>d（30t/a）。</w:t>
            </w:r>
          </w:p>
          <w:p>
            <w:pPr>
              <w:rPr>
                <w:color w:val="auto"/>
              </w:rPr>
            </w:pPr>
          </w:p>
          <w:p>
            <w:pPr>
              <w:rPr>
                <w:color w:val="auto"/>
              </w:rPr>
            </w:pPr>
            <w:r>
              <w:rPr>
                <w:color w:val="auto"/>
                <w:sz w:val="21"/>
              </w:rPr>
              <mc:AlternateContent>
                <mc:Choice Requires="wpg">
                  <w:drawing>
                    <wp:anchor distT="0" distB="0" distL="114300" distR="114300" simplePos="0" relativeHeight="251659264" behindDoc="0" locked="0" layoutInCell="1" allowOverlap="1">
                      <wp:simplePos x="0" y="0"/>
                      <wp:positionH relativeFrom="column">
                        <wp:posOffset>306070</wp:posOffset>
                      </wp:positionH>
                      <wp:positionV relativeFrom="paragraph">
                        <wp:posOffset>58420</wp:posOffset>
                      </wp:positionV>
                      <wp:extent cx="4284345" cy="2066925"/>
                      <wp:effectExtent l="0" t="0" r="20955" b="9525"/>
                      <wp:wrapNone/>
                      <wp:docPr id="118" name="组合 118"/>
                      <wp:cNvGraphicFramePr/>
                      <a:graphic xmlns:a="http://schemas.openxmlformats.org/drawingml/2006/main">
                        <a:graphicData uri="http://schemas.microsoft.com/office/word/2010/wordprocessingGroup">
                          <wpg:wgp>
                            <wpg:cNvGrpSpPr/>
                            <wpg:grpSpPr>
                              <a:xfrm>
                                <a:off x="0" y="0"/>
                                <a:ext cx="4284345" cy="2066925"/>
                                <a:chOff x="16456" y="158783"/>
                                <a:chExt cx="6747" cy="3255"/>
                              </a:xfrm>
                            </wpg:grpSpPr>
                            <wps:wsp>
                              <wps:cNvPr id="25" name="自选图形 4"/>
                              <wps:cNvCnPr/>
                              <wps:spPr>
                                <a:xfrm rot="5400000" flipV="1">
                                  <a:off x="16812" y="160438"/>
                                  <a:ext cx="1812" cy="9"/>
                                </a:xfrm>
                                <a:prstGeom prst="bentConnector3">
                                  <a:avLst>
                                    <a:gd name="adj1" fmla="val 50028"/>
                                  </a:avLst>
                                </a:prstGeom>
                                <a:ln w="9525" cap="flat" cmpd="sng">
                                  <a:solidFill>
                                    <a:srgbClr val="000000"/>
                                  </a:solidFill>
                                  <a:prstDash val="solid"/>
                                  <a:miter/>
                                  <a:headEnd type="none" w="med" len="med"/>
                                  <a:tailEnd type="none" w="med" len="med"/>
                                </a:ln>
                              </wps:spPr>
                              <wps:bodyPr/>
                            </wps:wsp>
                            <wps:wsp>
                              <wps:cNvPr id="26" name="矩形 5"/>
                              <wps:cNvSpPr/>
                              <wps:spPr>
                                <a:xfrm>
                                  <a:off x="17943" y="159317"/>
                                  <a:ext cx="456" cy="328"/>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22</w:t>
                                    </w:r>
                                  </w:p>
                                </w:txbxContent>
                              </wps:txbx>
                              <wps:bodyPr wrap="square" lIns="0" tIns="0" rIns="0" bIns="0" upright="1"/>
                            </wps:wsp>
                            <wps:wsp>
                              <wps:cNvPr id="27" name="矩形 6"/>
                              <wps:cNvSpPr/>
                              <wps:spPr>
                                <a:xfrm>
                                  <a:off x="19675" y="159324"/>
                                  <a:ext cx="720" cy="328"/>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10.2</w:t>
                                    </w:r>
                                  </w:p>
                                </w:txbxContent>
                              </wps:txbx>
                              <wps:bodyPr wrap="square" lIns="0" tIns="0" rIns="0" bIns="0" upright="1"/>
                            </wps:wsp>
                            <wps:wsp>
                              <wps:cNvPr id="28" name="自选图形 8"/>
                              <wps:cNvCnPr/>
                              <wps:spPr>
                                <a:xfrm flipV="1">
                                  <a:off x="18660" y="158927"/>
                                  <a:ext cx="529" cy="395"/>
                                </a:xfrm>
                                <a:prstGeom prst="curvedConnector3">
                                  <a:avLst>
                                    <a:gd name="adj1" fmla="val 50095"/>
                                  </a:avLst>
                                </a:prstGeom>
                                <a:ln w="9525" cap="flat" cmpd="sng">
                                  <a:solidFill>
                                    <a:srgbClr val="000000"/>
                                  </a:solidFill>
                                  <a:prstDash val="dash"/>
                                  <a:headEnd type="none" w="med" len="med"/>
                                  <a:tailEnd type="triangle" w="med" len="med"/>
                                </a:ln>
                              </wps:spPr>
                              <wps:bodyPr/>
                            </wps:wsp>
                            <wps:wsp>
                              <wps:cNvPr id="29" name="矩形 7"/>
                              <wps:cNvSpPr/>
                              <wps:spPr>
                                <a:xfrm>
                                  <a:off x="16456" y="159592"/>
                                  <a:ext cx="1302" cy="462"/>
                                </a:xfrm>
                                <a:prstGeom prst="rect">
                                  <a:avLst/>
                                </a:prstGeom>
                                <a:solidFill>
                                  <a:srgbClr val="FFFFFF">
                                    <a:alpha val="0"/>
                                  </a:srgbClr>
                                </a:solidFill>
                                <a:ln>
                                  <a:noFill/>
                                </a:ln>
                              </wps:spPr>
                              <wps:txbx>
                                <w:txbxContent>
                                  <w:p>
                                    <w:pPr>
                                      <w:rPr>
                                        <w:rFonts w:hint="default" w:eastAsia="宋体"/>
                                        <w:lang w:val="en-US" w:eastAsia="zh-CN"/>
                                      </w:rPr>
                                    </w:pPr>
                                    <w:r>
                                      <w:rPr>
                                        <w:rFonts w:hint="eastAsia"/>
                                      </w:rPr>
                                      <w:t>新鲜水</w:t>
                                    </w:r>
                                    <w:r>
                                      <w:rPr>
                                        <w:rFonts w:hint="eastAsia"/>
                                        <w:lang w:val="en-US" w:eastAsia="zh-CN"/>
                                      </w:rPr>
                                      <w:t>35.1</w:t>
                                    </w:r>
                                  </w:p>
                                </w:txbxContent>
                              </wps:txbx>
                              <wps:bodyPr wrap="square" lIns="0" tIns="0" rIns="0" bIns="0" upright="1"/>
                            </wps:wsp>
                            <wps:wsp>
                              <wps:cNvPr id="30" name="矩形 9"/>
                              <wps:cNvSpPr/>
                              <wps:spPr>
                                <a:xfrm>
                                  <a:off x="18439" y="159327"/>
                                  <a:ext cx="1002"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员工生活</w:t>
                                    </w:r>
                                  </w:p>
                                </w:txbxContent>
                              </wps:txbx>
                              <wps:bodyPr wrap="square" lIns="0" tIns="45720" rIns="0" bIns="45720" upright="1"/>
                            </wps:wsp>
                            <wps:wsp>
                              <wps:cNvPr id="31" name="矩形 10"/>
                              <wps:cNvSpPr/>
                              <wps:spPr>
                                <a:xfrm>
                                  <a:off x="21673" y="159308"/>
                                  <a:ext cx="1531" cy="445"/>
                                </a:xfrm>
                                <a:prstGeom prst="rect">
                                  <a:avLst/>
                                </a:prstGeom>
                                <a:solidFill>
                                  <a:srgbClr val="FFFFFF"/>
                                </a:solidFill>
                                <a:ln w="9525" cap="flat" cmpd="sng">
                                  <a:solidFill>
                                    <a:srgbClr val="000000"/>
                                  </a:solidFill>
                                  <a:prstDash val="solid"/>
                                  <a:miter/>
                                  <a:headEnd type="none" w="med" len="med"/>
                                  <a:tailEnd type="none" w="med" len="med"/>
                                </a:ln>
                              </wps:spPr>
                              <wps:txbx>
                                <w:txbxContent>
                                  <w:p>
                                    <w:r>
                                      <w:t>园区污水处理厂</w:t>
                                    </w:r>
                                  </w:p>
                                </w:txbxContent>
                              </wps:txbx>
                              <wps:bodyPr wrap="square" lIns="0" tIns="45720" rIns="0" bIns="45720" upright="1"/>
                            </wps:wsp>
                            <wps:wsp>
                              <wps:cNvPr id="32" name="自选图形 12"/>
                              <wps:cNvCnPr/>
                              <wps:spPr>
                                <a:xfrm>
                                  <a:off x="17719" y="159544"/>
                                  <a:ext cx="720" cy="0"/>
                                </a:xfrm>
                                <a:prstGeom prst="straightConnector1">
                                  <a:avLst/>
                                </a:prstGeom>
                                <a:ln w="9525" cap="flat" cmpd="sng">
                                  <a:solidFill>
                                    <a:srgbClr val="000000"/>
                                  </a:solidFill>
                                  <a:prstDash val="solid"/>
                                  <a:headEnd type="none" w="med" len="med"/>
                                  <a:tailEnd type="triangle" w="med" len="med"/>
                                </a:ln>
                              </wps:spPr>
                              <wps:bodyPr/>
                            </wps:wsp>
                            <wps:wsp>
                              <wps:cNvPr id="33" name="自选图形 13"/>
                              <wps:cNvCnPr>
                                <a:stCxn id="30" idx="3"/>
                              </wps:cNvCnPr>
                              <wps:spPr>
                                <a:xfrm>
                                  <a:off x="19441" y="159558"/>
                                  <a:ext cx="957" cy="8"/>
                                </a:xfrm>
                                <a:prstGeom prst="straightConnector1">
                                  <a:avLst/>
                                </a:prstGeom>
                                <a:ln w="9525" cap="flat" cmpd="sng">
                                  <a:solidFill>
                                    <a:srgbClr val="000000"/>
                                  </a:solidFill>
                                  <a:prstDash val="solid"/>
                                  <a:headEnd type="none" w="med" len="med"/>
                                  <a:tailEnd type="triangle" w="med" len="med"/>
                                </a:ln>
                              </wps:spPr>
                              <wps:bodyPr/>
                            </wps:wsp>
                            <wps:wsp>
                              <wps:cNvPr id="34" name="自选图形 14"/>
                              <wps:cNvCnPr/>
                              <wps:spPr>
                                <a:xfrm>
                                  <a:off x="21118" y="159543"/>
                                  <a:ext cx="555" cy="0"/>
                                </a:xfrm>
                                <a:prstGeom prst="straightConnector1">
                                  <a:avLst/>
                                </a:prstGeom>
                                <a:ln w="9525" cap="flat" cmpd="sng">
                                  <a:solidFill>
                                    <a:srgbClr val="000000"/>
                                  </a:solidFill>
                                  <a:prstDash val="solid"/>
                                  <a:headEnd type="none" w="med" len="med"/>
                                  <a:tailEnd type="triangle" w="med" len="med"/>
                                </a:ln>
                              </wps:spPr>
                              <wps:bodyPr/>
                            </wps:wsp>
                            <wps:wsp>
                              <wps:cNvPr id="35" name="矩形 11"/>
                              <wps:cNvSpPr/>
                              <wps:spPr>
                                <a:xfrm>
                                  <a:off x="19159" y="158783"/>
                                  <a:ext cx="766" cy="328"/>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1.8</w:t>
                                    </w:r>
                                  </w:p>
                                </w:txbxContent>
                              </wps:txbx>
                              <wps:bodyPr wrap="square" lIns="0" tIns="0" rIns="0" bIns="0" upright="1"/>
                            </wps:wsp>
                            <wps:wsp>
                              <wps:cNvPr id="36" name="矩形 15"/>
                              <wps:cNvSpPr/>
                              <wps:spPr>
                                <a:xfrm>
                                  <a:off x="20398" y="159327"/>
                                  <a:ext cx="720"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化粪池</w:t>
                                    </w:r>
                                  </w:p>
                                </w:txbxContent>
                              </wps:txbx>
                              <wps:bodyPr wrap="square" lIns="0" tIns="45720" rIns="0" bIns="45720" upright="1"/>
                            </wps:wsp>
                            <wps:wsp>
                              <wps:cNvPr id="37" name="矩形 16"/>
                              <wps:cNvSpPr/>
                              <wps:spPr>
                                <a:xfrm>
                                  <a:off x="21148" y="159305"/>
                                  <a:ext cx="720" cy="328"/>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18.7</w:t>
                                    </w:r>
                                  </w:p>
                                </w:txbxContent>
                              </wps:txbx>
                              <wps:bodyPr wrap="square" lIns="0" tIns="0" rIns="0" bIns="0" upright="1"/>
                            </wps:wsp>
                            <wps:wsp>
                              <wps:cNvPr id="42" name="自选图形 23"/>
                              <wps:cNvCnPr/>
                              <wps:spPr>
                                <a:xfrm flipH="1">
                                  <a:off x="16759" y="159889"/>
                                  <a:ext cx="960" cy="0"/>
                                </a:xfrm>
                                <a:prstGeom prst="straightConnector1">
                                  <a:avLst/>
                                </a:prstGeom>
                                <a:ln w="9525" cap="flat" cmpd="sng">
                                  <a:solidFill>
                                    <a:srgbClr val="000000"/>
                                  </a:solidFill>
                                  <a:prstDash val="solid"/>
                                  <a:headEnd type="none" w="med" len="med"/>
                                  <a:tailEnd type="none" w="med" len="med"/>
                                </a:ln>
                              </wps:spPr>
                              <wps:bodyPr/>
                            </wps:wsp>
                            <wps:wsp>
                              <wps:cNvPr id="40" name="矩形 20"/>
                              <wps:cNvSpPr/>
                              <wps:spPr>
                                <a:xfrm>
                                  <a:off x="18473" y="160306"/>
                                  <a:ext cx="953"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食堂用水</w:t>
                                    </w:r>
                                  </w:p>
                                </w:txbxContent>
                              </wps:txbx>
                              <wps:bodyPr wrap="square" lIns="0" tIns="45720" rIns="0" bIns="45720" upright="1"/>
                            </wps:wsp>
                            <wps:wsp>
                              <wps:cNvPr id="41" name="矩形 21"/>
                              <wps:cNvSpPr/>
                              <wps:spPr>
                                <a:xfrm>
                                  <a:off x="17958" y="160288"/>
                                  <a:ext cx="468" cy="328"/>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10</w:t>
                                    </w:r>
                                  </w:p>
                                </w:txbxContent>
                              </wps:txbx>
                              <wps:bodyPr wrap="square" lIns="0" tIns="0" rIns="0" bIns="0" upright="1"/>
                            </wps:wsp>
                            <wps:wsp>
                              <wps:cNvPr id="43" name="自选图形 24"/>
                              <wps:cNvCnPr>
                                <a:endCxn id="40" idx="1"/>
                              </wps:cNvCnPr>
                              <wps:spPr>
                                <a:xfrm>
                                  <a:off x="17719" y="160531"/>
                                  <a:ext cx="754" cy="6"/>
                                </a:xfrm>
                                <a:prstGeom prst="straightConnector1">
                                  <a:avLst/>
                                </a:prstGeom>
                                <a:ln w="9525" cap="flat" cmpd="sng">
                                  <a:solidFill>
                                    <a:srgbClr val="000000"/>
                                  </a:solidFill>
                                  <a:prstDash val="solid"/>
                                  <a:headEnd type="none" w="med" len="med"/>
                                  <a:tailEnd type="triangle" w="med" len="med"/>
                                </a:ln>
                              </wps:spPr>
                              <wps:bodyPr/>
                            </wps:wsp>
                            <wps:wsp>
                              <wps:cNvPr id="47" name="自选图形 28"/>
                              <wps:cNvCnPr/>
                              <wps:spPr>
                                <a:xfrm flipH="1">
                                  <a:off x="19440" y="160533"/>
                                  <a:ext cx="885" cy="2"/>
                                </a:xfrm>
                                <a:prstGeom prst="straightConnector1">
                                  <a:avLst/>
                                </a:prstGeom>
                                <a:ln w="9525" cap="flat" cmpd="sng">
                                  <a:solidFill>
                                    <a:srgbClr val="000000"/>
                                  </a:solidFill>
                                  <a:prstDash val="solid"/>
                                  <a:headEnd type="triangle" w="med" len="med"/>
                                  <a:tailEnd type="none" w="med" len="med"/>
                                </a:ln>
                              </wps:spPr>
                              <wps:bodyPr/>
                            </wps:wsp>
                            <wps:wsp>
                              <wps:cNvPr id="49" name="矩形 29"/>
                              <wps:cNvSpPr/>
                              <wps:spPr>
                                <a:xfrm>
                                  <a:off x="20354" y="160276"/>
                                  <a:ext cx="810"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隔油池</w:t>
                                    </w:r>
                                  </w:p>
                                </w:txbxContent>
                              </wps:txbx>
                              <wps:bodyPr wrap="square" lIns="0" tIns="45720" rIns="0" bIns="45720" upright="1"/>
                            </wps:wsp>
                            <wps:wsp>
                              <wps:cNvPr id="50" name="矩形 30"/>
                              <wps:cNvSpPr/>
                              <wps:spPr>
                                <a:xfrm>
                                  <a:off x="19744" y="160295"/>
                                  <a:ext cx="409" cy="343"/>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8.5</w:t>
                                    </w:r>
                                  </w:p>
                                </w:txbxContent>
                              </wps:txbx>
                              <wps:bodyPr wrap="square" lIns="0" tIns="0" rIns="0" bIns="0" upright="1"/>
                            </wps:wsp>
                            <wps:wsp>
                              <wps:cNvPr id="100" name="矩形 20"/>
                              <wps:cNvSpPr/>
                              <wps:spPr>
                                <a:xfrm>
                                  <a:off x="18492" y="161116"/>
                                  <a:ext cx="1304"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纯水制备系统</w:t>
                                    </w:r>
                                  </w:p>
                                </w:txbxContent>
                              </wps:txbx>
                              <wps:bodyPr wrap="square" lIns="0" tIns="45720" rIns="0" bIns="45720" upright="1"/>
                            </wps:wsp>
                            <wps:wsp>
                              <wps:cNvPr id="101" name="矩形 21"/>
                              <wps:cNvSpPr/>
                              <wps:spPr>
                                <a:xfrm>
                                  <a:off x="17797" y="161098"/>
                                  <a:ext cx="683" cy="328"/>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3.1</w:t>
                                    </w:r>
                                  </w:p>
                                </w:txbxContent>
                              </wps:txbx>
                              <wps:bodyPr wrap="square" lIns="0" tIns="0" rIns="0" bIns="0" upright="1"/>
                            </wps:wsp>
                            <wps:wsp>
                              <wps:cNvPr id="102" name="自选图形 24"/>
                              <wps:cNvCnPr>
                                <a:endCxn id="100" idx="1"/>
                              </wps:cNvCnPr>
                              <wps:spPr>
                                <a:xfrm>
                                  <a:off x="17734" y="161341"/>
                                  <a:ext cx="758" cy="6"/>
                                </a:xfrm>
                                <a:prstGeom prst="straightConnector1">
                                  <a:avLst/>
                                </a:prstGeom>
                                <a:ln w="9525" cap="flat" cmpd="sng">
                                  <a:solidFill>
                                    <a:srgbClr val="000000"/>
                                  </a:solidFill>
                                  <a:prstDash val="solid"/>
                                  <a:headEnd type="none" w="med" len="med"/>
                                  <a:tailEnd type="triangle" w="med" len="med"/>
                                </a:ln>
                              </wps:spPr>
                              <wps:bodyPr/>
                            </wps:wsp>
                            <wps:wsp>
                              <wps:cNvPr id="103" name="自选图形 25"/>
                              <wps:cNvCnPr/>
                              <wps:spPr>
                                <a:xfrm flipH="1">
                                  <a:off x="19125" y="161933"/>
                                  <a:ext cx="3666" cy="35"/>
                                </a:xfrm>
                                <a:prstGeom prst="straightConnector1">
                                  <a:avLst/>
                                </a:prstGeom>
                                <a:ln w="9525" cap="flat" cmpd="sng">
                                  <a:solidFill>
                                    <a:srgbClr val="000000"/>
                                  </a:solidFill>
                                  <a:prstDash val="dash"/>
                                  <a:headEnd type="none" w="med" len="med"/>
                                  <a:tailEnd type="none" w="med" len="med"/>
                                </a:ln>
                              </wps:spPr>
                              <wps:bodyPr/>
                            </wps:wsp>
                            <wps:wsp>
                              <wps:cNvPr id="104" name="自选图形 26"/>
                              <wps:cNvCnPr/>
                              <wps:spPr>
                                <a:xfrm flipV="1">
                                  <a:off x="22800" y="159776"/>
                                  <a:ext cx="8" cy="2144"/>
                                </a:xfrm>
                                <a:prstGeom prst="straightConnector1">
                                  <a:avLst/>
                                </a:prstGeom>
                                <a:ln w="9525" cap="flat" cmpd="sng">
                                  <a:solidFill>
                                    <a:srgbClr val="000000"/>
                                  </a:solidFill>
                                  <a:prstDash val="dash"/>
                                  <a:headEnd type="none" w="med" len="med"/>
                                  <a:tailEnd type="triangle" w="med" len="med"/>
                                </a:ln>
                              </wps:spPr>
                              <wps:bodyPr/>
                            </wps:wsp>
                            <wps:wsp>
                              <wps:cNvPr id="105" name="自选图形 27"/>
                              <wps:cNvCnPr/>
                              <wps:spPr>
                                <a:xfrm flipV="1">
                                  <a:off x="19129" y="161593"/>
                                  <a:ext cx="1" cy="385"/>
                                </a:xfrm>
                                <a:prstGeom prst="straightConnector1">
                                  <a:avLst/>
                                </a:prstGeom>
                                <a:ln w="9525" cap="flat" cmpd="sng">
                                  <a:solidFill>
                                    <a:srgbClr val="000000"/>
                                  </a:solidFill>
                                  <a:prstDash val="dash"/>
                                  <a:headEnd type="none" w="med" len="med"/>
                                  <a:tailEnd type="none" w="med" len="med"/>
                                </a:ln>
                              </wps:spPr>
                              <wps:bodyPr/>
                            </wps:wsp>
                            <wps:wsp>
                              <wps:cNvPr id="106" name="自选图形 28"/>
                              <wps:cNvCnPr/>
                              <wps:spPr>
                                <a:xfrm flipH="1">
                                  <a:off x="19797" y="161404"/>
                                  <a:ext cx="980" cy="1"/>
                                </a:xfrm>
                                <a:prstGeom prst="straightConnector1">
                                  <a:avLst/>
                                </a:prstGeom>
                                <a:ln w="9525" cap="flat" cmpd="sng">
                                  <a:solidFill>
                                    <a:srgbClr val="000000"/>
                                  </a:solidFill>
                                  <a:prstDash val="solid"/>
                                  <a:headEnd type="triangle" w="med" len="med"/>
                                  <a:tailEnd type="none" w="med" len="med"/>
                                </a:ln>
                              </wps:spPr>
                              <wps:bodyPr/>
                            </wps:wsp>
                            <wps:wsp>
                              <wps:cNvPr id="107" name="矩形 22"/>
                              <wps:cNvSpPr/>
                              <wps:spPr>
                                <a:xfrm>
                                  <a:off x="20700" y="161710"/>
                                  <a:ext cx="577" cy="328"/>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0.85</w:t>
                                    </w:r>
                                  </w:p>
                                </w:txbxContent>
                              </wps:txbx>
                              <wps:bodyPr wrap="square" lIns="0" tIns="0" rIns="0" bIns="0" upright="1"/>
                            </wps:wsp>
                            <wps:wsp>
                              <wps:cNvPr id="108" name="矩形 29"/>
                              <wps:cNvSpPr/>
                              <wps:spPr>
                                <a:xfrm>
                                  <a:off x="20776" y="161116"/>
                                  <a:ext cx="514"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调试</w:t>
                                    </w:r>
                                  </w:p>
                                </w:txbxContent>
                              </wps:txbx>
                              <wps:bodyPr wrap="square" lIns="0" tIns="45720" rIns="0" bIns="45720" upright="1"/>
                            </wps:wsp>
                            <wps:wsp>
                              <wps:cNvPr id="109" name="矩形 30"/>
                              <wps:cNvSpPr/>
                              <wps:spPr>
                                <a:xfrm>
                                  <a:off x="19976" y="161181"/>
                                  <a:ext cx="538" cy="328"/>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2.25</w:t>
                                    </w:r>
                                  </w:p>
                                </w:txbxContent>
                              </wps:txbx>
                              <wps:bodyPr wrap="square" lIns="0" tIns="0" rIns="0" bIns="0" upright="1"/>
                            </wps:wsp>
                            <wps:wsp>
                              <wps:cNvPr id="110" name="自选图形 28"/>
                              <wps:cNvCnPr>
                                <a:endCxn id="49" idx="0"/>
                              </wps:cNvCnPr>
                              <wps:spPr>
                                <a:xfrm>
                                  <a:off x="20748" y="159774"/>
                                  <a:ext cx="11" cy="502"/>
                                </a:xfrm>
                                <a:prstGeom prst="straightConnector1">
                                  <a:avLst/>
                                </a:prstGeom>
                                <a:ln w="9525" cap="flat" cmpd="sng">
                                  <a:solidFill>
                                    <a:srgbClr val="000000"/>
                                  </a:solidFill>
                                  <a:prstDash val="solid"/>
                                  <a:headEnd type="triangle" w="med" len="med"/>
                                  <a:tailEnd type="none" w="med" len="med"/>
                                </a:ln>
                              </wps:spPr>
                              <wps:bodyPr/>
                            </wps:wsp>
                            <wps:wsp>
                              <wps:cNvPr id="111" name="自选图形 8"/>
                              <wps:cNvCnPr/>
                              <wps:spPr>
                                <a:xfrm flipV="1">
                                  <a:off x="18834" y="160036"/>
                                  <a:ext cx="507" cy="259"/>
                                </a:xfrm>
                                <a:prstGeom prst="curvedConnector3">
                                  <a:avLst>
                                    <a:gd name="adj1" fmla="val 45364"/>
                                  </a:avLst>
                                </a:prstGeom>
                                <a:ln w="9525" cap="flat" cmpd="sng">
                                  <a:solidFill>
                                    <a:srgbClr val="000000"/>
                                  </a:solidFill>
                                  <a:prstDash val="dash"/>
                                  <a:headEnd type="none" w="med" len="med"/>
                                  <a:tailEnd type="triangle" w="med" len="med"/>
                                </a:ln>
                              </wps:spPr>
                              <wps:bodyPr/>
                            </wps:wsp>
                            <wps:wsp>
                              <wps:cNvPr id="112" name="矩形 11"/>
                              <wps:cNvSpPr/>
                              <wps:spPr>
                                <a:xfrm>
                                  <a:off x="19377" y="159884"/>
                                  <a:ext cx="766" cy="328"/>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1.5</w:t>
                                    </w:r>
                                  </w:p>
                                </w:txbxContent>
                              </wps:txbx>
                              <wps:bodyPr wrap="square" lIns="0" tIns="0" rIns="0" bIns="0" upright="1"/>
                            </wps:wsp>
                            <wps:wsp>
                              <wps:cNvPr id="113" name="自选图形 28"/>
                              <wps:cNvCnPr/>
                              <wps:spPr>
                                <a:xfrm flipH="1">
                                  <a:off x="21287" y="161377"/>
                                  <a:ext cx="954" cy="3"/>
                                </a:xfrm>
                                <a:prstGeom prst="straightConnector1">
                                  <a:avLst/>
                                </a:prstGeom>
                                <a:ln w="9525" cap="flat" cmpd="sng">
                                  <a:solidFill>
                                    <a:srgbClr val="000000"/>
                                  </a:solidFill>
                                  <a:prstDash val="solid"/>
                                  <a:headEnd type="none" w="med" len="med"/>
                                  <a:tailEnd type="none" w="med" len="med"/>
                                </a:ln>
                              </wps:spPr>
                              <wps:bodyPr/>
                            </wps:wsp>
                            <wps:wsp>
                              <wps:cNvPr id="114" name="自选图形 28"/>
                              <wps:cNvCnPr/>
                              <wps:spPr>
                                <a:xfrm>
                                  <a:off x="22216" y="159761"/>
                                  <a:ext cx="20" cy="1611"/>
                                </a:xfrm>
                                <a:prstGeom prst="straightConnector1">
                                  <a:avLst/>
                                </a:prstGeom>
                                <a:ln w="9525" cap="flat" cmpd="sng">
                                  <a:solidFill>
                                    <a:srgbClr val="000000"/>
                                  </a:solidFill>
                                  <a:prstDash val="solid"/>
                                  <a:headEnd type="triangle" w="med" len="med"/>
                                  <a:tailEnd type="none" w="med" len="med"/>
                                </a:ln>
                              </wps:spPr>
                              <wps:bodyPr/>
                            </wps:wsp>
                            <wps:wsp>
                              <wps:cNvPr id="115" name="矩形 30"/>
                              <wps:cNvSpPr/>
                              <wps:spPr>
                                <a:xfrm>
                                  <a:off x="21556" y="161151"/>
                                  <a:ext cx="538" cy="328"/>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2.025</w:t>
                                    </w:r>
                                  </w:p>
                                </w:txbxContent>
                              </wps:txbx>
                              <wps:bodyPr wrap="square" lIns="0" tIns="0" rIns="0" bIns="0" upright="1"/>
                            </wps:wsp>
                            <wps:wsp>
                              <wps:cNvPr id="116" name="自选图形 8"/>
                              <wps:cNvCnPr/>
                              <wps:spPr>
                                <a:xfrm flipV="1">
                                  <a:off x="20996" y="160844"/>
                                  <a:ext cx="507" cy="259"/>
                                </a:xfrm>
                                <a:prstGeom prst="curvedConnector3">
                                  <a:avLst>
                                    <a:gd name="adj1" fmla="val 45364"/>
                                  </a:avLst>
                                </a:prstGeom>
                                <a:ln w="9525" cap="flat" cmpd="sng">
                                  <a:solidFill>
                                    <a:srgbClr val="000000"/>
                                  </a:solidFill>
                                  <a:prstDash val="dash"/>
                                  <a:headEnd type="none" w="med" len="med"/>
                                  <a:tailEnd type="triangle" w="med" len="med"/>
                                </a:ln>
                              </wps:spPr>
                              <wps:bodyPr/>
                            </wps:wsp>
                            <wps:wsp>
                              <wps:cNvPr id="117" name="矩形 11"/>
                              <wps:cNvSpPr/>
                              <wps:spPr>
                                <a:xfrm>
                                  <a:off x="21512" y="160703"/>
                                  <a:ext cx="626" cy="328"/>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0.225</w:t>
                                    </w:r>
                                  </w:p>
                                </w:txbxContent>
                              </wps:txbx>
                              <wps:bodyPr wrap="square" lIns="0" tIns="0" rIns="0" bIns="0" upright="1"/>
                            </wps:wsp>
                          </wpg:wgp>
                        </a:graphicData>
                      </a:graphic>
                    </wp:anchor>
                  </w:drawing>
                </mc:Choice>
                <mc:Fallback>
                  <w:pict>
                    <v:group id="_x0000_s1026" o:spid="_x0000_s1026" o:spt="203" style="position:absolute;left:0pt;margin-left:24.1pt;margin-top:4.6pt;height:162.75pt;width:337.35pt;z-index:251659264;mso-width-relative:page;mso-height-relative:page;" coordorigin="16456,158783" coordsize="6747,3255" o:gfxdata="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">
                      <o:lock v:ext="edit" aspectratio="f"/>
                      <v:shape id="自选图形 4" o:spid="_x0000_s1026" o:spt="34" type="#_x0000_t34" style="position:absolute;left:16812;top:160438;flip:y;height:9;width:1812;rotation:-5898240f;" filled="f" stroked="t" coordsize="21600,21600" o:gfxdata="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7sfe8AAAA&#10;2wAAAA8AAAAAAAAAAQAgAAAAIgAAAGRycy9kb3ducmV2LnhtbFBLAQIUABQAAAAIAIdO4kAzLwWe&#10;OwAAADkAAAAQAAAAAAAAAAEAIAAAAAsBAABkcnMvc2hhcGV4bWwueG1sUEsFBgAAAAAGAAYAWwEA&#10;ALUDAAAAAA==&#10;" adj="10806">
                        <v:fill on="f" focussize="0,0"/>
                        <v:stroke color="#000000" joinstyle="miter"/>
                        <v:imagedata o:title=""/>
                        <o:lock v:ext="edit" aspectratio="f"/>
                      </v:shape>
                      <v:rect id="矩形 5" o:spid="_x0000_s1026" o:spt="1" style="position:absolute;left:17943;top:159317;height:328;width:456;" fillcolor="#FFFFFF" filled="t" stroked="f" coordsize="21600,21600" o:gfxdata="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dWQrbsAAADb&#10;AAAADwAAAAAAAAABACAAAAAiAAAAZHJzL2Rvd25yZXYueG1sUEsBAhQAFAAAAAgAh07iQDMvBZ47&#10;AAAAOQAAABAAAAAAAAAAAQAgAAAACgEAAGRycy9zaGFwZXhtbC54bWxQSwUGAAAAAAYABgBbAQAA&#10;tAMAAAAA&#10;">
                        <v:fill on="t" opacity="0f" focussize="0,0"/>
                        <v:stroke on="f"/>
                        <v:imagedata o:title=""/>
                        <o:lock v:ext="edit" aspectratio="f"/>
                        <v:textbox inset="0mm,0mm,0mm,0mm">
                          <w:txbxContent>
                            <w:p>
                              <w:pPr>
                                <w:rPr>
                                  <w:rFonts w:hint="default" w:eastAsia="宋体"/>
                                  <w:lang w:val="en-US" w:eastAsia="zh-CN"/>
                                </w:rPr>
                              </w:pPr>
                              <w:r>
                                <w:rPr>
                                  <w:rFonts w:hint="eastAsia"/>
                                  <w:lang w:val="en-US" w:eastAsia="zh-CN"/>
                                </w:rPr>
                                <w:t>22</w:t>
                              </w:r>
                            </w:p>
                          </w:txbxContent>
                        </v:textbox>
                      </v:rect>
                      <v:rect id="矩形 6" o:spid="_x0000_s1026" o:spt="1" style="position:absolute;left:19675;top:159324;height:328;width:720;" fillcolor="#FFFFFF" filled="t" stroked="f" coordsize="21600,21600" o:gfxdata="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ZNTa8AAAA&#10;2wAAAA8AAAAAAAAAAQAgAAAAIgAAAGRycy9kb3ducmV2LnhtbFBLAQIUABQAAAAIAIdO4kAzLwWe&#10;OwAAADkAAAAQAAAAAAAAAAEAIAAAAAsBAABkcnMvc2hhcGV4bWwueG1sUEsFBgAAAAAGAAYAWwEA&#10;ALUDAAAAAA==&#10;">
                        <v:fill on="t" opacity="0f" focussize="0,0"/>
                        <v:stroke on="f"/>
                        <v:imagedata o:title=""/>
                        <o:lock v:ext="edit" aspectratio="f"/>
                        <v:textbox inset="0mm,0mm,0mm,0mm">
                          <w:txbxContent>
                            <w:p>
                              <w:pPr>
                                <w:rPr>
                                  <w:rFonts w:hint="default" w:eastAsia="宋体"/>
                                  <w:lang w:val="en-US" w:eastAsia="zh-CN"/>
                                </w:rPr>
                              </w:pPr>
                              <w:r>
                                <w:rPr>
                                  <w:rFonts w:hint="eastAsia"/>
                                  <w:lang w:val="en-US" w:eastAsia="zh-CN"/>
                                </w:rPr>
                                <w:t>10.2</w:t>
                              </w:r>
                            </w:p>
                          </w:txbxContent>
                        </v:textbox>
                      </v:rect>
                      <v:shape id="自选图形 8" o:spid="_x0000_s1026" o:spt="38" type="#_x0000_t38" style="position:absolute;left:18660;top:158927;flip:y;height:395;width:529;" filled="f" stroked="t" coordsize="21600,21600" o:gfxdata="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bnirsAAADb&#10;AAAADwAAAAAAAAABACAAAAAiAAAAZHJzL2Rvd25yZXYueG1sUEsBAhQAFAAAAAgAh07iQDMvBZ47&#10;AAAAOQAAABAAAAAAAAAAAQAgAAAACgEAAGRycy9zaGFwZXhtbC54bWxQSwUGAAAAAAYABgBbAQAA&#10;tAMAAAAA&#10;" adj="10821">
                        <v:fill on="f" focussize="0,0"/>
                        <v:stroke color="#000000" joinstyle="round" dashstyle="dash" endarrow="block"/>
                        <v:imagedata o:title=""/>
                        <o:lock v:ext="edit" aspectratio="f"/>
                      </v:shape>
                      <v:rect id="矩形 7" o:spid="_x0000_s1026" o:spt="1" style="position:absolute;left:16456;top:159592;height:462;width:1302;" fillcolor="#FFFFFF" filled="t" stroked="f" coordsize="21600,21600" o:gfxdata="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SgTfvQAA&#10;ANsAAAAPAAAAAAAAAAEAIAAAACIAAABkcnMvZG93bnJldi54bWxQSwECFAAUAAAACACHTuJAMy8F&#10;njsAAAA5AAAAEAAAAAAAAAABACAAAAAMAQAAZHJzL3NoYXBleG1sLnhtbFBLBQYAAAAABgAGAFsB&#10;AAC2AwAAAAA=&#10;">
                        <v:fill on="t" opacity="0f" focussize="0,0"/>
                        <v:stroke on="f"/>
                        <v:imagedata o:title=""/>
                        <o:lock v:ext="edit" aspectratio="f"/>
                        <v:textbox inset="0mm,0mm,0mm,0mm">
                          <w:txbxContent>
                            <w:p>
                              <w:pPr>
                                <w:rPr>
                                  <w:rFonts w:hint="default" w:eastAsia="宋体"/>
                                  <w:lang w:val="en-US" w:eastAsia="zh-CN"/>
                                </w:rPr>
                              </w:pPr>
                              <w:r>
                                <w:rPr>
                                  <w:rFonts w:hint="eastAsia"/>
                                </w:rPr>
                                <w:t>新鲜水</w:t>
                              </w:r>
                              <w:r>
                                <w:rPr>
                                  <w:rFonts w:hint="eastAsia"/>
                                  <w:lang w:val="en-US" w:eastAsia="zh-CN"/>
                                </w:rPr>
                                <w:t>35.1</w:t>
                              </w:r>
                            </w:p>
                          </w:txbxContent>
                        </v:textbox>
                      </v:rect>
                      <v:rect id="矩形 9" o:spid="_x0000_s1026" o:spt="1" style="position:absolute;left:18439;top:159327;height:462;width:1002;" fillcolor="#FFFFFF" filled="t" stroked="t" coordsize="21600,21600" o:gfxdata="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O06+b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0mm,1.27mm,0mm,1.27mm">
                          <w:txbxContent>
                            <w:p>
                              <w:r>
                                <w:rPr>
                                  <w:rFonts w:hint="eastAsia"/>
                                </w:rPr>
                                <w:t>员工生活</w:t>
                              </w:r>
                            </w:p>
                          </w:txbxContent>
                        </v:textbox>
                      </v:rect>
                      <v:rect id="矩形 10" o:spid="_x0000_s1026" o:spt="1" style="position:absolute;left:21673;top:159308;height:445;width:1531;" fillcolor="#FFFFFF" filled="t" stroked="t" coordsize="21600,21600" o:gfxdata="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GfY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1.27mm,0mm,1.27mm">
                          <w:txbxContent>
                            <w:p>
                              <w:r>
                                <w:t>园区污水处理厂</w:t>
                              </w:r>
                            </w:p>
                          </w:txbxContent>
                        </v:textbox>
                      </v:rect>
                      <v:shape id="自选图形 12" o:spid="_x0000_s1026" o:spt="32" type="#_x0000_t32" style="position:absolute;left:17719;top:159544;height:0;width:72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3" o:spid="_x0000_s1026" o:spt="32" type="#_x0000_t32" style="position:absolute;left:19441;top:159558;height:8;width:957;"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4" o:spid="_x0000_s1026" o:spt="32" type="#_x0000_t32" style="position:absolute;left:21118;top:159543;height:0;width:555;" filled="f" stroked="t" coordsize="21600,21600" o:gfxdata="UEsDBAoAAAAAAIdO4kAAAAAAAAAAAAAAAAAEAAAAZHJzL1BLAwQUAAAACACHTuJAKwKzmb4AAADb&#10;AAAADwAAAGRycy9kb3ducmV2LnhtbEWPW2sCMRSE3wv9D+EUfNOsWha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Kzm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11" o:spid="_x0000_s1026" o:spt="1" style="position:absolute;left:19159;top:158783;height:328;width:766;" fillcolor="#FFFFFF" filled="t" stroked="f" coordsize="21600,21600" o:gfxdata="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3pgHvQAA&#10;ANsAAAAPAAAAAAAAAAEAIAAAACIAAABkcnMvZG93bnJldi54bWxQSwECFAAUAAAACACHTuJAMy8F&#10;njsAAAA5AAAAEAAAAAAAAAABACAAAAAMAQAAZHJzL3NoYXBleG1sLnhtbFBLBQYAAAAABgAGAFsB&#10;AAC2AwAAAAA=&#10;">
                        <v:fill on="t" opacity="0f" focussize="0,0"/>
                        <v:stroke on="f"/>
                        <v:imagedata o:title=""/>
                        <o:lock v:ext="edit" aspectratio="f"/>
                        <v:textbox inset="0mm,0mm,0mm,0mm">
                          <w:txbxContent>
                            <w:p>
                              <w:pPr>
                                <w:rPr>
                                  <w:rFonts w:hint="default" w:eastAsia="宋体"/>
                                  <w:lang w:val="en-US" w:eastAsia="zh-CN"/>
                                </w:rPr>
                              </w:pPr>
                              <w:r>
                                <w:rPr>
                                  <w:rFonts w:hint="eastAsia"/>
                                  <w:lang w:val="en-US" w:eastAsia="zh-CN"/>
                                </w:rPr>
                                <w:t>1.8</w:t>
                              </w:r>
                            </w:p>
                          </w:txbxContent>
                        </v:textbox>
                      </v:rect>
                      <v:rect id="矩形 15" o:spid="_x0000_s1026" o:spt="1" style="position:absolute;left:20398;top:159327;height:462;width:720;" fillcolor="#FFFFFF" filled="t" stroked="t" coordsize="21600,21600" o:gfxdata="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gHF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1.27mm,0mm,1.27mm">
                          <w:txbxContent>
                            <w:p>
                              <w:r>
                                <w:rPr>
                                  <w:rFonts w:hint="eastAsia"/>
                                </w:rPr>
                                <w:t>化粪池</w:t>
                              </w:r>
                            </w:p>
                          </w:txbxContent>
                        </v:textbox>
                      </v:rect>
                      <v:rect id="矩形 16" o:spid="_x0000_s1026" o:spt="1" style="position:absolute;left:21148;top:159305;height:328;width:720;" fillcolor="#FFFFFF" filled="t" stroked="f" coordsize="21600,21600" o:gfxdata="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QKPrvQAA&#10;ANsAAAAPAAAAAAAAAAEAIAAAACIAAABkcnMvZG93bnJldi54bWxQSwECFAAUAAAACACHTuJAMy8F&#10;njsAAAA5AAAAEAAAAAAAAAABACAAAAAMAQAAZHJzL3NoYXBleG1sLnhtbFBLBQYAAAAABgAGAFsB&#10;AAC2AwAAAAA=&#10;">
                        <v:fill on="t" opacity="0f" focussize="0,0"/>
                        <v:stroke on="f"/>
                        <v:imagedata o:title=""/>
                        <o:lock v:ext="edit" aspectratio="f"/>
                        <v:textbox inset="0mm,0mm,0mm,0mm">
                          <w:txbxContent>
                            <w:p>
                              <w:pPr>
                                <w:rPr>
                                  <w:rFonts w:hint="default" w:eastAsia="宋体"/>
                                  <w:lang w:val="en-US" w:eastAsia="zh-CN"/>
                                </w:rPr>
                              </w:pPr>
                              <w:r>
                                <w:rPr>
                                  <w:rFonts w:hint="eastAsia"/>
                                  <w:lang w:val="en-US" w:eastAsia="zh-CN"/>
                                </w:rPr>
                                <w:t>18.7</w:t>
                              </w:r>
                            </w:p>
                          </w:txbxContent>
                        </v:textbox>
                      </v:rect>
                      <v:shape id="自选图形 23" o:spid="_x0000_s1026" o:spt="32" type="#_x0000_t32" style="position:absolute;left:16759;top:159889;flip:x;height:0;width:960;" filled="f" stroked="t" coordsize="21600,21600" o:gfxdata="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HZBi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rect id="矩形 20" o:spid="_x0000_s1026" o:spt="1" style="position:absolute;left:18473;top:160306;height:462;width:953;" fillcolor="#FFFFFF" filled="t" stroked="t" coordsize="21600,21600" o:gfxdata="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OtJh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0mm,1.27mm,0mm,1.27mm">
                          <w:txbxContent>
                            <w:p>
                              <w:r>
                                <w:rPr>
                                  <w:rFonts w:hint="eastAsia"/>
                                  <w:lang w:val="en-US" w:eastAsia="zh-CN"/>
                                </w:rPr>
                                <w:t>食堂用水</w:t>
                              </w:r>
                            </w:p>
                          </w:txbxContent>
                        </v:textbox>
                      </v:rect>
                      <v:rect id="矩形 21" o:spid="_x0000_s1026" o:spt="1" style="position:absolute;left:17958;top:160288;height:328;width:468;" fillcolor="#FFFFFF" filled="t" stroked="f" coordsize="21600,21600" o:gfxdata="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4+15vQAA&#10;ANsAAAAPAAAAAAAAAAEAIAAAACIAAABkcnMvZG93bnJldi54bWxQSwECFAAUAAAACACHTuJAMy8F&#10;njsAAAA5AAAAEAAAAAAAAAABACAAAAAMAQAAZHJzL3NoYXBleG1sLnhtbFBLBQYAAAAABgAGAFsB&#10;AAC2AwAAAAA=&#10;">
                        <v:fill on="t" opacity="0f" focussize="0,0"/>
                        <v:stroke on="f"/>
                        <v:imagedata o:title=""/>
                        <o:lock v:ext="edit" aspectratio="f"/>
                        <v:textbox inset="0mm,0mm,0mm,0mm">
                          <w:txbxContent>
                            <w:p>
                              <w:pPr>
                                <w:rPr>
                                  <w:rFonts w:hint="default" w:eastAsia="宋体"/>
                                  <w:lang w:val="en-US" w:eastAsia="zh-CN"/>
                                </w:rPr>
                              </w:pPr>
                              <w:r>
                                <w:rPr>
                                  <w:rFonts w:hint="eastAsia"/>
                                  <w:lang w:val="en-US" w:eastAsia="zh-CN"/>
                                </w:rPr>
                                <w:t>10</w:t>
                              </w:r>
                            </w:p>
                          </w:txbxContent>
                        </v:textbox>
                      </v:rect>
                      <v:shape id="自选图形 24" o:spid="_x0000_s1026" o:spt="32" type="#_x0000_t32" style="position:absolute;left:17719;top:160531;height:6;width:754;"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8" o:spid="_x0000_s1026" o:spt="32" type="#_x0000_t32" style="position:absolute;left:19440;top:160533;flip:x;height:2;width:885;" filled="f" stroked="t" coordsize="21600,21600" o:gfxdata="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9tTa/&#10;AAAA2wAAAA8AAAAAAAAAAQAgAAAAIgAAAGRycy9kb3ducmV2LnhtbFBLAQIUABQAAAAIAIdO4kAz&#10;LwWeOwAAADkAAAAQAAAAAAAAAAEAIAAAAA4BAABkcnMvc2hhcGV4bWwueG1sUEsFBgAAAAAGAAYA&#10;WwEAALgDAAAAAA==&#10;">
                        <v:fill on="f" focussize="0,0"/>
                        <v:stroke color="#000000" joinstyle="round" startarrow="block"/>
                        <v:imagedata o:title=""/>
                        <o:lock v:ext="edit" aspectratio="f"/>
                      </v:shape>
                      <v:rect id="矩形 29" o:spid="_x0000_s1026" o:spt="1" style="position:absolute;left:20354;top:160276;height:462;width:810;" fillcolor="#FFFFFF" filled="t" stroked="t" coordsize="21600,21600" o:gfxdata="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0eA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1.27mm,0mm,1.27mm">
                          <w:txbxContent>
                            <w:p>
                              <w:pPr>
                                <w:rPr>
                                  <w:rFonts w:hint="eastAsia" w:eastAsia="宋体"/>
                                  <w:lang w:val="en-US" w:eastAsia="zh-CN"/>
                                </w:rPr>
                              </w:pPr>
                              <w:r>
                                <w:rPr>
                                  <w:rFonts w:hint="eastAsia"/>
                                  <w:lang w:val="en-US" w:eastAsia="zh-CN"/>
                                </w:rPr>
                                <w:t>隔油池</w:t>
                              </w:r>
                            </w:p>
                          </w:txbxContent>
                        </v:textbox>
                      </v:rect>
                      <v:rect id="矩形 30" o:spid="_x0000_s1026" o:spt="1" style="position:absolute;left:19744;top:160295;height:343;width:409;" fillcolor="#FFFFFF" filled="t" stroked="f" coordsize="21600,21600" o:gfxdata="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dt4/ugAAANsA&#10;AAAPAAAAAAAAAAEAIAAAACIAAABkcnMvZG93bnJldi54bWxQSwECFAAUAAAACACHTuJAMy8FnjsA&#10;AAA5AAAAEAAAAAAAAAABACAAAAAJAQAAZHJzL3NoYXBleG1sLnhtbFBLBQYAAAAABgAGAFsBAACz&#10;AwAAAAA=&#10;">
                        <v:fill on="t" opacity="0f" focussize="0,0"/>
                        <v:stroke on="f"/>
                        <v:imagedata o:title=""/>
                        <o:lock v:ext="edit" aspectratio="f"/>
                        <v:textbox inset="0mm,0mm,0mm,0mm">
                          <w:txbxContent>
                            <w:p>
                              <w:pPr>
                                <w:rPr>
                                  <w:rFonts w:hint="default" w:eastAsia="宋体"/>
                                  <w:lang w:val="en-US" w:eastAsia="zh-CN"/>
                                </w:rPr>
                              </w:pPr>
                              <w:r>
                                <w:rPr>
                                  <w:rFonts w:hint="eastAsia"/>
                                  <w:lang w:val="en-US" w:eastAsia="zh-CN"/>
                                </w:rPr>
                                <w:t>8.5</w:t>
                              </w:r>
                            </w:p>
                          </w:txbxContent>
                        </v:textbox>
                      </v:rect>
                      <v:rect id="矩形 20" o:spid="_x0000_s1026" o:spt="1" style="position:absolute;left:18492;top:161116;height:462;width:1304;" fillcolor="#FFFFFF" filled="t" stroked="t" coordsize="21600,21600" o:gfxdata="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3q5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1.27mm,0mm,1.27mm">
                          <w:txbxContent>
                            <w:p>
                              <w:r>
                                <w:rPr>
                                  <w:rFonts w:hint="eastAsia"/>
                                  <w:lang w:val="en-US" w:eastAsia="zh-CN"/>
                                </w:rPr>
                                <w:t>纯水制备系统</w:t>
                              </w:r>
                            </w:p>
                          </w:txbxContent>
                        </v:textbox>
                      </v:rect>
                      <v:rect id="矩形 21" o:spid="_x0000_s1026" o:spt="1" style="position:absolute;left:17797;top:161098;height:328;width:683;" fillcolor="#FFFFFF" filled="t" stroked="f" coordsize="21600,21600" o:gfxdata="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ENU9ugAAANwA&#10;AAAPAAAAAAAAAAEAIAAAACIAAABkcnMvZG93bnJldi54bWxQSwECFAAUAAAACACHTuJAMy8FnjsA&#10;AAA5AAAAEAAAAAAAAAABACAAAAAJAQAAZHJzL3NoYXBleG1sLnhtbFBLBQYAAAAABgAGAFsBAACz&#10;AwAAAAA=&#10;">
                        <v:fill on="t" opacity="0f" focussize="0,0"/>
                        <v:stroke on="f"/>
                        <v:imagedata o:title=""/>
                        <o:lock v:ext="edit" aspectratio="f"/>
                        <v:textbox inset="0mm,0mm,0mm,0mm">
                          <w:txbxContent>
                            <w:p>
                              <w:pPr>
                                <w:rPr>
                                  <w:rFonts w:hint="default" w:eastAsia="宋体"/>
                                  <w:lang w:val="en-US" w:eastAsia="zh-CN"/>
                                </w:rPr>
                              </w:pPr>
                              <w:r>
                                <w:rPr>
                                  <w:rFonts w:hint="eastAsia"/>
                                  <w:lang w:val="en-US" w:eastAsia="zh-CN"/>
                                </w:rPr>
                                <w:t>3.1</w:t>
                              </w:r>
                            </w:p>
                          </w:txbxContent>
                        </v:textbox>
                      </v:rect>
                      <v:shape id="自选图形 24" o:spid="_x0000_s1026" o:spt="32" type="#_x0000_t32" style="position:absolute;left:17734;top:161341;height:6;width:758;" filled="f" stroked="t" coordsize="21600,21600" o:gfxdata="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i8u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5" o:spid="_x0000_s1026" o:spt="32" type="#_x0000_t32" style="position:absolute;left:19125;top:161933;flip:x;height:35;width:3666;" filled="f" stroked="t" coordsize="21600,21600" o:gfxdata="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z28O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shape>
                      <v:shape id="自选图形 26" o:spid="_x0000_s1026" o:spt="32" type="#_x0000_t32" style="position:absolute;left:22800;top:159776;flip:y;height:2144;width:8;" filled="f" stroked="t" coordsize="21600,21600" o:gfxdata="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lU+bLgAAADcAAAA&#10;DwAAAAAAAAABACAAAAAiAAAAZHJzL2Rvd25yZXYueG1sUEsBAhQAFAAAAAgAh07iQDMvBZ47AAAA&#10;OQAAABAAAAAAAAAAAQAgAAAABwEAAGRycy9zaGFwZXhtbC54bWxQSwUGAAAAAAYABgBbAQAAsQMA&#10;AAAA&#10;">
                        <v:fill on="f" focussize="0,0"/>
                        <v:stroke color="#000000" joinstyle="round" dashstyle="dash" endarrow="block"/>
                        <v:imagedata o:title=""/>
                        <o:lock v:ext="edit" aspectratio="f"/>
                      </v:shape>
                      <v:shape id="自选图形 27" o:spid="_x0000_s1026" o:spt="32" type="#_x0000_t32" style="position:absolute;left:19129;top:161593;flip:y;height:385;width:1;" filled="f" stroked="t" coordsize="21600,21600" o:gfxdata="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qUuG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shape>
                      <v:shape id="自选图形 28" o:spid="_x0000_s1026" o:spt="32" type="#_x0000_t32" style="position:absolute;left:19797;top:161404;flip:x;height:1;width:980;" filled="f" stroked="t" coordsize="21600,21600" o:gfxdata="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L1LTvQAA&#10;ANwAAAAPAAAAAAAAAAEAIAAAACIAAABkcnMvZG93bnJldi54bWxQSwECFAAUAAAACACHTuJAMy8F&#10;njsAAAA5AAAAEAAAAAAAAAABACAAAAAMAQAAZHJzL3NoYXBleG1sLnhtbFBLBQYAAAAABgAGAFsB&#10;AAC2AwAAAAA=&#10;">
                        <v:fill on="f" focussize="0,0"/>
                        <v:stroke color="#000000" joinstyle="round" startarrow="block"/>
                        <v:imagedata o:title=""/>
                        <o:lock v:ext="edit" aspectratio="f"/>
                      </v:shape>
                      <v:rect id="矩形 22" o:spid="_x0000_s1026" o:spt="1" style="position:absolute;left:20700;top:161710;height:328;width:577;" fillcolor="#FFFFFF" filled="t" stroked="f" coordsize="21600,21600" o:gfxdata="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Xo0rsAAADc&#10;AAAADwAAAAAAAAABACAAAAAiAAAAZHJzL2Rvd25yZXYueG1sUEsBAhQAFAAAAAgAh07iQDMvBZ47&#10;AAAAOQAAABAAAAAAAAAAAQAgAAAACgEAAGRycy9zaGFwZXhtbC54bWxQSwUGAAAAAAYABgBbAQAA&#10;tAMAAAAA&#10;">
                        <v:fill on="t" opacity="0f" focussize="0,0"/>
                        <v:stroke on="f"/>
                        <v:imagedata o:title=""/>
                        <o:lock v:ext="edit" aspectratio="f"/>
                        <v:textbox inset="0mm,0mm,0mm,0mm">
                          <w:txbxContent>
                            <w:p>
                              <w:pPr>
                                <w:rPr>
                                  <w:rFonts w:hint="default" w:eastAsia="宋体"/>
                                  <w:lang w:val="en-US" w:eastAsia="zh-CN"/>
                                </w:rPr>
                              </w:pPr>
                              <w:r>
                                <w:rPr>
                                  <w:rFonts w:hint="eastAsia"/>
                                  <w:lang w:val="en-US" w:eastAsia="zh-CN"/>
                                </w:rPr>
                                <w:t>0.85</w:t>
                              </w:r>
                            </w:p>
                          </w:txbxContent>
                        </v:textbox>
                      </v:rect>
                      <v:rect id="矩形 29" o:spid="_x0000_s1026" o:spt="1" style="position:absolute;left:20776;top:161116;height:462;width:514;" fillcolor="#FFFFFF" filled="t" stroked="t" coordsize="21600,21600" o:gfxdata="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qKJ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1.27mm,0mm,1.27mm">
                          <w:txbxContent>
                            <w:p>
                              <w:r>
                                <w:rPr>
                                  <w:rFonts w:hint="eastAsia"/>
                                  <w:lang w:val="en-US" w:eastAsia="zh-CN"/>
                                </w:rPr>
                                <w:t>调试</w:t>
                              </w:r>
                            </w:p>
                          </w:txbxContent>
                        </v:textbox>
                      </v:rect>
                      <v:rect id="矩形 30" o:spid="_x0000_s1026" o:spt="1" style="position:absolute;left:19976;top:161181;height:328;width:538;" fillcolor="#FFFFFF" filled="t" stroked="f" coordsize="21600,21600" o:gfxdata="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bZO7sAAADc&#10;AAAADwAAAAAAAAABACAAAAAiAAAAZHJzL2Rvd25yZXYueG1sUEsBAhQAFAAAAAgAh07iQDMvBZ47&#10;AAAAOQAAABAAAAAAAAAAAQAgAAAACgEAAGRycy9zaGFwZXhtbC54bWxQSwUGAAAAAAYABgBbAQAA&#10;tAMAAAAA&#10;">
                        <v:fill on="t" opacity="0f" focussize="0,0"/>
                        <v:stroke on="f"/>
                        <v:imagedata o:title=""/>
                        <o:lock v:ext="edit" aspectratio="f"/>
                        <v:textbox inset="0mm,0mm,0mm,0mm">
                          <w:txbxContent>
                            <w:p>
                              <w:pPr>
                                <w:rPr>
                                  <w:rFonts w:hint="default" w:eastAsia="宋体"/>
                                  <w:lang w:val="en-US" w:eastAsia="zh-CN"/>
                                </w:rPr>
                              </w:pPr>
                              <w:r>
                                <w:rPr>
                                  <w:rFonts w:hint="eastAsia"/>
                                  <w:lang w:val="en-US" w:eastAsia="zh-CN"/>
                                </w:rPr>
                                <w:t>2.25</w:t>
                              </w:r>
                            </w:p>
                          </w:txbxContent>
                        </v:textbox>
                      </v:rect>
                      <v:shape id="自选图形 28" o:spid="_x0000_s1026" o:spt="32" type="#_x0000_t32" style="position:absolute;left:20748;top:159774;height:502;width:11;" filled="f" stroked="t" coordsize="21600,21600" o:gfxdata="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s5ilvQAA&#10;ANwAAAAPAAAAAAAAAAEAIAAAACIAAABkcnMvZG93bnJldi54bWxQSwECFAAUAAAACACHTuJAMy8F&#10;njsAAAA5AAAAEAAAAAAAAAABACAAAAAMAQAAZHJzL3NoYXBleG1sLnhtbFBLBQYAAAAABgAGAFsB&#10;AAC2AwAAAAA=&#10;">
                        <v:fill on="f" focussize="0,0"/>
                        <v:stroke color="#000000" joinstyle="round" startarrow="block"/>
                        <v:imagedata o:title=""/>
                        <o:lock v:ext="edit" aspectratio="f"/>
                      </v:shape>
                      <v:shape id="自选图形 8" o:spid="_x0000_s1026" o:spt="38" type="#_x0000_t38" style="position:absolute;left:18834;top:160036;flip:y;height:259;width:507;" filled="f" stroked="t" coordsize="21600,21600" o:gfxdata="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Iiwq5AAAA3AAA&#10;AA8AAAAAAAAAAQAgAAAAIgAAAGRycy9kb3ducmV2LnhtbFBLAQIUABQAAAAIAIdO4kAzLwWeOwAA&#10;ADkAAAAQAAAAAAAAAAEAIAAAAAgBAABkcnMvc2hhcGV4bWwueG1sUEsFBgAAAAAGAAYAWwEAALID&#10;AAAAAA==&#10;" adj="9799">
                        <v:fill on="f" focussize="0,0"/>
                        <v:stroke color="#000000" joinstyle="round" dashstyle="dash" endarrow="block"/>
                        <v:imagedata o:title=""/>
                        <o:lock v:ext="edit" aspectratio="f"/>
                      </v:shape>
                      <v:rect id="矩形 11" o:spid="_x0000_s1026" o:spt="1" style="position:absolute;left:19377;top:159884;height:328;width:766;" fillcolor="#FFFFFF" filled="t" stroked="f" coordsize="21600,21600" o:gfxdata="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vdl7sAAADc&#10;AAAADwAAAAAAAAABACAAAAAiAAAAZHJzL2Rvd25yZXYueG1sUEsBAhQAFAAAAAgAh07iQDMvBZ47&#10;AAAAOQAAABAAAAAAAAAAAQAgAAAACgEAAGRycy9zaGFwZXhtbC54bWxQSwUGAAAAAAYABgBbAQAA&#10;tAMAAAAA&#10;">
                        <v:fill on="t" opacity="0f" focussize="0,0"/>
                        <v:stroke on="f"/>
                        <v:imagedata o:title=""/>
                        <o:lock v:ext="edit" aspectratio="f"/>
                        <v:textbox inset="0mm,0mm,0mm,0mm">
                          <w:txbxContent>
                            <w:p>
                              <w:pPr>
                                <w:rPr>
                                  <w:rFonts w:hint="default" w:eastAsia="宋体"/>
                                  <w:lang w:val="en-US" w:eastAsia="zh-CN"/>
                                </w:rPr>
                              </w:pPr>
                              <w:r>
                                <w:rPr>
                                  <w:rFonts w:hint="eastAsia"/>
                                  <w:lang w:val="en-US" w:eastAsia="zh-CN"/>
                                </w:rPr>
                                <w:t>1.5</w:t>
                              </w:r>
                            </w:p>
                          </w:txbxContent>
                        </v:textbox>
                      </v:rect>
                      <v:shape id="自选图形 28" o:spid="_x0000_s1026" o:spt="32" type="#_x0000_t32" style="position:absolute;left:21287;top:161377;flip:x;height:3;width:954;" filled="f" stroked="t" coordsize="21600,21600" o:gfxdata="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YGL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28" o:spid="_x0000_s1026" o:spt="32" type="#_x0000_t32" style="position:absolute;left:22216;top:159761;height:1611;width:20;" filled="f" stroked="t" coordsize="21600,21600" o:gfxdata="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iJ6mugAAANwA&#10;AAAPAAAAAAAAAAEAIAAAACIAAABkcnMvZG93bnJldi54bWxQSwECFAAUAAAACACHTuJAMy8FnjsA&#10;AAA5AAAAEAAAAAAAAAABACAAAAAJAQAAZHJzL3NoYXBleG1sLnhtbFBLBQYAAAAABgAGAFsBAACz&#10;AwAAAAA=&#10;">
                        <v:fill on="f" focussize="0,0"/>
                        <v:stroke color="#000000" joinstyle="round" startarrow="block"/>
                        <v:imagedata o:title=""/>
                        <o:lock v:ext="edit" aspectratio="f"/>
                      </v:shape>
                      <v:rect id="矩形 30" o:spid="_x0000_s1026" o:spt="1" style="position:absolute;left:21556;top:161151;height:328;width:538;" fillcolor="#FFFFFF" filled="t" stroked="f" coordsize="21600,21600" o:gfxdata="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JF47sAAADc&#10;AAAADwAAAAAAAAABACAAAAAiAAAAZHJzL2Rvd25yZXYueG1sUEsBAhQAFAAAAAgAh07iQDMvBZ47&#10;AAAAOQAAABAAAAAAAAAAAQAgAAAACgEAAGRycy9zaGFwZXhtbC54bWxQSwUGAAAAAAYABgBbAQAA&#10;tAMAAAAA&#10;">
                        <v:fill on="t" opacity="0f" focussize="0,0"/>
                        <v:stroke on="f"/>
                        <v:imagedata o:title=""/>
                        <o:lock v:ext="edit" aspectratio="f"/>
                        <v:textbox inset="0mm,0mm,0mm,0mm">
                          <w:txbxContent>
                            <w:p>
                              <w:pPr>
                                <w:rPr>
                                  <w:rFonts w:hint="default" w:eastAsia="宋体"/>
                                  <w:lang w:val="en-US" w:eastAsia="zh-CN"/>
                                </w:rPr>
                              </w:pPr>
                              <w:r>
                                <w:rPr>
                                  <w:rFonts w:hint="eastAsia"/>
                                  <w:lang w:val="en-US" w:eastAsia="zh-CN"/>
                                </w:rPr>
                                <w:t>2.025</w:t>
                              </w:r>
                            </w:p>
                          </w:txbxContent>
                        </v:textbox>
                      </v:rect>
                      <v:shape id="自选图形 8" o:spid="_x0000_s1026" o:spt="38" type="#_x0000_t38" style="position:absolute;left:20996;top:160844;flip:y;height:259;width:507;" filled="f" stroked="t" coordsize="21600,21600" o:gfxdata="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4RN+ugAAANwA&#10;AAAPAAAAAAAAAAEAIAAAACIAAABkcnMvZG93bnJldi54bWxQSwECFAAUAAAACACHTuJAMy8FnjsA&#10;AAA5AAAAEAAAAAAAAAABACAAAAAJAQAAZHJzL3NoYXBleG1sLnhtbFBLBQYAAAAABgAGAFsBAACz&#10;AwAAAAA=&#10;" adj="9799">
                        <v:fill on="f" focussize="0,0"/>
                        <v:stroke color="#000000" joinstyle="round" dashstyle="dash" endarrow="block"/>
                        <v:imagedata o:title=""/>
                        <o:lock v:ext="edit" aspectratio="f"/>
                      </v:shape>
                      <v:rect id="矩形 11" o:spid="_x0000_s1026" o:spt="1" style="position:absolute;left:21512;top:160703;height:328;width:626;" fillcolor="#FFFFFF" filled="t" stroked="f" coordsize="21600,21600" o:gfxdata="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2x+D7sAAADc&#10;AAAADwAAAAAAAAABACAAAAAiAAAAZHJzL2Rvd25yZXYueG1sUEsBAhQAFAAAAAgAh07iQDMvBZ47&#10;AAAAOQAAABAAAAAAAAAAAQAgAAAACgEAAGRycy9zaGFwZXhtbC54bWxQSwUGAAAAAAYABgBbAQAA&#10;tAMAAAAA&#10;">
                        <v:fill on="t" opacity="0f" focussize="0,0"/>
                        <v:stroke on="f"/>
                        <v:imagedata o:title=""/>
                        <o:lock v:ext="edit" aspectratio="f"/>
                        <v:textbox inset="0mm,0mm,0mm,0mm">
                          <w:txbxContent>
                            <w:p>
                              <w:pPr>
                                <w:rPr>
                                  <w:rFonts w:hint="default" w:eastAsia="宋体"/>
                                  <w:lang w:val="en-US" w:eastAsia="zh-CN"/>
                                </w:rPr>
                              </w:pPr>
                              <w:r>
                                <w:rPr>
                                  <w:rFonts w:hint="eastAsia"/>
                                  <w:lang w:val="en-US" w:eastAsia="zh-CN"/>
                                </w:rPr>
                                <w:t>0.225</w:t>
                              </w:r>
                            </w:p>
                          </w:txbxContent>
                        </v:textbox>
                      </v:rect>
                    </v:group>
                  </w:pict>
                </mc:Fallback>
              </mc:AlternateConten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2201"/>
              </w:tabs>
              <w:jc w:val="center"/>
              <w:rPr>
                <w:rFonts w:hAnsi="宋体"/>
                <w:b/>
                <w:color w:val="auto"/>
              </w:rPr>
            </w:pPr>
          </w:p>
          <w:p>
            <w:pPr>
              <w:tabs>
                <w:tab w:val="left" w:pos="2201"/>
              </w:tabs>
              <w:jc w:val="center"/>
              <w:rPr>
                <w:rFonts w:hAnsi="宋体"/>
                <w:b/>
                <w:color w:val="auto"/>
              </w:rPr>
            </w:pPr>
          </w:p>
          <w:p>
            <w:pPr>
              <w:tabs>
                <w:tab w:val="left" w:pos="2201"/>
              </w:tabs>
              <w:jc w:val="center"/>
              <w:rPr>
                <w:rFonts w:hAnsi="宋体"/>
                <w:b/>
                <w:color w:val="auto"/>
              </w:rPr>
            </w:pPr>
          </w:p>
          <w:p>
            <w:pPr>
              <w:tabs>
                <w:tab w:val="left" w:pos="2201"/>
              </w:tabs>
              <w:jc w:val="center"/>
              <w:rPr>
                <w:rFonts w:hAnsi="宋体"/>
                <w:b/>
                <w:color w:val="auto"/>
              </w:rPr>
            </w:pPr>
          </w:p>
          <w:p>
            <w:pPr>
              <w:tabs>
                <w:tab w:val="left" w:pos="2201"/>
              </w:tabs>
              <w:jc w:val="center"/>
              <w:rPr>
                <w:rFonts w:hAnsi="宋体"/>
                <w:b/>
                <w:color w:val="FF0000"/>
              </w:rPr>
            </w:pPr>
            <w:r>
              <w:rPr>
                <w:rFonts w:hAnsi="宋体"/>
                <w:b/>
                <w:color w:val="auto"/>
              </w:rPr>
              <w:t>图</w:t>
            </w:r>
            <w:r>
              <w:rPr>
                <w:b/>
                <w:color w:val="auto"/>
              </w:rPr>
              <w:t>2-</w:t>
            </w:r>
            <w:r>
              <w:rPr>
                <w:rFonts w:hint="eastAsia"/>
                <w:b/>
                <w:color w:val="auto"/>
                <w:lang w:val="en-US" w:eastAsia="zh-CN"/>
              </w:rPr>
              <w:t xml:space="preserve">1 </w:t>
            </w:r>
            <w:r>
              <w:rPr>
                <w:rFonts w:hint="eastAsia"/>
                <w:b/>
                <w:color w:val="auto"/>
              </w:rPr>
              <w:t xml:space="preserve"> </w:t>
            </w:r>
            <w:r>
              <w:rPr>
                <w:rFonts w:hAnsi="宋体"/>
                <w:b/>
                <w:color w:val="auto"/>
              </w:rPr>
              <w:t>本项目</w:t>
            </w:r>
            <w:r>
              <w:rPr>
                <w:rFonts w:hint="eastAsia" w:hAnsi="宋体"/>
                <w:b/>
                <w:color w:val="auto"/>
              </w:rPr>
              <w:t>建成后用水</w:t>
            </w:r>
            <w:r>
              <w:rPr>
                <w:rFonts w:hAnsi="宋体"/>
                <w:b/>
                <w:color w:val="auto"/>
              </w:rPr>
              <w:t>平衡图（单位：</w:t>
            </w:r>
            <w:r>
              <w:rPr>
                <w:b/>
                <w:color w:val="auto"/>
              </w:rPr>
              <w:t>t/d</w:t>
            </w:r>
            <w:r>
              <w:rPr>
                <w:rFonts w:hAnsi="宋体"/>
                <w:b/>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noWrap w:val="0"/>
            <w:vAlign w:val="center"/>
          </w:tcPr>
          <w:p>
            <w:pPr>
              <w:pStyle w:val="40"/>
              <w:adjustRightInd w:val="0"/>
              <w:snapToGrid w:val="0"/>
              <w:spacing w:before="0" w:beforeAutospacing="0" w:after="0" w:afterAutospacing="0"/>
              <w:jc w:val="center"/>
              <w:rPr>
                <w:rFonts w:ascii="Times New Roman" w:hAnsi="Times New Roman"/>
                <w:color w:val="FF0000"/>
                <w:sz w:val="21"/>
                <w:szCs w:val="21"/>
                <w:lang w:val="en-US" w:eastAsia="zh-CN"/>
              </w:rPr>
            </w:pPr>
            <w:r>
              <w:rPr>
                <w:rFonts w:ascii="Times New Roman" w:hAnsi="Times New Roman"/>
                <w:color w:val="auto"/>
                <w:sz w:val="21"/>
                <w:szCs w:val="21"/>
                <w:lang w:val="en-US" w:eastAsia="zh-CN"/>
              </w:rPr>
              <w:t>工艺流程和产排污环节</w:t>
            </w:r>
          </w:p>
        </w:tc>
        <w:tc>
          <w:tcPr>
            <w:tcW w:w="8588" w:type="dxa"/>
            <w:noWrap w:val="0"/>
            <w:vAlign w:val="top"/>
          </w:tcPr>
          <w:p>
            <w:pPr>
              <w:spacing w:line="360" w:lineRule="auto"/>
              <w:outlineLvl w:val="0"/>
              <w:rPr>
                <w:b/>
                <w:bCs/>
                <w:color w:val="auto"/>
                <w:sz w:val="28"/>
                <w:szCs w:val="28"/>
              </w:rPr>
            </w:pPr>
            <w:r>
              <w:rPr>
                <w:b/>
                <w:bCs/>
                <w:color w:val="auto"/>
                <w:sz w:val="28"/>
                <w:szCs w:val="28"/>
              </w:rPr>
              <w:t>营运期</w:t>
            </w:r>
          </w:p>
          <w:p>
            <w:pPr>
              <w:spacing w:line="400" w:lineRule="exact"/>
              <w:ind w:firstLine="420" w:firstLineChars="200"/>
              <w:rPr>
                <w:rFonts w:hint="eastAsia"/>
                <w:bCs/>
                <w:color w:val="auto"/>
                <w:sz w:val="24"/>
              </w:rPr>
            </w:pPr>
            <w:r>
              <w:rPr>
                <w:rFonts w:hint="eastAsia"/>
                <w:color w:val="auto"/>
                <w:szCs w:val="21"/>
              </w:rPr>
              <w:t>本项目主要是本项目</w:t>
            </w:r>
            <w:r>
              <w:rPr>
                <w:rFonts w:hint="eastAsia"/>
                <w:color w:val="auto"/>
                <w:szCs w:val="21"/>
                <w:lang w:val="en-US" w:eastAsia="zh-CN"/>
              </w:rPr>
              <w:t>外购钢材机加工、焊接成型，外购塑料板材雕刻、胶黏，与元器件及相关配件进行组装、调试，生产半导体清洗设备</w:t>
            </w:r>
            <w:r>
              <w:rPr>
                <w:rFonts w:hint="eastAsia"/>
                <w:bCs/>
                <w:color w:val="auto"/>
                <w:sz w:val="24"/>
              </w:rPr>
              <w:t>。</w:t>
            </w:r>
          </w:p>
          <w:p>
            <w:pPr>
              <w:spacing w:line="400" w:lineRule="exact"/>
              <w:ind w:firstLine="422" w:firstLineChars="200"/>
              <w:rPr>
                <w:rFonts w:hint="eastAsia"/>
                <w:b/>
                <w:color w:val="FF0000"/>
                <w:szCs w:val="21"/>
              </w:rPr>
            </w:pPr>
            <w:r>
              <w:rPr>
                <w:rFonts w:hint="eastAsia"/>
                <w:b/>
                <w:bCs w:val="0"/>
                <w:color w:val="auto"/>
                <w:szCs w:val="21"/>
              </w:rPr>
              <w:t>（1）</w:t>
            </w:r>
            <w:r>
              <w:rPr>
                <w:rFonts w:hint="eastAsia"/>
                <w:b/>
                <w:bCs w:val="0"/>
                <w:color w:val="auto"/>
                <w:szCs w:val="21"/>
                <w:lang w:val="en-US" w:eastAsia="zh-CN"/>
              </w:rPr>
              <w:t>半导体清洗设备</w:t>
            </w:r>
            <w:r>
              <w:rPr>
                <w:rFonts w:hint="eastAsia"/>
                <w:b/>
                <w:bCs w:val="0"/>
                <w:color w:val="auto"/>
                <w:szCs w:val="21"/>
              </w:rPr>
              <w:t>生产工艺流程</w:t>
            </w:r>
            <w:r>
              <w:rPr>
                <w:rFonts w:hint="eastAsia"/>
                <w:b/>
                <w:color w:val="auto"/>
                <w:szCs w:val="21"/>
              </w:rPr>
              <w:t>：</w:t>
            </w:r>
          </w:p>
          <w:p>
            <w:pPr>
              <w:jc w:val="center"/>
              <w:rPr>
                <w:b/>
                <w:color w:val="FF0000"/>
                <w:szCs w:val="21"/>
              </w:rPr>
            </w:pPr>
            <w:r>
              <w:rPr>
                <w:sz w:val="21"/>
              </w:rPr>
              <mc:AlternateContent>
                <mc:Choice Requires="wpg">
                  <w:drawing>
                    <wp:anchor distT="0" distB="0" distL="114300" distR="114300" simplePos="0" relativeHeight="251660288" behindDoc="0" locked="0" layoutInCell="1" allowOverlap="1">
                      <wp:simplePos x="0" y="0"/>
                      <wp:positionH relativeFrom="column">
                        <wp:posOffset>59055</wp:posOffset>
                      </wp:positionH>
                      <wp:positionV relativeFrom="paragraph">
                        <wp:posOffset>8255</wp:posOffset>
                      </wp:positionV>
                      <wp:extent cx="5243195" cy="3982085"/>
                      <wp:effectExtent l="5080" t="0" r="9525" b="19050"/>
                      <wp:wrapNone/>
                      <wp:docPr id="163" name="组合 163"/>
                      <wp:cNvGraphicFramePr/>
                      <a:graphic xmlns:a="http://schemas.openxmlformats.org/drawingml/2006/main">
                        <a:graphicData uri="http://schemas.microsoft.com/office/word/2010/wordprocessingGroup">
                          <wpg:wgp>
                            <wpg:cNvGrpSpPr/>
                            <wpg:grpSpPr>
                              <a:xfrm>
                                <a:off x="0" y="0"/>
                                <a:ext cx="5243195" cy="3982085"/>
                                <a:chOff x="2893" y="173680"/>
                                <a:chExt cx="8257" cy="6271"/>
                              </a:xfrm>
                            </wpg:grpSpPr>
                            <wps:wsp>
                              <wps:cNvPr id="57" name="矩形 622"/>
                              <wps:cNvSpPr/>
                              <wps:spPr>
                                <a:xfrm>
                                  <a:off x="9944" y="175006"/>
                                  <a:ext cx="1206" cy="47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rPr>
                                      <w:t>G</w:t>
                                    </w:r>
                                    <w:r>
                                      <w:rPr>
                                        <w:rFonts w:hint="eastAsia"/>
                                        <w:vertAlign w:val="subscript"/>
                                        <w:lang w:val="en-US" w:eastAsia="zh-CN"/>
                                      </w:rPr>
                                      <w:t>3</w:t>
                                    </w:r>
                                    <w:r>
                                      <w:rPr>
                                        <w:rFonts w:hint="eastAsia"/>
                                        <w:vertAlign w:val="baseline"/>
                                        <w:lang w:eastAsia="zh-CN"/>
                                      </w:rPr>
                                      <w:t>、</w:t>
                                    </w:r>
                                    <w:r>
                                      <w:rPr>
                                        <w:rFonts w:hint="eastAsia"/>
                                        <w:vertAlign w:val="baseline"/>
                                        <w:lang w:val="en-US" w:eastAsia="zh-CN"/>
                                      </w:rPr>
                                      <w:t>S</w:t>
                                    </w:r>
                                    <w:r>
                                      <w:rPr>
                                        <w:rFonts w:hint="eastAsia"/>
                                        <w:vertAlign w:val="subscript"/>
                                        <w:lang w:val="en-US" w:eastAsia="zh-CN"/>
                                      </w:rPr>
                                      <w:t>4、</w:t>
                                    </w:r>
                                    <w:r>
                                      <w:rPr>
                                        <w:rFonts w:hint="eastAsia"/>
                                        <w:vertAlign w:val="baseline"/>
                                        <w:lang w:val="en-US" w:eastAsia="zh-CN"/>
                                      </w:rPr>
                                      <w:t>N</w:t>
                                    </w:r>
                                    <w:r>
                                      <w:rPr>
                                        <w:rFonts w:hint="eastAsia"/>
                                        <w:vertAlign w:val="subscript"/>
                                        <w:lang w:val="en-US" w:eastAsia="zh-CN"/>
                                      </w:rPr>
                                      <w:t>4</w:t>
                                    </w:r>
                                  </w:p>
                                </w:txbxContent>
                              </wps:txbx>
                              <wps:bodyPr wrap="square" upright="1"/>
                            </wps:wsp>
                            <wps:wsp>
                              <wps:cNvPr id="142" name="矩形 630"/>
                              <wps:cNvSpPr/>
                              <wps:spPr>
                                <a:xfrm>
                                  <a:off x="3701" y="177683"/>
                                  <a:ext cx="6032" cy="438"/>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jc w:val="center"/>
                                      <w:textAlignment w:val="auto"/>
                                      <w:rPr>
                                        <w:rFonts w:hint="eastAsia" w:eastAsia="宋体"/>
                                        <w:lang w:val="en-US" w:eastAsia="zh-CN"/>
                                      </w:rPr>
                                    </w:pPr>
                                    <w:r>
                                      <w:rPr>
                                        <w:rFonts w:hint="eastAsia"/>
                                        <w:lang w:val="en-US" w:eastAsia="zh-CN"/>
                                      </w:rPr>
                                      <w:t>组装</w:t>
                                    </w:r>
                                  </w:p>
                                </w:txbxContent>
                              </wps:txbx>
                              <wps:bodyPr wrap="square" upright="1"/>
                            </wps:wsp>
                            <wps:wsp>
                              <wps:cNvPr id="54" name="自选图形 613"/>
                              <wps:cNvCnPr/>
                              <wps:spPr>
                                <a:xfrm>
                                  <a:off x="9091" y="175467"/>
                                  <a:ext cx="9" cy="483"/>
                                </a:xfrm>
                                <a:prstGeom prst="straightConnector1">
                                  <a:avLst/>
                                </a:prstGeom>
                                <a:ln w="9525" cap="flat" cmpd="sng">
                                  <a:solidFill>
                                    <a:srgbClr val="000000"/>
                                  </a:solidFill>
                                  <a:prstDash val="solid"/>
                                  <a:headEnd type="none" w="med" len="med"/>
                                  <a:tailEnd type="triangle" w="med" len="med"/>
                                </a:ln>
                              </wps:spPr>
                              <wps:bodyPr/>
                            </wps:wsp>
                            <wps:wsp>
                              <wps:cNvPr id="64" name="矩形 630"/>
                              <wps:cNvSpPr/>
                              <wps:spPr>
                                <a:xfrm>
                                  <a:off x="8690" y="175029"/>
                                  <a:ext cx="819" cy="438"/>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lang w:val="en-US" w:eastAsia="zh-CN"/>
                                      </w:rPr>
                                      <w:t>雕刻</w:t>
                                    </w:r>
                                  </w:p>
                                </w:txbxContent>
                              </wps:txbx>
                              <wps:bodyPr wrap="square" upright="1"/>
                            </wps:wsp>
                            <wps:wsp>
                              <wps:cNvPr id="65" name="自选图形 631"/>
                              <wps:cNvCnPr/>
                              <wps:spPr>
                                <a:xfrm>
                                  <a:off x="9092" y="174679"/>
                                  <a:ext cx="7" cy="356"/>
                                </a:xfrm>
                                <a:prstGeom prst="straightConnector1">
                                  <a:avLst/>
                                </a:prstGeom>
                                <a:ln w="9525" cap="flat" cmpd="sng">
                                  <a:solidFill>
                                    <a:srgbClr val="000000"/>
                                  </a:solidFill>
                                  <a:prstDash val="solid"/>
                                  <a:headEnd type="none" w="med" len="med"/>
                                  <a:tailEnd type="triangle" w="med" len="med"/>
                                </a:ln>
                              </wps:spPr>
                              <wps:bodyPr/>
                            </wps:wsp>
                            <wps:wsp>
                              <wps:cNvPr id="66" name="自选图形 632"/>
                              <wps:cNvCnPr/>
                              <wps:spPr>
                                <a:xfrm>
                                  <a:off x="9541" y="175246"/>
                                  <a:ext cx="379" cy="4"/>
                                </a:xfrm>
                                <a:prstGeom prst="straightConnector1">
                                  <a:avLst/>
                                </a:prstGeom>
                                <a:ln w="0" cap="flat" cmpd="sng">
                                  <a:solidFill>
                                    <a:srgbClr val="000000"/>
                                  </a:solidFill>
                                  <a:prstDash val="sysDot"/>
                                  <a:headEnd type="none" w="med" len="med"/>
                                  <a:tailEnd type="triangle" w="med" len="med"/>
                                </a:ln>
                              </wps:spPr>
                              <wps:bodyPr/>
                            </wps:wsp>
                            <wps:wsp>
                              <wps:cNvPr id="68" name="矩形 634"/>
                              <wps:cNvSpPr/>
                              <wps:spPr>
                                <a:xfrm>
                                  <a:off x="8526" y="174225"/>
                                  <a:ext cx="1146" cy="4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塑料板材</w:t>
                                    </w:r>
                                  </w:p>
                                </w:txbxContent>
                              </wps:txbx>
                              <wps:bodyPr wrap="square" upright="1"/>
                            </wps:wsp>
                            <wps:wsp>
                              <wps:cNvPr id="131" name="矩形 630"/>
                              <wps:cNvSpPr/>
                              <wps:spPr>
                                <a:xfrm>
                                  <a:off x="8472" y="175944"/>
                                  <a:ext cx="1209" cy="438"/>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热塑焊接</w:t>
                                    </w:r>
                                  </w:p>
                                </w:txbxContent>
                              </wps:txbx>
                              <wps:bodyPr wrap="square" upright="1"/>
                            </wps:wsp>
                            <wps:wsp>
                              <wps:cNvPr id="132" name="自选图形 632"/>
                              <wps:cNvCnPr/>
                              <wps:spPr>
                                <a:xfrm>
                                  <a:off x="9696" y="176161"/>
                                  <a:ext cx="595" cy="1"/>
                                </a:xfrm>
                                <a:prstGeom prst="straightConnector1">
                                  <a:avLst/>
                                </a:prstGeom>
                                <a:ln w="0" cap="flat" cmpd="sng">
                                  <a:solidFill>
                                    <a:srgbClr val="000000"/>
                                  </a:solidFill>
                                  <a:prstDash val="sysDot"/>
                                  <a:headEnd type="none" w="med" len="med"/>
                                  <a:tailEnd type="triangle" w="med" len="med"/>
                                </a:ln>
                              </wps:spPr>
                              <wps:bodyPr/>
                            </wps:wsp>
                            <wps:wsp>
                              <wps:cNvPr id="134" name="矩形 622"/>
                              <wps:cNvSpPr/>
                              <wps:spPr>
                                <a:xfrm>
                                  <a:off x="10271" y="175927"/>
                                  <a:ext cx="707" cy="50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lang w:val="en-US" w:eastAsia="zh-CN"/>
                                      </w:rPr>
                                    </w:pPr>
                                    <w:r>
                                      <w:rPr>
                                        <w:rFonts w:hint="eastAsia"/>
                                      </w:rPr>
                                      <w:t>G</w:t>
                                    </w:r>
                                    <w:r>
                                      <w:rPr>
                                        <w:rFonts w:hint="eastAsia"/>
                                        <w:vertAlign w:val="subscript"/>
                                        <w:lang w:val="en-US" w:eastAsia="zh-CN"/>
                                      </w:rPr>
                                      <w:t>4</w:t>
                                    </w:r>
                                  </w:p>
                                </w:txbxContent>
                              </wps:txbx>
                              <wps:bodyPr wrap="square" upright="1"/>
                            </wps:wsp>
                            <wps:wsp>
                              <wps:cNvPr id="139" name="自选图形 613"/>
                              <wps:cNvCnPr/>
                              <wps:spPr>
                                <a:xfrm flipH="1">
                                  <a:off x="9092" y="176392"/>
                                  <a:ext cx="5" cy="1286"/>
                                </a:xfrm>
                                <a:prstGeom prst="straightConnector1">
                                  <a:avLst/>
                                </a:prstGeom>
                                <a:ln w="9525" cap="flat" cmpd="sng">
                                  <a:solidFill>
                                    <a:srgbClr val="000000"/>
                                  </a:solidFill>
                                  <a:prstDash val="solid"/>
                                  <a:headEnd type="none" w="med" len="med"/>
                                  <a:tailEnd type="triangle" w="med" len="med"/>
                                </a:ln>
                              </wps:spPr>
                              <wps:bodyPr/>
                            </wps:wsp>
                            <wps:wsp>
                              <wps:cNvPr id="143" name="自选图形 613"/>
                              <wps:cNvCnPr/>
                              <wps:spPr>
                                <a:xfrm>
                                  <a:off x="7901" y="176165"/>
                                  <a:ext cx="567" cy="0"/>
                                </a:xfrm>
                                <a:prstGeom prst="straightConnector1">
                                  <a:avLst/>
                                </a:prstGeom>
                                <a:ln w="9525" cap="flat" cmpd="sng">
                                  <a:solidFill>
                                    <a:srgbClr val="000000"/>
                                  </a:solidFill>
                                  <a:prstDash val="solid"/>
                                  <a:headEnd type="none" w="med" len="med"/>
                                  <a:tailEnd type="triangle" w="med" len="med"/>
                                </a:ln>
                              </wps:spPr>
                              <wps:bodyPr/>
                            </wps:wsp>
                            <wps:wsp>
                              <wps:cNvPr id="144" name="矩形 622"/>
                              <wps:cNvSpPr/>
                              <wps:spPr>
                                <a:xfrm>
                                  <a:off x="6954" y="175923"/>
                                  <a:ext cx="990" cy="50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PP胶带</w:t>
                                    </w:r>
                                  </w:p>
                                </w:txbxContent>
                              </wps:txbx>
                              <wps:bodyPr wrap="square" upright="1"/>
                            </wps:wsp>
                            <wps:wsp>
                              <wps:cNvPr id="59" name="矩形 625"/>
                              <wps:cNvSpPr/>
                              <wps:spPr>
                                <a:xfrm>
                                  <a:off x="4752" y="173680"/>
                                  <a:ext cx="1420" cy="422"/>
                                </a:xfrm>
                                <a:prstGeom prst="rect">
                                  <a:avLst/>
                                </a:prstGeom>
                                <a:noFill/>
                                <a:ln>
                                  <a:noFill/>
                                </a:ln>
                              </wps:spPr>
                              <wps:txbx>
                                <w:txbxContent>
                                  <w:p>
                                    <w:pPr>
                                      <w:jc w:val="center"/>
                                      <w:rPr>
                                        <w:rFonts w:hint="default" w:eastAsia="宋体"/>
                                        <w:lang w:val="en-US" w:eastAsia="zh-CN"/>
                                      </w:rPr>
                                    </w:pPr>
                                    <w:r>
                                      <w:rPr>
                                        <w:rFonts w:hint="eastAsia"/>
                                        <w:lang w:val="en-US" w:eastAsia="zh-CN"/>
                                      </w:rPr>
                                      <w:t>钢材</w:t>
                                    </w:r>
                                  </w:p>
                                </w:txbxContent>
                              </wps:txbx>
                              <wps:bodyPr wrap="square" upright="1"/>
                            </wps:wsp>
                            <wps:wsp>
                              <wps:cNvPr id="63" name="矩形 629"/>
                              <wps:cNvSpPr/>
                              <wps:spPr>
                                <a:xfrm>
                                  <a:off x="5330" y="176277"/>
                                  <a:ext cx="836" cy="414"/>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hint="default" w:eastAsia="宋体"/>
                                        <w:vertAlign w:val="baseline"/>
                                        <w:lang w:val="en-US" w:eastAsia="zh-CN"/>
                                      </w:rPr>
                                    </w:pPr>
                                    <w:r>
                                      <w:rPr>
                                        <w:rFonts w:hint="eastAsia"/>
                                      </w:rPr>
                                      <w:t>G</w:t>
                                    </w:r>
                                    <w:r>
                                      <w:rPr>
                                        <w:rFonts w:hint="eastAsia"/>
                                        <w:vertAlign w:val="subscript"/>
                                        <w:lang w:val="en-US" w:eastAsia="zh-CN"/>
                                      </w:rPr>
                                      <w:t>2</w:t>
                                    </w:r>
                                    <w:r>
                                      <w:rPr>
                                        <w:rFonts w:hint="eastAsia"/>
                                        <w:vertAlign w:val="subscript"/>
                                        <w:lang w:eastAsia="zh-CN"/>
                                      </w:rPr>
                                      <w:t>、</w:t>
                                    </w:r>
                                    <w:r>
                                      <w:rPr>
                                        <w:rFonts w:hint="eastAsia"/>
                                        <w:vertAlign w:val="baseline"/>
                                        <w:lang w:val="en-US" w:eastAsia="zh-CN"/>
                                      </w:rPr>
                                      <w:t>N</w:t>
                                    </w:r>
                                    <w:r>
                                      <w:rPr>
                                        <w:rFonts w:hint="eastAsia"/>
                                        <w:vertAlign w:val="subscript"/>
                                        <w:lang w:val="en-US" w:eastAsia="zh-CN"/>
                                      </w:rPr>
                                      <w:t>3</w:t>
                                    </w:r>
                                  </w:p>
                                </w:txbxContent>
                              </wps:txbx>
                              <wps:bodyPr wrap="square" upright="1"/>
                            </wps:wsp>
                            <wps:wsp>
                              <wps:cNvPr id="119" name="自选图形 609"/>
                              <wps:cNvCnPr/>
                              <wps:spPr>
                                <a:xfrm>
                                  <a:off x="5462" y="174071"/>
                                  <a:ext cx="0" cy="440"/>
                                </a:xfrm>
                                <a:prstGeom prst="straightConnector1">
                                  <a:avLst/>
                                </a:prstGeom>
                                <a:ln w="9525" cap="flat" cmpd="sng">
                                  <a:solidFill>
                                    <a:srgbClr val="000000"/>
                                  </a:solidFill>
                                  <a:prstDash val="solid"/>
                                  <a:headEnd type="none" w="med" len="med"/>
                                  <a:tailEnd type="triangle" w="med" len="med"/>
                                </a:ln>
                              </wps:spPr>
                              <wps:bodyPr/>
                            </wps:wsp>
                            <wps:wsp>
                              <wps:cNvPr id="120" name="矩形 630"/>
                              <wps:cNvSpPr/>
                              <wps:spPr>
                                <a:xfrm>
                                  <a:off x="5062" y="174504"/>
                                  <a:ext cx="864" cy="438"/>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下料</w:t>
                                    </w:r>
                                  </w:p>
                                </w:txbxContent>
                              </wps:txbx>
                              <wps:bodyPr wrap="square" upright="1"/>
                            </wps:wsp>
                            <wps:wsp>
                              <wps:cNvPr id="121" name="自选图形 609"/>
                              <wps:cNvCnPr/>
                              <wps:spPr>
                                <a:xfrm>
                                  <a:off x="5477" y="174956"/>
                                  <a:ext cx="0" cy="440"/>
                                </a:xfrm>
                                <a:prstGeom prst="straightConnector1">
                                  <a:avLst/>
                                </a:prstGeom>
                                <a:ln w="9525" cap="flat" cmpd="sng">
                                  <a:solidFill>
                                    <a:srgbClr val="000000"/>
                                  </a:solidFill>
                                  <a:prstDash val="solid"/>
                                  <a:headEnd type="none" w="med" len="med"/>
                                  <a:tailEnd type="triangle" w="med" len="med"/>
                                </a:ln>
                              </wps:spPr>
                              <wps:bodyPr/>
                            </wps:wsp>
                            <wps:wsp>
                              <wps:cNvPr id="122" name="矩形 630"/>
                              <wps:cNvSpPr/>
                              <wps:spPr>
                                <a:xfrm>
                                  <a:off x="5002" y="175389"/>
                                  <a:ext cx="970" cy="438"/>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机加工</w:t>
                                    </w:r>
                                  </w:p>
                                </w:txbxContent>
                              </wps:txbx>
                              <wps:bodyPr wrap="square" upright="1"/>
                            </wps:wsp>
                            <wps:wsp>
                              <wps:cNvPr id="123" name="自选图形 609"/>
                              <wps:cNvCnPr>
                                <a:stCxn id="122" idx="2"/>
                              </wps:cNvCnPr>
                              <wps:spPr>
                                <a:xfrm>
                                  <a:off x="5487" y="175827"/>
                                  <a:ext cx="1" cy="355"/>
                                </a:xfrm>
                                <a:prstGeom prst="straightConnector1">
                                  <a:avLst/>
                                </a:prstGeom>
                                <a:ln w="9525" cap="flat" cmpd="sng">
                                  <a:solidFill>
                                    <a:srgbClr val="000000"/>
                                  </a:solidFill>
                                  <a:prstDash val="solid"/>
                                  <a:headEnd type="none" w="med" len="med"/>
                                  <a:tailEnd type="triangle" w="med" len="med"/>
                                </a:ln>
                              </wps:spPr>
                              <wps:bodyPr/>
                            </wps:wsp>
                            <wps:wsp>
                              <wps:cNvPr id="124" name="矩形 630"/>
                              <wps:cNvSpPr/>
                              <wps:spPr>
                                <a:xfrm>
                                  <a:off x="4282" y="176533"/>
                                  <a:ext cx="769" cy="438"/>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焊接</w:t>
                                    </w:r>
                                  </w:p>
                                </w:txbxContent>
                              </wps:txbx>
                              <wps:bodyPr wrap="square" upright="1"/>
                            </wps:wsp>
                            <wps:wsp>
                              <wps:cNvPr id="125" name="自选图形 613"/>
                              <wps:cNvCnPr/>
                              <wps:spPr>
                                <a:xfrm flipH="1">
                                  <a:off x="4664" y="176189"/>
                                  <a:ext cx="7" cy="337"/>
                                </a:xfrm>
                                <a:prstGeom prst="straightConnector1">
                                  <a:avLst/>
                                </a:prstGeom>
                                <a:ln w="9525" cap="flat" cmpd="sng">
                                  <a:solidFill>
                                    <a:srgbClr val="000000"/>
                                  </a:solidFill>
                                  <a:prstDash val="solid"/>
                                  <a:headEnd type="none" w="med" len="med"/>
                                  <a:tailEnd type="triangle" w="med" len="med"/>
                                </a:ln>
                              </wps:spPr>
                              <wps:bodyPr/>
                            </wps:wsp>
                            <wps:wsp>
                              <wps:cNvPr id="126" name="自选图形 613"/>
                              <wps:cNvCnPr/>
                              <wps:spPr>
                                <a:xfrm flipH="1">
                                  <a:off x="6255" y="176185"/>
                                  <a:ext cx="4" cy="1486"/>
                                </a:xfrm>
                                <a:prstGeom prst="straightConnector1">
                                  <a:avLst/>
                                </a:prstGeom>
                                <a:ln w="9525" cap="flat" cmpd="sng">
                                  <a:solidFill>
                                    <a:srgbClr val="000000"/>
                                  </a:solidFill>
                                  <a:prstDash val="solid"/>
                                  <a:headEnd type="none" w="med" len="med"/>
                                  <a:tailEnd type="triangle" w="med" len="med"/>
                                </a:ln>
                              </wps:spPr>
                              <wps:bodyPr/>
                            </wps:wsp>
                            <wps:wsp>
                              <wps:cNvPr id="127" name="直接连接符 127"/>
                              <wps:cNvCnPr/>
                              <wps:spPr>
                                <a:xfrm flipV="1">
                                  <a:off x="4664" y="176186"/>
                                  <a:ext cx="1606" cy="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28" name="自选图形 624"/>
                              <wps:cNvCnPr/>
                              <wps:spPr>
                                <a:xfrm flipV="1">
                                  <a:off x="5049" y="176499"/>
                                  <a:ext cx="410" cy="200"/>
                                </a:xfrm>
                                <a:prstGeom prst="straightConnector1">
                                  <a:avLst/>
                                </a:prstGeom>
                                <a:ln w="0" cap="flat" cmpd="sng">
                                  <a:solidFill>
                                    <a:srgbClr val="000000"/>
                                  </a:solidFill>
                                  <a:prstDash val="sysDot"/>
                                  <a:headEnd type="none" w="med" len="med"/>
                                  <a:tailEnd type="triangle" w="med" len="med"/>
                                </a:ln>
                              </wps:spPr>
                              <wps:bodyPr/>
                            </wps:wsp>
                            <wps:wsp>
                              <wps:cNvPr id="129" name="自选图形 619"/>
                              <wps:cNvCnPr/>
                              <wps:spPr>
                                <a:xfrm>
                                  <a:off x="5942" y="174717"/>
                                  <a:ext cx="595" cy="1"/>
                                </a:xfrm>
                                <a:prstGeom prst="straightConnector1">
                                  <a:avLst/>
                                </a:prstGeom>
                                <a:ln w="0" cap="flat" cmpd="sng">
                                  <a:solidFill>
                                    <a:srgbClr val="000000"/>
                                  </a:solidFill>
                                  <a:prstDash val="sysDot"/>
                                  <a:headEnd type="none" w="med" len="med"/>
                                  <a:tailEnd type="triangle" w="med" len="med"/>
                                </a:ln>
                              </wps:spPr>
                              <wps:bodyPr/>
                            </wps:wsp>
                            <wps:wsp>
                              <wps:cNvPr id="135" name="矩形 622"/>
                              <wps:cNvSpPr/>
                              <wps:spPr>
                                <a:xfrm>
                                  <a:off x="6567" y="174514"/>
                                  <a:ext cx="1473" cy="573"/>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S</w:t>
                                    </w:r>
                                    <w:r>
                                      <w:rPr>
                                        <w:rFonts w:hint="eastAsia"/>
                                        <w:vertAlign w:val="subscript"/>
                                        <w:lang w:val="en-US" w:eastAsia="zh-CN"/>
                                      </w:rPr>
                                      <w:t>1、</w:t>
                                    </w:r>
                                    <w:r>
                                      <w:rPr>
                                        <w:rFonts w:hint="eastAsia"/>
                                        <w:vertAlign w:val="baseline"/>
                                        <w:lang w:val="en-US" w:eastAsia="zh-CN"/>
                                      </w:rPr>
                                      <w:t>N</w:t>
                                    </w:r>
                                    <w:r>
                                      <w:rPr>
                                        <w:rFonts w:hint="eastAsia"/>
                                        <w:vertAlign w:val="subscript"/>
                                        <w:lang w:val="en-US" w:eastAsia="zh-CN"/>
                                      </w:rPr>
                                      <w:t>1、</w:t>
                                    </w:r>
                                    <w:r>
                                      <w:rPr>
                                        <w:rFonts w:hint="eastAsia"/>
                                        <w:vertAlign w:val="baseline"/>
                                        <w:lang w:val="en-US" w:eastAsia="zh-CN"/>
                                      </w:rPr>
                                      <w:t>G</w:t>
                                    </w:r>
                                    <w:r>
                                      <w:rPr>
                                        <w:rFonts w:hint="eastAsia"/>
                                        <w:vertAlign w:val="subscript"/>
                                        <w:lang w:val="en-US" w:eastAsia="zh-CN"/>
                                      </w:rPr>
                                      <w:t>1</w:t>
                                    </w:r>
                                  </w:p>
                                </w:txbxContent>
                              </wps:txbx>
                              <wps:bodyPr wrap="square" upright="1"/>
                            </wps:wsp>
                            <wps:wsp>
                              <wps:cNvPr id="136" name="自选图形 619"/>
                              <wps:cNvCnPr/>
                              <wps:spPr>
                                <a:xfrm>
                                  <a:off x="6002" y="175617"/>
                                  <a:ext cx="595" cy="1"/>
                                </a:xfrm>
                                <a:prstGeom prst="straightConnector1">
                                  <a:avLst/>
                                </a:prstGeom>
                                <a:ln w="0" cap="flat" cmpd="sng">
                                  <a:solidFill>
                                    <a:srgbClr val="000000"/>
                                  </a:solidFill>
                                  <a:prstDash val="sysDot"/>
                                  <a:headEnd type="none" w="med" len="med"/>
                                  <a:tailEnd type="triangle" w="med" len="med"/>
                                </a:ln>
                              </wps:spPr>
                              <wps:bodyPr/>
                            </wps:wsp>
                            <wps:wsp>
                              <wps:cNvPr id="137" name="矩形 622"/>
                              <wps:cNvSpPr/>
                              <wps:spPr>
                                <a:xfrm>
                                  <a:off x="6597" y="175399"/>
                                  <a:ext cx="1183" cy="4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vertAlign w:val="baseline"/>
                                        <w:lang w:val="en-US" w:eastAsia="zh-CN"/>
                                      </w:rPr>
                                    </w:pPr>
                                    <w:r>
                                      <w:rPr>
                                        <w:rFonts w:hint="eastAsia"/>
                                        <w:lang w:val="en-US" w:eastAsia="zh-CN"/>
                                      </w:rPr>
                                      <w:t>S</w:t>
                                    </w:r>
                                    <w:r>
                                      <w:rPr>
                                        <w:rFonts w:hint="eastAsia"/>
                                        <w:vertAlign w:val="subscript"/>
                                      </w:rPr>
                                      <w:t>2</w:t>
                                    </w:r>
                                    <w:r>
                                      <w:rPr>
                                        <w:rFonts w:hint="eastAsia"/>
                                        <w:vertAlign w:val="subscript"/>
                                        <w:lang w:eastAsia="zh-CN"/>
                                      </w:rPr>
                                      <w:t>、</w:t>
                                    </w:r>
                                    <w:r>
                                      <w:rPr>
                                        <w:rFonts w:hint="eastAsia"/>
                                        <w:vertAlign w:val="baseline"/>
                                        <w:lang w:val="en-US" w:eastAsia="zh-CN"/>
                                      </w:rPr>
                                      <w:t>S</w:t>
                                    </w:r>
                                    <w:r>
                                      <w:rPr>
                                        <w:rFonts w:hint="eastAsia"/>
                                        <w:vertAlign w:val="subscript"/>
                                        <w:lang w:val="en-US" w:eastAsia="zh-CN"/>
                                      </w:rPr>
                                      <w:t>3、</w:t>
                                    </w:r>
                                    <w:r>
                                      <w:rPr>
                                        <w:rFonts w:hint="eastAsia"/>
                                        <w:vertAlign w:val="baseline"/>
                                        <w:lang w:val="en-US" w:eastAsia="zh-CN"/>
                                      </w:rPr>
                                      <w:t>N</w:t>
                                    </w:r>
                                    <w:r>
                                      <w:rPr>
                                        <w:rFonts w:hint="eastAsia"/>
                                        <w:vertAlign w:val="subscript"/>
                                        <w:lang w:val="en-US" w:eastAsia="zh-CN"/>
                                      </w:rPr>
                                      <w:t>2</w:t>
                                    </w:r>
                                  </w:p>
                                </w:txbxContent>
                              </wps:txbx>
                              <wps:bodyPr wrap="square" upright="1"/>
                            </wps:wsp>
                            <wps:wsp>
                              <wps:cNvPr id="141" name="自选图形 613"/>
                              <wps:cNvCnPr/>
                              <wps:spPr>
                                <a:xfrm flipH="1">
                                  <a:off x="4667" y="176959"/>
                                  <a:ext cx="4" cy="718"/>
                                </a:xfrm>
                                <a:prstGeom prst="straightConnector1">
                                  <a:avLst/>
                                </a:prstGeom>
                                <a:ln w="9525" cap="flat" cmpd="sng">
                                  <a:solidFill>
                                    <a:srgbClr val="000000"/>
                                  </a:solidFill>
                                  <a:prstDash val="solid"/>
                                  <a:headEnd type="none" w="med" len="med"/>
                                  <a:tailEnd type="triangle" w="med" len="med"/>
                                </a:ln>
                              </wps:spPr>
                              <wps:bodyPr/>
                            </wps:wsp>
                            <wps:wsp>
                              <wps:cNvPr id="147" name="矩形 622"/>
                              <wps:cNvSpPr/>
                              <wps:spPr>
                                <a:xfrm>
                                  <a:off x="2893" y="176322"/>
                                  <a:ext cx="1196" cy="93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PP管道、元器件、五金件</w:t>
                                    </w:r>
                                  </w:p>
                                </w:txbxContent>
                              </wps:txbx>
                              <wps:bodyPr wrap="square" upright="1"/>
                            </wps:wsp>
                            <wps:wsp>
                              <wps:cNvPr id="148" name="直接连接符 148"/>
                              <wps:cNvCnPr/>
                              <wps:spPr>
                                <a:xfrm flipH="1">
                                  <a:off x="3334" y="177205"/>
                                  <a:ext cx="1" cy="709"/>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149" name="直接箭头连接符 149"/>
                              <wps:cNvCnPr/>
                              <wps:spPr>
                                <a:xfrm>
                                  <a:off x="3341" y="177903"/>
                                  <a:ext cx="366" cy="5"/>
                                </a:xfrm>
                                <a:prstGeom prst="straightConnector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50" name="自选图形 613"/>
                              <wps:cNvCnPr/>
                              <wps:spPr>
                                <a:xfrm>
                                  <a:off x="6782" y="178136"/>
                                  <a:ext cx="9" cy="483"/>
                                </a:xfrm>
                                <a:prstGeom prst="straightConnector1">
                                  <a:avLst/>
                                </a:prstGeom>
                                <a:ln w="9525" cap="flat" cmpd="sng">
                                  <a:solidFill>
                                    <a:srgbClr val="000000"/>
                                  </a:solidFill>
                                  <a:prstDash val="solid"/>
                                  <a:headEnd type="none" w="med" len="med"/>
                                  <a:tailEnd type="triangle" w="med" len="med"/>
                                </a:ln>
                              </wps:spPr>
                              <wps:bodyPr/>
                            </wps:wsp>
                            <wps:wsp>
                              <wps:cNvPr id="151" name="矩形 630"/>
                              <wps:cNvSpPr/>
                              <wps:spPr>
                                <a:xfrm>
                                  <a:off x="6188" y="178620"/>
                                  <a:ext cx="1209" cy="438"/>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调试</w:t>
                                    </w:r>
                                  </w:p>
                                </w:txbxContent>
                              </wps:txbx>
                              <wps:bodyPr wrap="square" upright="1"/>
                            </wps:wsp>
                            <wps:wsp>
                              <wps:cNvPr id="152" name="自选图形 613"/>
                              <wps:cNvCnPr/>
                              <wps:spPr>
                                <a:xfrm>
                                  <a:off x="6802" y="179057"/>
                                  <a:ext cx="4" cy="461"/>
                                </a:xfrm>
                                <a:prstGeom prst="straightConnector1">
                                  <a:avLst/>
                                </a:prstGeom>
                                <a:ln w="9525" cap="flat" cmpd="sng">
                                  <a:solidFill>
                                    <a:srgbClr val="000000"/>
                                  </a:solidFill>
                                  <a:prstDash val="solid"/>
                                  <a:headEnd type="none" w="med" len="med"/>
                                  <a:tailEnd type="triangle" w="med" len="med"/>
                                </a:ln>
                              </wps:spPr>
                              <wps:bodyPr/>
                            </wps:wsp>
                            <wps:wsp>
                              <wps:cNvPr id="153" name="矩形 630"/>
                              <wps:cNvSpPr/>
                              <wps:spPr>
                                <a:xfrm>
                                  <a:off x="6197" y="179513"/>
                                  <a:ext cx="1209" cy="438"/>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入库</w:t>
                                    </w:r>
                                  </w:p>
                                </w:txbxContent>
                              </wps:txbx>
                              <wps:bodyPr wrap="square" upright="1"/>
                            </wps:wsp>
                            <wps:wsp>
                              <wps:cNvPr id="154" name="矩形 622"/>
                              <wps:cNvSpPr/>
                              <wps:spPr>
                                <a:xfrm>
                                  <a:off x="2967" y="178682"/>
                                  <a:ext cx="844" cy="26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自来水</w:t>
                                    </w:r>
                                  </w:p>
                                </w:txbxContent>
                              </wps:txbx>
                              <wps:bodyPr wrap="square" lIns="0" tIns="0" rIns="0" bIns="0" upright="1"/>
                            </wps:wsp>
                            <wps:wsp>
                              <wps:cNvPr id="155" name="直接箭头连接符 155"/>
                              <wps:cNvCnPr/>
                              <wps:spPr>
                                <a:xfrm>
                                  <a:off x="3672" y="178851"/>
                                  <a:ext cx="366" cy="5"/>
                                </a:xfrm>
                                <a:prstGeom prst="straightConnector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56" name="矩形 630"/>
                              <wps:cNvSpPr/>
                              <wps:spPr>
                                <a:xfrm>
                                  <a:off x="4033" y="178672"/>
                                  <a:ext cx="1635" cy="343"/>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纯水制备系统</w:t>
                                    </w:r>
                                  </w:p>
                                </w:txbxContent>
                              </wps:txbx>
                              <wps:bodyPr wrap="square" lIns="0" tIns="0" rIns="0" bIns="0" upright="1"/>
                            </wps:wsp>
                            <wps:wsp>
                              <wps:cNvPr id="157" name="直接箭头连接符 157"/>
                              <wps:cNvCnPr>
                                <a:endCxn id="151" idx="1"/>
                              </wps:cNvCnPr>
                              <wps:spPr>
                                <a:xfrm>
                                  <a:off x="5664" y="178836"/>
                                  <a:ext cx="524" cy="3"/>
                                </a:xfrm>
                                <a:prstGeom prst="straightConnector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58" name="自选图形 613"/>
                              <wps:cNvCnPr/>
                              <wps:spPr>
                                <a:xfrm>
                                  <a:off x="4870" y="179011"/>
                                  <a:ext cx="6" cy="505"/>
                                </a:xfrm>
                                <a:prstGeom prst="straightConnector1">
                                  <a:avLst/>
                                </a:prstGeom>
                                <a:ln w="9525" cap="flat" cmpd="sng">
                                  <a:solidFill>
                                    <a:srgbClr val="000000"/>
                                  </a:solidFill>
                                  <a:prstDash val="solid"/>
                                  <a:headEnd type="none" w="med" len="med"/>
                                  <a:tailEnd type="triangle" w="med" len="med"/>
                                </a:ln>
                              </wps:spPr>
                              <wps:bodyPr/>
                            </wps:wsp>
                            <wps:wsp>
                              <wps:cNvPr id="159" name="自选图形 632"/>
                              <wps:cNvCnPr/>
                              <wps:spPr>
                                <a:xfrm>
                                  <a:off x="7394" y="178845"/>
                                  <a:ext cx="595" cy="1"/>
                                </a:xfrm>
                                <a:prstGeom prst="straightConnector1">
                                  <a:avLst/>
                                </a:prstGeom>
                                <a:ln w="0" cap="flat" cmpd="sng">
                                  <a:solidFill>
                                    <a:srgbClr val="000000"/>
                                  </a:solidFill>
                                  <a:prstDash val="sysDot"/>
                                  <a:headEnd type="none" w="med" len="med"/>
                                  <a:tailEnd type="triangle" w="med" len="med"/>
                                </a:ln>
                              </wps:spPr>
                              <wps:bodyPr/>
                            </wps:wsp>
                            <wps:wsp>
                              <wps:cNvPr id="160" name="矩形 622"/>
                              <wps:cNvSpPr/>
                              <wps:spPr>
                                <a:xfrm>
                                  <a:off x="7985" y="178677"/>
                                  <a:ext cx="1280" cy="50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W</w:t>
                                    </w:r>
                                    <w:r>
                                      <w:rPr>
                                        <w:rFonts w:hint="eastAsia"/>
                                        <w:vertAlign w:val="subscript"/>
                                        <w:lang w:val="en-US" w:eastAsia="zh-CN"/>
                                      </w:rPr>
                                      <w:t>2、</w:t>
                                    </w:r>
                                    <w:r>
                                      <w:rPr>
                                        <w:rFonts w:hint="eastAsia"/>
                                        <w:vertAlign w:val="baseline"/>
                                        <w:lang w:val="en-US" w:eastAsia="zh-CN"/>
                                      </w:rPr>
                                      <w:t>N</w:t>
                                    </w:r>
                                    <w:r>
                                      <w:rPr>
                                        <w:rFonts w:hint="eastAsia"/>
                                        <w:vertAlign w:val="subscript"/>
                                        <w:lang w:val="en-US" w:eastAsia="zh-CN"/>
                                      </w:rPr>
                                      <w:t>5</w:t>
                                    </w:r>
                                  </w:p>
                                </w:txbxContent>
                              </wps:txbx>
                              <wps:bodyPr wrap="square" upright="1"/>
                            </wps:wsp>
                            <wps:wsp>
                              <wps:cNvPr id="161" name="矩形 622"/>
                              <wps:cNvSpPr/>
                              <wps:spPr>
                                <a:xfrm>
                                  <a:off x="4515" y="179524"/>
                                  <a:ext cx="699" cy="3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vertAlign w:val="baseline"/>
                                        <w:lang w:val="en-US" w:eastAsia="zh-CN"/>
                                      </w:rPr>
                                    </w:pPr>
                                    <w:r>
                                      <w:rPr>
                                        <w:rFonts w:hint="eastAsia"/>
                                        <w:lang w:val="en-US" w:eastAsia="zh-CN"/>
                                      </w:rPr>
                                      <w:t>W</w:t>
                                    </w:r>
                                    <w:r>
                                      <w:rPr>
                                        <w:rFonts w:hint="eastAsia"/>
                                        <w:vertAlign w:val="subscript"/>
                                        <w:lang w:val="en-US" w:eastAsia="zh-CN"/>
                                      </w:rPr>
                                      <w:t>1、</w:t>
                                    </w:r>
                                    <w:r>
                                      <w:rPr>
                                        <w:rFonts w:hint="eastAsia"/>
                                        <w:vertAlign w:val="baseline"/>
                                        <w:lang w:val="en-US" w:eastAsia="zh-CN"/>
                                      </w:rPr>
                                      <w:t>S</w:t>
                                    </w:r>
                                    <w:r>
                                      <w:rPr>
                                        <w:rFonts w:hint="eastAsia"/>
                                        <w:vertAlign w:val="subscript"/>
                                        <w:lang w:val="en-US" w:eastAsia="zh-CN"/>
                                      </w:rPr>
                                      <w:t>5</w:t>
                                    </w:r>
                                  </w:p>
                                </w:txbxContent>
                              </wps:txbx>
                              <wps:bodyPr wrap="square" lIns="0" tIns="0" rIns="0" bIns="0" upright="1"/>
                            </wps:wsp>
                          </wpg:wgp>
                        </a:graphicData>
                      </a:graphic>
                    </wp:anchor>
                  </w:drawing>
                </mc:Choice>
                <mc:Fallback>
                  <w:pict>
                    <v:group id="_x0000_s1026" o:spid="_x0000_s1026" o:spt="203" style="position:absolute;left:0pt;margin-left:4.65pt;margin-top:0.65pt;height:313.55pt;width:412.85pt;z-index:251660288;mso-width-relative:page;mso-height-relative:page;" coordorigin="2893,173680" coordsize="8257,6271" o:gfxdata="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">
                      <o:lock v:ext="edit" aspectratio="f"/>
                      <v:rect id="矩形 622" o:spid="_x0000_s1026" o:spt="1" style="position:absolute;left:9944;top:175006;height:474;width:1206;" fillcolor="#FFFFFF" filled="t" stroked="t" coordsize="21600,21600" o:gfxdata="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jPPN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default" w:eastAsia="宋体"/>
                                  <w:lang w:val="en-US" w:eastAsia="zh-CN"/>
                                </w:rPr>
                              </w:pPr>
                              <w:r>
                                <w:rPr>
                                  <w:rFonts w:hint="eastAsia"/>
                                </w:rPr>
                                <w:t>G</w:t>
                              </w:r>
                              <w:r>
                                <w:rPr>
                                  <w:rFonts w:hint="eastAsia"/>
                                  <w:vertAlign w:val="subscript"/>
                                  <w:lang w:val="en-US" w:eastAsia="zh-CN"/>
                                </w:rPr>
                                <w:t>3</w:t>
                              </w:r>
                              <w:r>
                                <w:rPr>
                                  <w:rFonts w:hint="eastAsia"/>
                                  <w:vertAlign w:val="baseline"/>
                                  <w:lang w:eastAsia="zh-CN"/>
                                </w:rPr>
                                <w:t>、</w:t>
                              </w:r>
                              <w:r>
                                <w:rPr>
                                  <w:rFonts w:hint="eastAsia"/>
                                  <w:vertAlign w:val="baseline"/>
                                  <w:lang w:val="en-US" w:eastAsia="zh-CN"/>
                                </w:rPr>
                                <w:t>S</w:t>
                              </w:r>
                              <w:r>
                                <w:rPr>
                                  <w:rFonts w:hint="eastAsia"/>
                                  <w:vertAlign w:val="subscript"/>
                                  <w:lang w:val="en-US" w:eastAsia="zh-CN"/>
                                </w:rPr>
                                <w:t>4、</w:t>
                              </w:r>
                              <w:r>
                                <w:rPr>
                                  <w:rFonts w:hint="eastAsia"/>
                                  <w:vertAlign w:val="baseline"/>
                                  <w:lang w:val="en-US" w:eastAsia="zh-CN"/>
                                </w:rPr>
                                <w:t>N</w:t>
                              </w:r>
                              <w:r>
                                <w:rPr>
                                  <w:rFonts w:hint="eastAsia"/>
                                  <w:vertAlign w:val="subscript"/>
                                  <w:lang w:val="en-US" w:eastAsia="zh-CN"/>
                                </w:rPr>
                                <w:t>4</w:t>
                              </w:r>
                            </w:p>
                          </w:txbxContent>
                        </v:textbox>
                      </v:rect>
                      <v:rect id="矩形 630" o:spid="_x0000_s1026" o:spt="1" style="position:absolute;left:3701;top:177683;height:438;width:6032;" filled="f" stroked="t" coordsize="21600,21600" o:gfxdata="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WT6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jc w:val="center"/>
                                <w:textAlignment w:val="auto"/>
                                <w:rPr>
                                  <w:rFonts w:hint="eastAsia" w:eastAsia="宋体"/>
                                  <w:lang w:val="en-US" w:eastAsia="zh-CN"/>
                                </w:rPr>
                              </w:pPr>
                              <w:r>
                                <w:rPr>
                                  <w:rFonts w:hint="eastAsia"/>
                                  <w:lang w:val="en-US" w:eastAsia="zh-CN"/>
                                </w:rPr>
                                <w:t>组装</w:t>
                              </w:r>
                            </w:p>
                          </w:txbxContent>
                        </v:textbox>
                      </v:rect>
                      <v:shape id="自选图形 613" o:spid="_x0000_s1026" o:spt="32" type="#_x0000_t32" style="position:absolute;left:9091;top:175467;height:483;width:9;"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630" o:spid="_x0000_s1026" o:spt="1" style="position:absolute;left:8690;top:175029;height:438;width:819;" filled="f" stroked="t" coordsize="21600,21600" o:gfxdata="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018h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pPr>
                              <w:r>
                                <w:rPr>
                                  <w:rFonts w:hint="eastAsia"/>
                                  <w:lang w:val="en-US" w:eastAsia="zh-CN"/>
                                </w:rPr>
                                <w:t>雕刻</w:t>
                              </w:r>
                            </w:p>
                          </w:txbxContent>
                        </v:textbox>
                      </v:rect>
                      <v:shape id="自选图形 631" o:spid="_x0000_s1026" o:spt="32" type="#_x0000_t32" style="position:absolute;left:9092;top:174679;height:356;width:7;" filled="f" stroked="t" coordsize="21600,21600" o:gfxdata="UEsDBAoAAAAAAIdO4kAAAAAAAAAAAAAAAAAEAAAAZHJzL1BLAwQUAAAACACHTuJAV/05H78AAADb&#10;AAAADwAAAGRycy9kb3ducmV2LnhtbEWPzWrDMBCE74G8g9hAb4nsQE3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9O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632" o:spid="_x0000_s1026" o:spt="32" type="#_x0000_t32" style="position:absolute;left:9541;top:175246;height:4;width:379;" filled="f" stroked="t" coordsize="21600,21600" o:gfxdata="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DINi/&#10;AAAA2wAAAA8AAAAAAAAAAQAgAAAAIgAAAGRycy9kb3ducmV2LnhtbFBLAQIUABQAAAAIAIdO4kAz&#10;LwWeOwAAADkAAAAQAAAAAAAAAAEAIAAAAA4BAABkcnMvc2hhcGV4bWwueG1sUEsFBgAAAAAGAAYA&#10;WwEAALgDAAAAAA==&#10;">
                        <v:fill on="f" focussize="0,0"/>
                        <v:stroke weight="0pt" color="#000000" joinstyle="round" dashstyle="1 1" endarrow="block"/>
                        <v:imagedata o:title=""/>
                        <o:lock v:ext="edit" aspectratio="f"/>
                      </v:shape>
                      <v:rect id="矩形 634" o:spid="_x0000_s1026" o:spt="1" style="position:absolute;left:8526;top:174225;height:465;width:1146;" fillcolor="#FFFFFF" filled="t" stroked="t" coordsize="21600,21600" o:gfxdata="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rQK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rPr>
                                  <w:rFonts w:hint="default" w:eastAsia="宋体"/>
                                  <w:lang w:val="en-US" w:eastAsia="zh-CN"/>
                                </w:rPr>
                              </w:pPr>
                              <w:r>
                                <w:rPr>
                                  <w:rFonts w:hint="eastAsia"/>
                                  <w:lang w:val="en-US" w:eastAsia="zh-CN"/>
                                </w:rPr>
                                <w:t>塑料板材</w:t>
                              </w:r>
                            </w:p>
                          </w:txbxContent>
                        </v:textbox>
                      </v:rect>
                      <v:rect id="矩形 630" o:spid="_x0000_s1026" o:spt="1" style="position:absolute;left:8472;top:175944;height:438;width:1209;" filled="f" stroked="t" coordsize="21600,21600" o:gfxdata="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0N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热塑焊接</w:t>
                              </w:r>
                            </w:p>
                          </w:txbxContent>
                        </v:textbox>
                      </v:rect>
                      <v:shape id="自选图形 632" o:spid="_x0000_s1026" o:spt="32" type="#_x0000_t32" style="position:absolute;left:9696;top:176161;height:1;width:595;" filled="f" stroked="t" coordsize="21600,21600" o:gfxdata="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YzsCvQAA&#10;ANwAAAAPAAAAAAAAAAEAIAAAACIAAABkcnMvZG93bnJldi54bWxQSwECFAAUAAAACACHTuJAMy8F&#10;njsAAAA5AAAAEAAAAAAAAAABACAAAAAMAQAAZHJzL3NoYXBleG1sLnhtbFBLBQYAAAAABgAGAFsB&#10;AAC2AwAAAAA=&#10;">
                        <v:fill on="f" focussize="0,0"/>
                        <v:stroke weight="0pt" color="#000000" joinstyle="round" dashstyle="1 1" endarrow="block"/>
                        <v:imagedata o:title=""/>
                        <o:lock v:ext="edit" aspectratio="f"/>
                      </v:shape>
                      <v:rect id="矩形 622" o:spid="_x0000_s1026" o:spt="1" style="position:absolute;left:10271;top:175927;height:504;width:707;" fillcolor="#FFFFFF" filled="t" stroked="t" coordsize="21600,21600" o:gfxdata="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kz5c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rPr>
                                  <w:rFonts w:hint="eastAsia" w:eastAsia="宋体"/>
                                  <w:lang w:val="en-US" w:eastAsia="zh-CN"/>
                                </w:rPr>
                              </w:pPr>
                              <w:r>
                                <w:rPr>
                                  <w:rFonts w:hint="eastAsia"/>
                                </w:rPr>
                                <w:t>G</w:t>
                              </w:r>
                              <w:r>
                                <w:rPr>
                                  <w:rFonts w:hint="eastAsia"/>
                                  <w:vertAlign w:val="subscript"/>
                                  <w:lang w:val="en-US" w:eastAsia="zh-CN"/>
                                </w:rPr>
                                <w:t>4</w:t>
                              </w:r>
                            </w:p>
                          </w:txbxContent>
                        </v:textbox>
                      </v:rect>
                      <v:shape id="自选图形 613" o:spid="_x0000_s1026" o:spt="32" type="#_x0000_t32" style="position:absolute;left:9092;top:176392;flip:x;height:1286;width:5;" filled="f" stroked="t" coordsize="21600,21600" o:gfxdata="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oZt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613" o:spid="_x0000_s1026" o:spt="32" type="#_x0000_t32" style="position:absolute;left:7901;top:176165;height:0;width:567;" filled="f" stroked="t" coordsize="21600,21600" o:gfxdata="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xO64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622" o:spid="_x0000_s1026" o:spt="1" style="position:absolute;left:6954;top:175923;height:504;width:990;" fillcolor="#FFFFFF" filled="t" stroked="t" coordsize="21600,21600" o:gfxdata="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VNIbsAAADc&#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rPr>
                                  <w:rFonts w:hint="eastAsia" w:eastAsia="宋体"/>
                                  <w:lang w:val="en-US" w:eastAsia="zh-CN"/>
                                </w:rPr>
                              </w:pPr>
                              <w:r>
                                <w:rPr>
                                  <w:rFonts w:hint="eastAsia"/>
                                  <w:lang w:val="en-US" w:eastAsia="zh-CN"/>
                                </w:rPr>
                                <w:t>PP胶带</w:t>
                              </w:r>
                            </w:p>
                          </w:txbxContent>
                        </v:textbox>
                      </v:rect>
                      <v:rect id="矩形 625" o:spid="_x0000_s1026" o:spt="1" style="position:absolute;left:4752;top:173680;height:422;width:1420;" filled="f" stroked="f" coordsize="21600,21600" o:gfxdata="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0T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钢材</w:t>
                              </w:r>
                            </w:p>
                          </w:txbxContent>
                        </v:textbox>
                      </v:rect>
                      <v:rect id="矩形 629" o:spid="_x0000_s1026" o:spt="1" style="position:absolute;left:5330;top:176277;height:414;width:836;" fillcolor="#FFFFFF" filled="t" stroked="t" coordsize="21600,21600" o:gfxdata="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NErcS5AAAA2wAA&#10;AA8AAAAAAAAAAQAgAAAAIgAAAGRycy9kb3ducmV2LnhtbFBLAQIUABQAAAAIAIdO4kAzLwWeOwAA&#10;ADkAAAAQAAAAAAAAAAEAIAAAAAgBAABkcnMvc2hhcGV4bWwueG1sUEsFBgAAAAAGAAYAWwEAALID&#10;AAAAAA==&#10;">
                        <v:fill on="t" opacity="0f" focussize="0,0"/>
                        <v:stroke color="#FFFFFF" joinstyle="miter"/>
                        <v:imagedata o:title=""/>
                        <o:lock v:ext="edit" aspectratio="f"/>
                        <v:textbox>
                          <w:txbxContent>
                            <w:p>
                              <w:pPr>
                                <w:rPr>
                                  <w:rFonts w:hint="default" w:eastAsia="宋体"/>
                                  <w:vertAlign w:val="baseline"/>
                                  <w:lang w:val="en-US" w:eastAsia="zh-CN"/>
                                </w:rPr>
                              </w:pPr>
                              <w:r>
                                <w:rPr>
                                  <w:rFonts w:hint="eastAsia"/>
                                </w:rPr>
                                <w:t>G</w:t>
                              </w:r>
                              <w:r>
                                <w:rPr>
                                  <w:rFonts w:hint="eastAsia"/>
                                  <w:vertAlign w:val="subscript"/>
                                  <w:lang w:val="en-US" w:eastAsia="zh-CN"/>
                                </w:rPr>
                                <w:t>2</w:t>
                              </w:r>
                              <w:r>
                                <w:rPr>
                                  <w:rFonts w:hint="eastAsia"/>
                                  <w:vertAlign w:val="subscript"/>
                                  <w:lang w:eastAsia="zh-CN"/>
                                </w:rPr>
                                <w:t>、</w:t>
                              </w:r>
                              <w:r>
                                <w:rPr>
                                  <w:rFonts w:hint="eastAsia"/>
                                  <w:vertAlign w:val="baseline"/>
                                  <w:lang w:val="en-US" w:eastAsia="zh-CN"/>
                                </w:rPr>
                                <w:t>N</w:t>
                              </w:r>
                              <w:r>
                                <w:rPr>
                                  <w:rFonts w:hint="eastAsia"/>
                                  <w:vertAlign w:val="subscript"/>
                                  <w:lang w:val="en-US" w:eastAsia="zh-CN"/>
                                </w:rPr>
                                <w:t>3</w:t>
                              </w:r>
                            </w:p>
                          </w:txbxContent>
                        </v:textbox>
                      </v:rect>
                      <v:shape id="自选图形 609" o:spid="_x0000_s1026" o:spt="32" type="#_x0000_t32" style="position:absolute;left:5462;top:174071;height:440;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630" o:spid="_x0000_s1026" o:spt="1" style="position:absolute;left:5062;top:174504;height:438;width:864;" filled="f" stroked="t" coordsize="21600,21600" o:gfxdata="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ody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下料</w:t>
                              </w:r>
                            </w:p>
                          </w:txbxContent>
                        </v:textbox>
                      </v:rect>
                      <v:shape id="自选图形 609" o:spid="_x0000_s1026" o:spt="32" type="#_x0000_t32" style="position:absolute;left:5477;top:174956;height:440;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630" o:spid="_x0000_s1026" o:spt="1" style="position:absolute;left:5002;top:175389;height:438;width:970;" filled="f" stroked="t" coordsize="21600,21600" o:gfxdata="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S8n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机加工</w:t>
                              </w:r>
                            </w:p>
                          </w:txbxContent>
                        </v:textbox>
                      </v:rect>
                      <v:shape id="自选图形 609" o:spid="_x0000_s1026" o:spt="32" type="#_x0000_t32" style="position:absolute;left:5487;top:175827;height:355;width:1;" filled="f" stroked="t" coordsize="21600,21600" o:gfxdata="UEsDBAoAAAAAAIdO4kAAAAAAAAAAAAAAAAAEAAAAZHJzL1BLAwQUAAAACACHTuJAcRsLGL0AAADc&#10;AAAADwAAAGRycy9kb3ducmV2LnhtbEVPS2sCMRC+C/6HMEJvml0L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Gws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630" o:spid="_x0000_s1026" o:spt="1" style="position:absolute;left:4282;top:176533;height:438;width:769;" filled="f" stroked="t" coordsize="21600,21600" o:gfxdata="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hgXG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焊接</w:t>
                              </w:r>
                            </w:p>
                          </w:txbxContent>
                        </v:textbox>
                      </v:rect>
                      <v:shape id="自选图形 613" o:spid="_x0000_s1026" o:spt="32" type="#_x0000_t32" style="position:absolute;left:4664;top:176189;flip:x;height:337;width:7;" filled="f" stroked="t" coordsize="21600,21600" o:gfxdata="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vPo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613" o:spid="_x0000_s1026" o:spt="32" type="#_x0000_t32" style="position:absolute;left:6255;top:176185;flip:x;height:1486;width:4;" filled="f" stroked="t" coordsize="21600,21600" o:gfxdata="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5kd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line id="_x0000_s1026" o:spid="_x0000_s1026" o:spt="20" style="position:absolute;left:4664;top:176186;flip:y;height:5;width:1606;" filled="f" stroked="t" coordsize="21600,21600" o:gfxdata="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kgOZvQAA&#10;ANwAAAAPAAAAAAAAAAEAIAAAACIAAABkcnMvZG93bnJldi54bWxQSwECFAAUAAAACACHTuJAMy8F&#10;njsAAAA5AAAAEAAAAAAAAAABACAAAAAMAQAAZHJzL3NoYXBleG1sLnhtbFBLBQYAAAAABgAGAFsB&#10;AAC2AwAAAAA=&#10;">
                        <v:fill on="f" focussize="0,0"/>
                        <v:stroke weight="0.5pt" color="#000000 [3213]" joinstyle="round"/>
                        <v:imagedata o:title=""/>
                        <o:lock v:ext="edit" aspectratio="f"/>
                      </v:line>
                      <v:shape id="自选图形 624" o:spid="_x0000_s1026" o:spt="32" type="#_x0000_t32" style="position:absolute;left:5049;top:176499;flip:y;height:200;width:410;" filled="f" stroked="t" coordsize="21600,21600" o:gfxdata="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HIDb&#10;wAAAANwAAAAPAAAAAAAAAAEAIAAAACIAAABkcnMvZG93bnJldi54bWxQSwECFAAUAAAACACHTuJA&#10;My8FnjsAAAA5AAAAEAAAAAAAAAABACAAAAAPAQAAZHJzL3NoYXBleG1sLnhtbFBLBQYAAAAABgAG&#10;AFsBAAC5AwAAAAA=&#10;">
                        <v:fill on="f" focussize="0,0"/>
                        <v:stroke weight="0pt" color="#000000" joinstyle="round" dashstyle="1 1" endarrow="block"/>
                        <v:imagedata o:title=""/>
                        <o:lock v:ext="edit" aspectratio="f"/>
                      </v:shape>
                      <v:shape id="自选图形 619" o:spid="_x0000_s1026" o:spt="32" type="#_x0000_t32" style="position:absolute;left:5942;top:174717;height:1;width:595;" filled="f" stroked="t" coordsize="21600,21600" o:gfxdata="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4/rr4A&#10;AADcAAAADwAAAAAAAAABACAAAAAiAAAAZHJzL2Rvd25yZXYueG1sUEsBAhQAFAAAAAgAh07iQDMv&#10;BZ47AAAAOQAAABAAAAAAAAAAAQAgAAAADQEAAGRycy9zaGFwZXhtbC54bWxQSwUGAAAAAAYABgBb&#10;AQAAtwMAAAAA&#10;">
                        <v:fill on="f" focussize="0,0"/>
                        <v:stroke weight="0pt" color="#000000" joinstyle="round" dashstyle="1 1" endarrow="block"/>
                        <v:imagedata o:title=""/>
                        <o:lock v:ext="edit" aspectratio="f"/>
                      </v:shape>
                      <v:rect id="矩形 622" o:spid="_x0000_s1026" o:spt="1" style="position:absolute;left:6567;top:174514;height:573;width:1473;" fillcolor="#FFFFFF" filled="t" stroked="t" coordsize="21600,21600" o:gfxdata="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fm8e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default" w:eastAsia="宋体"/>
                                  <w:lang w:val="en-US" w:eastAsia="zh-CN"/>
                                </w:rPr>
                              </w:pPr>
                              <w:r>
                                <w:rPr>
                                  <w:rFonts w:hint="eastAsia"/>
                                  <w:lang w:val="en-US" w:eastAsia="zh-CN"/>
                                </w:rPr>
                                <w:t>S</w:t>
                              </w:r>
                              <w:r>
                                <w:rPr>
                                  <w:rFonts w:hint="eastAsia"/>
                                  <w:vertAlign w:val="subscript"/>
                                  <w:lang w:val="en-US" w:eastAsia="zh-CN"/>
                                </w:rPr>
                                <w:t>1、</w:t>
                              </w:r>
                              <w:r>
                                <w:rPr>
                                  <w:rFonts w:hint="eastAsia"/>
                                  <w:vertAlign w:val="baseline"/>
                                  <w:lang w:val="en-US" w:eastAsia="zh-CN"/>
                                </w:rPr>
                                <w:t>N</w:t>
                              </w:r>
                              <w:r>
                                <w:rPr>
                                  <w:rFonts w:hint="eastAsia"/>
                                  <w:vertAlign w:val="subscript"/>
                                  <w:lang w:val="en-US" w:eastAsia="zh-CN"/>
                                </w:rPr>
                                <w:t>1、</w:t>
                              </w:r>
                              <w:r>
                                <w:rPr>
                                  <w:rFonts w:hint="eastAsia"/>
                                  <w:vertAlign w:val="baseline"/>
                                  <w:lang w:val="en-US" w:eastAsia="zh-CN"/>
                                </w:rPr>
                                <w:t>G</w:t>
                              </w:r>
                              <w:r>
                                <w:rPr>
                                  <w:rFonts w:hint="eastAsia"/>
                                  <w:vertAlign w:val="subscript"/>
                                  <w:lang w:val="en-US" w:eastAsia="zh-CN"/>
                                </w:rPr>
                                <w:t>1</w:t>
                              </w:r>
                            </w:p>
                          </w:txbxContent>
                        </v:textbox>
                      </v:rect>
                      <v:shape id="自选图形 619" o:spid="_x0000_s1026" o:spt="32" type="#_x0000_t32" style="position:absolute;left:6002;top:175617;height:1;width:595;" filled="f" stroked="t" coordsize="21600,21600" o:gfxdata="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WD0BvQAA&#10;ANwAAAAPAAAAAAAAAAEAIAAAACIAAABkcnMvZG93bnJldi54bWxQSwECFAAUAAAACACHTuJAMy8F&#10;njsAAAA5AAAAEAAAAAAAAAABACAAAAAMAQAAZHJzL3NoYXBleG1sLnhtbFBLBQYAAAAABgAGAFsB&#10;AAC2AwAAAAA=&#10;">
                        <v:fill on="f" focussize="0,0"/>
                        <v:stroke weight="0pt" color="#000000" joinstyle="round" dashstyle="1 1" endarrow="block"/>
                        <v:imagedata o:title=""/>
                        <o:lock v:ext="edit" aspectratio="f"/>
                      </v:shape>
                      <v:rect id="矩形 622" o:spid="_x0000_s1026" o:spt="1" style="position:absolute;left:6597;top:175399;height:405;width:1183;" fillcolor="#FFFFFF" filled="t" stroked="t" coordsize="21600,21600" o:gfxdata="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BoCu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default" w:eastAsia="宋体"/>
                                  <w:vertAlign w:val="baseline"/>
                                  <w:lang w:val="en-US" w:eastAsia="zh-CN"/>
                                </w:rPr>
                              </w:pPr>
                              <w:r>
                                <w:rPr>
                                  <w:rFonts w:hint="eastAsia"/>
                                  <w:lang w:val="en-US" w:eastAsia="zh-CN"/>
                                </w:rPr>
                                <w:t>S</w:t>
                              </w:r>
                              <w:r>
                                <w:rPr>
                                  <w:rFonts w:hint="eastAsia"/>
                                  <w:vertAlign w:val="subscript"/>
                                </w:rPr>
                                <w:t>2</w:t>
                              </w:r>
                              <w:r>
                                <w:rPr>
                                  <w:rFonts w:hint="eastAsia"/>
                                  <w:vertAlign w:val="subscript"/>
                                  <w:lang w:eastAsia="zh-CN"/>
                                </w:rPr>
                                <w:t>、</w:t>
                              </w:r>
                              <w:r>
                                <w:rPr>
                                  <w:rFonts w:hint="eastAsia"/>
                                  <w:vertAlign w:val="baseline"/>
                                  <w:lang w:val="en-US" w:eastAsia="zh-CN"/>
                                </w:rPr>
                                <w:t>S</w:t>
                              </w:r>
                              <w:r>
                                <w:rPr>
                                  <w:rFonts w:hint="eastAsia"/>
                                  <w:vertAlign w:val="subscript"/>
                                  <w:lang w:val="en-US" w:eastAsia="zh-CN"/>
                                </w:rPr>
                                <w:t>3、</w:t>
                              </w:r>
                              <w:r>
                                <w:rPr>
                                  <w:rFonts w:hint="eastAsia"/>
                                  <w:vertAlign w:val="baseline"/>
                                  <w:lang w:val="en-US" w:eastAsia="zh-CN"/>
                                </w:rPr>
                                <w:t>N</w:t>
                              </w:r>
                              <w:r>
                                <w:rPr>
                                  <w:rFonts w:hint="eastAsia"/>
                                  <w:vertAlign w:val="subscript"/>
                                  <w:lang w:val="en-US" w:eastAsia="zh-CN"/>
                                </w:rPr>
                                <w:t>2</w:t>
                              </w:r>
                            </w:p>
                          </w:txbxContent>
                        </v:textbox>
                      </v:rect>
                      <v:shape id="自选图形 613" o:spid="_x0000_s1026" o:spt="32" type="#_x0000_t32" style="position:absolute;left:4667;top:176959;flip:x;height:718;width:4;" filled="f" stroked="t" coordsize="21600,21600" o:gfxdata="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1gZo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622" o:spid="_x0000_s1026" o:spt="1" style="position:absolute;left:2893;top:176322;height:931;width:1196;" fillcolor="#FFFFFF" filled="t" stroked="t" coordsize="21600,21600" o:gfxdata="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H01a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eastAsia="宋体"/>
                                  <w:lang w:val="en-US" w:eastAsia="zh-CN"/>
                                </w:rPr>
                              </w:pPr>
                              <w:r>
                                <w:rPr>
                                  <w:rFonts w:hint="eastAsia"/>
                                  <w:lang w:val="en-US" w:eastAsia="zh-CN"/>
                                </w:rPr>
                                <w:t>PP管道、元器件、五金件</w:t>
                              </w:r>
                            </w:p>
                          </w:txbxContent>
                        </v:textbox>
                      </v:rect>
                      <v:line id="_x0000_s1026" o:spid="_x0000_s1026" o:spt="20" style="position:absolute;left:3334;top:177205;flip:x;height:709;width:1;" filled="f" stroked="t" coordsize="21600,21600" o:gfxdata="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odpG/&#10;AAAA3AAAAA8AAAAAAAAAAQAgAAAAIgAAAGRycy9kb3ducmV2LnhtbFBLAQIUABQAAAAIAIdO4kAz&#10;LwWeOwAAADkAAAAQAAAAAAAAAAEAIAAAAA4BAABkcnMvc2hhcGV4bWwueG1sUEsFBgAAAAAGAAYA&#10;WwEAALgDAAAAAA==&#10;">
                        <v:fill on="f" focussize="0,0"/>
                        <v:stroke weight="1pt" color="#000000 [3213]" joinstyle="round"/>
                        <v:imagedata o:title=""/>
                        <o:lock v:ext="edit" aspectratio="f"/>
                      </v:line>
                      <v:shape id="_x0000_s1026" o:spid="_x0000_s1026" o:spt="32" type="#_x0000_t32" style="position:absolute;left:3341;top:177903;height:5;width:366;" filled="f" stroked="t" coordsize="21600,21600" o:gfxdata="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iAz1twAAANwAAAAP&#10;AAAAAAAAAAEAIAAAACIAAABkcnMvZG93bnJldi54bWxQSwECFAAUAAAACACHTuJAMy8FnjsAAAA5&#10;AAAAEAAAAAAAAAABACAAAAAGAQAAZHJzL3NoYXBleG1sLnhtbFBLBQYAAAAABgAGAFsBAACwAwAA&#10;AAA=&#10;">
                        <v:fill on="f" focussize="0,0"/>
                        <v:stroke weight="1pt" color="#000000 [3213]" joinstyle="round" endarrow="block"/>
                        <v:imagedata o:title=""/>
                        <o:lock v:ext="edit" aspectratio="f"/>
                      </v:shape>
                      <v:shape id="自选图形 613" o:spid="_x0000_s1026" o:spt="32" type="#_x0000_t32" style="position:absolute;left:6782;top:178136;height:483;width:9;" filled="f" stroked="t" coordsize="21600,21600" o:gfxdata="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z+Y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矩形 630" o:spid="_x0000_s1026" o:spt="1" style="position:absolute;left:6188;top:178620;height:438;width:1209;" filled="f" stroked="t" coordsize="21600,21600" o:gfxdata="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UFGU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调试</w:t>
                              </w:r>
                            </w:p>
                          </w:txbxContent>
                        </v:textbox>
                      </v:rect>
                      <v:shape id="自选图形 613" o:spid="_x0000_s1026" o:spt="32" type="#_x0000_t32" style="position:absolute;left:6802;top:179057;height:461;width:4;" filled="f" stroked="t" coordsize="21600,21600" o:gfxdata="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Ud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630" o:spid="_x0000_s1026" o:spt="1" style="position:absolute;left:6197;top:179513;height:438;width:1209;" filled="f" stroked="t" coordsize="21600,21600" o:gfxdata="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ani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入库</w:t>
                              </w:r>
                            </w:p>
                          </w:txbxContent>
                        </v:textbox>
                      </v:rect>
                      <v:rect id="矩形 622" o:spid="_x0000_s1026" o:spt="1" style="position:absolute;left:2967;top:178682;height:269;width:844;" fillcolor="#FFFFFF" filled="t" stroked="t" coordsize="21600,21600" o:gfxdata="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gAnS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inset="0mm,0mm,0mm,0mm">
                          <w:txbxContent>
                            <w:p>
                              <w:pPr>
                                <w:rPr>
                                  <w:rFonts w:hint="default" w:eastAsia="宋体"/>
                                  <w:lang w:val="en-US" w:eastAsia="zh-CN"/>
                                </w:rPr>
                              </w:pPr>
                              <w:r>
                                <w:rPr>
                                  <w:rFonts w:hint="eastAsia"/>
                                  <w:lang w:val="en-US" w:eastAsia="zh-CN"/>
                                </w:rPr>
                                <w:t>自来水</w:t>
                              </w:r>
                            </w:p>
                          </w:txbxContent>
                        </v:textbox>
                      </v:rect>
                      <v:shape id="_x0000_s1026" o:spid="_x0000_s1026" o:spt="32" type="#_x0000_t32" style="position:absolute;left:3672;top:178851;height:5;width:366;" filled="f" stroked="t" coordsize="21600,21600" o:gfxdata="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RyQLbgAAADcAAAA&#10;DwAAAAAAAAABACAAAAAiAAAAZHJzL2Rvd25yZXYueG1sUEsBAhQAFAAAAAgAh07iQDMvBZ47AAAA&#10;OQAAABAAAAAAAAAAAQAgAAAABwEAAGRycy9zaGFwZXhtbC54bWxQSwUGAAAAAAYABgBbAQAAsQMA&#10;AAAA&#10;">
                        <v:fill on="f" focussize="0,0"/>
                        <v:stroke weight="1pt" color="#000000 [3213]" joinstyle="round" endarrow="block"/>
                        <v:imagedata o:title=""/>
                        <o:lock v:ext="edit" aspectratio="f"/>
                      </v:shape>
                      <v:rect id="矩形 630" o:spid="_x0000_s1026" o:spt="1" style="position:absolute;left:4033;top:178672;height:343;width:1635;" filled="f" stroked="t" coordsize="21600,21600" o:gfxdata="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FwSq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pPr>
                                <w:jc w:val="center"/>
                                <w:rPr>
                                  <w:rFonts w:hint="default" w:eastAsia="宋体"/>
                                  <w:lang w:val="en-US" w:eastAsia="zh-CN"/>
                                </w:rPr>
                              </w:pPr>
                              <w:r>
                                <w:rPr>
                                  <w:rFonts w:hint="eastAsia"/>
                                  <w:lang w:val="en-US" w:eastAsia="zh-CN"/>
                                </w:rPr>
                                <w:t>纯水制备系统</w:t>
                              </w:r>
                            </w:p>
                          </w:txbxContent>
                        </v:textbox>
                      </v:rect>
                      <v:shape id="_x0000_s1026" o:spid="_x0000_s1026" o:spt="32" type="#_x0000_t32" style="position:absolute;left:5664;top:178836;height:3;width:524;" filled="f" stroked="t" coordsize="21600,21600" o:gfxdata="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Cq8G5AAAA3AAA&#10;AA8AAAAAAAAAAQAgAAAAIgAAAGRycy9kb3ducmV2LnhtbFBLAQIUABQAAAAIAIdO4kAzLwWeOwAA&#10;ADkAAAAQAAAAAAAAAAEAIAAAAAgBAABkcnMvc2hhcGV4bWwueG1sUEsFBgAAAAAGAAYAWwEAALID&#10;AAAAAA==&#10;">
                        <v:fill on="f" focussize="0,0"/>
                        <v:stroke weight="1pt" color="#000000 [3213]" joinstyle="round" endarrow="block"/>
                        <v:imagedata o:title=""/>
                        <o:lock v:ext="edit" aspectratio="f"/>
                      </v:shape>
                      <v:shape id="自选图形 613" o:spid="_x0000_s1026" o:spt="32" type="#_x0000_t32" style="position:absolute;left:4870;top:179011;height:505;width:6;" filled="f" stroked="t" coordsize="21600,21600" o:gfxdata="UEsDBAoAAAAAAIdO4kAAAAAAAAAAAAAAAAAEAAAAZHJzL1BLAwQUAAAACACHTuJAJ7nqFMAAAADc&#10;AAAADwAAAGRycy9kb3ducmV2LnhtbEWPT0vDQBDF74LfYRnBm91EMN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ueo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自选图形 632" o:spid="_x0000_s1026" o:spt="32" type="#_x0000_t32" style="position:absolute;left:7394;top:178845;height:1;width:595;" filled="f" stroked="t" coordsize="21600,21600" o:gfxdata="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hM074A&#10;AADcAAAADwAAAAAAAAABACAAAAAiAAAAZHJzL2Rvd25yZXYueG1sUEsBAhQAFAAAAAgAh07iQDMv&#10;BZ47AAAAOQAAABAAAAAAAAAAAQAgAAAADQEAAGRycy9zaGFwZXhtbC54bWxQSwUGAAAAAAYABgBb&#10;AQAAtwMAAAAA&#10;">
                        <v:fill on="f" focussize="0,0"/>
                        <v:stroke weight="0pt" color="#000000" joinstyle="round" dashstyle="1 1" endarrow="block"/>
                        <v:imagedata o:title=""/>
                        <o:lock v:ext="edit" aspectratio="f"/>
                      </v:shape>
                      <v:rect id="矩形 622" o:spid="_x0000_s1026" o:spt="1" style="position:absolute;left:7985;top:178677;height:504;width:1280;" fillcolor="#FFFFFF" filled="t" stroked="t" coordsize="21600,21600" o:gfxdata="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GxdC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default" w:eastAsia="宋体"/>
                                  <w:lang w:val="en-US" w:eastAsia="zh-CN"/>
                                </w:rPr>
                              </w:pPr>
                              <w:r>
                                <w:rPr>
                                  <w:rFonts w:hint="eastAsia"/>
                                  <w:lang w:val="en-US" w:eastAsia="zh-CN"/>
                                </w:rPr>
                                <w:t>W</w:t>
                              </w:r>
                              <w:r>
                                <w:rPr>
                                  <w:rFonts w:hint="eastAsia"/>
                                  <w:vertAlign w:val="subscript"/>
                                  <w:lang w:val="en-US" w:eastAsia="zh-CN"/>
                                </w:rPr>
                                <w:t>2、</w:t>
                              </w:r>
                              <w:r>
                                <w:rPr>
                                  <w:rFonts w:hint="eastAsia"/>
                                  <w:vertAlign w:val="baseline"/>
                                  <w:lang w:val="en-US" w:eastAsia="zh-CN"/>
                                </w:rPr>
                                <w:t>N</w:t>
                              </w:r>
                              <w:r>
                                <w:rPr>
                                  <w:rFonts w:hint="eastAsia"/>
                                  <w:vertAlign w:val="subscript"/>
                                  <w:lang w:val="en-US" w:eastAsia="zh-CN"/>
                                </w:rPr>
                                <w:t>5</w:t>
                              </w:r>
                            </w:p>
                          </w:txbxContent>
                        </v:textbox>
                      </v:rect>
                      <v:rect id="矩形 622" o:spid="_x0000_s1026" o:spt="1" style="position:absolute;left:4515;top:179524;height:380;width:699;" fillcolor="#FFFFFF" filled="t" stroked="t" coordsize="21600,21600" o:gfxdata="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GbYPe5AAAA3A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inset="0mm,0mm,0mm,0mm">
                          <w:txbxContent>
                            <w:p>
                              <w:pPr>
                                <w:rPr>
                                  <w:rFonts w:hint="default" w:eastAsia="宋体"/>
                                  <w:vertAlign w:val="baseline"/>
                                  <w:lang w:val="en-US" w:eastAsia="zh-CN"/>
                                </w:rPr>
                              </w:pPr>
                              <w:r>
                                <w:rPr>
                                  <w:rFonts w:hint="eastAsia"/>
                                  <w:lang w:val="en-US" w:eastAsia="zh-CN"/>
                                </w:rPr>
                                <w:t>W</w:t>
                              </w:r>
                              <w:r>
                                <w:rPr>
                                  <w:rFonts w:hint="eastAsia"/>
                                  <w:vertAlign w:val="subscript"/>
                                  <w:lang w:val="en-US" w:eastAsia="zh-CN"/>
                                </w:rPr>
                                <w:t>1、</w:t>
                              </w:r>
                              <w:r>
                                <w:rPr>
                                  <w:rFonts w:hint="eastAsia"/>
                                  <w:vertAlign w:val="baseline"/>
                                  <w:lang w:val="en-US" w:eastAsia="zh-CN"/>
                                </w:rPr>
                                <w:t>S</w:t>
                              </w:r>
                              <w:r>
                                <w:rPr>
                                  <w:rFonts w:hint="eastAsia"/>
                                  <w:vertAlign w:val="subscript"/>
                                  <w:lang w:val="en-US" w:eastAsia="zh-CN"/>
                                </w:rPr>
                                <w:t>5</w:t>
                              </w:r>
                            </w:p>
                          </w:txbxContent>
                        </v:textbox>
                      </v:rect>
                    </v:group>
                  </w:pict>
                </mc:Fallback>
              </mc:AlternateContent>
            </w: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FF0000"/>
                <w:szCs w:val="21"/>
              </w:rPr>
            </w:pPr>
          </w:p>
          <w:p>
            <w:pPr>
              <w:jc w:val="center"/>
              <w:rPr>
                <w:b/>
                <w:color w:val="auto"/>
                <w:szCs w:val="20"/>
              </w:rPr>
            </w:pPr>
            <w:r>
              <w:rPr>
                <w:b/>
                <w:color w:val="auto"/>
                <w:szCs w:val="21"/>
              </w:rPr>
              <w:t>图</w:t>
            </w:r>
            <w:r>
              <w:rPr>
                <w:rFonts w:hint="eastAsia"/>
                <w:b/>
                <w:color w:val="auto"/>
                <w:szCs w:val="21"/>
              </w:rPr>
              <w:t>2-</w:t>
            </w:r>
            <w:r>
              <w:rPr>
                <w:rFonts w:hint="eastAsia"/>
                <w:b/>
                <w:color w:val="auto"/>
                <w:szCs w:val="21"/>
                <w:lang w:val="en-US" w:eastAsia="zh-CN"/>
              </w:rPr>
              <w:t xml:space="preserve">2 </w:t>
            </w:r>
            <w:r>
              <w:rPr>
                <w:rFonts w:hint="eastAsia"/>
                <w:b/>
                <w:color w:val="auto"/>
                <w:szCs w:val="21"/>
              </w:rPr>
              <w:t xml:space="preserve"> </w:t>
            </w:r>
            <w:r>
              <w:rPr>
                <w:rFonts w:hint="eastAsia"/>
                <w:b/>
                <w:color w:val="auto"/>
                <w:szCs w:val="21"/>
                <w:lang w:val="en-US" w:eastAsia="zh-CN"/>
              </w:rPr>
              <w:t>半导体设备</w:t>
            </w:r>
            <w:r>
              <w:rPr>
                <w:b/>
                <w:color w:val="auto"/>
                <w:szCs w:val="20"/>
              </w:rPr>
              <w:t>生产工艺流程及产污节点图</w:t>
            </w:r>
          </w:p>
          <w:p>
            <w:pPr>
              <w:pStyle w:val="116"/>
              <w:spacing w:line="360" w:lineRule="auto"/>
              <w:ind w:firstLine="422"/>
              <w:rPr>
                <w:rFonts w:eastAsia="宋体" w:cs="Times New Roman"/>
                <w:color w:val="auto"/>
                <w:szCs w:val="21"/>
              </w:rPr>
            </w:pPr>
            <w:r>
              <w:rPr>
                <w:rFonts w:eastAsia="宋体" w:cs="Times New Roman"/>
                <w:b/>
                <w:bCs/>
                <w:color w:val="auto"/>
                <w:szCs w:val="21"/>
              </w:rPr>
              <w:t>工艺流程说明</w:t>
            </w:r>
            <w:r>
              <w:rPr>
                <w:rFonts w:eastAsia="宋体" w:cs="Times New Roman"/>
                <w:color w:val="auto"/>
                <w:szCs w:val="21"/>
              </w:rPr>
              <w:t>：</w:t>
            </w:r>
          </w:p>
          <w:p>
            <w:pPr>
              <w:keepNext w:val="0"/>
              <w:keepLines w:val="0"/>
              <w:pageBreakBefore w:val="0"/>
              <w:kinsoku/>
              <w:wordWrap/>
              <w:overflowPunct/>
              <w:topLinePunct w:val="0"/>
              <w:autoSpaceDE w:val="0"/>
              <w:autoSpaceDN w:val="0"/>
              <w:bidi w:val="0"/>
              <w:spacing w:line="360" w:lineRule="auto"/>
              <w:ind w:firstLine="420" w:firstLineChars="200"/>
              <w:jc w:val="left"/>
              <w:textAlignment w:val="auto"/>
              <w:rPr>
                <w:rFonts w:hint="eastAsia"/>
                <w:color w:val="auto"/>
                <w:szCs w:val="21"/>
              </w:rPr>
            </w:pPr>
            <w:r>
              <w:rPr>
                <w:rFonts w:hint="eastAsia"/>
                <w:bCs/>
                <w:color w:val="auto"/>
                <w:szCs w:val="21"/>
                <w:lang w:val="en-US" w:eastAsia="zh-CN"/>
              </w:rPr>
              <w:t>本项目所有产品均为定制产品，根据客户订单要求设计图纸，根据图纸要求对外购钢材、塑料板材进行准确裁切、加工，加工好板材与外购成品元器件、五金件及管道等进行组装调试，成品入库。</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val="0"/>
                <w:color w:val="auto"/>
                <w:szCs w:val="21"/>
              </w:rPr>
            </w:pPr>
            <w:r>
              <w:rPr>
                <w:rFonts w:hint="eastAsia"/>
                <w:b/>
                <w:bCs w:val="0"/>
                <w:color w:val="auto"/>
                <w:szCs w:val="21"/>
                <w:lang w:val="en-US" w:eastAsia="zh-CN"/>
              </w:rPr>
              <w:t>（1）钢材加工</w:t>
            </w:r>
            <w:r>
              <w:rPr>
                <w:rFonts w:hint="eastAsia"/>
                <w:b/>
                <w:bCs w:val="0"/>
                <w:color w:val="auto"/>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Style w:val="242"/>
                <w:rFonts w:hint="eastAsia" w:cs="Times New Roman"/>
                <w:b w:val="0"/>
                <w:bCs w:val="0"/>
                <w:color w:val="auto"/>
                <w:sz w:val="21"/>
                <w:szCs w:val="21"/>
                <w:lang w:val="en-US"/>
              </w:rPr>
            </w:pPr>
            <w:r>
              <w:rPr>
                <w:rFonts w:hint="eastAsia" w:cs="Times New Roman"/>
                <w:b/>
                <w:bCs/>
                <w:color w:val="auto"/>
                <w:kern w:val="2"/>
                <w:sz w:val="21"/>
                <w:szCs w:val="21"/>
                <w:lang w:val="en-US" w:eastAsia="zh-CN" w:bidi="ar-SA"/>
              </w:rPr>
              <w:t>下料</w:t>
            </w:r>
            <w:r>
              <w:rPr>
                <w:rFonts w:hint="eastAsia" w:cs="Times New Roman"/>
                <w:b w:val="0"/>
                <w:bCs w:val="0"/>
                <w:color w:val="auto"/>
                <w:kern w:val="2"/>
                <w:sz w:val="21"/>
                <w:szCs w:val="21"/>
                <w:lang w:val="en-US" w:eastAsia="zh-CN" w:bidi="ar-SA"/>
              </w:rPr>
              <w:t>：</w:t>
            </w:r>
            <w:r>
              <w:rPr>
                <w:rFonts w:hint="eastAsia"/>
                <w:bCs/>
                <w:color w:val="auto"/>
                <w:szCs w:val="21"/>
              </w:rPr>
              <w:t>将</w:t>
            </w:r>
            <w:r>
              <w:rPr>
                <w:rFonts w:hint="eastAsia"/>
                <w:bCs/>
                <w:color w:val="auto"/>
                <w:szCs w:val="21"/>
                <w:lang w:val="en-US" w:eastAsia="zh-CN"/>
              </w:rPr>
              <w:t>外购钢材根据所需尺寸进行下料，</w:t>
            </w:r>
            <w:r>
              <w:rPr>
                <w:rStyle w:val="242"/>
                <w:rFonts w:hint="eastAsia" w:ascii="Times New Roman" w:hAnsi="Times New Roman" w:cs="Times New Roman"/>
                <w:b w:val="0"/>
                <w:bCs w:val="0"/>
                <w:color w:val="auto"/>
                <w:sz w:val="21"/>
                <w:szCs w:val="21"/>
                <w:lang w:val="en-US"/>
              </w:rPr>
              <w:t>按照订单规格要求，对原料钢材和锻压件进行切割下料，以获得所需长度</w:t>
            </w:r>
            <w:r>
              <w:rPr>
                <w:rStyle w:val="242"/>
                <w:rFonts w:hint="eastAsia" w:cs="Times New Roman"/>
                <w:b w:val="0"/>
                <w:bCs w:val="0"/>
                <w:color w:val="auto"/>
                <w:sz w:val="21"/>
                <w:szCs w:val="21"/>
                <w:lang w:val="en-US"/>
              </w:rPr>
              <w:t>板材</w:t>
            </w:r>
            <w:r>
              <w:rPr>
                <w:rStyle w:val="242"/>
                <w:rFonts w:hint="eastAsia" w:ascii="Times New Roman" w:hAnsi="Times New Roman" w:cs="Times New Roman"/>
                <w:b w:val="0"/>
                <w:bCs w:val="0"/>
                <w:color w:val="auto"/>
                <w:sz w:val="21"/>
                <w:szCs w:val="21"/>
                <w:lang w:val="en-US"/>
              </w:rPr>
              <w:t>，光纤激光切割机</w:t>
            </w:r>
            <w:r>
              <w:rPr>
                <w:rStyle w:val="242"/>
                <w:rFonts w:hint="eastAsia" w:cs="Times New Roman"/>
                <w:b w:val="0"/>
                <w:bCs w:val="0"/>
                <w:color w:val="auto"/>
                <w:sz w:val="21"/>
                <w:szCs w:val="21"/>
                <w:lang w:val="en-US"/>
              </w:rPr>
              <w:t>配置汽化器（气化氮气和氧气），此工序</w:t>
            </w:r>
            <w:r>
              <w:rPr>
                <w:rStyle w:val="242"/>
                <w:rFonts w:hint="eastAsia" w:ascii="Times New Roman" w:hAnsi="Times New Roman" w:cs="Times New Roman"/>
                <w:b w:val="0"/>
                <w:bCs w:val="0"/>
                <w:color w:val="auto"/>
                <w:sz w:val="21"/>
                <w:szCs w:val="21"/>
                <w:lang w:val="en-US"/>
              </w:rPr>
              <w:t>产生的</w:t>
            </w:r>
            <w:r>
              <w:rPr>
                <w:rStyle w:val="242"/>
                <w:rFonts w:hint="eastAsia" w:cs="Times New Roman"/>
                <w:b w:val="0"/>
                <w:bCs w:val="0"/>
                <w:color w:val="auto"/>
                <w:sz w:val="21"/>
                <w:szCs w:val="21"/>
                <w:lang w:val="en-US"/>
              </w:rPr>
              <w:t>切割粉尘G</w:t>
            </w:r>
            <w:r>
              <w:rPr>
                <w:rStyle w:val="242"/>
                <w:rFonts w:hint="eastAsia" w:cs="Times New Roman"/>
                <w:b w:val="0"/>
                <w:bCs w:val="0"/>
                <w:color w:val="auto"/>
                <w:sz w:val="21"/>
                <w:szCs w:val="21"/>
                <w:vertAlign w:val="subscript"/>
                <w:lang w:val="en-US"/>
              </w:rPr>
              <w:t>1</w:t>
            </w:r>
            <w:r>
              <w:rPr>
                <w:rStyle w:val="242"/>
                <w:rFonts w:hint="eastAsia" w:cs="Times New Roman"/>
                <w:b w:val="0"/>
                <w:bCs w:val="0"/>
                <w:color w:val="auto"/>
                <w:sz w:val="21"/>
                <w:szCs w:val="21"/>
                <w:lang w:val="en-US"/>
              </w:rPr>
              <w:t>、</w:t>
            </w:r>
            <w:r>
              <w:rPr>
                <w:rStyle w:val="242"/>
                <w:rFonts w:hint="eastAsia" w:ascii="Times New Roman" w:hAnsi="Times New Roman" w:cs="Times New Roman"/>
                <w:b w:val="0"/>
                <w:bCs w:val="0"/>
                <w:color w:val="auto"/>
                <w:sz w:val="21"/>
                <w:szCs w:val="21"/>
                <w:lang w:val="en-US"/>
              </w:rPr>
              <w:t>金属边角料</w:t>
            </w:r>
            <w:r>
              <w:rPr>
                <w:rStyle w:val="242"/>
                <w:rFonts w:hint="eastAsia" w:cs="Times New Roman"/>
                <w:b w:val="0"/>
                <w:bCs w:val="0"/>
                <w:color w:val="auto"/>
                <w:sz w:val="21"/>
                <w:szCs w:val="21"/>
                <w:lang w:val="en-US"/>
              </w:rPr>
              <w:t>S</w:t>
            </w:r>
            <w:r>
              <w:rPr>
                <w:rStyle w:val="242"/>
                <w:rFonts w:hint="eastAsia" w:cs="Times New Roman"/>
                <w:b w:val="0"/>
                <w:bCs w:val="0"/>
                <w:color w:val="auto"/>
                <w:sz w:val="21"/>
                <w:szCs w:val="21"/>
                <w:vertAlign w:val="subscript"/>
                <w:lang w:val="en-US"/>
              </w:rPr>
              <w:t>1</w:t>
            </w:r>
            <w:r>
              <w:rPr>
                <w:rStyle w:val="242"/>
                <w:rFonts w:hint="eastAsia" w:cs="Times New Roman"/>
                <w:b w:val="0"/>
                <w:bCs w:val="0"/>
                <w:color w:val="auto"/>
                <w:sz w:val="21"/>
                <w:szCs w:val="21"/>
                <w:lang w:val="en-US"/>
              </w:rPr>
              <w:t>、机械噪声N</w:t>
            </w:r>
            <w:r>
              <w:rPr>
                <w:rStyle w:val="242"/>
                <w:rFonts w:hint="eastAsia" w:cs="Times New Roman"/>
                <w:b w:val="0"/>
                <w:bCs w:val="0"/>
                <w:color w:val="auto"/>
                <w:sz w:val="21"/>
                <w:szCs w:val="21"/>
                <w:vertAlign w:val="subscript"/>
                <w:lang w:val="en-US"/>
              </w:rPr>
              <w:t>1</w:t>
            </w:r>
            <w:r>
              <w:rPr>
                <w:rStyle w:val="242"/>
                <w:rFonts w:hint="eastAsia" w:cs="Times New Roman"/>
                <w:b w:val="0"/>
                <w:bCs w:val="0"/>
                <w:color w:val="auto"/>
                <w:sz w:val="21"/>
                <w:szCs w:val="21"/>
                <w:lang w:val="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Style w:val="242"/>
                <w:rFonts w:hint="eastAsia" w:cs="Times New Roman"/>
                <w:b w:val="0"/>
                <w:bCs w:val="0"/>
                <w:color w:val="auto"/>
                <w:sz w:val="21"/>
                <w:szCs w:val="21"/>
                <w:vertAlign w:val="baseline"/>
                <w:lang w:val="en-US"/>
              </w:rPr>
            </w:pPr>
            <w:r>
              <w:rPr>
                <w:rStyle w:val="242"/>
                <w:rFonts w:hint="eastAsia" w:cs="Times New Roman"/>
                <w:b/>
                <w:bCs/>
                <w:color w:val="auto"/>
                <w:sz w:val="21"/>
                <w:szCs w:val="21"/>
                <w:lang w:val="en-US"/>
              </w:rPr>
              <w:t>机</w:t>
            </w:r>
            <w:r>
              <w:rPr>
                <w:rStyle w:val="242"/>
                <w:rFonts w:hint="eastAsia" w:ascii="Times New Roman" w:hAnsi="Times New Roman" w:cs="Times New Roman"/>
                <w:b/>
                <w:bCs/>
                <w:color w:val="auto"/>
                <w:sz w:val="21"/>
                <w:szCs w:val="21"/>
                <w:lang w:val="en-US"/>
              </w:rPr>
              <w:t>加工</w:t>
            </w:r>
            <w:r>
              <w:rPr>
                <w:rStyle w:val="242"/>
                <w:rFonts w:hint="eastAsia" w:ascii="Times New Roman" w:hAnsi="Times New Roman" w:cs="Times New Roman"/>
                <w:b w:val="0"/>
                <w:bCs w:val="0"/>
                <w:color w:val="auto"/>
                <w:sz w:val="21"/>
                <w:szCs w:val="21"/>
                <w:lang w:val="en-US"/>
              </w:rPr>
              <w:t>：利用车床、铣床、加工中心等设备对切割好的结构件进行机械加工，得到所需的加工件</w:t>
            </w:r>
            <w:r>
              <w:rPr>
                <w:rStyle w:val="242"/>
                <w:rFonts w:hint="eastAsia" w:cs="Times New Roman"/>
                <w:b w:val="0"/>
                <w:bCs w:val="0"/>
                <w:color w:val="auto"/>
                <w:sz w:val="21"/>
                <w:szCs w:val="21"/>
                <w:lang w:val="en-US"/>
              </w:rPr>
              <w:t>，精加工</w:t>
            </w:r>
            <w:r>
              <w:rPr>
                <w:rStyle w:val="242"/>
                <w:rFonts w:hint="eastAsia" w:ascii="Times New Roman" w:hAnsi="Times New Roman" w:cs="Times New Roman"/>
                <w:b w:val="0"/>
                <w:bCs w:val="0"/>
                <w:color w:val="auto"/>
                <w:sz w:val="21"/>
                <w:szCs w:val="21"/>
                <w:lang w:val="en-US"/>
              </w:rPr>
              <w:t>需切削液进行冷却润滑，循环使用，定期收集做危废处置</w:t>
            </w:r>
            <w:r>
              <w:rPr>
                <w:rStyle w:val="242"/>
                <w:rFonts w:hint="eastAsia" w:cs="Times New Roman"/>
                <w:b w:val="0"/>
                <w:bCs w:val="0"/>
                <w:color w:val="auto"/>
                <w:sz w:val="21"/>
                <w:szCs w:val="21"/>
                <w:lang w:val="en-US"/>
              </w:rPr>
              <w:t>，本项目CNC加工中心液压设备运转过程产生高温导致液压油损耗，需定期补充少量液压油，不产生废液压油</w:t>
            </w:r>
            <w:r>
              <w:rPr>
                <w:rStyle w:val="242"/>
                <w:rFonts w:hint="eastAsia" w:ascii="Times New Roman" w:hAnsi="Times New Roman" w:cs="Times New Roman"/>
                <w:b w:val="0"/>
                <w:bCs w:val="0"/>
                <w:color w:val="auto"/>
                <w:sz w:val="21"/>
                <w:szCs w:val="21"/>
                <w:lang w:val="en-US"/>
              </w:rPr>
              <w:t>。</w:t>
            </w:r>
            <w:r>
              <w:rPr>
                <w:rStyle w:val="242"/>
                <w:rFonts w:hint="eastAsia" w:cs="Times New Roman"/>
                <w:b w:val="0"/>
                <w:bCs w:val="0"/>
                <w:color w:val="auto"/>
                <w:sz w:val="21"/>
                <w:szCs w:val="21"/>
                <w:lang w:val="en-US"/>
              </w:rPr>
              <w:t>此工序产生金属碎屑S</w:t>
            </w:r>
            <w:r>
              <w:rPr>
                <w:rStyle w:val="242"/>
                <w:rFonts w:hint="eastAsia" w:cs="Times New Roman"/>
                <w:b w:val="0"/>
                <w:bCs w:val="0"/>
                <w:color w:val="auto"/>
                <w:sz w:val="21"/>
                <w:szCs w:val="21"/>
                <w:vertAlign w:val="subscript"/>
                <w:lang w:val="en-US"/>
              </w:rPr>
              <w:t>2</w:t>
            </w:r>
            <w:r>
              <w:rPr>
                <w:rStyle w:val="242"/>
                <w:rFonts w:hint="eastAsia" w:cs="Times New Roman"/>
                <w:b w:val="0"/>
                <w:bCs w:val="0"/>
                <w:color w:val="auto"/>
                <w:sz w:val="21"/>
                <w:szCs w:val="21"/>
                <w:vertAlign w:val="baseline"/>
                <w:lang w:val="en-US"/>
              </w:rPr>
              <w:t>、废切削液S</w:t>
            </w:r>
            <w:r>
              <w:rPr>
                <w:rStyle w:val="242"/>
                <w:rFonts w:hint="eastAsia" w:cs="Times New Roman"/>
                <w:b w:val="0"/>
                <w:bCs w:val="0"/>
                <w:color w:val="auto"/>
                <w:sz w:val="21"/>
                <w:szCs w:val="21"/>
                <w:vertAlign w:val="subscript"/>
                <w:lang w:val="en-US"/>
              </w:rPr>
              <w:t>3、</w:t>
            </w:r>
            <w:r>
              <w:rPr>
                <w:rStyle w:val="242"/>
                <w:rFonts w:hint="eastAsia" w:ascii="Times New Roman" w:hAnsi="Times New Roman" w:eastAsia="宋体" w:cs="Times New Roman"/>
                <w:b w:val="0"/>
                <w:bCs w:val="0"/>
                <w:color w:val="auto"/>
                <w:sz w:val="21"/>
                <w:szCs w:val="21"/>
                <w:vertAlign w:val="baseline"/>
                <w:lang w:val="en-US"/>
              </w:rPr>
              <w:t>机械噪声N</w:t>
            </w:r>
            <w:r>
              <w:rPr>
                <w:rStyle w:val="242"/>
                <w:rFonts w:hint="eastAsia" w:ascii="Times New Roman" w:hAnsi="Times New Roman" w:eastAsia="宋体" w:cs="Times New Roman"/>
                <w:b w:val="0"/>
                <w:bCs w:val="0"/>
                <w:color w:val="auto"/>
                <w:sz w:val="21"/>
                <w:szCs w:val="21"/>
                <w:vertAlign w:val="subscript"/>
                <w:lang w:val="en-US"/>
              </w:rPr>
              <w:t>2</w:t>
            </w:r>
            <w:r>
              <w:rPr>
                <w:rStyle w:val="242"/>
                <w:rFonts w:hint="eastAsia" w:cs="Times New Roman"/>
                <w:b w:val="0"/>
                <w:bCs w:val="0"/>
                <w:color w:val="auto"/>
                <w:sz w:val="21"/>
                <w:szCs w:val="21"/>
                <w:vertAlign w:val="baseline"/>
                <w:lang w:val="en-US"/>
              </w:rPr>
              <w:t>。</w:t>
            </w:r>
          </w:p>
          <w:p>
            <w:pPr>
              <w:pStyle w:val="24"/>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b w:val="0"/>
                <w:bCs/>
                <w:color w:val="auto"/>
                <w:kern w:val="2"/>
                <w:sz w:val="21"/>
                <w:szCs w:val="21"/>
                <w:lang w:val="en-US" w:eastAsia="zh-CN" w:bidi="ar-SA"/>
              </w:rPr>
            </w:pPr>
            <w:r>
              <w:rPr>
                <w:rStyle w:val="242"/>
                <w:rFonts w:hint="eastAsia" w:cs="Times New Roman"/>
                <w:b/>
                <w:bCs/>
                <w:color w:val="auto"/>
                <w:sz w:val="21"/>
                <w:szCs w:val="21"/>
                <w:vertAlign w:val="baseline"/>
                <w:lang w:val="en-US"/>
              </w:rPr>
              <w:t>焊接：</w:t>
            </w:r>
            <w:r>
              <w:rPr>
                <w:rStyle w:val="242"/>
                <w:rFonts w:hint="eastAsia" w:cs="Times New Roman"/>
                <w:b w:val="0"/>
                <w:bCs w:val="0"/>
                <w:color w:val="auto"/>
                <w:sz w:val="21"/>
                <w:szCs w:val="21"/>
                <w:vertAlign w:val="baseline"/>
                <w:lang w:val="en-US"/>
              </w:rPr>
              <w:t>部分金属件和管道需要进行焊接，根据操作工艺及部件位置要求，选用不同的焊接方式。主要选用</w:t>
            </w:r>
            <w:r>
              <w:rPr>
                <w:rFonts w:hint="eastAsia" w:ascii="Times New Roman" w:hAnsi="Times New Roman" w:eastAsia="宋体" w:cs="Times New Roman"/>
                <w:b w:val="0"/>
                <w:bCs/>
                <w:color w:val="auto"/>
                <w:kern w:val="2"/>
                <w:sz w:val="21"/>
                <w:szCs w:val="21"/>
                <w:lang w:val="en-US" w:eastAsia="zh-CN" w:bidi="ar-SA"/>
              </w:rPr>
              <w:t>全自动氩弧焊机</w:t>
            </w:r>
            <w:r>
              <w:rPr>
                <w:rFonts w:hint="eastAsia" w:cs="Times New Roman"/>
                <w:b w:val="0"/>
                <w:bCs/>
                <w:color w:val="auto"/>
                <w:kern w:val="2"/>
                <w:sz w:val="21"/>
                <w:szCs w:val="21"/>
                <w:lang w:val="en-US" w:eastAsia="zh-CN" w:bidi="ar-SA"/>
              </w:rPr>
              <w:t>、气保焊机及激光焊接机</w:t>
            </w:r>
            <w:r>
              <w:rPr>
                <w:rFonts w:hint="eastAsia" w:ascii="Times New Roman" w:hAnsi="Times New Roman" w:eastAsia="宋体" w:cs="Times New Roman"/>
                <w:b w:val="0"/>
                <w:bCs/>
                <w:color w:val="auto"/>
                <w:kern w:val="2"/>
                <w:sz w:val="21"/>
                <w:szCs w:val="21"/>
                <w:lang w:val="en-US" w:eastAsia="zh-CN" w:bidi="ar-SA"/>
              </w:rPr>
              <w:t>，全自动氩弧焊机</w:t>
            </w:r>
            <w:r>
              <w:rPr>
                <w:rFonts w:hint="eastAsia" w:cs="Times New Roman"/>
                <w:b w:val="0"/>
                <w:bCs/>
                <w:color w:val="auto"/>
                <w:kern w:val="2"/>
                <w:sz w:val="21"/>
                <w:szCs w:val="21"/>
                <w:lang w:val="en-US" w:eastAsia="zh-CN" w:bidi="ar-SA"/>
              </w:rPr>
              <w:t>、气保焊机</w:t>
            </w:r>
            <w:r>
              <w:rPr>
                <w:rFonts w:hint="eastAsia" w:ascii="Times New Roman" w:hAnsi="Times New Roman" w:eastAsia="宋体" w:cs="Times New Roman"/>
                <w:b w:val="0"/>
                <w:bCs/>
                <w:color w:val="auto"/>
                <w:kern w:val="2"/>
                <w:sz w:val="21"/>
                <w:szCs w:val="21"/>
                <w:lang w:val="en-US" w:eastAsia="zh-CN" w:bidi="ar-SA"/>
              </w:rPr>
              <w:t>采用惰性气体氩气做保护气，按工艺不同要求将</w:t>
            </w:r>
            <w:r>
              <w:rPr>
                <w:rFonts w:hint="eastAsia" w:cs="Times New Roman"/>
                <w:b w:val="0"/>
                <w:bCs/>
                <w:color w:val="auto"/>
                <w:kern w:val="2"/>
                <w:sz w:val="21"/>
                <w:szCs w:val="21"/>
                <w:lang w:val="en-US" w:eastAsia="zh-CN" w:bidi="ar-SA"/>
              </w:rPr>
              <w:t>部分</w:t>
            </w:r>
            <w:r>
              <w:rPr>
                <w:rFonts w:hint="eastAsia" w:ascii="Times New Roman" w:hAnsi="Times New Roman" w:eastAsia="宋体" w:cs="Times New Roman"/>
                <w:b w:val="0"/>
                <w:bCs/>
                <w:color w:val="auto"/>
                <w:kern w:val="2"/>
                <w:sz w:val="21"/>
                <w:szCs w:val="21"/>
                <w:lang w:val="en-US" w:eastAsia="zh-CN" w:bidi="ar-SA"/>
              </w:rPr>
              <w:t>管道进行热熔连接，不使用焊材，</w:t>
            </w:r>
            <w:r>
              <w:rPr>
                <w:rFonts w:hint="eastAsia" w:cs="Times New Roman"/>
                <w:b w:val="0"/>
                <w:bCs/>
                <w:color w:val="auto"/>
                <w:kern w:val="2"/>
                <w:sz w:val="21"/>
                <w:szCs w:val="21"/>
                <w:lang w:val="en-US" w:eastAsia="zh-CN" w:bidi="ar-SA"/>
              </w:rPr>
              <w:t>部分位置使用焊丝进行焊接，焊丝焊接过程产生焊接烟尘G</w:t>
            </w:r>
            <w:r>
              <w:rPr>
                <w:rFonts w:hint="eastAsia" w:cs="Times New Roman"/>
                <w:b w:val="0"/>
                <w:bCs/>
                <w:color w:val="auto"/>
                <w:kern w:val="2"/>
                <w:sz w:val="21"/>
                <w:szCs w:val="21"/>
                <w:vertAlign w:val="subscript"/>
                <w:lang w:val="en-US" w:eastAsia="zh-CN" w:bidi="ar-SA"/>
              </w:rPr>
              <w:t>2</w:t>
            </w:r>
            <w:r>
              <w:rPr>
                <w:rFonts w:hint="eastAsia" w:cs="Times New Roman"/>
                <w:b w:val="0"/>
                <w:bCs/>
                <w:color w:val="auto"/>
                <w:kern w:val="2"/>
                <w:sz w:val="21"/>
                <w:szCs w:val="21"/>
                <w:vertAlign w:val="baseline"/>
                <w:lang w:val="en-US" w:eastAsia="zh-CN" w:bidi="ar-SA"/>
              </w:rPr>
              <w:t>、机械噪声N3</w:t>
            </w:r>
            <w:r>
              <w:rPr>
                <w:rFonts w:hint="eastAsia" w:ascii="Times New Roman" w:hAnsi="Times New Roman" w:eastAsia="宋体" w:cs="Times New Roman"/>
                <w:b w:val="0"/>
                <w:bCs/>
                <w:color w:val="auto"/>
                <w:kern w:val="2"/>
                <w:sz w:val="21"/>
                <w:szCs w:val="21"/>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b/>
                <w:bCs w:val="0"/>
                <w:color w:val="auto"/>
                <w:szCs w:val="21"/>
                <w:lang w:val="en-US" w:eastAsia="zh-CN"/>
              </w:rPr>
            </w:pPr>
            <w:r>
              <w:rPr>
                <w:rFonts w:hint="eastAsia" w:ascii="Times New Roman" w:hAnsi="Times New Roman" w:eastAsia="宋体" w:cs="Times New Roman"/>
                <w:b/>
                <w:bCs w:val="0"/>
                <w:color w:val="auto"/>
                <w:kern w:val="2"/>
                <w:sz w:val="21"/>
                <w:szCs w:val="21"/>
                <w:lang w:val="en-US" w:eastAsia="zh-CN" w:bidi="ar-SA"/>
              </w:rPr>
              <w:t>（2）</w:t>
            </w:r>
            <w:r>
              <w:rPr>
                <w:rFonts w:hint="eastAsia"/>
                <w:b/>
                <w:bCs w:val="0"/>
                <w:color w:val="auto"/>
                <w:szCs w:val="21"/>
                <w:lang w:val="en-US" w:eastAsia="zh-CN"/>
              </w:rPr>
              <w:t>塑料板材加工：</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bCs/>
                <w:color w:val="FF0000"/>
                <w:szCs w:val="21"/>
              </w:rPr>
            </w:pPr>
            <w:r>
              <w:rPr>
                <w:rFonts w:hint="eastAsia"/>
                <w:bCs/>
                <w:color w:val="auto"/>
                <w:szCs w:val="21"/>
                <w:lang w:val="en-US" w:eastAsia="zh-CN"/>
              </w:rPr>
              <w:t>雕刻：</w:t>
            </w:r>
            <w:r>
              <w:rPr>
                <w:rFonts w:hint="eastAsia"/>
                <w:bCs/>
                <w:color w:val="auto"/>
                <w:szCs w:val="21"/>
              </w:rPr>
              <w:t>本项目采用电脑雕刻机对塑料板进行雕刻。工作原理：是通过计算机内配置的专用雕刻软件进行设计和排版，并由计算机把设计和排版的信息自动传送至雕刻机控制器中，再由控制器把这些信息转化成能驱动步进电机或伺服电机的带有功率的信号，控制雕刻机主机生成雕刻走刀</w:t>
            </w:r>
            <w:r>
              <w:rPr>
                <w:rFonts w:hint="eastAsia"/>
                <w:bCs/>
                <w:color w:val="auto"/>
                <w:szCs w:val="21"/>
                <w:lang w:eastAsia="zh-CN"/>
              </w:rPr>
              <w:t>路</w:t>
            </w:r>
            <w:r>
              <w:rPr>
                <w:rFonts w:hint="eastAsia"/>
                <w:bCs/>
                <w:color w:val="auto"/>
                <w:szCs w:val="21"/>
              </w:rPr>
              <w:t>径。可将板材雕刻出所需的形状。通过控制走刀的深度，还可以实现对板材</w:t>
            </w:r>
            <w:r>
              <w:rPr>
                <w:rFonts w:hint="eastAsia"/>
                <w:bCs/>
                <w:color w:val="auto"/>
                <w:szCs w:val="21"/>
                <w:lang w:eastAsia="zh-CN"/>
              </w:rPr>
              <w:t>的</w:t>
            </w:r>
            <w:r>
              <w:rPr>
                <w:rFonts w:hint="eastAsia"/>
                <w:bCs/>
                <w:color w:val="auto"/>
                <w:szCs w:val="21"/>
              </w:rPr>
              <w:t>裁切加工，此工序会产生废边角料</w:t>
            </w:r>
            <w:r>
              <w:rPr>
                <w:rFonts w:hint="eastAsia"/>
                <w:bCs/>
                <w:color w:val="auto"/>
                <w:szCs w:val="21"/>
                <w:lang w:val="en-US" w:eastAsia="zh-CN"/>
              </w:rPr>
              <w:t>S</w:t>
            </w:r>
            <w:r>
              <w:rPr>
                <w:rFonts w:hint="eastAsia"/>
                <w:bCs/>
                <w:color w:val="auto"/>
                <w:szCs w:val="21"/>
                <w:vertAlign w:val="subscript"/>
                <w:lang w:val="en-US" w:eastAsia="zh-CN"/>
              </w:rPr>
              <w:t>4</w:t>
            </w:r>
            <w:r>
              <w:rPr>
                <w:rFonts w:hint="eastAsia"/>
                <w:bCs/>
                <w:color w:val="auto"/>
                <w:szCs w:val="21"/>
                <w:lang w:val="en-US" w:eastAsia="zh-CN"/>
              </w:rPr>
              <w:t>、雕刻粉尘G</w:t>
            </w:r>
            <w:r>
              <w:rPr>
                <w:rFonts w:hint="eastAsia"/>
                <w:bCs/>
                <w:color w:val="auto"/>
                <w:szCs w:val="21"/>
                <w:vertAlign w:val="subscript"/>
                <w:lang w:val="en-US" w:eastAsia="zh-CN"/>
              </w:rPr>
              <w:t>3</w:t>
            </w:r>
            <w:r>
              <w:rPr>
                <w:rFonts w:hint="eastAsia"/>
                <w:bCs/>
                <w:color w:val="auto"/>
                <w:szCs w:val="21"/>
                <w:vertAlign w:val="baseline"/>
                <w:lang w:val="en-US" w:eastAsia="zh-CN"/>
              </w:rPr>
              <w:t>、机械噪声N4</w:t>
            </w:r>
            <w:r>
              <w:rPr>
                <w:rFonts w:hint="eastAsia"/>
                <w:bCs/>
                <w:color w:val="auto"/>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bCs/>
                <w:color w:val="auto"/>
                <w:szCs w:val="21"/>
              </w:rPr>
            </w:pPr>
            <w:r>
              <w:rPr>
                <w:rFonts w:hint="eastAsia"/>
                <w:b/>
                <w:bCs/>
                <w:color w:val="auto"/>
                <w:szCs w:val="21"/>
                <w:lang w:val="en-US" w:eastAsia="zh-CN"/>
              </w:rPr>
              <w:t>热塑焊接</w:t>
            </w:r>
            <w:r>
              <w:rPr>
                <w:rFonts w:hint="eastAsia"/>
                <w:bCs/>
                <w:color w:val="auto"/>
                <w:szCs w:val="21"/>
              </w:rPr>
              <w:t>：</w:t>
            </w:r>
            <w:r>
              <w:rPr>
                <w:rFonts w:hint="eastAsia"/>
                <w:bCs/>
                <w:color w:val="auto"/>
                <w:szCs w:val="21"/>
                <w:lang w:eastAsia="zh-CN"/>
              </w:rPr>
              <w:t>将雕刻成型的各个面板按照要求，通过塑料焊条组装搭建成型，</w:t>
            </w:r>
            <w:r>
              <w:rPr>
                <w:rFonts w:hint="eastAsia"/>
                <w:bCs/>
                <w:color w:val="auto"/>
                <w:szCs w:val="21"/>
                <w:lang w:val="en-US" w:eastAsia="zh-CN"/>
              </w:rPr>
              <w:t>PP</w:t>
            </w:r>
            <w:r>
              <w:rPr>
                <w:rFonts w:hint="eastAsia"/>
                <w:bCs/>
                <w:color w:val="auto"/>
                <w:szCs w:val="21"/>
                <w:lang w:eastAsia="zh-CN"/>
              </w:rPr>
              <w:t>塑料焊条通过热风枪加热熔融与面板熔接，熔融温度约</w:t>
            </w:r>
            <w:r>
              <w:rPr>
                <w:rFonts w:hint="eastAsia"/>
                <w:bCs/>
                <w:color w:val="auto"/>
                <w:szCs w:val="21"/>
                <w:lang w:val="en-US" w:eastAsia="zh-CN"/>
              </w:rPr>
              <w:t>25</w:t>
            </w:r>
            <w:r>
              <w:rPr>
                <w:rFonts w:hint="eastAsia"/>
                <w:bCs/>
                <w:color w:val="auto"/>
                <w:szCs w:val="21"/>
                <w:lang w:eastAsia="zh-CN"/>
              </w:rPr>
              <w:t>0℃，该工序会有少量的有机废气</w:t>
            </w:r>
            <w:r>
              <w:rPr>
                <w:rFonts w:hint="default"/>
                <w:bCs/>
                <w:color w:val="auto"/>
                <w:szCs w:val="21"/>
                <w:lang w:eastAsia="zh-CN"/>
              </w:rPr>
              <w:t>G</w:t>
            </w:r>
            <w:r>
              <w:rPr>
                <w:rFonts w:hint="eastAsia"/>
                <w:bCs/>
                <w:color w:val="auto"/>
                <w:szCs w:val="21"/>
                <w:lang w:val="en-US" w:eastAsia="zh-CN"/>
              </w:rPr>
              <w:t>4</w:t>
            </w:r>
            <w:r>
              <w:rPr>
                <w:rFonts w:hint="eastAsia"/>
                <w:bCs/>
                <w:color w:val="auto"/>
                <w:szCs w:val="21"/>
                <w:lang w:eastAsia="zh-CN"/>
              </w:rPr>
              <w:t>产生。</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bCs/>
                <w:color w:val="auto"/>
                <w:szCs w:val="21"/>
                <w:lang w:eastAsia="zh-CN"/>
              </w:rPr>
            </w:pPr>
            <w:r>
              <w:rPr>
                <w:rFonts w:hint="eastAsia" w:ascii="Times New Roman" w:hAnsi="Times New Roman" w:cs="Times New Roman"/>
                <w:b/>
                <w:bCs w:val="0"/>
                <w:color w:val="auto"/>
                <w:szCs w:val="21"/>
                <w:lang w:val="en-US" w:eastAsia="zh-CN"/>
              </w:rPr>
              <w:t>（3）组装：</w:t>
            </w:r>
            <w:r>
              <w:rPr>
                <w:rFonts w:hint="eastAsia"/>
                <w:bCs/>
                <w:color w:val="auto"/>
                <w:szCs w:val="21"/>
                <w:lang w:eastAsia="zh-CN"/>
              </w:rPr>
              <w:t>安装地脚及地脚轮，用地脚轮支撑整个设备，然后进行</w:t>
            </w:r>
            <w:r>
              <w:rPr>
                <w:rFonts w:hint="eastAsia"/>
                <w:bCs/>
                <w:color w:val="auto"/>
                <w:szCs w:val="21"/>
                <w:lang w:val="en-US" w:eastAsia="zh-CN"/>
              </w:rPr>
              <w:t>其他部件的安装</w:t>
            </w:r>
            <w:r>
              <w:rPr>
                <w:rFonts w:hint="eastAsia"/>
                <w:bCs/>
                <w:color w:val="auto"/>
                <w:szCs w:val="21"/>
                <w:lang w:eastAsia="zh-CN"/>
              </w:rPr>
              <w:t>；管路安装；气路安装（安装压力表、减压阀、电磁阀组）；电路安装；同步安装水、气枪、推拉门等</w:t>
            </w:r>
            <w:r>
              <w:rPr>
                <w:rFonts w:hint="eastAsia"/>
                <w:bCs/>
                <w:color w:val="auto"/>
                <w:szCs w:val="21"/>
                <w:lang w:val="en-US" w:eastAsia="zh-CN"/>
              </w:rPr>
              <w:t>部件</w:t>
            </w:r>
            <w:r>
              <w:rPr>
                <w:rFonts w:hint="eastAsia"/>
                <w:bCs/>
                <w:color w:val="auto"/>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default"/>
                <w:bCs/>
                <w:color w:val="auto"/>
                <w:szCs w:val="21"/>
                <w:lang w:val="en-US" w:eastAsia="zh-CN"/>
              </w:rPr>
            </w:pPr>
            <w:r>
              <w:rPr>
                <w:rFonts w:hint="eastAsia"/>
                <w:b/>
                <w:bCs/>
                <w:color w:val="auto"/>
                <w:szCs w:val="21"/>
                <w:lang w:eastAsia="zh-CN"/>
              </w:rPr>
              <w:t>（</w:t>
            </w:r>
            <w:r>
              <w:rPr>
                <w:rFonts w:hint="eastAsia"/>
                <w:b/>
                <w:bCs/>
                <w:color w:val="auto"/>
                <w:szCs w:val="21"/>
                <w:lang w:val="en-US" w:eastAsia="zh-CN"/>
              </w:rPr>
              <w:t>4</w:t>
            </w:r>
            <w:r>
              <w:rPr>
                <w:rFonts w:hint="eastAsia"/>
                <w:b/>
                <w:bCs/>
                <w:color w:val="auto"/>
                <w:szCs w:val="21"/>
                <w:lang w:eastAsia="zh-CN"/>
              </w:rPr>
              <w:t>）</w:t>
            </w:r>
            <w:r>
              <w:rPr>
                <w:rFonts w:hint="eastAsia"/>
                <w:b/>
                <w:bCs/>
                <w:color w:val="auto"/>
                <w:szCs w:val="21"/>
                <w:lang w:val="en-US" w:eastAsia="zh-CN"/>
              </w:rPr>
              <w:t>调试：</w:t>
            </w:r>
            <w:r>
              <w:rPr>
                <w:rFonts w:hint="eastAsia"/>
                <w:b w:val="0"/>
                <w:bCs w:val="0"/>
                <w:color w:val="auto"/>
                <w:szCs w:val="21"/>
                <w:lang w:val="en-US" w:eastAsia="zh-CN"/>
              </w:rPr>
              <w:t>利用纯水制备系统制备纯水进行设备调试，</w:t>
            </w:r>
            <w:r>
              <w:rPr>
                <w:rFonts w:hint="eastAsia"/>
                <w:bCs/>
                <w:color w:val="auto"/>
                <w:szCs w:val="21"/>
                <w:lang w:val="en-US" w:eastAsia="zh-CN"/>
              </w:rPr>
              <w:t>将纯水注入机器，对设备性能进行整体调试，其中调试所用纯水全部排出。调试工序会产生设备检测排水W2及噪声N</w:t>
            </w:r>
            <w:r>
              <w:rPr>
                <w:rFonts w:hint="eastAsia"/>
                <w:bCs/>
                <w:color w:val="auto"/>
                <w:szCs w:val="21"/>
                <w:vertAlign w:val="subscript"/>
                <w:lang w:val="en-US" w:eastAsia="zh-CN"/>
              </w:rPr>
              <w:t>5</w:t>
            </w:r>
            <w:r>
              <w:rPr>
                <w:rFonts w:hint="eastAsia"/>
                <w:bCs/>
                <w:color w:val="auto"/>
                <w:szCs w:val="21"/>
                <w:lang w:val="en-US" w:eastAsia="zh-CN"/>
              </w:rPr>
              <w:t>。纯水制备过程产生浓水W</w:t>
            </w:r>
            <w:r>
              <w:rPr>
                <w:rFonts w:hint="eastAsia"/>
                <w:bCs/>
                <w:color w:val="auto"/>
                <w:szCs w:val="21"/>
                <w:vertAlign w:val="subscript"/>
                <w:lang w:val="en-US" w:eastAsia="zh-CN"/>
              </w:rPr>
              <w:t>1</w:t>
            </w:r>
            <w:r>
              <w:rPr>
                <w:rFonts w:hint="eastAsia"/>
                <w:bCs/>
                <w:color w:val="auto"/>
                <w:szCs w:val="21"/>
                <w:lang w:val="en-US" w:eastAsia="zh-CN"/>
              </w:rPr>
              <w:t>、过滤废料S</w:t>
            </w:r>
            <w:r>
              <w:rPr>
                <w:rFonts w:hint="eastAsia"/>
                <w:bCs/>
                <w:color w:val="auto"/>
                <w:szCs w:val="21"/>
                <w:vertAlign w:val="subscript"/>
                <w:lang w:val="en-US" w:eastAsia="zh-CN"/>
              </w:rPr>
              <w:t>5</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bCs/>
                <w:color w:val="auto"/>
                <w:szCs w:val="21"/>
              </w:rPr>
            </w:pPr>
            <w:r>
              <w:rPr>
                <w:rFonts w:hint="eastAsia"/>
                <w:b/>
                <w:bCs w:val="0"/>
                <w:color w:val="auto"/>
                <w:szCs w:val="21"/>
                <w:lang w:eastAsia="zh-CN"/>
              </w:rPr>
              <w:t>（</w:t>
            </w:r>
            <w:r>
              <w:rPr>
                <w:rFonts w:hint="eastAsia"/>
                <w:b/>
                <w:bCs w:val="0"/>
                <w:color w:val="auto"/>
                <w:szCs w:val="21"/>
                <w:lang w:val="en-US" w:eastAsia="zh-CN"/>
              </w:rPr>
              <w:t>5</w:t>
            </w:r>
            <w:r>
              <w:rPr>
                <w:rFonts w:hint="eastAsia"/>
                <w:b/>
                <w:bCs w:val="0"/>
                <w:color w:val="auto"/>
                <w:szCs w:val="21"/>
                <w:lang w:eastAsia="zh-CN"/>
              </w:rPr>
              <w:t>）</w:t>
            </w:r>
            <w:r>
              <w:rPr>
                <w:rFonts w:hint="eastAsia"/>
                <w:b/>
                <w:bCs w:val="0"/>
                <w:color w:val="auto"/>
                <w:szCs w:val="21"/>
              </w:rPr>
              <w:t>入库</w:t>
            </w:r>
            <w:r>
              <w:rPr>
                <w:rFonts w:hint="eastAsia"/>
                <w:bCs/>
                <w:color w:val="auto"/>
                <w:szCs w:val="21"/>
              </w:rPr>
              <w:t>：经过</w:t>
            </w:r>
            <w:r>
              <w:rPr>
                <w:rFonts w:hint="eastAsia"/>
                <w:bCs/>
                <w:color w:val="auto"/>
                <w:szCs w:val="21"/>
                <w:lang w:val="en-US" w:eastAsia="zh-CN"/>
              </w:rPr>
              <w:t>检验合格产品</w:t>
            </w:r>
            <w:r>
              <w:rPr>
                <w:rFonts w:hint="eastAsia"/>
                <w:bCs/>
                <w:color w:val="auto"/>
                <w:szCs w:val="21"/>
              </w:rPr>
              <w:t>入库外售</w:t>
            </w:r>
            <w:r>
              <w:rPr>
                <w:rFonts w:hint="eastAsia"/>
                <w:bCs/>
                <w:color w:val="auto"/>
                <w:szCs w:val="21"/>
                <w:lang w:eastAsia="zh-CN"/>
              </w:rPr>
              <w:t>，</w:t>
            </w:r>
            <w:r>
              <w:rPr>
                <w:rFonts w:hint="eastAsia"/>
                <w:bCs/>
                <w:color w:val="auto"/>
                <w:szCs w:val="21"/>
                <w:lang w:val="en-US" w:eastAsia="zh-CN"/>
              </w:rPr>
              <w:t>不合格产品根据具体检查出来的问题进行返修直至合格入库</w:t>
            </w:r>
            <w:r>
              <w:rPr>
                <w:rFonts w:hint="eastAsia"/>
                <w:bCs/>
                <w:color w:val="auto"/>
                <w:szCs w:val="21"/>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color w:val="auto"/>
              </w:rPr>
              <w:t>主要污染工序：</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color w:val="auto"/>
              </w:rPr>
              <w:t>根据建设项目工艺流程，本项目建设完成后主要污染源及产生的污染物如下：</w:t>
            </w:r>
          </w:p>
          <w:p>
            <w:pPr>
              <w:pStyle w:val="149"/>
              <w:spacing w:line="300" w:lineRule="exact"/>
              <w:rPr>
                <w:color w:val="auto"/>
              </w:rPr>
            </w:pPr>
            <w:r>
              <w:rPr>
                <w:color w:val="auto"/>
              </w:rPr>
              <w:t>表</w:t>
            </w:r>
            <w:r>
              <w:rPr>
                <w:rFonts w:hint="eastAsia"/>
                <w:color w:val="auto"/>
              </w:rPr>
              <w:t>2-</w:t>
            </w:r>
            <w:r>
              <w:rPr>
                <w:rFonts w:hint="eastAsia"/>
                <w:color w:val="auto"/>
                <w:lang w:val="en-US" w:eastAsia="zh-CN"/>
              </w:rPr>
              <w:t xml:space="preserve">8 </w:t>
            </w:r>
            <w:r>
              <w:rPr>
                <w:color w:val="auto"/>
              </w:rPr>
              <w:t xml:space="preserve"> 主要产</w:t>
            </w:r>
            <w:r>
              <w:rPr>
                <w:rFonts w:hint="eastAsia"/>
                <w:color w:val="auto"/>
                <w:lang w:val="en-US" w:eastAsia="zh-CN"/>
              </w:rPr>
              <w:t>污</w:t>
            </w:r>
            <w:r>
              <w:rPr>
                <w:color w:val="auto"/>
              </w:rPr>
              <w:t>环节和排污特征</w:t>
            </w:r>
          </w:p>
          <w:tbl>
            <w:tblPr>
              <w:tblStyle w:val="44"/>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150"/>
              <w:gridCol w:w="2085"/>
              <w:gridCol w:w="319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noWrap w:val="0"/>
                  <w:vAlign w:val="center"/>
                </w:tcPr>
                <w:p>
                  <w:pPr>
                    <w:adjustRightInd w:val="0"/>
                    <w:snapToGrid w:val="0"/>
                    <w:jc w:val="center"/>
                    <w:rPr>
                      <w:b/>
                      <w:iCs/>
                      <w:color w:val="auto"/>
                      <w:sz w:val="18"/>
                      <w:szCs w:val="18"/>
                    </w:rPr>
                  </w:pPr>
                  <w:r>
                    <w:rPr>
                      <w:b/>
                      <w:iCs/>
                      <w:color w:val="auto"/>
                      <w:sz w:val="18"/>
                      <w:szCs w:val="18"/>
                    </w:rPr>
                    <w:t>类别</w:t>
                  </w:r>
                </w:p>
              </w:tc>
              <w:tc>
                <w:tcPr>
                  <w:tcW w:w="1150" w:type="dxa"/>
                  <w:noWrap w:val="0"/>
                  <w:vAlign w:val="center"/>
                </w:tcPr>
                <w:p>
                  <w:pPr>
                    <w:adjustRightInd w:val="0"/>
                    <w:snapToGrid w:val="0"/>
                    <w:jc w:val="center"/>
                    <w:rPr>
                      <w:b/>
                      <w:iCs/>
                      <w:color w:val="auto"/>
                      <w:sz w:val="18"/>
                      <w:szCs w:val="18"/>
                    </w:rPr>
                  </w:pPr>
                  <w:r>
                    <w:rPr>
                      <w:b/>
                      <w:iCs/>
                      <w:color w:val="auto"/>
                      <w:sz w:val="18"/>
                      <w:szCs w:val="18"/>
                    </w:rPr>
                    <w:t>产生工序</w:t>
                  </w:r>
                </w:p>
              </w:tc>
              <w:tc>
                <w:tcPr>
                  <w:tcW w:w="2085" w:type="dxa"/>
                  <w:noWrap w:val="0"/>
                  <w:vAlign w:val="center"/>
                </w:tcPr>
                <w:p>
                  <w:pPr>
                    <w:adjustRightInd w:val="0"/>
                    <w:snapToGrid w:val="0"/>
                    <w:jc w:val="center"/>
                    <w:rPr>
                      <w:b/>
                      <w:iCs/>
                      <w:color w:val="auto"/>
                      <w:sz w:val="18"/>
                      <w:szCs w:val="18"/>
                    </w:rPr>
                  </w:pPr>
                  <w:r>
                    <w:rPr>
                      <w:b/>
                      <w:iCs/>
                      <w:color w:val="auto"/>
                      <w:sz w:val="18"/>
                      <w:szCs w:val="18"/>
                    </w:rPr>
                    <w:t>污染物</w:t>
                  </w:r>
                </w:p>
              </w:tc>
              <w:tc>
                <w:tcPr>
                  <w:tcW w:w="3199" w:type="dxa"/>
                  <w:noWrap w:val="0"/>
                  <w:vAlign w:val="center"/>
                </w:tcPr>
                <w:p>
                  <w:pPr>
                    <w:adjustRightInd w:val="0"/>
                    <w:snapToGrid w:val="0"/>
                    <w:jc w:val="center"/>
                    <w:rPr>
                      <w:b/>
                      <w:iCs/>
                      <w:color w:val="auto"/>
                      <w:sz w:val="18"/>
                      <w:szCs w:val="18"/>
                    </w:rPr>
                  </w:pPr>
                  <w:r>
                    <w:rPr>
                      <w:rFonts w:hint="eastAsia"/>
                      <w:b/>
                      <w:iCs/>
                      <w:color w:val="auto"/>
                      <w:sz w:val="18"/>
                      <w:szCs w:val="18"/>
                    </w:rPr>
                    <w:t>处理措施</w:t>
                  </w:r>
                </w:p>
              </w:tc>
              <w:tc>
                <w:tcPr>
                  <w:tcW w:w="1224" w:type="dxa"/>
                  <w:noWrap w:val="0"/>
                  <w:vAlign w:val="center"/>
                </w:tcPr>
                <w:p>
                  <w:pPr>
                    <w:adjustRightInd w:val="0"/>
                    <w:snapToGrid w:val="0"/>
                    <w:jc w:val="center"/>
                    <w:rPr>
                      <w:b/>
                      <w:iCs/>
                      <w:color w:val="auto"/>
                      <w:sz w:val="18"/>
                      <w:szCs w:val="18"/>
                    </w:rPr>
                  </w:pPr>
                  <w:r>
                    <w:rPr>
                      <w:b/>
                      <w:iCs/>
                      <w:color w:val="auto"/>
                      <w:sz w:val="18"/>
                      <w:szCs w:val="18"/>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restart"/>
                  <w:noWrap w:val="0"/>
                  <w:vAlign w:val="center"/>
                </w:tcPr>
                <w:p>
                  <w:pPr>
                    <w:adjustRightInd w:val="0"/>
                    <w:snapToGrid w:val="0"/>
                    <w:jc w:val="center"/>
                    <w:rPr>
                      <w:iCs/>
                      <w:color w:val="auto"/>
                      <w:sz w:val="18"/>
                      <w:szCs w:val="18"/>
                    </w:rPr>
                  </w:pPr>
                  <w:r>
                    <w:rPr>
                      <w:iCs/>
                      <w:color w:val="auto"/>
                      <w:sz w:val="18"/>
                      <w:szCs w:val="18"/>
                    </w:rPr>
                    <w:t>废气</w:t>
                  </w:r>
                </w:p>
              </w:tc>
              <w:tc>
                <w:tcPr>
                  <w:tcW w:w="1150" w:type="dxa"/>
                  <w:noWrap w:val="0"/>
                  <w:vAlign w:val="center"/>
                </w:tcPr>
                <w:p>
                  <w:pPr>
                    <w:adjustRightInd w:val="0"/>
                    <w:snapToGrid w:val="0"/>
                    <w:jc w:val="center"/>
                    <w:rPr>
                      <w:rFonts w:hint="default" w:eastAsia="宋体"/>
                      <w:iCs/>
                      <w:color w:val="auto"/>
                      <w:sz w:val="18"/>
                      <w:szCs w:val="18"/>
                      <w:lang w:val="en-US" w:eastAsia="zh-CN"/>
                    </w:rPr>
                  </w:pPr>
                  <w:r>
                    <w:rPr>
                      <w:rFonts w:hint="eastAsia"/>
                      <w:iCs/>
                      <w:color w:val="auto"/>
                      <w:sz w:val="18"/>
                      <w:szCs w:val="18"/>
                      <w:lang w:val="en-US" w:eastAsia="zh-CN"/>
                    </w:rPr>
                    <w:t>金属切割</w:t>
                  </w:r>
                </w:p>
              </w:tc>
              <w:tc>
                <w:tcPr>
                  <w:tcW w:w="2085" w:type="dxa"/>
                  <w:noWrap w:val="0"/>
                  <w:vAlign w:val="center"/>
                </w:tcPr>
                <w:p>
                  <w:pPr>
                    <w:adjustRightInd w:val="0"/>
                    <w:snapToGrid w:val="0"/>
                    <w:jc w:val="center"/>
                    <w:rPr>
                      <w:rFonts w:hint="eastAsia" w:eastAsia="宋体"/>
                      <w:iCs/>
                      <w:color w:val="auto"/>
                      <w:sz w:val="18"/>
                      <w:szCs w:val="18"/>
                      <w:lang w:eastAsia="zh-CN"/>
                    </w:rPr>
                  </w:pPr>
                  <w:r>
                    <w:rPr>
                      <w:rFonts w:hint="eastAsia"/>
                      <w:iCs/>
                      <w:color w:val="auto"/>
                      <w:sz w:val="18"/>
                      <w:szCs w:val="18"/>
                    </w:rPr>
                    <w:t>G</w:t>
                  </w:r>
                  <w:r>
                    <w:rPr>
                      <w:rFonts w:hint="eastAsia"/>
                      <w:iCs/>
                      <w:color w:val="auto"/>
                      <w:sz w:val="18"/>
                      <w:szCs w:val="18"/>
                      <w:vertAlign w:val="subscript"/>
                    </w:rPr>
                    <w:t>1</w:t>
                  </w:r>
                  <w:r>
                    <w:rPr>
                      <w:rFonts w:hint="eastAsia"/>
                      <w:iCs/>
                      <w:color w:val="auto"/>
                      <w:sz w:val="18"/>
                      <w:szCs w:val="18"/>
                      <w:lang w:val="en-US" w:eastAsia="zh-CN"/>
                    </w:rPr>
                    <w:t>粉尘</w:t>
                  </w:r>
                </w:p>
              </w:tc>
              <w:tc>
                <w:tcPr>
                  <w:tcW w:w="3199" w:type="dxa"/>
                  <w:noWrap w:val="0"/>
                  <w:vAlign w:val="center"/>
                </w:tcPr>
                <w:p>
                  <w:pPr>
                    <w:adjustRightInd w:val="0"/>
                    <w:snapToGrid w:val="0"/>
                    <w:jc w:val="center"/>
                    <w:rPr>
                      <w:rFonts w:hint="default" w:eastAsia="宋体"/>
                      <w:iCs/>
                      <w:color w:val="auto"/>
                      <w:sz w:val="18"/>
                      <w:szCs w:val="18"/>
                      <w:lang w:val="en-US" w:eastAsia="zh-CN"/>
                    </w:rPr>
                  </w:pPr>
                  <w:r>
                    <w:rPr>
                      <w:rFonts w:hint="eastAsia"/>
                      <w:iCs/>
                      <w:color w:val="auto"/>
                      <w:sz w:val="18"/>
                      <w:szCs w:val="18"/>
                      <w:lang w:val="en-US" w:eastAsia="zh-CN"/>
                    </w:rPr>
                    <w:t>密闭车间内生产加工，车间地面干法清洁</w:t>
                  </w:r>
                </w:p>
              </w:tc>
              <w:tc>
                <w:tcPr>
                  <w:tcW w:w="1224" w:type="dxa"/>
                  <w:noWrap w:val="0"/>
                  <w:vAlign w:val="center"/>
                </w:tcPr>
                <w:p>
                  <w:pPr>
                    <w:adjustRightInd w:val="0"/>
                    <w:snapToGrid w:val="0"/>
                    <w:jc w:val="center"/>
                    <w:rPr>
                      <w:iCs/>
                      <w:color w:val="auto"/>
                      <w:sz w:val="18"/>
                      <w:szCs w:val="18"/>
                    </w:rPr>
                  </w:pPr>
                  <w:r>
                    <w:rPr>
                      <w:rFonts w:hint="eastAsia"/>
                      <w:iCs/>
                      <w:color w:val="auto"/>
                      <w:sz w:val="18"/>
                      <w:szCs w:val="18"/>
                      <w:lang w:val="en-US" w:eastAsia="zh-CN"/>
                    </w:rPr>
                    <w:t>无</w:t>
                  </w:r>
                  <w:r>
                    <w:rPr>
                      <w:rFonts w:hint="eastAsia"/>
                      <w:iCs/>
                      <w:color w:val="auto"/>
                      <w:sz w:val="18"/>
                      <w:szCs w:val="18"/>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continue"/>
                  <w:noWrap w:val="0"/>
                  <w:vAlign w:val="center"/>
                </w:tcPr>
                <w:p>
                  <w:pPr>
                    <w:adjustRightInd w:val="0"/>
                    <w:snapToGrid w:val="0"/>
                    <w:jc w:val="center"/>
                    <w:rPr>
                      <w:iCs/>
                      <w:color w:val="auto"/>
                      <w:sz w:val="18"/>
                      <w:szCs w:val="18"/>
                    </w:rPr>
                  </w:pPr>
                </w:p>
              </w:tc>
              <w:tc>
                <w:tcPr>
                  <w:tcW w:w="1150" w:type="dxa"/>
                  <w:noWrap w:val="0"/>
                  <w:vAlign w:val="center"/>
                </w:tcPr>
                <w:p>
                  <w:pPr>
                    <w:adjustRightInd w:val="0"/>
                    <w:snapToGrid w:val="0"/>
                    <w:jc w:val="center"/>
                    <w:rPr>
                      <w:rFonts w:hint="default" w:eastAsia="宋体"/>
                      <w:iCs/>
                      <w:color w:val="auto"/>
                      <w:sz w:val="18"/>
                      <w:szCs w:val="18"/>
                      <w:lang w:val="en-US" w:eastAsia="zh-CN"/>
                    </w:rPr>
                  </w:pPr>
                  <w:r>
                    <w:rPr>
                      <w:rFonts w:hint="eastAsia"/>
                      <w:iCs/>
                      <w:color w:val="auto"/>
                      <w:sz w:val="18"/>
                      <w:szCs w:val="18"/>
                      <w:lang w:val="en-US" w:eastAsia="zh-CN"/>
                    </w:rPr>
                    <w:t>焊接烟尘</w:t>
                  </w:r>
                </w:p>
              </w:tc>
              <w:tc>
                <w:tcPr>
                  <w:tcW w:w="2085" w:type="dxa"/>
                  <w:noWrap w:val="0"/>
                  <w:vAlign w:val="center"/>
                </w:tcPr>
                <w:p>
                  <w:pPr>
                    <w:adjustRightInd w:val="0"/>
                    <w:snapToGrid w:val="0"/>
                    <w:jc w:val="center"/>
                    <w:rPr>
                      <w:rFonts w:hint="eastAsia" w:eastAsia="宋体"/>
                      <w:iCs/>
                      <w:color w:val="auto"/>
                      <w:sz w:val="18"/>
                      <w:szCs w:val="18"/>
                      <w:lang w:eastAsia="zh-CN"/>
                    </w:rPr>
                  </w:pPr>
                  <w:r>
                    <w:rPr>
                      <w:rFonts w:hint="eastAsia"/>
                      <w:iCs/>
                      <w:color w:val="auto"/>
                      <w:sz w:val="18"/>
                      <w:szCs w:val="18"/>
                    </w:rPr>
                    <w:t>G</w:t>
                  </w:r>
                  <w:r>
                    <w:rPr>
                      <w:rFonts w:hint="eastAsia"/>
                      <w:iCs/>
                      <w:color w:val="auto"/>
                      <w:sz w:val="18"/>
                      <w:szCs w:val="18"/>
                      <w:vertAlign w:val="subscript"/>
                    </w:rPr>
                    <w:t>2</w:t>
                  </w:r>
                  <w:r>
                    <w:rPr>
                      <w:rFonts w:hint="eastAsia"/>
                      <w:iCs/>
                      <w:color w:val="auto"/>
                      <w:sz w:val="18"/>
                      <w:szCs w:val="18"/>
                      <w:lang w:val="en-US" w:eastAsia="zh-CN"/>
                    </w:rPr>
                    <w:t>烟尘</w:t>
                  </w:r>
                </w:p>
              </w:tc>
              <w:tc>
                <w:tcPr>
                  <w:tcW w:w="3199" w:type="dxa"/>
                  <w:noWrap w:val="0"/>
                  <w:vAlign w:val="center"/>
                </w:tcPr>
                <w:p>
                  <w:pPr>
                    <w:adjustRightInd w:val="0"/>
                    <w:snapToGrid w:val="0"/>
                    <w:jc w:val="center"/>
                    <w:rPr>
                      <w:rFonts w:hint="default"/>
                      <w:iCs/>
                      <w:color w:val="auto"/>
                      <w:sz w:val="18"/>
                      <w:szCs w:val="18"/>
                      <w:lang w:val="en-US"/>
                    </w:rPr>
                  </w:pPr>
                  <w:r>
                    <w:rPr>
                      <w:rFonts w:hint="eastAsia"/>
                      <w:bCs/>
                      <w:color w:val="auto"/>
                      <w:sz w:val="18"/>
                      <w:szCs w:val="18"/>
                      <w:lang w:val="en-US" w:eastAsia="zh-CN"/>
                    </w:rPr>
                    <w:t>移动式烟尘净化器处理</w:t>
                  </w:r>
                </w:p>
              </w:tc>
              <w:tc>
                <w:tcPr>
                  <w:tcW w:w="1224" w:type="dxa"/>
                  <w:noWrap w:val="0"/>
                  <w:vAlign w:val="center"/>
                </w:tcPr>
                <w:p>
                  <w:pPr>
                    <w:adjustRightInd w:val="0"/>
                    <w:snapToGrid w:val="0"/>
                    <w:jc w:val="center"/>
                    <w:rPr>
                      <w:iCs/>
                      <w:color w:val="auto"/>
                      <w:sz w:val="18"/>
                      <w:szCs w:val="18"/>
                    </w:rPr>
                  </w:pPr>
                  <w:r>
                    <w:rPr>
                      <w:rFonts w:hint="eastAsia"/>
                      <w:iCs/>
                      <w:color w:val="auto"/>
                      <w:sz w:val="18"/>
                      <w:szCs w:val="18"/>
                      <w:lang w:val="en-US" w:eastAsia="zh-CN"/>
                    </w:rPr>
                    <w:t>无</w:t>
                  </w:r>
                  <w:r>
                    <w:rPr>
                      <w:rFonts w:hint="eastAsia"/>
                      <w:iCs/>
                      <w:color w:val="auto"/>
                      <w:sz w:val="18"/>
                      <w:szCs w:val="18"/>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continue"/>
                  <w:noWrap w:val="0"/>
                  <w:vAlign w:val="center"/>
                </w:tcPr>
                <w:p>
                  <w:pPr>
                    <w:adjustRightInd w:val="0"/>
                    <w:snapToGrid w:val="0"/>
                    <w:jc w:val="center"/>
                    <w:rPr>
                      <w:iCs/>
                      <w:color w:val="auto"/>
                      <w:sz w:val="18"/>
                      <w:szCs w:val="18"/>
                    </w:rPr>
                  </w:pPr>
                </w:p>
              </w:tc>
              <w:tc>
                <w:tcPr>
                  <w:tcW w:w="1150" w:type="dxa"/>
                  <w:noWrap w:val="0"/>
                  <w:vAlign w:val="center"/>
                </w:tcPr>
                <w:p>
                  <w:pPr>
                    <w:adjustRightInd w:val="0"/>
                    <w:snapToGrid w:val="0"/>
                    <w:jc w:val="center"/>
                    <w:rPr>
                      <w:rFonts w:hint="eastAsia" w:eastAsia="宋体"/>
                      <w:iCs/>
                      <w:color w:val="auto"/>
                      <w:sz w:val="18"/>
                      <w:szCs w:val="18"/>
                      <w:lang w:eastAsia="zh-CN"/>
                    </w:rPr>
                  </w:pPr>
                  <w:r>
                    <w:rPr>
                      <w:rFonts w:hint="eastAsia"/>
                      <w:iCs/>
                      <w:color w:val="auto"/>
                      <w:sz w:val="18"/>
                      <w:szCs w:val="18"/>
                      <w:lang w:val="en-US" w:eastAsia="zh-CN"/>
                    </w:rPr>
                    <w:t>雕刻</w:t>
                  </w:r>
                </w:p>
              </w:tc>
              <w:tc>
                <w:tcPr>
                  <w:tcW w:w="2085" w:type="dxa"/>
                  <w:noWrap w:val="0"/>
                  <w:vAlign w:val="center"/>
                </w:tcPr>
                <w:p>
                  <w:pPr>
                    <w:adjustRightInd w:val="0"/>
                    <w:snapToGrid w:val="0"/>
                    <w:jc w:val="center"/>
                    <w:rPr>
                      <w:rFonts w:hint="eastAsia" w:eastAsia="宋体"/>
                      <w:iCs/>
                      <w:color w:val="auto"/>
                      <w:sz w:val="18"/>
                      <w:szCs w:val="18"/>
                      <w:lang w:eastAsia="zh-CN"/>
                    </w:rPr>
                  </w:pPr>
                  <w:r>
                    <w:rPr>
                      <w:rFonts w:hint="eastAsia"/>
                      <w:iCs/>
                      <w:color w:val="auto"/>
                      <w:sz w:val="18"/>
                      <w:szCs w:val="18"/>
                    </w:rPr>
                    <w:t>G</w:t>
                  </w:r>
                  <w:r>
                    <w:rPr>
                      <w:rFonts w:hint="eastAsia"/>
                      <w:iCs/>
                      <w:color w:val="auto"/>
                      <w:sz w:val="18"/>
                      <w:szCs w:val="18"/>
                      <w:vertAlign w:val="subscript"/>
                      <w:lang w:val="en-US" w:eastAsia="zh-CN"/>
                    </w:rPr>
                    <w:t>3</w:t>
                  </w:r>
                  <w:r>
                    <w:rPr>
                      <w:rFonts w:hint="eastAsia"/>
                      <w:iCs/>
                      <w:color w:val="auto"/>
                      <w:sz w:val="18"/>
                      <w:szCs w:val="18"/>
                      <w:lang w:val="en-US" w:eastAsia="zh-CN"/>
                    </w:rPr>
                    <w:t>粉尘</w:t>
                  </w:r>
                </w:p>
              </w:tc>
              <w:tc>
                <w:tcPr>
                  <w:tcW w:w="3199" w:type="dxa"/>
                  <w:noWrap w:val="0"/>
                  <w:vAlign w:val="center"/>
                </w:tcPr>
                <w:p>
                  <w:pPr>
                    <w:adjustRightInd w:val="0"/>
                    <w:snapToGrid w:val="0"/>
                    <w:jc w:val="center"/>
                    <w:rPr>
                      <w:rFonts w:hint="default" w:eastAsia="宋体"/>
                      <w:iCs/>
                      <w:color w:val="auto"/>
                      <w:sz w:val="18"/>
                      <w:szCs w:val="18"/>
                      <w:lang w:val="en-US" w:eastAsia="zh-CN"/>
                    </w:rPr>
                  </w:pPr>
                  <w:r>
                    <w:rPr>
                      <w:rFonts w:hint="eastAsia"/>
                      <w:bCs/>
                      <w:color w:val="auto"/>
                      <w:sz w:val="18"/>
                      <w:szCs w:val="18"/>
                      <w:lang w:val="en-US" w:eastAsia="zh-CN"/>
                    </w:rPr>
                    <w:t>密闭车间内生产，采用吸尘器干法收集</w:t>
                  </w:r>
                </w:p>
              </w:tc>
              <w:tc>
                <w:tcPr>
                  <w:tcW w:w="1224" w:type="dxa"/>
                  <w:noWrap w:val="0"/>
                  <w:vAlign w:val="center"/>
                </w:tcPr>
                <w:p>
                  <w:pPr>
                    <w:adjustRightInd w:val="0"/>
                    <w:snapToGrid w:val="0"/>
                    <w:jc w:val="center"/>
                    <w:rPr>
                      <w:rFonts w:hint="eastAsia"/>
                      <w:iCs/>
                      <w:color w:val="auto"/>
                      <w:sz w:val="18"/>
                      <w:szCs w:val="18"/>
                    </w:rPr>
                  </w:pPr>
                  <w:r>
                    <w:rPr>
                      <w:rFonts w:hint="eastAsia"/>
                      <w:iCs/>
                      <w:color w:val="auto"/>
                      <w:sz w:val="18"/>
                      <w:szCs w:val="18"/>
                      <w:lang w:val="en-US" w:eastAsia="zh-CN"/>
                    </w:rPr>
                    <w:t>无</w:t>
                  </w:r>
                  <w:r>
                    <w:rPr>
                      <w:rFonts w:hint="eastAsia"/>
                      <w:iCs/>
                      <w:color w:val="auto"/>
                      <w:sz w:val="18"/>
                      <w:szCs w:val="18"/>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continue"/>
                  <w:noWrap w:val="0"/>
                  <w:vAlign w:val="center"/>
                </w:tcPr>
                <w:p>
                  <w:pPr>
                    <w:adjustRightInd w:val="0"/>
                    <w:snapToGrid w:val="0"/>
                    <w:jc w:val="center"/>
                    <w:rPr>
                      <w:iCs/>
                      <w:color w:val="auto"/>
                      <w:sz w:val="18"/>
                      <w:szCs w:val="18"/>
                    </w:rPr>
                  </w:pPr>
                </w:p>
              </w:tc>
              <w:tc>
                <w:tcPr>
                  <w:tcW w:w="1150" w:type="dxa"/>
                  <w:noWrap w:val="0"/>
                  <w:vAlign w:val="center"/>
                </w:tcPr>
                <w:p>
                  <w:pPr>
                    <w:adjustRightInd w:val="0"/>
                    <w:snapToGrid w:val="0"/>
                    <w:jc w:val="center"/>
                    <w:rPr>
                      <w:rFonts w:hint="default"/>
                      <w:iCs/>
                      <w:color w:val="auto"/>
                      <w:sz w:val="18"/>
                      <w:szCs w:val="18"/>
                      <w:lang w:val="en-US" w:eastAsia="zh-CN"/>
                    </w:rPr>
                  </w:pPr>
                  <w:r>
                    <w:rPr>
                      <w:rFonts w:hint="eastAsia"/>
                      <w:iCs/>
                      <w:color w:val="auto"/>
                      <w:sz w:val="18"/>
                      <w:szCs w:val="18"/>
                      <w:lang w:val="en-US" w:eastAsia="zh-CN"/>
                    </w:rPr>
                    <w:t>热熔焊接</w:t>
                  </w:r>
                </w:p>
              </w:tc>
              <w:tc>
                <w:tcPr>
                  <w:tcW w:w="2085" w:type="dxa"/>
                  <w:noWrap w:val="0"/>
                  <w:vAlign w:val="center"/>
                </w:tcPr>
                <w:p>
                  <w:pPr>
                    <w:adjustRightInd w:val="0"/>
                    <w:snapToGrid w:val="0"/>
                    <w:jc w:val="center"/>
                    <w:rPr>
                      <w:rFonts w:hint="default"/>
                      <w:iCs/>
                      <w:color w:val="auto"/>
                      <w:sz w:val="18"/>
                      <w:szCs w:val="18"/>
                      <w:lang w:val="en-US"/>
                    </w:rPr>
                  </w:pPr>
                  <w:r>
                    <w:rPr>
                      <w:rFonts w:hint="eastAsia"/>
                      <w:iCs/>
                      <w:color w:val="auto"/>
                      <w:sz w:val="18"/>
                      <w:szCs w:val="18"/>
                    </w:rPr>
                    <w:t>G</w:t>
                  </w:r>
                  <w:r>
                    <w:rPr>
                      <w:rFonts w:hint="eastAsia"/>
                      <w:iCs/>
                      <w:color w:val="auto"/>
                      <w:sz w:val="18"/>
                      <w:szCs w:val="18"/>
                      <w:vertAlign w:val="subscript"/>
                      <w:lang w:val="en-US" w:eastAsia="zh-CN"/>
                    </w:rPr>
                    <w:t>4</w:t>
                  </w:r>
                  <w:r>
                    <w:rPr>
                      <w:rFonts w:hint="eastAsia"/>
                      <w:iCs/>
                      <w:color w:val="auto"/>
                      <w:sz w:val="18"/>
                      <w:szCs w:val="18"/>
                      <w:vertAlign w:val="baseline"/>
                      <w:lang w:val="en-US" w:eastAsia="zh-CN"/>
                    </w:rPr>
                    <w:t>有机废气</w:t>
                  </w:r>
                </w:p>
              </w:tc>
              <w:tc>
                <w:tcPr>
                  <w:tcW w:w="3199" w:type="dxa"/>
                  <w:noWrap w:val="0"/>
                  <w:vAlign w:val="center"/>
                </w:tcPr>
                <w:p>
                  <w:pPr>
                    <w:adjustRightInd w:val="0"/>
                    <w:snapToGrid w:val="0"/>
                    <w:jc w:val="center"/>
                    <w:rPr>
                      <w:rFonts w:hint="default" w:eastAsia="宋体"/>
                      <w:bCs/>
                      <w:color w:val="auto"/>
                      <w:sz w:val="18"/>
                      <w:szCs w:val="18"/>
                      <w:lang w:val="en-US" w:eastAsia="zh-CN"/>
                    </w:rPr>
                  </w:pPr>
                  <w:r>
                    <w:rPr>
                      <w:rFonts w:hint="eastAsia"/>
                      <w:bCs/>
                      <w:color w:val="auto"/>
                      <w:sz w:val="18"/>
                      <w:szCs w:val="18"/>
                      <w:lang w:val="en-US" w:eastAsia="zh-CN"/>
                    </w:rPr>
                    <w:t>选用合格新料PP胶条</w:t>
                  </w:r>
                </w:p>
              </w:tc>
              <w:tc>
                <w:tcPr>
                  <w:tcW w:w="1224" w:type="dxa"/>
                  <w:noWrap w:val="0"/>
                  <w:vAlign w:val="center"/>
                </w:tcPr>
                <w:p>
                  <w:pPr>
                    <w:adjustRightInd w:val="0"/>
                    <w:snapToGrid w:val="0"/>
                    <w:jc w:val="center"/>
                    <w:rPr>
                      <w:rFonts w:hint="eastAsia"/>
                      <w:iCs/>
                      <w:color w:val="auto"/>
                      <w:sz w:val="18"/>
                      <w:szCs w:val="18"/>
                    </w:rPr>
                  </w:pPr>
                  <w:r>
                    <w:rPr>
                      <w:rFonts w:hint="eastAsia"/>
                      <w:iCs/>
                      <w:color w:val="auto"/>
                      <w:sz w:val="18"/>
                      <w:szCs w:val="18"/>
                      <w:lang w:val="en-US" w:eastAsia="zh-CN"/>
                    </w:rPr>
                    <w:t>无</w:t>
                  </w:r>
                  <w:r>
                    <w:rPr>
                      <w:rFonts w:hint="eastAsia"/>
                      <w:iCs/>
                      <w:color w:val="auto"/>
                      <w:sz w:val="18"/>
                      <w:szCs w:val="18"/>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continue"/>
                  <w:noWrap w:val="0"/>
                  <w:vAlign w:val="center"/>
                </w:tcPr>
                <w:p>
                  <w:pPr>
                    <w:adjustRightInd w:val="0"/>
                    <w:snapToGrid w:val="0"/>
                    <w:jc w:val="center"/>
                    <w:rPr>
                      <w:iCs/>
                      <w:color w:val="auto"/>
                      <w:sz w:val="18"/>
                      <w:szCs w:val="18"/>
                    </w:rPr>
                  </w:pPr>
                </w:p>
              </w:tc>
              <w:tc>
                <w:tcPr>
                  <w:tcW w:w="1150" w:type="dxa"/>
                  <w:noWrap w:val="0"/>
                  <w:vAlign w:val="center"/>
                </w:tcPr>
                <w:p>
                  <w:pPr>
                    <w:adjustRightInd w:val="0"/>
                    <w:snapToGrid w:val="0"/>
                    <w:jc w:val="center"/>
                    <w:rPr>
                      <w:rFonts w:hint="default"/>
                      <w:iCs/>
                      <w:color w:val="auto"/>
                      <w:sz w:val="18"/>
                      <w:szCs w:val="18"/>
                      <w:lang w:val="en-US" w:eastAsia="zh-CN"/>
                    </w:rPr>
                  </w:pPr>
                  <w:r>
                    <w:rPr>
                      <w:rFonts w:hint="eastAsia"/>
                      <w:iCs/>
                      <w:color w:val="auto"/>
                      <w:sz w:val="18"/>
                      <w:szCs w:val="18"/>
                      <w:lang w:val="en-US" w:eastAsia="zh-CN"/>
                    </w:rPr>
                    <w:t>食堂</w:t>
                  </w:r>
                </w:p>
              </w:tc>
              <w:tc>
                <w:tcPr>
                  <w:tcW w:w="2085" w:type="dxa"/>
                  <w:noWrap w:val="0"/>
                  <w:vAlign w:val="center"/>
                </w:tcPr>
                <w:p>
                  <w:pPr>
                    <w:adjustRightInd w:val="0"/>
                    <w:snapToGrid w:val="0"/>
                    <w:jc w:val="center"/>
                    <w:rPr>
                      <w:rFonts w:hint="eastAsia" w:eastAsia="宋体"/>
                      <w:iCs/>
                      <w:color w:val="auto"/>
                      <w:sz w:val="18"/>
                      <w:szCs w:val="18"/>
                      <w:lang w:val="en-US" w:eastAsia="zh-CN"/>
                    </w:rPr>
                  </w:pPr>
                  <w:r>
                    <w:rPr>
                      <w:rFonts w:hint="eastAsia"/>
                      <w:iCs/>
                      <w:color w:val="auto"/>
                      <w:sz w:val="18"/>
                      <w:szCs w:val="18"/>
                      <w:lang w:val="en-US" w:eastAsia="zh-CN"/>
                    </w:rPr>
                    <w:t>油烟</w:t>
                  </w:r>
                </w:p>
              </w:tc>
              <w:tc>
                <w:tcPr>
                  <w:tcW w:w="3199" w:type="dxa"/>
                  <w:noWrap w:val="0"/>
                  <w:vAlign w:val="center"/>
                </w:tcPr>
                <w:p>
                  <w:pPr>
                    <w:adjustRightInd w:val="0"/>
                    <w:snapToGrid w:val="0"/>
                    <w:jc w:val="center"/>
                    <w:rPr>
                      <w:rFonts w:hint="default"/>
                      <w:bCs/>
                      <w:color w:val="auto"/>
                      <w:sz w:val="18"/>
                      <w:szCs w:val="18"/>
                      <w:lang w:val="en-US" w:eastAsia="zh-CN"/>
                    </w:rPr>
                  </w:pPr>
                  <w:r>
                    <w:rPr>
                      <w:rFonts w:hint="eastAsia"/>
                      <w:bCs/>
                      <w:color w:val="auto"/>
                      <w:sz w:val="18"/>
                      <w:szCs w:val="18"/>
                      <w:lang w:val="en-US" w:eastAsia="zh-CN"/>
                    </w:rPr>
                    <w:t>油烟净化装置+引楼顶排放</w:t>
                  </w:r>
                </w:p>
              </w:tc>
              <w:tc>
                <w:tcPr>
                  <w:tcW w:w="1224" w:type="dxa"/>
                  <w:noWrap w:val="0"/>
                  <w:vAlign w:val="center"/>
                </w:tcPr>
                <w:p>
                  <w:pPr>
                    <w:adjustRightInd w:val="0"/>
                    <w:snapToGrid w:val="0"/>
                    <w:jc w:val="center"/>
                    <w:rPr>
                      <w:rFonts w:hint="default" w:eastAsia="宋体"/>
                      <w:iCs/>
                      <w:color w:val="auto"/>
                      <w:sz w:val="18"/>
                      <w:szCs w:val="18"/>
                      <w:lang w:val="en-US" w:eastAsia="zh-CN"/>
                    </w:rPr>
                  </w:pPr>
                  <w:r>
                    <w:rPr>
                      <w:rFonts w:hint="eastAsia"/>
                      <w:iCs/>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noWrap w:val="0"/>
                  <w:vAlign w:val="center"/>
                </w:tcPr>
                <w:p>
                  <w:pPr>
                    <w:adjustRightInd w:val="0"/>
                    <w:snapToGrid w:val="0"/>
                    <w:jc w:val="center"/>
                    <w:rPr>
                      <w:iCs/>
                      <w:color w:val="auto"/>
                      <w:sz w:val="18"/>
                      <w:szCs w:val="18"/>
                    </w:rPr>
                  </w:pPr>
                  <w:r>
                    <w:rPr>
                      <w:rFonts w:hint="eastAsia"/>
                      <w:iCs/>
                      <w:color w:val="auto"/>
                      <w:sz w:val="18"/>
                      <w:szCs w:val="18"/>
                    </w:rPr>
                    <w:t>噪声</w:t>
                  </w:r>
                </w:p>
              </w:tc>
              <w:tc>
                <w:tcPr>
                  <w:tcW w:w="1150" w:type="dxa"/>
                  <w:noWrap w:val="0"/>
                  <w:vAlign w:val="center"/>
                </w:tcPr>
                <w:p>
                  <w:pPr>
                    <w:adjustRightInd w:val="0"/>
                    <w:snapToGrid w:val="0"/>
                    <w:jc w:val="center"/>
                    <w:rPr>
                      <w:rFonts w:hint="eastAsia"/>
                      <w:iCs/>
                      <w:color w:val="auto"/>
                      <w:sz w:val="18"/>
                      <w:szCs w:val="18"/>
                    </w:rPr>
                  </w:pPr>
                  <w:r>
                    <w:rPr>
                      <w:rFonts w:hint="eastAsia"/>
                      <w:iCs/>
                      <w:color w:val="auto"/>
                      <w:sz w:val="18"/>
                      <w:szCs w:val="18"/>
                    </w:rPr>
                    <w:t>设备运行</w:t>
                  </w:r>
                </w:p>
              </w:tc>
              <w:tc>
                <w:tcPr>
                  <w:tcW w:w="2085" w:type="dxa"/>
                  <w:noWrap w:val="0"/>
                  <w:vAlign w:val="center"/>
                </w:tcPr>
                <w:p>
                  <w:pPr>
                    <w:adjustRightInd w:val="0"/>
                    <w:snapToGrid w:val="0"/>
                    <w:jc w:val="center"/>
                    <w:rPr>
                      <w:rFonts w:hint="eastAsia"/>
                      <w:iCs/>
                      <w:color w:val="auto"/>
                      <w:sz w:val="18"/>
                      <w:szCs w:val="18"/>
                    </w:rPr>
                  </w:pPr>
                  <w:r>
                    <w:rPr>
                      <w:rFonts w:hint="eastAsia"/>
                      <w:iCs/>
                      <w:color w:val="auto"/>
                      <w:sz w:val="18"/>
                      <w:szCs w:val="18"/>
                    </w:rPr>
                    <w:t>噪声</w:t>
                  </w:r>
                </w:p>
              </w:tc>
              <w:tc>
                <w:tcPr>
                  <w:tcW w:w="3199" w:type="dxa"/>
                  <w:noWrap w:val="0"/>
                  <w:vAlign w:val="center"/>
                </w:tcPr>
                <w:p>
                  <w:pPr>
                    <w:adjustRightInd w:val="0"/>
                    <w:snapToGrid w:val="0"/>
                    <w:jc w:val="center"/>
                    <w:rPr>
                      <w:rFonts w:hint="eastAsia"/>
                      <w:bCs/>
                      <w:color w:val="auto"/>
                      <w:sz w:val="18"/>
                      <w:szCs w:val="18"/>
                    </w:rPr>
                  </w:pPr>
                  <w:r>
                    <w:rPr>
                      <w:rFonts w:hint="eastAsia"/>
                      <w:bCs/>
                      <w:color w:val="auto"/>
                      <w:sz w:val="18"/>
                      <w:szCs w:val="18"/>
                    </w:rPr>
                    <w:t>隔声、消声</w:t>
                  </w:r>
                </w:p>
              </w:tc>
              <w:tc>
                <w:tcPr>
                  <w:tcW w:w="1224" w:type="dxa"/>
                  <w:noWrap w:val="0"/>
                  <w:vAlign w:val="center"/>
                </w:tcPr>
                <w:p>
                  <w:pPr>
                    <w:adjustRightInd w:val="0"/>
                    <w:snapToGrid w:val="0"/>
                    <w:jc w:val="center"/>
                    <w:rPr>
                      <w:rFonts w:hint="eastAsia"/>
                      <w:iCs/>
                      <w:color w:val="auto"/>
                      <w:sz w:val="18"/>
                      <w:szCs w:val="18"/>
                    </w:rPr>
                  </w:pPr>
                  <w:r>
                    <w:rPr>
                      <w:rFonts w:hint="eastAsia"/>
                      <w:i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restart"/>
                  <w:noWrap w:val="0"/>
                  <w:vAlign w:val="center"/>
                </w:tcPr>
                <w:p>
                  <w:pPr>
                    <w:adjustRightInd w:val="0"/>
                    <w:snapToGrid w:val="0"/>
                    <w:jc w:val="center"/>
                    <w:rPr>
                      <w:rFonts w:hint="eastAsia" w:eastAsia="宋体"/>
                      <w:iCs/>
                      <w:color w:val="auto"/>
                      <w:sz w:val="18"/>
                      <w:szCs w:val="18"/>
                      <w:lang w:val="en-US" w:eastAsia="zh-CN"/>
                    </w:rPr>
                  </w:pPr>
                  <w:r>
                    <w:rPr>
                      <w:rFonts w:hint="eastAsia"/>
                      <w:iCs/>
                      <w:color w:val="auto"/>
                      <w:sz w:val="18"/>
                      <w:szCs w:val="18"/>
                      <w:lang w:val="en-US" w:eastAsia="zh-CN"/>
                    </w:rPr>
                    <w:t>废水</w:t>
                  </w:r>
                </w:p>
              </w:tc>
              <w:tc>
                <w:tcPr>
                  <w:tcW w:w="1150" w:type="dxa"/>
                  <w:noWrap w:val="0"/>
                  <w:vAlign w:val="center"/>
                </w:tcPr>
                <w:p>
                  <w:pPr>
                    <w:adjustRightInd w:val="0"/>
                    <w:snapToGrid w:val="0"/>
                    <w:jc w:val="center"/>
                    <w:rPr>
                      <w:rFonts w:hint="default" w:eastAsia="宋体"/>
                      <w:iCs/>
                      <w:color w:val="auto"/>
                      <w:sz w:val="18"/>
                      <w:szCs w:val="18"/>
                      <w:lang w:val="en-US" w:eastAsia="zh-CN"/>
                    </w:rPr>
                  </w:pPr>
                  <w:r>
                    <w:rPr>
                      <w:rFonts w:hint="eastAsia"/>
                      <w:iCs/>
                      <w:color w:val="auto"/>
                      <w:sz w:val="18"/>
                      <w:szCs w:val="18"/>
                      <w:lang w:val="en-US" w:eastAsia="zh-CN"/>
                    </w:rPr>
                    <w:t>员工生活</w:t>
                  </w:r>
                </w:p>
              </w:tc>
              <w:tc>
                <w:tcPr>
                  <w:tcW w:w="2085" w:type="dxa"/>
                  <w:noWrap w:val="0"/>
                  <w:vAlign w:val="center"/>
                </w:tcPr>
                <w:p>
                  <w:pPr>
                    <w:adjustRightInd w:val="0"/>
                    <w:snapToGrid w:val="0"/>
                    <w:jc w:val="center"/>
                    <w:rPr>
                      <w:rFonts w:hint="default" w:eastAsia="宋体"/>
                      <w:iCs/>
                      <w:color w:val="auto"/>
                      <w:sz w:val="18"/>
                      <w:szCs w:val="18"/>
                      <w:lang w:val="en-US" w:eastAsia="zh-CN"/>
                    </w:rPr>
                  </w:pPr>
                  <w:r>
                    <w:rPr>
                      <w:rFonts w:hint="eastAsia"/>
                      <w:iCs/>
                      <w:color w:val="auto"/>
                      <w:sz w:val="18"/>
                      <w:szCs w:val="18"/>
                      <w:lang w:val="en-US" w:eastAsia="zh-CN"/>
                    </w:rPr>
                    <w:t>COD、氨氮、SS、动植物油、总磷、总氮</w:t>
                  </w:r>
                </w:p>
              </w:tc>
              <w:tc>
                <w:tcPr>
                  <w:tcW w:w="3199" w:type="dxa"/>
                  <w:noWrap w:val="0"/>
                  <w:vAlign w:val="center"/>
                </w:tcPr>
                <w:p>
                  <w:pPr>
                    <w:adjustRightInd w:val="0"/>
                    <w:snapToGrid w:val="0"/>
                    <w:jc w:val="center"/>
                    <w:rPr>
                      <w:rFonts w:hint="default" w:eastAsia="宋体"/>
                      <w:bCs/>
                      <w:color w:val="auto"/>
                      <w:sz w:val="18"/>
                      <w:szCs w:val="18"/>
                      <w:lang w:val="en-US" w:eastAsia="zh-CN"/>
                    </w:rPr>
                  </w:pPr>
                  <w:r>
                    <w:rPr>
                      <w:rFonts w:hint="eastAsia"/>
                      <w:bCs/>
                      <w:color w:val="auto"/>
                      <w:sz w:val="18"/>
                      <w:szCs w:val="18"/>
                      <w:lang w:val="en-US" w:eastAsia="zh-CN"/>
                    </w:rPr>
                    <w:t>食堂废水经过隔油池处理、员工生活污水经化粪池处理一起进入淮南安成经济开发区污水处理厂</w:t>
                  </w:r>
                </w:p>
              </w:tc>
              <w:tc>
                <w:tcPr>
                  <w:tcW w:w="1224" w:type="dxa"/>
                  <w:noWrap w:val="0"/>
                  <w:vAlign w:val="center"/>
                </w:tcPr>
                <w:p>
                  <w:pPr>
                    <w:adjustRightInd w:val="0"/>
                    <w:snapToGrid w:val="0"/>
                    <w:jc w:val="center"/>
                    <w:rPr>
                      <w:rFonts w:hint="default" w:eastAsia="宋体"/>
                      <w:iCs/>
                      <w:color w:val="auto"/>
                      <w:sz w:val="18"/>
                      <w:szCs w:val="18"/>
                      <w:lang w:val="en-US" w:eastAsia="zh-CN"/>
                    </w:rPr>
                  </w:pPr>
                  <w:r>
                    <w:rPr>
                      <w:rFonts w:hint="eastAsia"/>
                      <w:iCs/>
                      <w:color w:val="auto"/>
                      <w:sz w:val="18"/>
                      <w:szCs w:val="18"/>
                      <w:lang w:val="en-US" w:eastAsia="zh-CN"/>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continue"/>
                  <w:noWrap w:val="0"/>
                  <w:vAlign w:val="center"/>
                </w:tcPr>
                <w:p>
                  <w:pPr>
                    <w:adjustRightInd w:val="0"/>
                    <w:snapToGrid w:val="0"/>
                    <w:jc w:val="center"/>
                    <w:rPr>
                      <w:rFonts w:hint="eastAsia"/>
                      <w:iCs/>
                      <w:color w:val="auto"/>
                      <w:sz w:val="18"/>
                      <w:szCs w:val="18"/>
                      <w:lang w:val="en-US" w:eastAsia="zh-CN"/>
                    </w:rPr>
                  </w:pPr>
                </w:p>
              </w:tc>
              <w:tc>
                <w:tcPr>
                  <w:tcW w:w="1150" w:type="dxa"/>
                  <w:noWrap w:val="0"/>
                  <w:vAlign w:val="center"/>
                </w:tcPr>
                <w:p>
                  <w:pPr>
                    <w:adjustRightInd w:val="0"/>
                    <w:snapToGrid w:val="0"/>
                    <w:jc w:val="center"/>
                    <w:rPr>
                      <w:rFonts w:hint="default"/>
                      <w:iCs/>
                      <w:color w:val="auto"/>
                      <w:sz w:val="18"/>
                      <w:szCs w:val="18"/>
                      <w:lang w:val="en-US" w:eastAsia="zh-CN"/>
                    </w:rPr>
                  </w:pPr>
                  <w:r>
                    <w:rPr>
                      <w:rFonts w:hint="eastAsia"/>
                      <w:iCs/>
                      <w:color w:val="auto"/>
                      <w:sz w:val="18"/>
                      <w:szCs w:val="18"/>
                      <w:lang w:val="en-US" w:eastAsia="zh-CN"/>
                    </w:rPr>
                    <w:t>纯水制备</w:t>
                  </w:r>
                </w:p>
              </w:tc>
              <w:tc>
                <w:tcPr>
                  <w:tcW w:w="2085" w:type="dxa"/>
                  <w:noWrap w:val="0"/>
                  <w:vAlign w:val="center"/>
                </w:tcPr>
                <w:p>
                  <w:pPr>
                    <w:adjustRightInd w:val="0"/>
                    <w:snapToGrid w:val="0"/>
                    <w:jc w:val="center"/>
                    <w:rPr>
                      <w:rFonts w:hint="eastAsia"/>
                      <w:iCs/>
                      <w:color w:val="auto"/>
                      <w:sz w:val="18"/>
                      <w:szCs w:val="18"/>
                      <w:lang w:val="en-US" w:eastAsia="zh-CN"/>
                    </w:rPr>
                  </w:pPr>
                  <w:r>
                    <w:rPr>
                      <w:rFonts w:hint="eastAsia"/>
                      <w:iCs/>
                      <w:color w:val="auto"/>
                      <w:sz w:val="18"/>
                      <w:szCs w:val="18"/>
                      <w:lang w:val="en-US" w:eastAsia="zh-CN"/>
                    </w:rPr>
                    <w:t>COD、氨氮、SS</w:t>
                  </w:r>
                </w:p>
              </w:tc>
              <w:tc>
                <w:tcPr>
                  <w:tcW w:w="3199" w:type="dxa"/>
                  <w:noWrap w:val="0"/>
                  <w:vAlign w:val="center"/>
                </w:tcPr>
                <w:p>
                  <w:pPr>
                    <w:adjustRightInd w:val="0"/>
                    <w:snapToGrid w:val="0"/>
                    <w:jc w:val="center"/>
                    <w:rPr>
                      <w:rFonts w:hint="default"/>
                      <w:bCs/>
                      <w:color w:val="auto"/>
                      <w:sz w:val="18"/>
                      <w:szCs w:val="18"/>
                      <w:lang w:val="en-US" w:eastAsia="zh-CN"/>
                    </w:rPr>
                  </w:pPr>
                  <w:r>
                    <w:rPr>
                      <w:rFonts w:hint="eastAsia"/>
                      <w:bCs/>
                      <w:color w:val="auto"/>
                      <w:sz w:val="18"/>
                      <w:szCs w:val="18"/>
                      <w:lang w:val="en-US" w:eastAsia="zh-CN"/>
                    </w:rPr>
                    <w:t>接管淮南安成经济开发区污水处理厂</w:t>
                  </w:r>
                </w:p>
              </w:tc>
              <w:tc>
                <w:tcPr>
                  <w:tcW w:w="1224" w:type="dxa"/>
                  <w:noWrap w:val="0"/>
                  <w:vAlign w:val="center"/>
                </w:tcPr>
                <w:p>
                  <w:pPr>
                    <w:adjustRightInd w:val="0"/>
                    <w:snapToGrid w:val="0"/>
                    <w:jc w:val="center"/>
                    <w:rPr>
                      <w:rFonts w:hint="eastAsia"/>
                      <w:iCs/>
                      <w:color w:val="auto"/>
                      <w:sz w:val="18"/>
                      <w:szCs w:val="18"/>
                      <w:lang w:val="en-US" w:eastAsia="zh-CN"/>
                    </w:rPr>
                  </w:pPr>
                  <w:r>
                    <w:rPr>
                      <w:rFonts w:hint="eastAsia"/>
                      <w:iCs/>
                      <w:color w:val="auto"/>
                      <w:sz w:val="18"/>
                      <w:szCs w:val="18"/>
                      <w:lang w:val="en-US" w:eastAsia="zh-CN"/>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continue"/>
                  <w:noWrap w:val="0"/>
                  <w:vAlign w:val="center"/>
                </w:tcPr>
                <w:p>
                  <w:pPr>
                    <w:adjustRightInd w:val="0"/>
                    <w:snapToGrid w:val="0"/>
                    <w:jc w:val="center"/>
                    <w:rPr>
                      <w:rFonts w:hint="eastAsia"/>
                      <w:iCs/>
                      <w:color w:val="auto"/>
                      <w:sz w:val="18"/>
                      <w:szCs w:val="18"/>
                      <w:lang w:val="en-US" w:eastAsia="zh-CN"/>
                    </w:rPr>
                  </w:pPr>
                </w:p>
              </w:tc>
              <w:tc>
                <w:tcPr>
                  <w:tcW w:w="1150" w:type="dxa"/>
                  <w:noWrap w:val="0"/>
                  <w:vAlign w:val="center"/>
                </w:tcPr>
                <w:p>
                  <w:pPr>
                    <w:adjustRightInd w:val="0"/>
                    <w:snapToGrid w:val="0"/>
                    <w:jc w:val="center"/>
                    <w:rPr>
                      <w:rFonts w:hint="default"/>
                      <w:iCs/>
                      <w:color w:val="auto"/>
                      <w:sz w:val="18"/>
                      <w:szCs w:val="18"/>
                      <w:lang w:val="en-US" w:eastAsia="zh-CN"/>
                    </w:rPr>
                  </w:pPr>
                  <w:r>
                    <w:rPr>
                      <w:rFonts w:hint="eastAsia"/>
                      <w:iCs/>
                      <w:color w:val="auto"/>
                      <w:sz w:val="18"/>
                      <w:szCs w:val="18"/>
                      <w:lang w:val="en-US" w:eastAsia="zh-CN"/>
                    </w:rPr>
                    <w:t>调试</w:t>
                  </w:r>
                </w:p>
              </w:tc>
              <w:tc>
                <w:tcPr>
                  <w:tcW w:w="2085" w:type="dxa"/>
                  <w:noWrap w:val="0"/>
                  <w:vAlign w:val="center"/>
                </w:tcPr>
                <w:p>
                  <w:pPr>
                    <w:adjustRightInd w:val="0"/>
                    <w:snapToGrid w:val="0"/>
                    <w:jc w:val="center"/>
                    <w:rPr>
                      <w:rFonts w:hint="eastAsia"/>
                      <w:iCs/>
                      <w:color w:val="auto"/>
                      <w:sz w:val="18"/>
                      <w:szCs w:val="18"/>
                      <w:lang w:val="en-US" w:eastAsia="zh-CN"/>
                    </w:rPr>
                  </w:pPr>
                  <w:r>
                    <w:rPr>
                      <w:rFonts w:hint="eastAsia"/>
                      <w:iCs/>
                      <w:color w:val="auto"/>
                      <w:sz w:val="18"/>
                      <w:szCs w:val="18"/>
                      <w:lang w:val="en-US" w:eastAsia="zh-CN"/>
                    </w:rPr>
                    <w:t>COD、氨氮、SS</w:t>
                  </w:r>
                </w:p>
              </w:tc>
              <w:tc>
                <w:tcPr>
                  <w:tcW w:w="3199" w:type="dxa"/>
                  <w:noWrap w:val="0"/>
                  <w:vAlign w:val="center"/>
                </w:tcPr>
                <w:p>
                  <w:pPr>
                    <w:adjustRightInd w:val="0"/>
                    <w:snapToGrid w:val="0"/>
                    <w:jc w:val="center"/>
                    <w:rPr>
                      <w:rFonts w:hint="eastAsia"/>
                      <w:bCs/>
                      <w:color w:val="auto"/>
                      <w:sz w:val="18"/>
                      <w:szCs w:val="18"/>
                      <w:lang w:val="en-US" w:eastAsia="zh-CN"/>
                    </w:rPr>
                  </w:pPr>
                  <w:r>
                    <w:rPr>
                      <w:rFonts w:hint="eastAsia"/>
                      <w:bCs/>
                      <w:color w:val="auto"/>
                      <w:sz w:val="18"/>
                      <w:szCs w:val="18"/>
                      <w:lang w:val="en-US" w:eastAsia="zh-CN"/>
                    </w:rPr>
                    <w:t>接管淮南安成经济开发区污水处理厂</w:t>
                  </w:r>
                </w:p>
              </w:tc>
              <w:tc>
                <w:tcPr>
                  <w:tcW w:w="1224" w:type="dxa"/>
                  <w:noWrap w:val="0"/>
                  <w:vAlign w:val="center"/>
                </w:tcPr>
                <w:p>
                  <w:pPr>
                    <w:adjustRightInd w:val="0"/>
                    <w:snapToGrid w:val="0"/>
                    <w:jc w:val="center"/>
                    <w:rPr>
                      <w:rFonts w:hint="eastAsia"/>
                      <w:iCs/>
                      <w:color w:val="auto"/>
                      <w:sz w:val="18"/>
                      <w:szCs w:val="18"/>
                      <w:lang w:val="en-US" w:eastAsia="zh-CN"/>
                    </w:rPr>
                  </w:pPr>
                  <w:r>
                    <w:rPr>
                      <w:rFonts w:hint="eastAsia"/>
                      <w:iCs/>
                      <w:color w:val="auto"/>
                      <w:sz w:val="18"/>
                      <w:szCs w:val="18"/>
                      <w:lang w:val="en-US" w:eastAsia="zh-CN"/>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continue"/>
                  <w:noWrap w:val="0"/>
                  <w:vAlign w:val="center"/>
                </w:tcPr>
                <w:p>
                  <w:pPr>
                    <w:adjustRightInd w:val="0"/>
                    <w:snapToGrid w:val="0"/>
                    <w:jc w:val="center"/>
                    <w:rPr>
                      <w:rFonts w:hint="eastAsia"/>
                      <w:iCs/>
                      <w:color w:val="auto"/>
                      <w:sz w:val="18"/>
                      <w:szCs w:val="18"/>
                      <w:lang w:val="en-US" w:eastAsia="zh-CN"/>
                    </w:rPr>
                  </w:pPr>
                </w:p>
              </w:tc>
              <w:tc>
                <w:tcPr>
                  <w:tcW w:w="1150" w:type="dxa"/>
                  <w:noWrap w:val="0"/>
                  <w:vAlign w:val="center"/>
                </w:tcPr>
                <w:p>
                  <w:pPr>
                    <w:adjustRightInd w:val="0"/>
                    <w:snapToGrid w:val="0"/>
                    <w:jc w:val="center"/>
                    <w:rPr>
                      <w:rFonts w:hint="default"/>
                      <w:iCs/>
                      <w:color w:val="auto"/>
                      <w:sz w:val="18"/>
                      <w:szCs w:val="18"/>
                      <w:lang w:val="en-US" w:eastAsia="zh-CN"/>
                    </w:rPr>
                  </w:pPr>
                  <w:r>
                    <w:rPr>
                      <w:rFonts w:hint="eastAsia"/>
                      <w:iCs/>
                      <w:color w:val="auto"/>
                      <w:sz w:val="18"/>
                      <w:szCs w:val="18"/>
                      <w:lang w:val="en-US" w:eastAsia="zh-CN"/>
                    </w:rPr>
                    <w:t>纯水设备反冲洗</w:t>
                  </w:r>
                </w:p>
              </w:tc>
              <w:tc>
                <w:tcPr>
                  <w:tcW w:w="2085" w:type="dxa"/>
                  <w:noWrap w:val="0"/>
                  <w:vAlign w:val="center"/>
                </w:tcPr>
                <w:p>
                  <w:pPr>
                    <w:adjustRightInd w:val="0"/>
                    <w:snapToGrid w:val="0"/>
                    <w:jc w:val="center"/>
                    <w:rPr>
                      <w:rFonts w:hint="eastAsia"/>
                      <w:iCs/>
                      <w:color w:val="auto"/>
                      <w:sz w:val="18"/>
                      <w:szCs w:val="18"/>
                      <w:lang w:val="en-US" w:eastAsia="zh-CN"/>
                    </w:rPr>
                  </w:pPr>
                  <w:r>
                    <w:rPr>
                      <w:rFonts w:hint="eastAsia"/>
                      <w:iCs/>
                      <w:color w:val="auto"/>
                      <w:sz w:val="18"/>
                      <w:szCs w:val="18"/>
                      <w:lang w:val="en-US" w:eastAsia="zh-CN"/>
                    </w:rPr>
                    <w:t>COD、氨氮、SS</w:t>
                  </w:r>
                </w:p>
              </w:tc>
              <w:tc>
                <w:tcPr>
                  <w:tcW w:w="3199" w:type="dxa"/>
                  <w:noWrap w:val="0"/>
                  <w:vAlign w:val="center"/>
                </w:tcPr>
                <w:p>
                  <w:pPr>
                    <w:adjustRightInd w:val="0"/>
                    <w:snapToGrid w:val="0"/>
                    <w:jc w:val="center"/>
                    <w:rPr>
                      <w:rFonts w:hint="eastAsia"/>
                      <w:bCs/>
                      <w:color w:val="auto"/>
                      <w:sz w:val="18"/>
                      <w:szCs w:val="18"/>
                      <w:lang w:val="en-US" w:eastAsia="zh-CN"/>
                    </w:rPr>
                  </w:pPr>
                  <w:r>
                    <w:rPr>
                      <w:rFonts w:hint="eastAsia"/>
                      <w:bCs/>
                      <w:color w:val="auto"/>
                      <w:sz w:val="18"/>
                      <w:szCs w:val="18"/>
                      <w:lang w:val="en-US" w:eastAsia="zh-CN"/>
                    </w:rPr>
                    <w:t>接管淮南安成经济开发区污水处理厂</w:t>
                  </w:r>
                </w:p>
              </w:tc>
              <w:tc>
                <w:tcPr>
                  <w:tcW w:w="1224" w:type="dxa"/>
                  <w:noWrap w:val="0"/>
                  <w:vAlign w:val="center"/>
                </w:tcPr>
                <w:p>
                  <w:pPr>
                    <w:adjustRightInd w:val="0"/>
                    <w:snapToGrid w:val="0"/>
                    <w:jc w:val="center"/>
                    <w:rPr>
                      <w:rFonts w:hint="eastAsia"/>
                      <w:iCs/>
                      <w:color w:val="auto"/>
                      <w:sz w:val="18"/>
                      <w:szCs w:val="18"/>
                      <w:lang w:val="en-US" w:eastAsia="zh-CN"/>
                    </w:rPr>
                  </w:pPr>
                  <w:r>
                    <w:rPr>
                      <w:rFonts w:hint="eastAsia"/>
                      <w:iCs/>
                      <w:color w:val="auto"/>
                      <w:sz w:val="18"/>
                      <w:szCs w:val="18"/>
                      <w:lang w:val="en-US" w:eastAsia="zh-CN"/>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restart"/>
                  <w:noWrap w:val="0"/>
                  <w:vAlign w:val="center"/>
                </w:tcPr>
                <w:p>
                  <w:pPr>
                    <w:adjustRightInd w:val="0"/>
                    <w:snapToGrid w:val="0"/>
                    <w:jc w:val="center"/>
                    <w:rPr>
                      <w:rFonts w:hint="eastAsia"/>
                      <w:iCs/>
                      <w:color w:val="auto"/>
                      <w:sz w:val="18"/>
                      <w:szCs w:val="18"/>
                    </w:rPr>
                  </w:pPr>
                  <w:r>
                    <w:rPr>
                      <w:iCs/>
                      <w:color w:val="auto"/>
                      <w:sz w:val="18"/>
                      <w:szCs w:val="18"/>
                    </w:rPr>
                    <w:t>固废</w:t>
                  </w:r>
                </w:p>
              </w:tc>
              <w:tc>
                <w:tcPr>
                  <w:tcW w:w="1150" w:type="dxa"/>
                  <w:noWrap w:val="0"/>
                  <w:vAlign w:val="center"/>
                </w:tcPr>
                <w:p>
                  <w:pPr>
                    <w:adjustRightInd w:val="0"/>
                    <w:snapToGrid w:val="0"/>
                    <w:jc w:val="center"/>
                    <w:rPr>
                      <w:iCs/>
                      <w:color w:val="auto"/>
                      <w:sz w:val="18"/>
                      <w:szCs w:val="18"/>
                    </w:rPr>
                  </w:pPr>
                  <w:r>
                    <w:rPr>
                      <w:rFonts w:hint="eastAsia"/>
                      <w:iCs/>
                      <w:color w:val="auto"/>
                      <w:sz w:val="18"/>
                      <w:szCs w:val="18"/>
                      <w:lang w:val="en-US" w:eastAsia="zh-CN"/>
                    </w:rPr>
                    <w:t>纯水</w:t>
                  </w:r>
                  <w:r>
                    <w:rPr>
                      <w:iCs/>
                      <w:color w:val="auto"/>
                      <w:sz w:val="18"/>
                      <w:szCs w:val="18"/>
                    </w:rPr>
                    <w:t>处理</w:t>
                  </w:r>
                </w:p>
              </w:tc>
              <w:tc>
                <w:tcPr>
                  <w:tcW w:w="2085" w:type="dxa"/>
                  <w:noWrap w:val="0"/>
                  <w:vAlign w:val="center"/>
                </w:tcPr>
                <w:p>
                  <w:pPr>
                    <w:pStyle w:val="130"/>
                    <w:spacing w:line="240" w:lineRule="auto"/>
                    <w:rPr>
                      <w:rFonts w:hint="default" w:eastAsia="宋体"/>
                      <w:iCs/>
                      <w:color w:val="auto"/>
                      <w:sz w:val="18"/>
                      <w:szCs w:val="18"/>
                      <w:lang w:val="en-US" w:eastAsia="zh-CN"/>
                    </w:rPr>
                  </w:pPr>
                  <w:r>
                    <w:rPr>
                      <w:iCs/>
                      <w:color w:val="auto"/>
                      <w:sz w:val="18"/>
                      <w:szCs w:val="18"/>
                    </w:rPr>
                    <w:t>废活性炭</w:t>
                  </w:r>
                  <w:r>
                    <w:rPr>
                      <w:rFonts w:hint="eastAsia"/>
                      <w:iCs/>
                      <w:color w:val="auto"/>
                      <w:sz w:val="18"/>
                      <w:szCs w:val="18"/>
                    </w:rPr>
                    <w:t>、废</w:t>
                  </w:r>
                  <w:r>
                    <w:rPr>
                      <w:rFonts w:hint="eastAsia"/>
                      <w:iCs/>
                      <w:color w:val="auto"/>
                      <w:sz w:val="18"/>
                      <w:szCs w:val="18"/>
                      <w:lang w:val="en-US" w:eastAsia="zh-CN"/>
                    </w:rPr>
                    <w:t>石英砂、废过滤棉芯、废RO膜</w:t>
                  </w:r>
                </w:p>
              </w:tc>
              <w:tc>
                <w:tcPr>
                  <w:tcW w:w="3199" w:type="dxa"/>
                  <w:vMerge w:val="restart"/>
                  <w:noWrap w:val="0"/>
                  <w:vAlign w:val="center"/>
                </w:tcPr>
                <w:p>
                  <w:pPr>
                    <w:adjustRightInd w:val="0"/>
                    <w:snapToGrid w:val="0"/>
                    <w:jc w:val="center"/>
                    <w:rPr>
                      <w:iCs/>
                      <w:color w:val="auto"/>
                      <w:sz w:val="18"/>
                      <w:szCs w:val="18"/>
                    </w:rPr>
                  </w:pPr>
                  <w:r>
                    <w:rPr>
                      <w:iCs/>
                      <w:color w:val="auto"/>
                      <w:sz w:val="18"/>
                      <w:szCs w:val="18"/>
                    </w:rPr>
                    <w:t>交由物资公司回收利用</w:t>
                  </w:r>
                </w:p>
              </w:tc>
              <w:tc>
                <w:tcPr>
                  <w:tcW w:w="1224" w:type="dxa"/>
                  <w:vMerge w:val="restart"/>
                  <w:noWrap w:val="0"/>
                  <w:vAlign w:val="center"/>
                </w:tcPr>
                <w:p>
                  <w:pPr>
                    <w:adjustRightInd w:val="0"/>
                    <w:snapToGrid w:val="0"/>
                    <w:jc w:val="center"/>
                    <w:rPr>
                      <w:iCs/>
                      <w:color w:val="auto"/>
                      <w:sz w:val="18"/>
                      <w:szCs w:val="18"/>
                    </w:rPr>
                  </w:pPr>
                  <w:r>
                    <w:rPr>
                      <w:rFonts w:hint="eastAsia"/>
                      <w:iCs/>
                      <w:color w:val="auto"/>
                      <w:sz w:val="18"/>
                      <w:szCs w:val="18"/>
                    </w:rPr>
                    <w:t>有效处理处置，不外排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continue"/>
                  <w:noWrap w:val="0"/>
                  <w:vAlign w:val="center"/>
                </w:tcPr>
                <w:p>
                  <w:pPr>
                    <w:adjustRightInd w:val="0"/>
                    <w:snapToGrid w:val="0"/>
                    <w:jc w:val="center"/>
                    <w:rPr>
                      <w:iCs/>
                      <w:color w:val="auto"/>
                      <w:sz w:val="18"/>
                      <w:szCs w:val="18"/>
                    </w:rPr>
                  </w:pPr>
                </w:p>
              </w:tc>
              <w:tc>
                <w:tcPr>
                  <w:tcW w:w="1150" w:type="dxa"/>
                  <w:noWrap w:val="0"/>
                  <w:vAlign w:val="center"/>
                </w:tcPr>
                <w:p>
                  <w:pPr>
                    <w:adjustRightInd w:val="0"/>
                    <w:snapToGrid w:val="0"/>
                    <w:jc w:val="center"/>
                    <w:rPr>
                      <w:iCs/>
                      <w:color w:val="auto"/>
                      <w:sz w:val="18"/>
                      <w:szCs w:val="18"/>
                    </w:rPr>
                  </w:pPr>
                  <w:r>
                    <w:rPr>
                      <w:rFonts w:hint="eastAsia"/>
                      <w:iCs/>
                      <w:color w:val="auto"/>
                      <w:sz w:val="18"/>
                      <w:szCs w:val="18"/>
                    </w:rPr>
                    <w:t>原料使用</w:t>
                  </w:r>
                </w:p>
              </w:tc>
              <w:tc>
                <w:tcPr>
                  <w:tcW w:w="2085" w:type="dxa"/>
                  <w:noWrap w:val="0"/>
                  <w:vAlign w:val="center"/>
                </w:tcPr>
                <w:p>
                  <w:pPr>
                    <w:pStyle w:val="130"/>
                    <w:spacing w:line="240" w:lineRule="auto"/>
                    <w:rPr>
                      <w:rFonts w:hint="default" w:eastAsia="宋体"/>
                      <w:iCs/>
                      <w:color w:val="auto"/>
                      <w:sz w:val="18"/>
                      <w:szCs w:val="18"/>
                      <w:lang w:val="en-US" w:eastAsia="zh-CN"/>
                    </w:rPr>
                  </w:pPr>
                  <w:r>
                    <w:rPr>
                      <w:rFonts w:hint="eastAsia"/>
                      <w:iCs/>
                      <w:color w:val="auto"/>
                      <w:sz w:val="18"/>
                      <w:szCs w:val="18"/>
                      <w:lang w:val="en-US" w:eastAsia="zh-CN"/>
                    </w:rPr>
                    <w:t>废包装材料</w:t>
                  </w:r>
                </w:p>
              </w:tc>
              <w:tc>
                <w:tcPr>
                  <w:tcW w:w="3199" w:type="dxa"/>
                  <w:vMerge w:val="continue"/>
                  <w:noWrap w:val="0"/>
                  <w:vAlign w:val="center"/>
                </w:tcPr>
                <w:p>
                  <w:pPr>
                    <w:adjustRightInd w:val="0"/>
                    <w:snapToGrid w:val="0"/>
                    <w:jc w:val="center"/>
                    <w:rPr>
                      <w:rFonts w:hint="eastAsia"/>
                      <w:iCs/>
                      <w:color w:val="auto"/>
                      <w:sz w:val="18"/>
                      <w:szCs w:val="18"/>
                    </w:rPr>
                  </w:pPr>
                </w:p>
              </w:tc>
              <w:tc>
                <w:tcPr>
                  <w:tcW w:w="1224" w:type="dxa"/>
                  <w:vMerge w:val="continue"/>
                  <w:noWrap w:val="0"/>
                  <w:vAlign w:val="center"/>
                </w:tcPr>
                <w:p>
                  <w:pPr>
                    <w:adjustRightInd w:val="0"/>
                    <w:snapToGrid w:val="0"/>
                    <w:jc w:val="center"/>
                    <w:rPr>
                      <w:rFonts w:hint="eastAsia"/>
                      <w:i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continue"/>
                  <w:noWrap w:val="0"/>
                  <w:vAlign w:val="center"/>
                </w:tcPr>
                <w:p>
                  <w:pPr>
                    <w:adjustRightInd w:val="0"/>
                    <w:snapToGrid w:val="0"/>
                    <w:jc w:val="center"/>
                    <w:rPr>
                      <w:iCs/>
                      <w:color w:val="auto"/>
                      <w:sz w:val="18"/>
                      <w:szCs w:val="18"/>
                    </w:rPr>
                  </w:pPr>
                </w:p>
              </w:tc>
              <w:tc>
                <w:tcPr>
                  <w:tcW w:w="1150" w:type="dxa"/>
                  <w:noWrap w:val="0"/>
                  <w:vAlign w:val="center"/>
                </w:tcPr>
                <w:p>
                  <w:pPr>
                    <w:adjustRightInd w:val="0"/>
                    <w:snapToGrid w:val="0"/>
                    <w:jc w:val="center"/>
                    <w:rPr>
                      <w:rFonts w:hint="eastAsia" w:eastAsia="宋体"/>
                      <w:iCs/>
                      <w:color w:val="auto"/>
                      <w:sz w:val="18"/>
                      <w:szCs w:val="18"/>
                      <w:lang w:val="en-US" w:eastAsia="zh-CN"/>
                    </w:rPr>
                  </w:pPr>
                  <w:r>
                    <w:rPr>
                      <w:rFonts w:hint="eastAsia"/>
                      <w:iCs/>
                      <w:color w:val="auto"/>
                      <w:sz w:val="18"/>
                      <w:szCs w:val="18"/>
                      <w:lang w:val="en-US" w:eastAsia="zh-CN"/>
                    </w:rPr>
                    <w:t>下料</w:t>
                  </w:r>
                </w:p>
              </w:tc>
              <w:tc>
                <w:tcPr>
                  <w:tcW w:w="2085" w:type="dxa"/>
                  <w:noWrap w:val="0"/>
                  <w:vAlign w:val="center"/>
                </w:tcPr>
                <w:p>
                  <w:pPr>
                    <w:pStyle w:val="130"/>
                    <w:spacing w:line="240" w:lineRule="auto"/>
                    <w:rPr>
                      <w:rFonts w:hint="default"/>
                      <w:iCs/>
                      <w:color w:val="auto"/>
                      <w:sz w:val="18"/>
                      <w:szCs w:val="18"/>
                      <w:lang w:val="en-US" w:eastAsia="zh-CN"/>
                    </w:rPr>
                  </w:pPr>
                  <w:r>
                    <w:rPr>
                      <w:rFonts w:hint="eastAsia"/>
                      <w:iCs/>
                      <w:color w:val="auto"/>
                      <w:sz w:val="18"/>
                      <w:szCs w:val="18"/>
                      <w:lang w:val="en-US" w:eastAsia="zh-CN"/>
                    </w:rPr>
                    <w:t>金属边角料、塑料边角料</w:t>
                  </w:r>
                </w:p>
              </w:tc>
              <w:tc>
                <w:tcPr>
                  <w:tcW w:w="3199" w:type="dxa"/>
                  <w:vMerge w:val="continue"/>
                  <w:noWrap w:val="0"/>
                  <w:vAlign w:val="center"/>
                </w:tcPr>
                <w:p>
                  <w:pPr>
                    <w:adjustRightInd w:val="0"/>
                    <w:snapToGrid w:val="0"/>
                    <w:jc w:val="center"/>
                    <w:rPr>
                      <w:rFonts w:hint="eastAsia"/>
                      <w:iCs/>
                      <w:color w:val="auto"/>
                      <w:sz w:val="18"/>
                      <w:szCs w:val="18"/>
                    </w:rPr>
                  </w:pPr>
                </w:p>
              </w:tc>
              <w:tc>
                <w:tcPr>
                  <w:tcW w:w="1224" w:type="dxa"/>
                  <w:vMerge w:val="continue"/>
                  <w:noWrap w:val="0"/>
                  <w:vAlign w:val="center"/>
                </w:tcPr>
                <w:p>
                  <w:pPr>
                    <w:adjustRightInd w:val="0"/>
                    <w:snapToGrid w:val="0"/>
                    <w:jc w:val="center"/>
                    <w:rPr>
                      <w:rFonts w:hint="eastAsia"/>
                      <w:i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continue"/>
                  <w:noWrap w:val="0"/>
                  <w:vAlign w:val="center"/>
                </w:tcPr>
                <w:p>
                  <w:pPr>
                    <w:adjustRightInd w:val="0"/>
                    <w:snapToGrid w:val="0"/>
                    <w:jc w:val="center"/>
                    <w:rPr>
                      <w:iCs/>
                      <w:color w:val="auto"/>
                      <w:sz w:val="18"/>
                      <w:szCs w:val="18"/>
                    </w:rPr>
                  </w:pPr>
                </w:p>
              </w:tc>
              <w:tc>
                <w:tcPr>
                  <w:tcW w:w="1150" w:type="dxa"/>
                  <w:noWrap w:val="0"/>
                  <w:vAlign w:val="center"/>
                </w:tcPr>
                <w:p>
                  <w:pPr>
                    <w:adjustRightInd w:val="0"/>
                    <w:snapToGrid w:val="0"/>
                    <w:jc w:val="center"/>
                    <w:rPr>
                      <w:rFonts w:hint="default"/>
                      <w:iCs/>
                      <w:color w:val="auto"/>
                      <w:sz w:val="18"/>
                      <w:szCs w:val="18"/>
                      <w:lang w:val="en-US" w:eastAsia="zh-CN"/>
                    </w:rPr>
                  </w:pPr>
                  <w:r>
                    <w:rPr>
                      <w:rFonts w:hint="eastAsia"/>
                      <w:iCs/>
                      <w:color w:val="auto"/>
                      <w:sz w:val="18"/>
                      <w:szCs w:val="18"/>
                      <w:lang w:val="en-US" w:eastAsia="zh-CN"/>
                    </w:rPr>
                    <w:t>机加工</w:t>
                  </w:r>
                </w:p>
              </w:tc>
              <w:tc>
                <w:tcPr>
                  <w:tcW w:w="2085" w:type="dxa"/>
                  <w:noWrap w:val="0"/>
                  <w:vAlign w:val="center"/>
                </w:tcPr>
                <w:p>
                  <w:pPr>
                    <w:pStyle w:val="130"/>
                    <w:spacing w:line="240" w:lineRule="auto"/>
                    <w:rPr>
                      <w:rFonts w:hint="default"/>
                      <w:iCs/>
                      <w:color w:val="auto"/>
                      <w:sz w:val="18"/>
                      <w:szCs w:val="18"/>
                      <w:lang w:val="en-US" w:eastAsia="zh-CN"/>
                    </w:rPr>
                  </w:pPr>
                  <w:r>
                    <w:rPr>
                      <w:rFonts w:hint="eastAsia"/>
                      <w:iCs/>
                      <w:color w:val="auto"/>
                      <w:sz w:val="18"/>
                      <w:szCs w:val="18"/>
                      <w:lang w:val="en-US" w:eastAsia="zh-CN"/>
                    </w:rPr>
                    <w:t>金属碎屑</w:t>
                  </w:r>
                </w:p>
              </w:tc>
              <w:tc>
                <w:tcPr>
                  <w:tcW w:w="3199" w:type="dxa"/>
                  <w:noWrap w:val="0"/>
                  <w:vAlign w:val="center"/>
                </w:tcPr>
                <w:p>
                  <w:pPr>
                    <w:adjustRightInd w:val="0"/>
                    <w:snapToGrid w:val="0"/>
                    <w:jc w:val="center"/>
                    <w:rPr>
                      <w:rFonts w:hint="default" w:eastAsia="宋体"/>
                      <w:iCs/>
                      <w:color w:val="auto"/>
                      <w:sz w:val="18"/>
                      <w:szCs w:val="18"/>
                      <w:lang w:val="en-US" w:eastAsia="zh-CN"/>
                    </w:rPr>
                  </w:pPr>
                  <w:r>
                    <w:rPr>
                      <w:rFonts w:hint="eastAsia"/>
                      <w:iCs/>
                      <w:color w:val="auto"/>
                      <w:sz w:val="18"/>
                      <w:szCs w:val="18"/>
                      <w:lang w:val="en-US" w:eastAsia="zh-CN"/>
                    </w:rPr>
                    <w:t>清洁碎屑直接收集暂存，含切削液的金属碎屑位于加工中心碎屑收集池内经过脱油、静置后收集暂存，定期交由物资回收部门利用</w:t>
                  </w:r>
                </w:p>
              </w:tc>
              <w:tc>
                <w:tcPr>
                  <w:tcW w:w="1224" w:type="dxa"/>
                  <w:vMerge w:val="continue"/>
                  <w:noWrap w:val="0"/>
                  <w:vAlign w:val="center"/>
                </w:tcPr>
                <w:p>
                  <w:pPr>
                    <w:adjustRightInd w:val="0"/>
                    <w:snapToGrid w:val="0"/>
                    <w:jc w:val="center"/>
                    <w:rPr>
                      <w:rFonts w:hint="eastAsia"/>
                      <w:i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continue"/>
                  <w:noWrap w:val="0"/>
                  <w:vAlign w:val="center"/>
                </w:tcPr>
                <w:p>
                  <w:pPr>
                    <w:adjustRightInd w:val="0"/>
                    <w:snapToGrid w:val="0"/>
                    <w:jc w:val="center"/>
                    <w:rPr>
                      <w:iCs/>
                      <w:color w:val="auto"/>
                      <w:sz w:val="18"/>
                      <w:szCs w:val="18"/>
                    </w:rPr>
                  </w:pPr>
                </w:p>
              </w:tc>
              <w:tc>
                <w:tcPr>
                  <w:tcW w:w="1150" w:type="dxa"/>
                  <w:noWrap w:val="0"/>
                  <w:vAlign w:val="center"/>
                </w:tcPr>
                <w:p>
                  <w:pPr>
                    <w:adjustRightInd w:val="0"/>
                    <w:snapToGrid w:val="0"/>
                    <w:jc w:val="center"/>
                    <w:rPr>
                      <w:rFonts w:hint="default"/>
                      <w:iCs/>
                      <w:color w:val="auto"/>
                      <w:sz w:val="18"/>
                      <w:szCs w:val="18"/>
                      <w:lang w:val="en-US" w:eastAsia="zh-CN"/>
                    </w:rPr>
                  </w:pPr>
                  <w:r>
                    <w:rPr>
                      <w:rFonts w:hint="eastAsia"/>
                      <w:iCs/>
                      <w:color w:val="auto"/>
                      <w:sz w:val="18"/>
                      <w:szCs w:val="18"/>
                      <w:lang w:val="en-US" w:eastAsia="zh-CN"/>
                    </w:rPr>
                    <w:t>机加工</w:t>
                  </w:r>
                </w:p>
              </w:tc>
              <w:tc>
                <w:tcPr>
                  <w:tcW w:w="2085" w:type="dxa"/>
                  <w:noWrap w:val="0"/>
                  <w:vAlign w:val="center"/>
                </w:tcPr>
                <w:p>
                  <w:pPr>
                    <w:pStyle w:val="130"/>
                    <w:spacing w:line="240" w:lineRule="auto"/>
                    <w:rPr>
                      <w:rFonts w:hint="default"/>
                      <w:iCs/>
                      <w:color w:val="auto"/>
                      <w:sz w:val="18"/>
                      <w:szCs w:val="18"/>
                      <w:lang w:val="en-US" w:eastAsia="zh-CN"/>
                    </w:rPr>
                  </w:pPr>
                  <w:r>
                    <w:rPr>
                      <w:rFonts w:hint="eastAsia"/>
                      <w:iCs/>
                      <w:color w:val="auto"/>
                      <w:sz w:val="18"/>
                      <w:szCs w:val="18"/>
                      <w:lang w:val="en-US" w:eastAsia="zh-CN"/>
                    </w:rPr>
                    <w:t>废乳化液、废包装桶</w:t>
                  </w:r>
                </w:p>
              </w:tc>
              <w:tc>
                <w:tcPr>
                  <w:tcW w:w="3199" w:type="dxa"/>
                  <w:noWrap w:val="0"/>
                  <w:vAlign w:val="center"/>
                </w:tcPr>
                <w:p>
                  <w:pPr>
                    <w:adjustRightInd w:val="0"/>
                    <w:snapToGrid w:val="0"/>
                    <w:jc w:val="center"/>
                    <w:rPr>
                      <w:rFonts w:hint="default"/>
                      <w:iCs/>
                      <w:color w:val="auto"/>
                      <w:sz w:val="18"/>
                      <w:szCs w:val="18"/>
                      <w:lang w:val="en-US" w:eastAsia="zh-CN"/>
                    </w:rPr>
                  </w:pPr>
                  <w:r>
                    <w:rPr>
                      <w:rFonts w:hint="eastAsia"/>
                      <w:iCs/>
                      <w:color w:val="auto"/>
                      <w:sz w:val="18"/>
                      <w:szCs w:val="18"/>
                      <w:lang w:val="en-US" w:eastAsia="zh-CN"/>
                    </w:rPr>
                    <w:t>收集暂存，定期交由资质单位处置</w:t>
                  </w:r>
                </w:p>
              </w:tc>
              <w:tc>
                <w:tcPr>
                  <w:tcW w:w="1224" w:type="dxa"/>
                  <w:vMerge w:val="continue"/>
                  <w:noWrap w:val="0"/>
                  <w:vAlign w:val="center"/>
                </w:tcPr>
                <w:p>
                  <w:pPr>
                    <w:adjustRightInd w:val="0"/>
                    <w:snapToGrid w:val="0"/>
                    <w:jc w:val="center"/>
                    <w:rPr>
                      <w:rFonts w:hint="eastAsia"/>
                      <w:i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continue"/>
                  <w:noWrap w:val="0"/>
                  <w:vAlign w:val="center"/>
                </w:tcPr>
                <w:p>
                  <w:pPr>
                    <w:adjustRightInd w:val="0"/>
                    <w:snapToGrid w:val="0"/>
                    <w:jc w:val="center"/>
                    <w:rPr>
                      <w:iCs/>
                      <w:color w:val="auto"/>
                      <w:sz w:val="18"/>
                      <w:szCs w:val="18"/>
                    </w:rPr>
                  </w:pPr>
                </w:p>
              </w:tc>
              <w:tc>
                <w:tcPr>
                  <w:tcW w:w="1150" w:type="dxa"/>
                  <w:noWrap w:val="0"/>
                  <w:vAlign w:val="center"/>
                </w:tcPr>
                <w:p>
                  <w:pPr>
                    <w:adjustRightInd w:val="0"/>
                    <w:snapToGrid w:val="0"/>
                    <w:jc w:val="center"/>
                    <w:rPr>
                      <w:rFonts w:hint="default" w:eastAsia="宋体"/>
                      <w:iCs/>
                      <w:color w:val="auto"/>
                      <w:sz w:val="18"/>
                      <w:szCs w:val="18"/>
                      <w:lang w:val="en-US" w:eastAsia="zh-CN"/>
                    </w:rPr>
                  </w:pPr>
                  <w:r>
                    <w:rPr>
                      <w:rFonts w:hint="eastAsia"/>
                      <w:iCs/>
                      <w:color w:val="auto"/>
                      <w:sz w:val="18"/>
                      <w:szCs w:val="18"/>
                      <w:lang w:val="en-US" w:eastAsia="zh-CN"/>
                    </w:rPr>
                    <w:t>废气处理</w:t>
                  </w:r>
                </w:p>
              </w:tc>
              <w:tc>
                <w:tcPr>
                  <w:tcW w:w="2085" w:type="dxa"/>
                  <w:noWrap w:val="0"/>
                  <w:vAlign w:val="center"/>
                </w:tcPr>
                <w:p>
                  <w:pPr>
                    <w:pStyle w:val="130"/>
                    <w:spacing w:line="240" w:lineRule="auto"/>
                    <w:jc w:val="center"/>
                    <w:rPr>
                      <w:rFonts w:hint="eastAsia" w:eastAsia="宋体"/>
                      <w:iCs/>
                      <w:color w:val="auto"/>
                      <w:sz w:val="18"/>
                      <w:szCs w:val="18"/>
                      <w:lang w:eastAsia="zh-CN"/>
                    </w:rPr>
                  </w:pPr>
                  <w:r>
                    <w:rPr>
                      <w:rFonts w:hint="eastAsia"/>
                      <w:iCs/>
                      <w:color w:val="auto"/>
                      <w:sz w:val="18"/>
                      <w:szCs w:val="18"/>
                      <w:lang w:val="en-US" w:eastAsia="zh-CN"/>
                    </w:rPr>
                    <w:t>收集粉尘</w:t>
                  </w:r>
                </w:p>
              </w:tc>
              <w:tc>
                <w:tcPr>
                  <w:tcW w:w="3199" w:type="dxa"/>
                  <w:noWrap w:val="0"/>
                  <w:vAlign w:val="center"/>
                </w:tcPr>
                <w:p>
                  <w:pPr>
                    <w:adjustRightInd w:val="0"/>
                    <w:snapToGrid w:val="0"/>
                    <w:jc w:val="center"/>
                    <w:rPr>
                      <w:rFonts w:hint="default" w:eastAsia="宋体"/>
                      <w:iCs/>
                      <w:color w:val="auto"/>
                      <w:sz w:val="18"/>
                      <w:szCs w:val="18"/>
                      <w:lang w:val="en-US" w:eastAsia="zh-CN"/>
                    </w:rPr>
                  </w:pPr>
                  <w:r>
                    <w:rPr>
                      <w:rFonts w:hint="eastAsia"/>
                      <w:iCs/>
                      <w:color w:val="auto"/>
                      <w:sz w:val="18"/>
                      <w:szCs w:val="18"/>
                      <w:lang w:val="en-US" w:eastAsia="zh-CN"/>
                    </w:rPr>
                    <w:t>收集外售</w:t>
                  </w:r>
                </w:p>
              </w:tc>
              <w:tc>
                <w:tcPr>
                  <w:tcW w:w="1224" w:type="dxa"/>
                  <w:vMerge w:val="continue"/>
                  <w:noWrap w:val="0"/>
                  <w:vAlign w:val="center"/>
                </w:tcPr>
                <w:p>
                  <w:pPr>
                    <w:adjustRightInd w:val="0"/>
                    <w:snapToGrid w:val="0"/>
                    <w:jc w:val="center"/>
                    <w:rPr>
                      <w:rFonts w:hint="eastAsia"/>
                      <w:iCs/>
                      <w:color w:val="auto"/>
                      <w:sz w:val="18"/>
                      <w:szCs w:val="18"/>
                    </w:rPr>
                  </w:pPr>
                </w:p>
              </w:tc>
            </w:tr>
          </w:tbl>
          <w:p>
            <w:pPr>
              <w:pStyle w:val="106"/>
              <w:ind w:left="0" w:leftChars="0" w:firstLine="0" w:firstLineChars="0"/>
              <w:rPr>
                <w:b/>
                <w:bCs/>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2" w:hRule="atLeast"/>
          <w:jc w:val="center"/>
        </w:trPr>
        <w:tc>
          <w:tcPr>
            <w:tcW w:w="426" w:type="dxa"/>
            <w:noWrap w:val="0"/>
            <w:vAlign w:val="center"/>
          </w:tcPr>
          <w:p>
            <w:pPr>
              <w:pStyle w:val="40"/>
              <w:adjustRightInd w:val="0"/>
              <w:snapToGrid w:val="0"/>
              <w:spacing w:before="0" w:beforeAutospacing="0" w:after="0" w:afterAutospacing="0"/>
              <w:jc w:val="center"/>
              <w:rPr>
                <w:rFonts w:ascii="Times New Roman" w:hAnsi="Times New Roman"/>
                <w:color w:val="FF0000"/>
                <w:sz w:val="21"/>
                <w:szCs w:val="21"/>
                <w:lang w:val="en-US" w:eastAsia="zh-CN"/>
              </w:rPr>
            </w:pPr>
            <w:r>
              <w:rPr>
                <w:rFonts w:ascii="Times New Roman" w:hAnsi="Times New Roman"/>
                <w:bCs/>
                <w:color w:val="auto"/>
                <w:kern w:val="2"/>
                <w:sz w:val="21"/>
                <w:szCs w:val="21"/>
                <w:lang w:val="en-US" w:eastAsia="zh-CN"/>
              </w:rPr>
              <w:t>与项目有关的原有环境污染问题</w:t>
            </w:r>
          </w:p>
        </w:tc>
        <w:tc>
          <w:tcPr>
            <w:tcW w:w="8588" w:type="dxa"/>
            <w:noWrap w:val="0"/>
            <w:vAlign w:val="top"/>
          </w:tcPr>
          <w:p>
            <w:pPr>
              <w:adjustRightInd w:val="0"/>
              <w:snapToGrid w:val="0"/>
              <w:spacing w:line="360" w:lineRule="auto"/>
              <w:ind w:firstLine="420" w:firstLineChars="200"/>
              <w:jc w:val="left"/>
              <w:rPr>
                <w:rFonts w:hint="eastAsia"/>
                <w:color w:val="auto"/>
                <w:kern w:val="24"/>
                <w:szCs w:val="21"/>
              </w:rPr>
            </w:pPr>
            <w:r>
              <w:rPr>
                <w:rFonts w:hint="eastAsia"/>
                <w:color w:val="auto"/>
                <w:kern w:val="24"/>
                <w:szCs w:val="21"/>
              </w:rPr>
              <w:t>本项目位于</w:t>
            </w:r>
            <w:r>
              <w:rPr>
                <w:rFonts w:hint="eastAsia"/>
                <w:color w:val="auto"/>
                <w:szCs w:val="21"/>
              </w:rPr>
              <w:t>安徽省淮南市</w:t>
            </w:r>
            <w:r>
              <w:rPr>
                <w:rFonts w:hint="eastAsia"/>
                <w:color w:val="auto"/>
                <w:szCs w:val="21"/>
                <w:lang w:val="en-US" w:eastAsia="zh-CN"/>
              </w:rPr>
              <w:t>淮南安成经济开发区</w:t>
            </w:r>
            <w:r>
              <w:rPr>
                <w:rFonts w:hint="eastAsia"/>
                <w:color w:val="auto"/>
                <w:kern w:val="24"/>
                <w:szCs w:val="21"/>
              </w:rPr>
              <w:t>，系</w:t>
            </w:r>
            <w:r>
              <w:rPr>
                <w:rFonts w:hint="eastAsia"/>
                <w:color w:val="auto"/>
                <w:kern w:val="24"/>
                <w:szCs w:val="21"/>
                <w:lang w:val="en-US" w:eastAsia="zh-CN"/>
              </w:rPr>
              <w:t>购买</w:t>
            </w:r>
            <w:r>
              <w:rPr>
                <w:rFonts w:hint="eastAsia"/>
                <w:color w:val="auto"/>
                <w:szCs w:val="21"/>
              </w:rPr>
              <w:t>淮南市</w:t>
            </w:r>
            <w:r>
              <w:rPr>
                <w:rFonts w:hint="eastAsia"/>
                <w:color w:val="auto"/>
                <w:szCs w:val="21"/>
                <w:lang w:val="en-US" w:eastAsia="zh-CN"/>
              </w:rPr>
              <w:t>淮南安成经济开发区现有工业用地进行厂房建设，后续生产运营，</w:t>
            </w:r>
            <w:r>
              <w:rPr>
                <w:rFonts w:hint="eastAsia"/>
                <w:color w:val="auto"/>
                <w:kern w:val="24"/>
                <w:szCs w:val="21"/>
              </w:rPr>
              <w:t>为新建项目，不存在与本项目有关的原有污染情况和环境问题。</w:t>
            </w: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p>
            <w:pPr>
              <w:adjustRightInd w:val="0"/>
              <w:snapToGrid w:val="0"/>
              <w:spacing w:line="360" w:lineRule="auto"/>
              <w:ind w:firstLine="420" w:firstLineChars="200"/>
              <w:jc w:val="left"/>
              <w:rPr>
                <w:rFonts w:hint="eastAsia"/>
                <w:color w:val="auto"/>
                <w:kern w:val="24"/>
                <w:szCs w:val="21"/>
              </w:rPr>
            </w:pPr>
          </w:p>
        </w:tc>
      </w:tr>
    </w:tbl>
    <w:p>
      <w:pPr>
        <w:pStyle w:val="40"/>
        <w:jc w:val="center"/>
        <w:rPr>
          <w:rFonts w:ascii="Times New Roman" w:hAnsi="Times New Roman" w:eastAsia="黑体"/>
          <w:snapToGrid w:val="0"/>
          <w:color w:val="FF0000"/>
          <w:sz w:val="36"/>
          <w:szCs w:val="36"/>
        </w:rPr>
        <w:sectPr>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三、区域环境质量现状、环境保护目标及评价标准</w:t>
      </w:r>
    </w:p>
    <w:tbl>
      <w:tblPr>
        <w:tblStyle w:val="4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77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52" w:type="dxa"/>
            <w:noWrap w:val="0"/>
            <w:vAlign w:val="center"/>
          </w:tcPr>
          <w:p>
            <w:pPr>
              <w:adjustRightInd w:val="0"/>
              <w:snapToGrid w:val="0"/>
              <w:jc w:val="center"/>
              <w:rPr>
                <w:color w:val="auto"/>
                <w:kern w:val="0"/>
                <w:szCs w:val="21"/>
              </w:rPr>
            </w:pPr>
            <w:r>
              <w:rPr>
                <w:color w:val="auto"/>
                <w:kern w:val="0"/>
                <w:szCs w:val="21"/>
              </w:rPr>
              <w:t>区域</w:t>
            </w:r>
          </w:p>
          <w:p>
            <w:pPr>
              <w:adjustRightInd w:val="0"/>
              <w:snapToGrid w:val="0"/>
              <w:jc w:val="center"/>
              <w:rPr>
                <w:color w:val="auto"/>
                <w:kern w:val="0"/>
                <w:szCs w:val="21"/>
              </w:rPr>
            </w:pPr>
            <w:r>
              <w:rPr>
                <w:color w:val="auto"/>
                <w:kern w:val="0"/>
                <w:szCs w:val="21"/>
              </w:rPr>
              <w:t>环境</w:t>
            </w:r>
          </w:p>
          <w:p>
            <w:pPr>
              <w:adjustRightInd w:val="0"/>
              <w:snapToGrid w:val="0"/>
              <w:jc w:val="center"/>
              <w:rPr>
                <w:color w:val="auto"/>
                <w:kern w:val="0"/>
                <w:szCs w:val="21"/>
              </w:rPr>
            </w:pPr>
            <w:r>
              <w:rPr>
                <w:color w:val="auto"/>
                <w:kern w:val="0"/>
                <w:szCs w:val="21"/>
              </w:rPr>
              <w:t>质量</w:t>
            </w:r>
          </w:p>
          <w:p>
            <w:pPr>
              <w:adjustRightInd w:val="0"/>
              <w:snapToGrid w:val="0"/>
              <w:jc w:val="center"/>
              <w:rPr>
                <w:color w:val="FF0000"/>
                <w:kern w:val="0"/>
                <w:szCs w:val="21"/>
              </w:rPr>
            </w:pPr>
            <w:r>
              <w:rPr>
                <w:color w:val="auto"/>
                <w:kern w:val="0"/>
                <w:szCs w:val="21"/>
              </w:rPr>
              <w:t>现状</w:t>
            </w:r>
          </w:p>
        </w:tc>
        <w:tc>
          <w:tcPr>
            <w:tcW w:w="7771" w:type="dxa"/>
            <w:noWrap w:val="0"/>
            <w:vAlign w:val="center"/>
          </w:tcPr>
          <w:p>
            <w:pPr>
              <w:widowControl/>
              <w:tabs>
                <w:tab w:val="left" w:pos="1418"/>
              </w:tabs>
              <w:spacing w:line="360" w:lineRule="auto"/>
              <w:jc w:val="left"/>
              <w:rPr>
                <w:b/>
                <w:color w:val="auto"/>
                <w:kern w:val="0"/>
                <w:szCs w:val="21"/>
              </w:rPr>
            </w:pPr>
            <w:r>
              <w:rPr>
                <w:rFonts w:hint="eastAsia"/>
                <w:b/>
                <w:color w:val="auto"/>
                <w:kern w:val="0"/>
                <w:szCs w:val="21"/>
              </w:rPr>
              <w:t>1、</w:t>
            </w:r>
            <w:r>
              <w:rPr>
                <w:b/>
                <w:color w:val="auto"/>
                <w:kern w:val="0"/>
                <w:szCs w:val="21"/>
              </w:rPr>
              <w:t>大气环境质量现状</w:t>
            </w:r>
          </w:p>
          <w:p>
            <w:pPr>
              <w:adjustRightInd w:val="0"/>
              <w:snapToGrid w:val="0"/>
              <w:spacing w:line="360" w:lineRule="auto"/>
              <w:ind w:firstLine="420" w:firstLineChars="200"/>
              <w:jc w:val="left"/>
              <w:rPr>
                <w:color w:val="auto"/>
                <w:kern w:val="24"/>
                <w:szCs w:val="21"/>
              </w:rPr>
            </w:pPr>
            <w:r>
              <w:rPr>
                <w:color w:val="auto"/>
                <w:kern w:val="24"/>
                <w:szCs w:val="21"/>
              </w:rPr>
              <w:t>根据《</w:t>
            </w:r>
            <w:r>
              <w:rPr>
                <w:rFonts w:hint="eastAsia"/>
                <w:color w:val="auto"/>
                <w:kern w:val="24"/>
                <w:szCs w:val="21"/>
              </w:rPr>
              <w:t>建设项目环境影响报告表编制技术指南（污染影响类）（试行）</w:t>
            </w:r>
            <w:r>
              <w:rPr>
                <w:color w:val="auto"/>
                <w:kern w:val="24"/>
                <w:szCs w:val="21"/>
              </w:rPr>
              <w:t>》，</w:t>
            </w:r>
            <w:r>
              <w:rPr>
                <w:rFonts w:hint="eastAsia"/>
                <w:color w:val="auto"/>
                <w:kern w:val="24"/>
                <w:szCs w:val="21"/>
              </w:rPr>
              <w:t>常规污染物引用与建设项目距离近的有效数据，包括近3年的规划环境影响评价的监测数据，国家、地方环境空气质量监测网数据或生态环境主管部门公开发布的质量数据等</w:t>
            </w:r>
            <w:r>
              <w:rPr>
                <w:color w:val="auto"/>
                <w:kern w:val="24"/>
                <w:szCs w:val="21"/>
              </w:rPr>
              <w:t>。</w:t>
            </w:r>
            <w:r>
              <w:rPr>
                <w:rFonts w:hint="eastAsia"/>
                <w:color w:val="auto"/>
                <w:kern w:val="24"/>
                <w:szCs w:val="21"/>
              </w:rPr>
              <w:t>排放国家、地方环境空气质量标准中有标准限值要求的特征污染物时，引用建设项目周边5千米范围内近3年的现有监测数据，无相关数据的选择当季主导风向下风向1个点位补充不少于3天的监测数据。</w:t>
            </w:r>
          </w:p>
          <w:p>
            <w:pPr>
              <w:pStyle w:val="101"/>
              <w:adjustRightInd w:val="0"/>
              <w:snapToGrid w:val="0"/>
              <w:spacing w:line="360" w:lineRule="auto"/>
              <w:ind w:firstLine="422" w:firstLineChars="200"/>
              <w:rPr>
                <w:rFonts w:ascii="Times New Roman" w:hAnsi="Times New Roman"/>
                <w:b/>
                <w:bCs/>
                <w:color w:val="auto"/>
              </w:rPr>
            </w:pPr>
            <w:r>
              <w:rPr>
                <w:rFonts w:hint="eastAsia" w:ascii="Times New Roman" w:hAnsi="Times New Roman"/>
                <w:b/>
                <w:bCs/>
                <w:color w:val="auto"/>
              </w:rPr>
              <w:t>（1）</w:t>
            </w:r>
            <w:r>
              <w:rPr>
                <w:rFonts w:ascii="Times New Roman" w:hAnsi="Times New Roman"/>
                <w:b/>
                <w:bCs/>
                <w:color w:val="auto"/>
              </w:rPr>
              <w:t>空气质量达标区判定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根据《202</w:t>
            </w:r>
            <w:r>
              <w:rPr>
                <w:rFonts w:hint="eastAsia" w:ascii="Times New Roman" w:hAnsi="Times New Roman" w:eastAsia="宋体" w:cs="Times New Roman"/>
                <w:bCs/>
                <w:color w:val="auto"/>
                <w:szCs w:val="21"/>
                <w:lang w:val="en-US" w:eastAsia="zh-CN"/>
              </w:rPr>
              <w:t>3</w:t>
            </w:r>
            <w:r>
              <w:rPr>
                <w:rFonts w:hint="eastAsia" w:ascii="Times New Roman" w:hAnsi="Times New Roman" w:eastAsia="宋体" w:cs="Times New Roman"/>
                <w:bCs/>
                <w:color w:val="auto"/>
                <w:szCs w:val="21"/>
              </w:rPr>
              <w:t>年淮南市环境质量状况公报》，根据AQI标准六个空气质量级别的划分，2023年全市环境空气质量一级优69天，二级良225天，三级轻度污染60天，四级中度污染3天，五级重度污染4天，六级严重污染4天；全市年度环境空气达标天数比例为80.5%，与上年相比提升了1.0个百分点；全市环境空气综合指数为3.86，首要污染物主要为臭氧。细颗粒物（PM</w:t>
            </w:r>
            <w:r>
              <w:rPr>
                <w:rFonts w:hint="eastAsia" w:ascii="Times New Roman" w:hAnsi="Times New Roman" w:eastAsia="宋体" w:cs="Times New Roman"/>
                <w:bCs/>
                <w:color w:val="auto"/>
                <w:szCs w:val="21"/>
                <w:vertAlign w:val="subscript"/>
              </w:rPr>
              <w:t>2.5</w:t>
            </w:r>
            <w:r>
              <w:rPr>
                <w:rFonts w:hint="eastAsia" w:ascii="Times New Roman" w:hAnsi="Times New Roman" w:eastAsia="宋体" w:cs="Times New Roman"/>
                <w:bCs/>
                <w:color w:val="auto"/>
                <w:szCs w:val="21"/>
              </w:rPr>
              <w:t>）日均浓度范围为8～252微克/立方米，日均值达标率为93.0%。年均值为38.7微克/立方米，与上年相比下降了4.4个百分点。可吸入颗粒物（PM</w:t>
            </w:r>
            <w:r>
              <w:rPr>
                <w:rFonts w:hint="eastAsia" w:ascii="Times New Roman" w:hAnsi="Times New Roman" w:eastAsia="宋体" w:cs="Times New Roman"/>
                <w:bCs/>
                <w:color w:val="auto"/>
                <w:szCs w:val="21"/>
                <w:vertAlign w:val="subscript"/>
              </w:rPr>
              <w:t>10</w:t>
            </w:r>
            <w:r>
              <w:rPr>
                <w:rFonts w:hint="eastAsia" w:ascii="Times New Roman" w:hAnsi="Times New Roman" w:eastAsia="宋体" w:cs="Times New Roman"/>
                <w:bCs/>
                <w:color w:val="auto"/>
                <w:szCs w:val="21"/>
              </w:rPr>
              <w:t>）日均浓度范围为12～313微克/立方米，日均值达标率为97.6%。年均值为65.9微克/立方米，与上年相比下降了0.8个百分点。二氧化氮（NO</w:t>
            </w:r>
            <w:r>
              <w:rPr>
                <w:rFonts w:hint="eastAsia" w:ascii="Times New Roman" w:hAnsi="Times New Roman" w:eastAsia="宋体" w:cs="Times New Roman"/>
                <w:bCs/>
                <w:color w:val="auto"/>
                <w:szCs w:val="21"/>
                <w:vertAlign w:val="subscript"/>
              </w:rPr>
              <w:t>2</w:t>
            </w:r>
            <w:r>
              <w:rPr>
                <w:rFonts w:hint="eastAsia" w:ascii="Times New Roman" w:hAnsi="Times New Roman" w:eastAsia="宋体" w:cs="Times New Roman"/>
                <w:bCs/>
                <w:color w:val="auto"/>
                <w:szCs w:val="21"/>
              </w:rPr>
              <w:t>）日均浓度范围为6～70微克/立方米，日均值达标率为100%。年均浓度为21微克/立方米，与上年相比上升了10.5个百分点。二氧化硫（SO2）日均浓度范围为3～15微克/立方米，日均值达标率为100%。年均浓度为8微克/立方米，与上年持平。一氧化碳（CO）日均浓度范围为0.2～1.5毫克/立方米，日均值达标率为100%。日均值第95百分位数为0.7毫克/立方米，与上年相比下降了12.5个百分点。臭氧日最大8小时（O</w:t>
            </w:r>
            <w:r>
              <w:rPr>
                <w:rFonts w:hint="eastAsia" w:ascii="Times New Roman" w:hAnsi="Times New Roman" w:eastAsia="宋体" w:cs="Times New Roman"/>
                <w:bCs/>
                <w:color w:val="auto"/>
                <w:szCs w:val="21"/>
                <w:vertAlign w:val="subscript"/>
              </w:rPr>
              <w:t>3</w:t>
            </w:r>
            <w:r>
              <w:rPr>
                <w:rFonts w:hint="eastAsia" w:ascii="Times New Roman" w:hAnsi="Times New Roman" w:eastAsia="宋体" w:cs="Times New Roman"/>
                <w:bCs/>
                <w:color w:val="auto"/>
                <w:szCs w:val="21"/>
              </w:rPr>
              <w:t>-8h）滑动平均值范围为4～210微克/立方米，达标率为91.8%。日最大8小时滑动平均值第90百分位数为157微克/立方米，与上年相比上升了4.0个百分点。数据及达标情况见表3-</w:t>
            </w:r>
            <w:r>
              <w:rPr>
                <w:rFonts w:hint="eastAsia" w:ascii="Times New Roman" w:hAnsi="Times New Roman" w:eastAsia="宋体" w:cs="Times New Roman"/>
                <w:bCs/>
                <w:color w:val="auto"/>
                <w:szCs w:val="21"/>
                <w:lang w:val="en-US" w:eastAsia="zh-CN"/>
              </w:rPr>
              <w:t>1</w:t>
            </w:r>
            <w:r>
              <w:rPr>
                <w:rFonts w:hint="eastAsia" w:ascii="Times New Roman" w:hAnsi="Times New Roman" w:eastAsia="宋体" w:cs="Times New Roman"/>
                <w:bCs/>
                <w:color w:val="auto"/>
                <w:szCs w:val="21"/>
              </w:rPr>
              <w:t>。</w:t>
            </w:r>
          </w:p>
          <w:p>
            <w:pPr>
              <w:pStyle w:val="149"/>
              <w:spacing w:line="300" w:lineRule="atLeast"/>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rPr>
              <w:t xml:space="preserve"> </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淮南市202</w:t>
            </w:r>
            <w:r>
              <w:rPr>
                <w:rFonts w:hint="eastAsia"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rPr>
              <w:t>年环境空气质量年均浓度</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单位：ug/m³</w:t>
            </w:r>
            <w:r>
              <w:rPr>
                <w:rFonts w:hint="default" w:ascii="Times New Roman" w:hAnsi="Times New Roman" w:eastAsia="宋体" w:cs="Times New Roman"/>
                <w:b/>
                <w:bCs/>
                <w:color w:val="auto"/>
                <w:sz w:val="21"/>
                <w:szCs w:val="21"/>
                <w:lang w:eastAsia="zh-CN"/>
              </w:rPr>
              <w:t>）</w:t>
            </w:r>
          </w:p>
          <w:tbl>
            <w:tblPr>
              <w:tblStyle w:val="44"/>
              <w:tblW w:w="7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864"/>
              <w:gridCol w:w="1148"/>
              <w:gridCol w:w="1181"/>
              <w:gridCol w:w="1216"/>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4" w:type="dxa"/>
                  <w:noWrap w:val="0"/>
                  <w:vAlign w:val="center"/>
                </w:tcPr>
                <w:p>
                  <w:pPr>
                    <w:jc w:val="center"/>
                    <w:rPr>
                      <w:color w:val="auto"/>
                      <w:sz w:val="21"/>
                      <w:szCs w:val="21"/>
                    </w:rPr>
                  </w:pPr>
                  <w:r>
                    <w:rPr>
                      <w:color w:val="auto"/>
                      <w:sz w:val="21"/>
                      <w:szCs w:val="21"/>
                    </w:rPr>
                    <w:t>污染物</w:t>
                  </w:r>
                </w:p>
              </w:tc>
              <w:tc>
                <w:tcPr>
                  <w:tcW w:w="1864" w:type="dxa"/>
                  <w:noWrap w:val="0"/>
                  <w:vAlign w:val="center"/>
                </w:tcPr>
                <w:p>
                  <w:pPr>
                    <w:jc w:val="center"/>
                    <w:rPr>
                      <w:color w:val="auto"/>
                      <w:sz w:val="21"/>
                      <w:szCs w:val="21"/>
                    </w:rPr>
                  </w:pPr>
                  <w:r>
                    <w:rPr>
                      <w:color w:val="auto"/>
                      <w:sz w:val="21"/>
                      <w:szCs w:val="21"/>
                    </w:rPr>
                    <w:t>年评价指标</w:t>
                  </w:r>
                </w:p>
              </w:tc>
              <w:tc>
                <w:tcPr>
                  <w:tcW w:w="1148" w:type="dxa"/>
                  <w:noWrap w:val="0"/>
                  <w:vAlign w:val="center"/>
                </w:tcPr>
                <w:p>
                  <w:pPr>
                    <w:jc w:val="center"/>
                    <w:rPr>
                      <w:color w:val="auto"/>
                      <w:sz w:val="21"/>
                      <w:szCs w:val="21"/>
                    </w:rPr>
                  </w:pPr>
                  <w:r>
                    <w:rPr>
                      <w:color w:val="auto"/>
                      <w:sz w:val="21"/>
                      <w:szCs w:val="21"/>
                    </w:rPr>
                    <w:t>现状浓度</w:t>
                  </w:r>
                </w:p>
              </w:tc>
              <w:tc>
                <w:tcPr>
                  <w:tcW w:w="1181" w:type="dxa"/>
                  <w:noWrap w:val="0"/>
                  <w:vAlign w:val="center"/>
                </w:tcPr>
                <w:p>
                  <w:pPr>
                    <w:jc w:val="center"/>
                    <w:rPr>
                      <w:color w:val="auto"/>
                      <w:sz w:val="21"/>
                      <w:szCs w:val="21"/>
                    </w:rPr>
                  </w:pPr>
                  <w:r>
                    <w:rPr>
                      <w:color w:val="auto"/>
                      <w:sz w:val="21"/>
                      <w:szCs w:val="21"/>
                    </w:rPr>
                    <w:t>标准值</w:t>
                  </w:r>
                </w:p>
              </w:tc>
              <w:tc>
                <w:tcPr>
                  <w:tcW w:w="1216" w:type="dxa"/>
                  <w:noWrap w:val="0"/>
                  <w:vAlign w:val="center"/>
                </w:tcPr>
                <w:p>
                  <w:pPr>
                    <w:jc w:val="center"/>
                    <w:rPr>
                      <w:color w:val="auto"/>
                      <w:sz w:val="21"/>
                      <w:szCs w:val="21"/>
                    </w:rPr>
                  </w:pPr>
                  <w:r>
                    <w:rPr>
                      <w:color w:val="auto"/>
                      <w:sz w:val="21"/>
                      <w:szCs w:val="21"/>
                    </w:rPr>
                    <w:t>占标率%</w:t>
                  </w:r>
                </w:p>
              </w:tc>
              <w:tc>
                <w:tcPr>
                  <w:tcW w:w="1251" w:type="dxa"/>
                  <w:noWrap w:val="0"/>
                  <w:vAlign w:val="center"/>
                </w:tcPr>
                <w:p>
                  <w:pPr>
                    <w:jc w:val="center"/>
                    <w:rPr>
                      <w:color w:val="auto"/>
                      <w:sz w:val="21"/>
                      <w:szCs w:val="21"/>
                    </w:rPr>
                  </w:pPr>
                  <w:r>
                    <w:rPr>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74" w:type="dxa"/>
                  <w:noWrap w:val="0"/>
                  <w:vAlign w:val="center"/>
                </w:tcPr>
                <w:p>
                  <w:pPr>
                    <w:jc w:val="center"/>
                    <w:rPr>
                      <w:color w:val="auto"/>
                      <w:sz w:val="21"/>
                      <w:szCs w:val="21"/>
                    </w:rPr>
                  </w:pPr>
                  <w:r>
                    <w:rPr>
                      <w:color w:val="auto"/>
                      <w:sz w:val="21"/>
                      <w:szCs w:val="21"/>
                    </w:rPr>
                    <w:t>PM</w:t>
                  </w:r>
                  <w:r>
                    <w:rPr>
                      <w:color w:val="auto"/>
                      <w:sz w:val="21"/>
                      <w:szCs w:val="21"/>
                      <w:vertAlign w:val="subscript"/>
                    </w:rPr>
                    <w:t>10</w:t>
                  </w:r>
                </w:p>
              </w:tc>
              <w:tc>
                <w:tcPr>
                  <w:tcW w:w="1864" w:type="dxa"/>
                  <w:vMerge w:val="restart"/>
                  <w:noWrap w:val="0"/>
                  <w:vAlign w:val="center"/>
                </w:tcPr>
                <w:p>
                  <w:pPr>
                    <w:jc w:val="center"/>
                    <w:rPr>
                      <w:color w:val="auto"/>
                      <w:sz w:val="21"/>
                      <w:szCs w:val="21"/>
                    </w:rPr>
                  </w:pPr>
                  <w:r>
                    <w:rPr>
                      <w:color w:val="auto"/>
                      <w:sz w:val="21"/>
                      <w:szCs w:val="21"/>
                    </w:rPr>
                    <w:t>年平均质量浓度</w:t>
                  </w:r>
                </w:p>
              </w:tc>
              <w:tc>
                <w:tcPr>
                  <w:tcW w:w="1148" w:type="dxa"/>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65.9</w:t>
                  </w:r>
                </w:p>
              </w:tc>
              <w:tc>
                <w:tcPr>
                  <w:tcW w:w="1181" w:type="dxa"/>
                  <w:noWrap w:val="0"/>
                  <w:vAlign w:val="center"/>
                </w:tcPr>
                <w:p>
                  <w:pPr>
                    <w:jc w:val="center"/>
                    <w:rPr>
                      <w:color w:val="auto"/>
                      <w:sz w:val="21"/>
                      <w:szCs w:val="21"/>
                    </w:rPr>
                  </w:pPr>
                  <w:r>
                    <w:rPr>
                      <w:color w:val="auto"/>
                      <w:sz w:val="21"/>
                      <w:szCs w:val="21"/>
                    </w:rPr>
                    <w:t>70</w:t>
                  </w:r>
                </w:p>
              </w:tc>
              <w:tc>
                <w:tcPr>
                  <w:tcW w:w="1216" w:type="dxa"/>
                  <w:noWrap w:val="0"/>
                  <w:vAlign w:val="center"/>
                </w:tcPr>
                <w:p>
                  <w:pPr>
                    <w:jc w:val="center"/>
                    <w:rPr>
                      <w:rFonts w:hint="default" w:eastAsia="宋体"/>
                      <w:color w:val="auto"/>
                      <w:sz w:val="21"/>
                      <w:szCs w:val="21"/>
                      <w:lang w:val="en-US" w:eastAsia="zh-CN"/>
                    </w:rPr>
                  </w:pPr>
                  <w:r>
                    <w:rPr>
                      <w:rFonts w:hint="eastAsia"/>
                      <w:color w:val="auto"/>
                      <w:sz w:val="21"/>
                      <w:szCs w:val="21"/>
                    </w:rPr>
                    <w:t>9</w:t>
                  </w:r>
                  <w:r>
                    <w:rPr>
                      <w:rFonts w:hint="eastAsia"/>
                      <w:color w:val="auto"/>
                      <w:sz w:val="21"/>
                      <w:szCs w:val="21"/>
                      <w:lang w:val="en-US" w:eastAsia="zh-CN"/>
                    </w:rPr>
                    <w:t>4.1</w:t>
                  </w:r>
                </w:p>
              </w:tc>
              <w:tc>
                <w:tcPr>
                  <w:tcW w:w="1251" w:type="dxa"/>
                  <w:noWrap w:val="0"/>
                  <w:vAlign w:val="center"/>
                </w:tcPr>
                <w:p>
                  <w:pPr>
                    <w:jc w:val="center"/>
                    <w:rPr>
                      <w:color w:val="auto"/>
                      <w:sz w:val="21"/>
                      <w:szCs w:val="21"/>
                    </w:rPr>
                  </w:pPr>
                  <w:r>
                    <w:rPr>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74" w:type="dxa"/>
                  <w:noWrap w:val="0"/>
                  <w:vAlign w:val="center"/>
                </w:tcPr>
                <w:p>
                  <w:pPr>
                    <w:jc w:val="center"/>
                    <w:rPr>
                      <w:color w:val="auto"/>
                      <w:sz w:val="21"/>
                      <w:szCs w:val="21"/>
                    </w:rPr>
                  </w:pPr>
                  <w:r>
                    <w:rPr>
                      <w:color w:val="auto"/>
                      <w:sz w:val="21"/>
                      <w:szCs w:val="21"/>
                    </w:rPr>
                    <w:t>PM</w:t>
                  </w:r>
                  <w:r>
                    <w:rPr>
                      <w:color w:val="auto"/>
                      <w:sz w:val="21"/>
                      <w:szCs w:val="21"/>
                      <w:vertAlign w:val="subscript"/>
                    </w:rPr>
                    <w:t>2.5</w:t>
                  </w:r>
                </w:p>
              </w:tc>
              <w:tc>
                <w:tcPr>
                  <w:tcW w:w="1864" w:type="dxa"/>
                  <w:vMerge w:val="continue"/>
                  <w:noWrap w:val="0"/>
                  <w:vAlign w:val="center"/>
                </w:tcPr>
                <w:p>
                  <w:pPr>
                    <w:jc w:val="center"/>
                    <w:rPr>
                      <w:color w:val="auto"/>
                      <w:sz w:val="21"/>
                      <w:szCs w:val="21"/>
                    </w:rPr>
                  </w:pPr>
                </w:p>
              </w:tc>
              <w:tc>
                <w:tcPr>
                  <w:tcW w:w="1148" w:type="dxa"/>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38.7</w:t>
                  </w:r>
                </w:p>
              </w:tc>
              <w:tc>
                <w:tcPr>
                  <w:tcW w:w="1181" w:type="dxa"/>
                  <w:noWrap w:val="0"/>
                  <w:vAlign w:val="center"/>
                </w:tcPr>
                <w:p>
                  <w:pPr>
                    <w:jc w:val="center"/>
                    <w:rPr>
                      <w:color w:val="auto"/>
                      <w:sz w:val="21"/>
                      <w:szCs w:val="21"/>
                    </w:rPr>
                  </w:pPr>
                  <w:r>
                    <w:rPr>
                      <w:color w:val="auto"/>
                      <w:sz w:val="21"/>
                      <w:szCs w:val="21"/>
                    </w:rPr>
                    <w:t>35</w:t>
                  </w:r>
                </w:p>
              </w:tc>
              <w:tc>
                <w:tcPr>
                  <w:tcW w:w="1216" w:type="dxa"/>
                  <w:noWrap w:val="0"/>
                  <w:vAlign w:val="center"/>
                </w:tcPr>
                <w:p>
                  <w:pPr>
                    <w:jc w:val="center"/>
                    <w:rPr>
                      <w:rFonts w:hint="eastAsia" w:eastAsia="宋体"/>
                      <w:color w:val="auto"/>
                      <w:sz w:val="21"/>
                      <w:szCs w:val="21"/>
                      <w:lang w:eastAsia="zh-CN"/>
                    </w:rPr>
                  </w:pPr>
                  <w:r>
                    <w:rPr>
                      <w:color w:val="auto"/>
                      <w:sz w:val="21"/>
                      <w:szCs w:val="21"/>
                    </w:rPr>
                    <w:t>1</w:t>
                  </w:r>
                  <w:r>
                    <w:rPr>
                      <w:rFonts w:hint="eastAsia"/>
                      <w:color w:val="auto"/>
                      <w:sz w:val="21"/>
                      <w:szCs w:val="21"/>
                    </w:rPr>
                    <w:t>1</w:t>
                  </w:r>
                  <w:r>
                    <w:rPr>
                      <w:rFonts w:hint="eastAsia"/>
                      <w:color w:val="auto"/>
                      <w:sz w:val="21"/>
                      <w:szCs w:val="21"/>
                      <w:lang w:val="en-US" w:eastAsia="zh-CN"/>
                    </w:rPr>
                    <w:t>1</w:t>
                  </w:r>
                </w:p>
              </w:tc>
              <w:tc>
                <w:tcPr>
                  <w:tcW w:w="1251" w:type="dxa"/>
                  <w:noWrap w:val="0"/>
                  <w:vAlign w:val="center"/>
                </w:tcPr>
                <w:p>
                  <w:pPr>
                    <w:jc w:val="center"/>
                    <w:rPr>
                      <w:color w:val="auto"/>
                      <w:sz w:val="21"/>
                      <w:szCs w:val="21"/>
                    </w:rPr>
                  </w:pPr>
                  <w:r>
                    <w:rPr>
                      <w:color w:val="auto"/>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74" w:type="dxa"/>
                  <w:noWrap w:val="0"/>
                  <w:vAlign w:val="center"/>
                </w:tcPr>
                <w:p>
                  <w:pPr>
                    <w:jc w:val="center"/>
                    <w:rPr>
                      <w:color w:val="auto"/>
                      <w:sz w:val="21"/>
                      <w:szCs w:val="21"/>
                    </w:rPr>
                  </w:pPr>
                  <w:r>
                    <w:rPr>
                      <w:color w:val="auto"/>
                      <w:sz w:val="21"/>
                      <w:szCs w:val="21"/>
                    </w:rPr>
                    <w:t>SO</w:t>
                  </w:r>
                  <w:r>
                    <w:rPr>
                      <w:color w:val="auto"/>
                      <w:sz w:val="21"/>
                      <w:szCs w:val="21"/>
                      <w:vertAlign w:val="subscript"/>
                    </w:rPr>
                    <w:t>2</w:t>
                  </w:r>
                </w:p>
              </w:tc>
              <w:tc>
                <w:tcPr>
                  <w:tcW w:w="1864" w:type="dxa"/>
                  <w:vMerge w:val="continue"/>
                  <w:noWrap w:val="0"/>
                  <w:vAlign w:val="center"/>
                </w:tcPr>
                <w:p>
                  <w:pPr>
                    <w:jc w:val="center"/>
                    <w:rPr>
                      <w:color w:val="auto"/>
                      <w:sz w:val="21"/>
                      <w:szCs w:val="21"/>
                    </w:rPr>
                  </w:pPr>
                </w:p>
              </w:tc>
              <w:tc>
                <w:tcPr>
                  <w:tcW w:w="1148" w:type="dxa"/>
                  <w:noWrap w:val="0"/>
                  <w:vAlign w:val="center"/>
                </w:tcPr>
                <w:p>
                  <w:pPr>
                    <w:jc w:val="center"/>
                    <w:rPr>
                      <w:color w:val="auto"/>
                      <w:sz w:val="21"/>
                      <w:szCs w:val="21"/>
                    </w:rPr>
                  </w:pPr>
                  <w:r>
                    <w:rPr>
                      <w:color w:val="auto"/>
                      <w:sz w:val="21"/>
                      <w:szCs w:val="21"/>
                    </w:rPr>
                    <w:t>8</w:t>
                  </w:r>
                </w:p>
              </w:tc>
              <w:tc>
                <w:tcPr>
                  <w:tcW w:w="1181" w:type="dxa"/>
                  <w:noWrap w:val="0"/>
                  <w:vAlign w:val="center"/>
                </w:tcPr>
                <w:p>
                  <w:pPr>
                    <w:jc w:val="center"/>
                    <w:rPr>
                      <w:color w:val="auto"/>
                      <w:sz w:val="21"/>
                      <w:szCs w:val="21"/>
                    </w:rPr>
                  </w:pPr>
                  <w:r>
                    <w:rPr>
                      <w:color w:val="auto"/>
                      <w:sz w:val="21"/>
                      <w:szCs w:val="21"/>
                    </w:rPr>
                    <w:t>60</w:t>
                  </w:r>
                </w:p>
              </w:tc>
              <w:tc>
                <w:tcPr>
                  <w:tcW w:w="1216" w:type="dxa"/>
                  <w:noWrap w:val="0"/>
                  <w:vAlign w:val="center"/>
                </w:tcPr>
                <w:p>
                  <w:pPr>
                    <w:jc w:val="center"/>
                    <w:rPr>
                      <w:color w:val="auto"/>
                      <w:sz w:val="21"/>
                      <w:szCs w:val="21"/>
                    </w:rPr>
                  </w:pPr>
                  <w:r>
                    <w:rPr>
                      <w:color w:val="auto"/>
                      <w:sz w:val="21"/>
                      <w:szCs w:val="21"/>
                    </w:rPr>
                    <w:t>13.3</w:t>
                  </w:r>
                </w:p>
              </w:tc>
              <w:tc>
                <w:tcPr>
                  <w:tcW w:w="1251" w:type="dxa"/>
                  <w:noWrap w:val="0"/>
                  <w:vAlign w:val="center"/>
                </w:tcPr>
                <w:p>
                  <w:pPr>
                    <w:jc w:val="center"/>
                    <w:rPr>
                      <w:color w:val="auto"/>
                      <w:sz w:val="21"/>
                      <w:szCs w:val="21"/>
                    </w:rPr>
                  </w:pPr>
                  <w:r>
                    <w:rPr>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74" w:type="dxa"/>
                  <w:noWrap w:val="0"/>
                  <w:vAlign w:val="center"/>
                </w:tcPr>
                <w:p>
                  <w:pPr>
                    <w:jc w:val="center"/>
                    <w:rPr>
                      <w:color w:val="auto"/>
                      <w:sz w:val="21"/>
                      <w:szCs w:val="21"/>
                    </w:rPr>
                  </w:pPr>
                  <w:r>
                    <w:rPr>
                      <w:color w:val="auto"/>
                      <w:sz w:val="21"/>
                      <w:szCs w:val="21"/>
                    </w:rPr>
                    <w:t>NO</w:t>
                  </w:r>
                  <w:r>
                    <w:rPr>
                      <w:color w:val="auto"/>
                      <w:sz w:val="21"/>
                      <w:szCs w:val="21"/>
                      <w:vertAlign w:val="subscript"/>
                    </w:rPr>
                    <w:t>2</w:t>
                  </w:r>
                </w:p>
              </w:tc>
              <w:tc>
                <w:tcPr>
                  <w:tcW w:w="1864" w:type="dxa"/>
                  <w:vMerge w:val="continue"/>
                  <w:noWrap w:val="0"/>
                  <w:vAlign w:val="center"/>
                </w:tcPr>
                <w:p>
                  <w:pPr>
                    <w:jc w:val="center"/>
                    <w:rPr>
                      <w:color w:val="auto"/>
                      <w:sz w:val="21"/>
                      <w:szCs w:val="21"/>
                    </w:rPr>
                  </w:pPr>
                </w:p>
              </w:tc>
              <w:tc>
                <w:tcPr>
                  <w:tcW w:w="1148" w:type="dxa"/>
                  <w:noWrap w:val="0"/>
                  <w:vAlign w:val="center"/>
                </w:tcPr>
                <w:p>
                  <w:pPr>
                    <w:jc w:val="center"/>
                    <w:rPr>
                      <w:color w:val="auto"/>
                      <w:sz w:val="21"/>
                      <w:szCs w:val="21"/>
                    </w:rPr>
                  </w:pPr>
                  <w:r>
                    <w:rPr>
                      <w:rFonts w:hint="eastAsia"/>
                      <w:color w:val="auto"/>
                      <w:sz w:val="21"/>
                      <w:szCs w:val="21"/>
                    </w:rPr>
                    <w:t>19</w:t>
                  </w:r>
                </w:p>
              </w:tc>
              <w:tc>
                <w:tcPr>
                  <w:tcW w:w="1181" w:type="dxa"/>
                  <w:noWrap w:val="0"/>
                  <w:vAlign w:val="center"/>
                </w:tcPr>
                <w:p>
                  <w:pPr>
                    <w:jc w:val="center"/>
                    <w:rPr>
                      <w:color w:val="auto"/>
                      <w:sz w:val="21"/>
                      <w:szCs w:val="21"/>
                    </w:rPr>
                  </w:pPr>
                  <w:r>
                    <w:rPr>
                      <w:color w:val="auto"/>
                      <w:sz w:val="21"/>
                      <w:szCs w:val="21"/>
                    </w:rPr>
                    <w:t>40</w:t>
                  </w:r>
                </w:p>
              </w:tc>
              <w:tc>
                <w:tcPr>
                  <w:tcW w:w="1216" w:type="dxa"/>
                  <w:noWrap w:val="0"/>
                  <w:vAlign w:val="center"/>
                </w:tcPr>
                <w:p>
                  <w:pPr>
                    <w:jc w:val="center"/>
                    <w:rPr>
                      <w:color w:val="auto"/>
                      <w:sz w:val="21"/>
                      <w:szCs w:val="21"/>
                    </w:rPr>
                  </w:pPr>
                  <w:r>
                    <w:rPr>
                      <w:rFonts w:hint="eastAsia"/>
                      <w:color w:val="auto"/>
                      <w:sz w:val="21"/>
                      <w:szCs w:val="21"/>
                    </w:rPr>
                    <w:t>4</w:t>
                  </w:r>
                  <w:r>
                    <w:rPr>
                      <w:color w:val="auto"/>
                      <w:sz w:val="21"/>
                      <w:szCs w:val="21"/>
                    </w:rPr>
                    <w:t>7.5</w:t>
                  </w:r>
                </w:p>
              </w:tc>
              <w:tc>
                <w:tcPr>
                  <w:tcW w:w="1251" w:type="dxa"/>
                  <w:noWrap w:val="0"/>
                  <w:vAlign w:val="center"/>
                </w:tcPr>
                <w:p>
                  <w:pPr>
                    <w:jc w:val="center"/>
                    <w:rPr>
                      <w:color w:val="auto"/>
                      <w:sz w:val="21"/>
                      <w:szCs w:val="21"/>
                    </w:rPr>
                  </w:pPr>
                  <w:r>
                    <w:rPr>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74" w:type="dxa"/>
                  <w:noWrap w:val="0"/>
                  <w:vAlign w:val="center"/>
                </w:tcPr>
                <w:p>
                  <w:pPr>
                    <w:jc w:val="center"/>
                    <w:rPr>
                      <w:color w:val="auto"/>
                      <w:sz w:val="21"/>
                      <w:szCs w:val="21"/>
                    </w:rPr>
                  </w:pPr>
                  <w:r>
                    <w:rPr>
                      <w:color w:val="auto"/>
                      <w:sz w:val="21"/>
                      <w:szCs w:val="21"/>
                    </w:rPr>
                    <w:t>O</w:t>
                  </w:r>
                  <w:r>
                    <w:rPr>
                      <w:color w:val="auto"/>
                      <w:sz w:val="21"/>
                      <w:szCs w:val="21"/>
                      <w:vertAlign w:val="subscript"/>
                    </w:rPr>
                    <w:t>3</w:t>
                  </w:r>
                </w:p>
              </w:tc>
              <w:tc>
                <w:tcPr>
                  <w:tcW w:w="1864" w:type="dxa"/>
                  <w:noWrap w:val="0"/>
                  <w:vAlign w:val="center"/>
                </w:tcPr>
                <w:p>
                  <w:pPr>
                    <w:jc w:val="center"/>
                    <w:rPr>
                      <w:color w:val="auto"/>
                      <w:sz w:val="21"/>
                      <w:szCs w:val="21"/>
                    </w:rPr>
                  </w:pPr>
                  <w:r>
                    <w:rPr>
                      <w:color w:val="auto"/>
                      <w:sz w:val="21"/>
                      <w:szCs w:val="21"/>
                    </w:rPr>
                    <w:t>8h平均质量浓度</w:t>
                  </w:r>
                </w:p>
              </w:tc>
              <w:tc>
                <w:tcPr>
                  <w:tcW w:w="1148" w:type="dxa"/>
                  <w:noWrap w:val="0"/>
                  <w:vAlign w:val="center"/>
                </w:tcPr>
                <w:p>
                  <w:pPr>
                    <w:jc w:val="center"/>
                    <w:rPr>
                      <w:rFonts w:hint="eastAsia" w:eastAsia="宋体"/>
                      <w:color w:val="auto"/>
                      <w:sz w:val="21"/>
                      <w:szCs w:val="21"/>
                      <w:lang w:eastAsia="zh-CN"/>
                    </w:rPr>
                  </w:pPr>
                  <w:r>
                    <w:rPr>
                      <w:color w:val="auto"/>
                      <w:sz w:val="21"/>
                      <w:szCs w:val="21"/>
                    </w:rPr>
                    <w:t>1</w:t>
                  </w:r>
                  <w:r>
                    <w:rPr>
                      <w:rFonts w:hint="eastAsia"/>
                      <w:color w:val="auto"/>
                      <w:sz w:val="21"/>
                      <w:szCs w:val="21"/>
                    </w:rPr>
                    <w:t>5</w:t>
                  </w:r>
                  <w:r>
                    <w:rPr>
                      <w:rFonts w:hint="eastAsia"/>
                      <w:color w:val="auto"/>
                      <w:sz w:val="21"/>
                      <w:szCs w:val="21"/>
                      <w:lang w:val="en-US" w:eastAsia="zh-CN"/>
                    </w:rPr>
                    <w:t>7</w:t>
                  </w:r>
                </w:p>
              </w:tc>
              <w:tc>
                <w:tcPr>
                  <w:tcW w:w="1181" w:type="dxa"/>
                  <w:noWrap w:val="0"/>
                  <w:vAlign w:val="center"/>
                </w:tcPr>
                <w:p>
                  <w:pPr>
                    <w:jc w:val="center"/>
                    <w:rPr>
                      <w:color w:val="auto"/>
                      <w:sz w:val="21"/>
                      <w:szCs w:val="21"/>
                    </w:rPr>
                  </w:pPr>
                  <w:r>
                    <w:rPr>
                      <w:color w:val="auto"/>
                      <w:sz w:val="21"/>
                      <w:szCs w:val="21"/>
                    </w:rPr>
                    <w:t>160</w:t>
                  </w:r>
                </w:p>
              </w:tc>
              <w:tc>
                <w:tcPr>
                  <w:tcW w:w="1216" w:type="dxa"/>
                  <w:noWrap w:val="0"/>
                  <w:vAlign w:val="center"/>
                </w:tcPr>
                <w:p>
                  <w:pPr>
                    <w:jc w:val="center"/>
                    <w:rPr>
                      <w:rFonts w:hint="default" w:eastAsia="宋体"/>
                      <w:color w:val="auto"/>
                      <w:sz w:val="21"/>
                      <w:szCs w:val="21"/>
                      <w:lang w:val="en-US" w:eastAsia="zh-CN"/>
                    </w:rPr>
                  </w:pPr>
                  <w:r>
                    <w:rPr>
                      <w:rFonts w:hint="eastAsia"/>
                      <w:color w:val="auto"/>
                      <w:sz w:val="21"/>
                      <w:szCs w:val="21"/>
                    </w:rPr>
                    <w:t>9</w:t>
                  </w:r>
                  <w:r>
                    <w:rPr>
                      <w:rFonts w:hint="eastAsia"/>
                      <w:color w:val="auto"/>
                      <w:sz w:val="21"/>
                      <w:szCs w:val="21"/>
                      <w:lang w:val="en-US" w:eastAsia="zh-CN"/>
                    </w:rPr>
                    <w:t>8.1</w:t>
                  </w:r>
                </w:p>
              </w:tc>
              <w:tc>
                <w:tcPr>
                  <w:tcW w:w="1251" w:type="dxa"/>
                  <w:noWrap w:val="0"/>
                  <w:vAlign w:val="center"/>
                </w:tcPr>
                <w:p>
                  <w:pPr>
                    <w:jc w:val="center"/>
                    <w:rPr>
                      <w:color w:val="auto"/>
                      <w:sz w:val="21"/>
                      <w:szCs w:val="21"/>
                    </w:rPr>
                  </w:pPr>
                  <w:r>
                    <w:rPr>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74" w:type="dxa"/>
                  <w:noWrap w:val="0"/>
                  <w:vAlign w:val="center"/>
                </w:tcPr>
                <w:p>
                  <w:pPr>
                    <w:jc w:val="center"/>
                    <w:rPr>
                      <w:color w:val="auto"/>
                      <w:sz w:val="21"/>
                      <w:szCs w:val="21"/>
                    </w:rPr>
                  </w:pPr>
                  <w:r>
                    <w:rPr>
                      <w:color w:val="auto"/>
                      <w:sz w:val="21"/>
                      <w:szCs w:val="21"/>
                    </w:rPr>
                    <w:t>CO</w:t>
                  </w:r>
                </w:p>
              </w:tc>
              <w:tc>
                <w:tcPr>
                  <w:tcW w:w="1864" w:type="dxa"/>
                  <w:noWrap w:val="0"/>
                  <w:vAlign w:val="center"/>
                </w:tcPr>
                <w:p>
                  <w:pPr>
                    <w:jc w:val="center"/>
                    <w:rPr>
                      <w:color w:val="auto"/>
                      <w:sz w:val="21"/>
                      <w:szCs w:val="21"/>
                    </w:rPr>
                  </w:pPr>
                  <w:r>
                    <w:rPr>
                      <w:color w:val="auto"/>
                      <w:sz w:val="21"/>
                      <w:szCs w:val="21"/>
                    </w:rPr>
                    <w:t>24小时平均</w:t>
                  </w:r>
                </w:p>
              </w:tc>
              <w:tc>
                <w:tcPr>
                  <w:tcW w:w="1148" w:type="dxa"/>
                  <w:noWrap w:val="0"/>
                  <w:vAlign w:val="center"/>
                </w:tcPr>
                <w:p>
                  <w:pPr>
                    <w:jc w:val="center"/>
                    <w:rPr>
                      <w:color w:val="auto"/>
                      <w:sz w:val="21"/>
                      <w:szCs w:val="21"/>
                    </w:rPr>
                  </w:pPr>
                  <w:r>
                    <w:rPr>
                      <w:color w:val="auto"/>
                      <w:sz w:val="21"/>
                      <w:szCs w:val="21"/>
                    </w:rPr>
                    <w:t>0.</w:t>
                  </w:r>
                  <w:r>
                    <w:rPr>
                      <w:rFonts w:hint="eastAsia"/>
                      <w:color w:val="auto"/>
                      <w:sz w:val="21"/>
                      <w:szCs w:val="21"/>
                      <w:lang w:val="en-US" w:eastAsia="zh-CN"/>
                    </w:rPr>
                    <w:t>7</w:t>
                  </w:r>
                  <w:r>
                    <w:rPr>
                      <w:color w:val="auto"/>
                      <w:sz w:val="21"/>
                      <w:szCs w:val="21"/>
                    </w:rPr>
                    <w:t>mg/m³</w:t>
                  </w:r>
                </w:p>
              </w:tc>
              <w:tc>
                <w:tcPr>
                  <w:tcW w:w="1181" w:type="dxa"/>
                  <w:noWrap w:val="0"/>
                  <w:vAlign w:val="center"/>
                </w:tcPr>
                <w:p>
                  <w:pPr>
                    <w:jc w:val="center"/>
                    <w:rPr>
                      <w:color w:val="auto"/>
                      <w:sz w:val="21"/>
                      <w:szCs w:val="21"/>
                    </w:rPr>
                  </w:pPr>
                  <w:r>
                    <w:rPr>
                      <w:color w:val="auto"/>
                      <w:sz w:val="21"/>
                      <w:szCs w:val="21"/>
                    </w:rPr>
                    <w:t>4mg/m³</w:t>
                  </w:r>
                </w:p>
              </w:tc>
              <w:tc>
                <w:tcPr>
                  <w:tcW w:w="1216" w:type="dxa"/>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17.5</w:t>
                  </w:r>
                </w:p>
              </w:tc>
              <w:tc>
                <w:tcPr>
                  <w:tcW w:w="1251" w:type="dxa"/>
                  <w:noWrap w:val="0"/>
                  <w:vAlign w:val="center"/>
                </w:tcPr>
                <w:p>
                  <w:pPr>
                    <w:jc w:val="center"/>
                    <w:rPr>
                      <w:color w:val="auto"/>
                      <w:sz w:val="21"/>
                      <w:szCs w:val="21"/>
                    </w:rPr>
                  </w:pPr>
                  <w:r>
                    <w:rPr>
                      <w:color w:val="auto"/>
                      <w:sz w:val="21"/>
                      <w:szCs w:val="21"/>
                    </w:rPr>
                    <w:t>达标</w:t>
                  </w:r>
                </w:p>
              </w:tc>
            </w:tr>
          </w:tbl>
          <w:p>
            <w:pPr>
              <w:pStyle w:val="141"/>
              <w:spacing w:before="0" w:line="360" w:lineRule="auto"/>
              <w:ind w:left="0" w:firstLine="420" w:firstLineChars="200"/>
              <w:jc w:val="left"/>
              <w:rPr>
                <w:rFonts w:hint="eastAsia" w:ascii="Times New Roman" w:hAnsi="宋体" w:eastAsia="宋体" w:cs="Times New Roman"/>
                <w:color w:val="auto"/>
                <w:spacing w:val="-3"/>
                <w:szCs w:val="21"/>
              </w:rPr>
            </w:pPr>
            <w:r>
              <w:rPr>
                <w:rFonts w:hint="eastAsia" w:ascii="Times New Roman" w:hAnsi="Times New Roman" w:eastAsia="宋体" w:cs="Times New Roman"/>
                <w:bCs/>
                <w:color w:val="auto"/>
                <w:kern w:val="2"/>
                <w:sz w:val="21"/>
                <w:szCs w:val="21"/>
                <w:lang w:val="en-US" w:eastAsia="zh-CN" w:bidi="ar-SA"/>
              </w:rPr>
              <w:t>《环境影响评价技术导则大气环境》（HJ2.2-2018）中6.4.1.1提出：</w:t>
            </w:r>
            <w:r>
              <w:rPr>
                <w:rFonts w:hint="eastAsia" w:ascii="Times New Roman" w:hAnsi="宋体" w:eastAsia="宋体" w:cs="Times New Roman"/>
                <w:color w:val="auto"/>
                <w:spacing w:val="-3"/>
                <w:szCs w:val="21"/>
              </w:rPr>
              <w:t>城市环境空气质量达标情况评价指标中六项污染物全部达标即为城市环境空气质量达标。</w:t>
            </w:r>
          </w:p>
          <w:p>
            <w:pPr>
              <w:pStyle w:val="141"/>
              <w:spacing w:before="0" w:line="360" w:lineRule="auto"/>
              <w:ind w:left="0" w:firstLine="408" w:firstLineChars="200"/>
              <w:jc w:val="left"/>
              <w:rPr>
                <w:rFonts w:hint="eastAsia" w:ascii="Times New Roman" w:hAnsi="宋体" w:eastAsia="宋体" w:cs="Times New Roman"/>
                <w:color w:val="auto"/>
                <w:spacing w:val="-3"/>
                <w:szCs w:val="21"/>
              </w:rPr>
            </w:pPr>
            <w:r>
              <w:rPr>
                <w:rFonts w:hint="eastAsia" w:ascii="Times New Roman" w:hAnsi="宋体" w:eastAsia="宋体" w:cs="Times New Roman"/>
                <w:color w:val="auto"/>
                <w:spacing w:val="-3"/>
                <w:szCs w:val="21"/>
              </w:rPr>
              <w:t>202</w:t>
            </w:r>
            <w:r>
              <w:rPr>
                <w:rFonts w:hint="eastAsia" w:ascii="Times New Roman" w:hAnsi="宋体" w:eastAsia="宋体" w:cs="Times New Roman"/>
                <w:color w:val="auto"/>
                <w:spacing w:val="-3"/>
                <w:szCs w:val="21"/>
                <w:lang w:val="en-US" w:eastAsia="zh-CN"/>
              </w:rPr>
              <w:t>3</w:t>
            </w:r>
            <w:r>
              <w:rPr>
                <w:rFonts w:hint="eastAsia" w:ascii="Times New Roman" w:hAnsi="宋体" w:eastAsia="宋体" w:cs="Times New Roman"/>
                <w:color w:val="auto"/>
                <w:spacing w:val="-3"/>
                <w:szCs w:val="21"/>
              </w:rPr>
              <w:t>年淮南市环境空气中PM</w:t>
            </w:r>
            <w:r>
              <w:rPr>
                <w:rFonts w:hint="eastAsia" w:ascii="Times New Roman" w:hAnsi="宋体" w:eastAsia="宋体" w:cs="Times New Roman"/>
                <w:color w:val="auto"/>
                <w:spacing w:val="-3"/>
                <w:szCs w:val="21"/>
                <w:vertAlign w:val="subscript"/>
              </w:rPr>
              <w:t>2.5</w:t>
            </w:r>
            <w:r>
              <w:rPr>
                <w:rFonts w:hint="eastAsia" w:ascii="Times New Roman" w:hAnsi="宋体" w:eastAsia="宋体" w:cs="Times New Roman"/>
                <w:color w:val="auto"/>
                <w:spacing w:val="-3"/>
                <w:szCs w:val="21"/>
              </w:rPr>
              <w:t>年平均浓度超过环境空气质量二级标准，经判定，项目所在区为环境空气质量不达标区域，超标因子为PM</w:t>
            </w:r>
            <w:r>
              <w:rPr>
                <w:rFonts w:hint="eastAsia" w:ascii="Times New Roman" w:hAnsi="宋体" w:eastAsia="宋体" w:cs="Times New Roman"/>
                <w:color w:val="auto"/>
                <w:spacing w:val="-3"/>
                <w:szCs w:val="21"/>
                <w:vertAlign w:val="subscript"/>
              </w:rPr>
              <w:t>2.5</w:t>
            </w:r>
            <w:r>
              <w:rPr>
                <w:rFonts w:hint="eastAsia" w:ascii="Times New Roman" w:hAnsi="宋体" w:eastAsia="宋体" w:cs="Times New Roman"/>
                <w:color w:val="auto"/>
                <w:spacing w:val="-3"/>
                <w:szCs w:val="21"/>
              </w:rPr>
              <w:t>。</w:t>
            </w:r>
          </w:p>
          <w:p>
            <w:pPr>
              <w:pStyle w:val="141"/>
              <w:spacing w:before="0" w:line="360" w:lineRule="auto"/>
              <w:ind w:left="0" w:firstLine="408" w:firstLineChars="200"/>
              <w:jc w:val="left"/>
              <w:rPr>
                <w:rFonts w:hint="eastAsia" w:ascii="Times New Roman" w:hAnsi="宋体" w:eastAsia="宋体" w:cs="Times New Roman"/>
                <w:color w:val="auto"/>
                <w:spacing w:val="-3"/>
                <w:szCs w:val="21"/>
                <w:lang w:val="en"/>
              </w:rPr>
            </w:pPr>
            <w:r>
              <w:rPr>
                <w:rFonts w:hint="eastAsia" w:ascii="Times New Roman" w:hAnsi="宋体" w:eastAsia="宋体" w:cs="Times New Roman"/>
                <w:color w:val="auto"/>
                <w:spacing w:val="-3"/>
                <w:szCs w:val="21"/>
                <w:lang w:val="en-US" w:eastAsia="zh-CN"/>
              </w:rPr>
              <w:t>针对环境质量状况，淮南市政府采取了</w:t>
            </w:r>
            <w:r>
              <w:rPr>
                <w:rFonts w:hint="eastAsia" w:ascii="Times New Roman" w:cs="Times New Roman"/>
                <w:color w:val="auto"/>
                <w:spacing w:val="-3"/>
                <w:szCs w:val="21"/>
                <w:lang w:val="en-US" w:eastAsia="zh-CN"/>
              </w:rPr>
              <w:t>一系列</w:t>
            </w:r>
            <w:r>
              <w:rPr>
                <w:rFonts w:hint="eastAsia" w:ascii="Times New Roman" w:hAnsi="宋体" w:eastAsia="宋体" w:cs="Times New Roman"/>
                <w:color w:val="auto"/>
                <w:spacing w:val="-3"/>
                <w:szCs w:val="21"/>
                <w:lang w:val="en-US" w:eastAsia="zh-CN"/>
              </w:rPr>
              <w:t>的措施，</w:t>
            </w:r>
            <w:r>
              <w:rPr>
                <w:rFonts w:hint="default" w:ascii="Times New Roman" w:hAnsi="宋体" w:eastAsia="宋体" w:cs="Times New Roman"/>
                <w:color w:val="auto"/>
                <w:spacing w:val="-3"/>
                <w:szCs w:val="21"/>
                <w:lang w:val="en"/>
              </w:rPr>
              <w:t>努力打好蓝天保卫战。突出重点时段，实施季节性调控。将夏季臭氧污染纳入监测预警，每天推送涉VOCs企业应急减排清单，累计调整企业生产计划500余家次；在颗粒物污染季，累计管控企业253家次。严格落实《淮南市重污染天气应急预案（2023年版）》，纳入应急减排清单企业853家、施工工地336家。积极应对年初年末两轮次重污染天气，发布2次黄色预警、1次橙色预警。突出重点行业，持续开展挥发性有机物综合治理。制定实施《淮南市涉VOCs重点行业绩效分级技术指南》，全市16个涉VOCs行业实施差异化管控，完成申报评估186家，累计评定C级企业21家。完成23家企业单一低效治理工艺升级改造，6家企业原辅材料替代。突出重点移动源，深化清洁运输。新增使用新能源公交车762辆、出租车443辆，占比分别达到100%、93.1%；淘汰老旧车辆5048辆。</w:t>
            </w:r>
          </w:p>
          <w:p>
            <w:pPr>
              <w:pStyle w:val="101"/>
              <w:adjustRightInd w:val="0"/>
              <w:snapToGrid w:val="0"/>
              <w:spacing w:line="360" w:lineRule="auto"/>
              <w:ind w:firstLine="422" w:firstLineChars="200"/>
              <w:rPr>
                <w:rFonts w:ascii="Times New Roman" w:hAnsi="Times New Roman"/>
                <w:b/>
                <w:bCs/>
                <w:color w:val="auto"/>
              </w:rPr>
            </w:pPr>
            <w:r>
              <w:rPr>
                <w:rFonts w:hint="eastAsia" w:ascii="Times New Roman" w:hAnsi="Times New Roman"/>
                <w:b/>
                <w:bCs/>
                <w:color w:val="auto"/>
                <w:lang w:eastAsia="zh-CN"/>
              </w:rPr>
              <w:t>（2）</w:t>
            </w:r>
            <w:r>
              <w:rPr>
                <w:rFonts w:hint="eastAsia" w:ascii="Times New Roman" w:hAnsi="Times New Roman"/>
                <w:b/>
                <w:bCs/>
                <w:color w:val="auto"/>
              </w:rPr>
              <w:t>其他污染物环境</w:t>
            </w:r>
            <w:r>
              <w:rPr>
                <w:rFonts w:ascii="Times New Roman" w:hAnsi="Times New Roman"/>
                <w:b/>
                <w:bCs/>
                <w:color w:val="auto"/>
              </w:rPr>
              <w:t>质量现状</w:t>
            </w:r>
          </w:p>
          <w:p>
            <w:pPr>
              <w:pStyle w:val="141"/>
              <w:spacing w:before="0" w:line="360" w:lineRule="auto"/>
              <w:ind w:left="0" w:firstLine="408" w:firstLineChars="200"/>
              <w:jc w:val="left"/>
              <w:rPr>
                <w:color w:val="auto"/>
              </w:rPr>
            </w:pPr>
            <w:r>
              <w:rPr>
                <w:rFonts w:ascii="Times New Roman" w:cs="Times New Roman"/>
                <w:color w:val="auto"/>
                <w:spacing w:val="-3"/>
                <w:szCs w:val="21"/>
              </w:rPr>
              <w:t>根据本项目工艺，本项目排放的特征污染物</w:t>
            </w:r>
            <w:r>
              <w:rPr>
                <w:rFonts w:hint="eastAsia" w:ascii="Times New Roman" w:cs="Times New Roman"/>
                <w:color w:val="auto"/>
                <w:spacing w:val="-3"/>
                <w:szCs w:val="21"/>
              </w:rPr>
              <w:t>有</w:t>
            </w:r>
            <w:r>
              <w:rPr>
                <w:rFonts w:ascii="Times New Roman" w:hAnsi="Times New Roman" w:cs="Times New Roman"/>
                <w:color w:val="auto"/>
                <w:spacing w:val="-3"/>
                <w:szCs w:val="21"/>
              </w:rPr>
              <w:t>TSP</w:t>
            </w:r>
            <w:r>
              <w:rPr>
                <w:rFonts w:ascii="Times New Roman" w:cs="Times New Roman"/>
                <w:color w:val="auto"/>
                <w:spacing w:val="-3"/>
                <w:szCs w:val="21"/>
                <w:lang w:val="en-US"/>
              </w:rPr>
              <w:t>，本次评价</w:t>
            </w:r>
            <w:r>
              <w:rPr>
                <w:rFonts w:ascii="Times New Roman" w:hAnsi="Times New Roman" w:cs="Times New Roman"/>
                <w:color w:val="auto"/>
                <w:spacing w:val="-3"/>
                <w:szCs w:val="21"/>
                <w:lang w:val="en-US"/>
              </w:rPr>
              <w:t>TSP</w:t>
            </w:r>
            <w:r>
              <w:rPr>
                <w:rFonts w:ascii="Times New Roman" w:cs="Times New Roman"/>
                <w:color w:val="auto"/>
                <w:spacing w:val="-3"/>
                <w:szCs w:val="21"/>
                <w:lang w:val="en-US"/>
              </w:rPr>
              <w:t>现状监测数据引用</w:t>
            </w:r>
            <w:r>
              <w:rPr>
                <w:rFonts w:hint="eastAsia" w:ascii="Times New Roman" w:cs="Times New Roman"/>
                <w:color w:val="auto"/>
                <w:spacing w:val="-3"/>
                <w:szCs w:val="21"/>
                <w:lang w:val="en-US"/>
              </w:rPr>
              <w:t>《淮南安成经济开发区环境影响区域评估报告》中开发区内环境空气质量现状监测数据，</w:t>
            </w:r>
            <w:r>
              <w:rPr>
                <w:rFonts w:ascii="Times New Roman" w:cs="Times New Roman"/>
                <w:color w:val="auto"/>
                <w:spacing w:val="-3"/>
                <w:szCs w:val="21"/>
              </w:rPr>
              <w:t>监测点位</w:t>
            </w:r>
            <w:r>
              <w:rPr>
                <w:rFonts w:ascii="Times New Roman" w:cs="Times New Roman"/>
                <w:color w:val="auto"/>
                <w:spacing w:val="-3"/>
                <w:szCs w:val="21"/>
                <w:lang w:val="en-US"/>
              </w:rPr>
              <w:t>位于</w:t>
            </w:r>
            <w:r>
              <w:rPr>
                <w:rFonts w:ascii="Times New Roman" w:cs="Times New Roman"/>
                <w:color w:val="auto"/>
                <w:spacing w:val="-3"/>
                <w:szCs w:val="21"/>
              </w:rPr>
              <w:t>本项目</w:t>
            </w:r>
            <w:r>
              <w:rPr>
                <w:rFonts w:hint="eastAsia" w:ascii="Times New Roman" w:cs="Times New Roman"/>
                <w:color w:val="auto"/>
                <w:spacing w:val="-3"/>
                <w:szCs w:val="21"/>
              </w:rPr>
              <w:t>东</w:t>
            </w:r>
            <w:r>
              <w:rPr>
                <w:rFonts w:ascii="Times New Roman" w:cs="Times New Roman"/>
                <w:color w:val="auto"/>
                <w:spacing w:val="-3"/>
                <w:szCs w:val="21"/>
                <w:lang w:val="en-US"/>
              </w:rPr>
              <w:t>侧</w:t>
            </w:r>
            <w:r>
              <w:rPr>
                <w:rFonts w:ascii="Times New Roman" w:cs="Times New Roman"/>
                <w:color w:val="auto"/>
                <w:spacing w:val="-3"/>
                <w:szCs w:val="21"/>
              </w:rPr>
              <w:t>约</w:t>
            </w:r>
            <w:r>
              <w:rPr>
                <w:rFonts w:hint="eastAsia" w:ascii="Times New Roman" w:cs="Times New Roman"/>
                <w:color w:val="auto"/>
                <w:spacing w:val="-3"/>
                <w:szCs w:val="21"/>
                <w:lang w:val="en-US" w:eastAsia="zh-CN"/>
              </w:rPr>
              <w:t>300</w:t>
            </w:r>
            <w:r>
              <w:rPr>
                <w:rFonts w:ascii="Times New Roman" w:cs="Times New Roman"/>
                <w:color w:val="auto"/>
                <w:spacing w:val="-3"/>
                <w:szCs w:val="21"/>
              </w:rPr>
              <w:t>米，监测时间为连续监测</w:t>
            </w:r>
            <w:r>
              <w:rPr>
                <w:rFonts w:hint="eastAsia" w:ascii="Times New Roman" w:hAnsi="Times New Roman" w:cs="Times New Roman"/>
                <w:color w:val="auto"/>
                <w:spacing w:val="-3"/>
                <w:szCs w:val="21"/>
                <w:lang w:val="en-US" w:eastAsia="zh-CN"/>
              </w:rPr>
              <w:t>7</w:t>
            </w:r>
            <w:r>
              <w:rPr>
                <w:rFonts w:ascii="Times New Roman" w:cs="Times New Roman"/>
                <w:color w:val="auto"/>
                <w:spacing w:val="-3"/>
                <w:szCs w:val="21"/>
              </w:rPr>
              <w:t>天，</w:t>
            </w:r>
            <w:r>
              <w:rPr>
                <w:rFonts w:hint="eastAsia" w:ascii="Times New Roman" w:cs="Times New Roman"/>
                <w:color w:val="auto"/>
                <w:spacing w:val="-3"/>
                <w:szCs w:val="21"/>
                <w:lang w:eastAsia="zh-CN"/>
              </w:rPr>
              <w:t>监测时间为</w:t>
            </w:r>
            <w:r>
              <w:rPr>
                <w:rFonts w:hint="eastAsia" w:ascii="Times New Roman" w:cs="Times New Roman"/>
                <w:color w:val="auto"/>
                <w:spacing w:val="-3"/>
                <w:szCs w:val="21"/>
                <w:lang w:val="en-US"/>
              </w:rPr>
              <w:t>2022年6月18日～6月25日，</w:t>
            </w:r>
            <w:r>
              <w:rPr>
                <w:rFonts w:ascii="Times New Roman" w:cs="Times New Roman"/>
                <w:color w:val="auto"/>
                <w:spacing w:val="-3"/>
                <w:szCs w:val="21"/>
              </w:rPr>
              <w:t>满足引用数据的要求，具体监测及统计</w:t>
            </w:r>
            <w:r>
              <w:rPr>
                <w:rFonts w:ascii="Times New Roman" w:cs="Times New Roman"/>
                <w:color w:val="auto"/>
                <w:szCs w:val="21"/>
              </w:rPr>
              <w:t>结果见下表</w:t>
            </w:r>
            <w:r>
              <w:rPr>
                <w:color w:val="auto"/>
                <w:sz w:val="24"/>
              </w:rPr>
              <w:t>：</w:t>
            </w:r>
          </w:p>
          <w:p>
            <w:pPr>
              <w:pStyle w:val="149"/>
              <w:spacing w:line="300" w:lineRule="atLeast"/>
              <w:rPr>
                <w:rFonts w:hint="eastAsia"/>
                <w:color w:val="auto"/>
                <w:szCs w:val="21"/>
              </w:rPr>
            </w:pPr>
            <w:r>
              <w:rPr>
                <w:rFonts w:hint="eastAsia"/>
                <w:color w:val="auto"/>
                <w:szCs w:val="21"/>
              </w:rPr>
              <w:t xml:space="preserve">表3-2 </w:t>
            </w:r>
            <w:r>
              <w:rPr>
                <w:rFonts w:hint="eastAsia"/>
                <w:color w:val="auto"/>
                <w:szCs w:val="21"/>
                <w:lang w:val="en-US" w:eastAsia="zh-CN"/>
              </w:rPr>
              <w:t xml:space="preserve"> </w:t>
            </w:r>
            <w:r>
              <w:rPr>
                <w:rFonts w:hint="eastAsia"/>
                <w:color w:val="auto"/>
                <w:szCs w:val="21"/>
              </w:rPr>
              <w:t>大气环境质量现状监测结果（单位：mg/m</w:t>
            </w:r>
            <w:r>
              <w:rPr>
                <w:rFonts w:hint="eastAsia"/>
                <w:color w:val="auto"/>
                <w:szCs w:val="21"/>
                <w:vertAlign w:val="superscript"/>
              </w:rPr>
              <w:t>3</w:t>
            </w:r>
            <w:r>
              <w:rPr>
                <w:rFonts w:hint="eastAsia"/>
                <w:color w:val="auto"/>
                <w:szCs w:val="21"/>
              </w:rPr>
              <w:t>）</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806"/>
              <w:gridCol w:w="807"/>
              <w:gridCol w:w="807"/>
              <w:gridCol w:w="807"/>
              <w:gridCol w:w="807"/>
              <w:gridCol w:w="80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0" w:type="pct"/>
                  <w:vMerge w:val="restart"/>
                  <w:noWrap w:val="0"/>
                  <w:vAlign w:val="center"/>
                </w:tcPr>
                <w:p>
                  <w:pPr>
                    <w:jc w:val="center"/>
                    <w:rPr>
                      <w:b/>
                      <w:color w:val="auto"/>
                      <w:sz w:val="18"/>
                      <w:szCs w:val="18"/>
                    </w:rPr>
                  </w:pPr>
                  <w:r>
                    <w:rPr>
                      <w:rFonts w:hint="eastAsia"/>
                      <w:b/>
                      <w:color w:val="auto"/>
                      <w:sz w:val="18"/>
                      <w:szCs w:val="18"/>
                    </w:rPr>
                    <w:t>监测点位</w:t>
                  </w:r>
                </w:p>
              </w:tc>
              <w:tc>
                <w:tcPr>
                  <w:tcW w:w="3749" w:type="pct"/>
                  <w:gridSpan w:val="7"/>
                  <w:noWrap w:val="0"/>
                  <w:vAlign w:val="center"/>
                </w:tcPr>
                <w:p>
                  <w:pPr>
                    <w:jc w:val="center"/>
                    <w:rPr>
                      <w:rFonts w:hint="eastAsia" w:eastAsia="宋体"/>
                      <w:b/>
                      <w:color w:val="auto"/>
                      <w:sz w:val="18"/>
                      <w:szCs w:val="18"/>
                      <w:lang w:val="en-US" w:eastAsia="zh-CN"/>
                    </w:rPr>
                  </w:pPr>
                  <w:r>
                    <w:rPr>
                      <w:rFonts w:hint="eastAsia"/>
                      <w:b/>
                      <w:color w:val="auto"/>
                      <w:sz w:val="18"/>
                      <w:szCs w:val="18"/>
                    </w:rPr>
                    <w:t>监测结果</w:t>
                  </w:r>
                  <w:r>
                    <w:rPr>
                      <w:rFonts w:hint="eastAsia"/>
                      <w:b/>
                      <w:color w:val="auto"/>
                      <w:sz w:val="18"/>
                      <w:szCs w:val="18"/>
                      <w:lang w:eastAsia="zh-CN"/>
                    </w:rPr>
                    <w:t>（</w:t>
                  </w:r>
                  <w:r>
                    <w:rPr>
                      <w:rFonts w:hint="eastAsia"/>
                      <w:b/>
                      <w:color w:val="auto"/>
                      <w:sz w:val="18"/>
                      <w:szCs w:val="18"/>
                      <w:lang w:val="en-US" w:eastAsia="zh-CN"/>
                    </w:rPr>
                    <w:t>日均值</w:t>
                  </w:r>
                  <w:r>
                    <w:rPr>
                      <w:rFonts w:hint="eastAsia"/>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0" w:type="pct"/>
                  <w:vMerge w:val="continue"/>
                  <w:noWrap w:val="0"/>
                  <w:vAlign w:val="center"/>
                </w:tcPr>
                <w:p>
                  <w:pPr>
                    <w:jc w:val="center"/>
                    <w:rPr>
                      <w:b/>
                      <w:color w:val="auto"/>
                      <w:sz w:val="18"/>
                      <w:szCs w:val="18"/>
                    </w:rPr>
                  </w:pPr>
                </w:p>
              </w:tc>
              <w:tc>
                <w:tcPr>
                  <w:tcW w:w="534" w:type="pct"/>
                  <w:noWrap w:val="0"/>
                  <w:vAlign w:val="center"/>
                </w:tcPr>
                <w:p>
                  <w:pPr>
                    <w:jc w:val="center"/>
                    <w:rPr>
                      <w:rFonts w:hint="default" w:eastAsia="宋体"/>
                      <w:b/>
                      <w:color w:val="auto"/>
                      <w:sz w:val="18"/>
                      <w:szCs w:val="18"/>
                      <w:lang w:val="en-US" w:eastAsia="zh-CN"/>
                    </w:rPr>
                  </w:pPr>
                  <w:r>
                    <w:rPr>
                      <w:rFonts w:hint="eastAsia"/>
                      <w:b/>
                      <w:color w:val="auto"/>
                      <w:sz w:val="18"/>
                      <w:szCs w:val="18"/>
                      <w:lang w:val="en-US" w:eastAsia="zh-CN"/>
                    </w:rPr>
                    <w:t>6.18</w:t>
                  </w:r>
                </w:p>
              </w:tc>
              <w:tc>
                <w:tcPr>
                  <w:tcW w:w="535" w:type="pct"/>
                  <w:noWrap w:val="0"/>
                  <w:vAlign w:val="center"/>
                </w:tcPr>
                <w:p>
                  <w:pPr>
                    <w:jc w:val="center"/>
                    <w:rPr>
                      <w:rFonts w:hint="default"/>
                      <w:b/>
                      <w:color w:val="auto"/>
                      <w:sz w:val="18"/>
                      <w:szCs w:val="18"/>
                      <w:lang w:val="en-US" w:eastAsia="zh-CN"/>
                    </w:rPr>
                  </w:pPr>
                  <w:r>
                    <w:rPr>
                      <w:rFonts w:hint="eastAsia"/>
                      <w:b/>
                      <w:color w:val="auto"/>
                      <w:sz w:val="18"/>
                      <w:szCs w:val="18"/>
                      <w:lang w:val="en-US" w:eastAsia="zh-CN"/>
                    </w:rPr>
                    <w:t>6.19</w:t>
                  </w:r>
                </w:p>
              </w:tc>
              <w:tc>
                <w:tcPr>
                  <w:tcW w:w="535" w:type="pct"/>
                  <w:noWrap w:val="0"/>
                  <w:vAlign w:val="center"/>
                </w:tcPr>
                <w:p>
                  <w:pPr>
                    <w:jc w:val="center"/>
                    <w:rPr>
                      <w:rFonts w:hint="default" w:eastAsia="宋体"/>
                      <w:b/>
                      <w:color w:val="auto"/>
                      <w:sz w:val="18"/>
                      <w:szCs w:val="18"/>
                      <w:lang w:val="en-US" w:eastAsia="zh-CN"/>
                    </w:rPr>
                  </w:pPr>
                  <w:r>
                    <w:rPr>
                      <w:rFonts w:hint="eastAsia"/>
                      <w:b/>
                      <w:color w:val="auto"/>
                      <w:sz w:val="18"/>
                      <w:szCs w:val="18"/>
                      <w:lang w:val="en-US" w:eastAsia="zh-CN"/>
                    </w:rPr>
                    <w:t>6.20</w:t>
                  </w:r>
                </w:p>
              </w:tc>
              <w:tc>
                <w:tcPr>
                  <w:tcW w:w="535" w:type="pct"/>
                  <w:noWrap w:val="0"/>
                  <w:vAlign w:val="center"/>
                </w:tcPr>
                <w:p>
                  <w:pPr>
                    <w:jc w:val="center"/>
                    <w:rPr>
                      <w:rFonts w:hint="default" w:eastAsia="宋体"/>
                      <w:b/>
                      <w:color w:val="auto"/>
                      <w:sz w:val="18"/>
                      <w:szCs w:val="18"/>
                      <w:lang w:val="en-US" w:eastAsia="zh-CN"/>
                    </w:rPr>
                  </w:pPr>
                  <w:r>
                    <w:rPr>
                      <w:rFonts w:hint="eastAsia"/>
                      <w:b/>
                      <w:color w:val="auto"/>
                      <w:sz w:val="18"/>
                      <w:szCs w:val="18"/>
                      <w:lang w:val="en-US" w:eastAsia="zh-CN"/>
                    </w:rPr>
                    <w:t>6.21</w:t>
                  </w:r>
                </w:p>
              </w:tc>
              <w:tc>
                <w:tcPr>
                  <w:tcW w:w="535" w:type="pct"/>
                  <w:noWrap w:val="0"/>
                  <w:vAlign w:val="center"/>
                </w:tcPr>
                <w:p>
                  <w:pPr>
                    <w:jc w:val="center"/>
                    <w:rPr>
                      <w:rFonts w:hint="default" w:eastAsia="宋体"/>
                      <w:b/>
                      <w:color w:val="auto"/>
                      <w:sz w:val="18"/>
                      <w:szCs w:val="18"/>
                      <w:lang w:val="en-US" w:eastAsia="zh-CN"/>
                    </w:rPr>
                  </w:pPr>
                  <w:r>
                    <w:rPr>
                      <w:rFonts w:hint="eastAsia"/>
                      <w:b/>
                      <w:color w:val="auto"/>
                      <w:sz w:val="18"/>
                      <w:szCs w:val="18"/>
                      <w:lang w:val="en-US" w:eastAsia="zh-CN"/>
                    </w:rPr>
                    <w:t>6.22</w:t>
                  </w:r>
                </w:p>
              </w:tc>
              <w:tc>
                <w:tcPr>
                  <w:tcW w:w="535" w:type="pct"/>
                  <w:noWrap w:val="0"/>
                  <w:vAlign w:val="center"/>
                </w:tcPr>
                <w:p>
                  <w:pPr>
                    <w:jc w:val="center"/>
                    <w:rPr>
                      <w:rFonts w:hint="default" w:eastAsia="宋体"/>
                      <w:b/>
                      <w:color w:val="auto"/>
                      <w:sz w:val="18"/>
                      <w:szCs w:val="18"/>
                      <w:lang w:val="en-US" w:eastAsia="zh-CN"/>
                    </w:rPr>
                  </w:pPr>
                  <w:r>
                    <w:rPr>
                      <w:rFonts w:hint="eastAsia"/>
                      <w:b/>
                      <w:color w:val="auto"/>
                      <w:sz w:val="18"/>
                      <w:szCs w:val="18"/>
                      <w:lang w:val="en-US" w:eastAsia="zh-CN"/>
                    </w:rPr>
                    <w:t>6</w:t>
                  </w:r>
                  <w:r>
                    <w:rPr>
                      <w:rFonts w:hint="eastAsia"/>
                      <w:b/>
                      <w:color w:val="auto"/>
                      <w:sz w:val="18"/>
                      <w:szCs w:val="18"/>
                    </w:rPr>
                    <w:t>.</w:t>
                  </w:r>
                  <w:r>
                    <w:rPr>
                      <w:rFonts w:hint="eastAsia"/>
                      <w:b/>
                      <w:color w:val="auto"/>
                      <w:sz w:val="18"/>
                      <w:szCs w:val="18"/>
                      <w:lang w:val="en-US" w:eastAsia="zh-CN"/>
                    </w:rPr>
                    <w:t>24</w:t>
                  </w:r>
                </w:p>
              </w:tc>
              <w:tc>
                <w:tcPr>
                  <w:tcW w:w="537" w:type="pct"/>
                  <w:noWrap w:val="0"/>
                  <w:vAlign w:val="center"/>
                </w:tcPr>
                <w:p>
                  <w:pPr>
                    <w:jc w:val="center"/>
                    <w:rPr>
                      <w:rFonts w:hint="default" w:eastAsia="宋体"/>
                      <w:b/>
                      <w:color w:val="auto"/>
                      <w:sz w:val="18"/>
                      <w:szCs w:val="18"/>
                      <w:lang w:val="en-US" w:eastAsia="zh-CN"/>
                    </w:rPr>
                  </w:pPr>
                  <w:r>
                    <w:rPr>
                      <w:rFonts w:hint="eastAsia"/>
                      <w:b/>
                      <w:color w:val="auto"/>
                      <w:sz w:val="18"/>
                      <w:szCs w:val="18"/>
                      <w:lang w:val="en-US" w:eastAsia="zh-CN"/>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0" w:type="pct"/>
                  <w:noWrap w:val="0"/>
                  <w:vAlign w:val="center"/>
                </w:tcPr>
                <w:p>
                  <w:pPr>
                    <w:jc w:val="center"/>
                    <w:rPr>
                      <w:color w:val="auto"/>
                      <w:sz w:val="18"/>
                      <w:szCs w:val="18"/>
                    </w:rPr>
                  </w:pPr>
                  <w:r>
                    <w:rPr>
                      <w:rFonts w:hint="eastAsia"/>
                      <w:color w:val="auto"/>
                      <w:sz w:val="18"/>
                      <w:szCs w:val="18"/>
                    </w:rPr>
                    <w:t>项目所在地</w:t>
                  </w:r>
                </w:p>
              </w:tc>
              <w:tc>
                <w:tcPr>
                  <w:tcW w:w="534" w:type="pct"/>
                  <w:noWrap w:val="0"/>
                  <w:vAlign w:val="center"/>
                </w:tcPr>
                <w:p>
                  <w:pPr>
                    <w:jc w:val="center"/>
                    <w:rPr>
                      <w:color w:val="auto"/>
                      <w:sz w:val="18"/>
                      <w:szCs w:val="18"/>
                    </w:rPr>
                  </w:pPr>
                  <w:r>
                    <w:rPr>
                      <w:rFonts w:hint="eastAsia"/>
                      <w:color w:val="auto"/>
                      <w:sz w:val="18"/>
                      <w:szCs w:val="18"/>
                      <w:lang w:val="en-US" w:eastAsia="zh-CN"/>
                    </w:rPr>
                    <w:t>0.114</w:t>
                  </w:r>
                </w:p>
              </w:tc>
              <w:tc>
                <w:tcPr>
                  <w:tcW w:w="535"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0.119</w:t>
                  </w:r>
                </w:p>
              </w:tc>
              <w:tc>
                <w:tcPr>
                  <w:tcW w:w="535"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0.115</w:t>
                  </w:r>
                </w:p>
              </w:tc>
              <w:tc>
                <w:tcPr>
                  <w:tcW w:w="535"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0.121</w:t>
                  </w:r>
                </w:p>
              </w:tc>
              <w:tc>
                <w:tcPr>
                  <w:tcW w:w="535"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0.110</w:t>
                  </w:r>
                </w:p>
              </w:tc>
              <w:tc>
                <w:tcPr>
                  <w:tcW w:w="535"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0.106</w:t>
                  </w:r>
                </w:p>
              </w:tc>
              <w:tc>
                <w:tcPr>
                  <w:tcW w:w="537"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0.113</w:t>
                  </w:r>
                </w:p>
              </w:tc>
            </w:tr>
          </w:tbl>
          <w:p>
            <w:pPr>
              <w:pStyle w:val="129"/>
              <w:ind w:firstLine="420"/>
              <w:rPr>
                <w:color w:val="auto"/>
                <w:kern w:val="2"/>
                <w:sz w:val="21"/>
                <w:szCs w:val="21"/>
              </w:rPr>
            </w:pPr>
            <w:r>
              <w:rPr>
                <w:color w:val="auto"/>
                <w:kern w:val="2"/>
                <w:sz w:val="21"/>
                <w:szCs w:val="21"/>
              </w:rPr>
              <w:t>由监测结果可知，区域环境空气</w:t>
            </w:r>
            <w:r>
              <w:rPr>
                <w:rFonts w:hint="eastAsia"/>
                <w:color w:val="auto"/>
                <w:kern w:val="2"/>
                <w:sz w:val="21"/>
                <w:szCs w:val="21"/>
              </w:rPr>
              <w:t>TSP</w:t>
            </w:r>
            <w:r>
              <w:rPr>
                <w:color w:val="auto"/>
                <w:kern w:val="2"/>
                <w:sz w:val="21"/>
                <w:szCs w:val="21"/>
              </w:rPr>
              <w:t>的日均浓度均可达到《环境空气质量标准》（GB3095-2012）二级标准要求</w:t>
            </w:r>
            <w:r>
              <w:rPr>
                <w:rFonts w:hint="eastAsia"/>
                <w:color w:val="auto"/>
                <w:kern w:val="2"/>
                <w:sz w:val="21"/>
                <w:szCs w:val="21"/>
              </w:rPr>
              <w:t>。</w:t>
            </w:r>
            <w:r>
              <w:rPr>
                <w:color w:val="auto"/>
                <w:kern w:val="2"/>
                <w:sz w:val="21"/>
                <w:szCs w:val="21"/>
              </w:rPr>
              <w:t>表明评价区域内的空气环境现状较好。</w:t>
            </w:r>
          </w:p>
          <w:p>
            <w:pPr>
              <w:spacing w:line="360" w:lineRule="auto"/>
              <w:ind w:firstLine="422" w:firstLineChars="200"/>
              <w:rPr>
                <w:b/>
                <w:color w:val="auto"/>
                <w:szCs w:val="21"/>
              </w:rPr>
            </w:pPr>
            <w:r>
              <w:rPr>
                <w:b/>
                <w:color w:val="auto"/>
                <w:szCs w:val="21"/>
              </w:rPr>
              <w:t>2、地表水环境质量</w:t>
            </w:r>
          </w:p>
          <w:p>
            <w:pPr>
              <w:adjustRightInd w:val="0"/>
              <w:snapToGrid w:val="0"/>
              <w:spacing w:line="360" w:lineRule="auto"/>
              <w:ind w:firstLine="420" w:firstLineChars="200"/>
              <w:jc w:val="left"/>
              <w:rPr>
                <w:rFonts w:hint="eastAsia"/>
                <w:color w:val="auto"/>
                <w:kern w:val="0"/>
                <w:szCs w:val="21"/>
              </w:rPr>
            </w:pPr>
            <w:r>
              <w:rPr>
                <w:rFonts w:hint="eastAsia"/>
                <w:color w:val="auto"/>
                <w:kern w:val="0"/>
                <w:szCs w:val="21"/>
              </w:rPr>
              <w:t>2023年，全市地表水24个监测断面中优良水质比例为95.8%，比上年提升了16.6个百分点，Ⅳ类水质比例4.2%，总体水质状况优。</w:t>
            </w:r>
          </w:p>
          <w:p>
            <w:pPr>
              <w:adjustRightInd w:val="0"/>
              <w:snapToGrid w:val="0"/>
              <w:spacing w:line="360" w:lineRule="auto"/>
              <w:ind w:firstLine="420" w:firstLineChars="200"/>
              <w:jc w:val="left"/>
              <w:rPr>
                <w:rFonts w:hint="eastAsia"/>
                <w:color w:val="auto"/>
                <w:kern w:val="0"/>
                <w:szCs w:val="21"/>
              </w:rPr>
            </w:pPr>
            <w:r>
              <w:rPr>
                <w:rFonts w:hint="eastAsia"/>
                <w:color w:val="auto"/>
                <w:kern w:val="0"/>
                <w:szCs w:val="21"/>
              </w:rPr>
              <w:t>全市8个国控断面中优良水质比例为87.5%，Ⅳ类水质比例12.5%，总体水质状况良好；11个省控断面中优良水质比例为100%，总体水质状况优。</w:t>
            </w:r>
          </w:p>
          <w:p>
            <w:pPr>
              <w:pStyle w:val="129"/>
              <w:ind w:firstLine="422"/>
              <w:jc w:val="left"/>
              <w:rPr>
                <w:b/>
                <w:color w:val="auto"/>
                <w:sz w:val="21"/>
                <w:szCs w:val="21"/>
              </w:rPr>
            </w:pPr>
            <w:r>
              <w:rPr>
                <w:b/>
                <w:color w:val="auto"/>
                <w:sz w:val="21"/>
                <w:szCs w:val="21"/>
              </w:rPr>
              <w:t>三、</w:t>
            </w:r>
            <w:r>
              <w:rPr>
                <w:rFonts w:hint="eastAsia"/>
                <w:b/>
                <w:color w:val="auto"/>
                <w:sz w:val="21"/>
                <w:szCs w:val="21"/>
              </w:rPr>
              <w:t>声环境</w:t>
            </w:r>
          </w:p>
          <w:p>
            <w:pPr>
              <w:adjustRightInd w:val="0"/>
              <w:snapToGrid w:val="0"/>
              <w:spacing w:line="360" w:lineRule="auto"/>
              <w:ind w:firstLine="420" w:firstLineChars="200"/>
              <w:jc w:val="left"/>
              <w:rPr>
                <w:color w:val="auto"/>
                <w:szCs w:val="21"/>
              </w:rPr>
            </w:pPr>
            <w:r>
              <w:rPr>
                <w:color w:val="auto"/>
                <w:szCs w:val="21"/>
              </w:rPr>
              <w:t>本项目位于</w:t>
            </w:r>
            <w:r>
              <w:rPr>
                <w:rFonts w:hint="eastAsia" w:ascii="Times New Roman" w:cs="Times New Roman"/>
                <w:color w:val="auto"/>
                <w:spacing w:val="-3"/>
                <w:szCs w:val="21"/>
                <w:lang w:val="en-US"/>
              </w:rPr>
              <w:t>淮南安成经济开发区</w:t>
            </w:r>
            <w:r>
              <w:rPr>
                <w:color w:val="auto"/>
                <w:szCs w:val="21"/>
              </w:rPr>
              <w:t>，根据《声环境质量标准》（GB3096-2008）中声环境质量功能区的分类方法，区域为声环境质量</w:t>
            </w:r>
            <w:r>
              <w:rPr>
                <w:rFonts w:hint="eastAsia"/>
                <w:color w:val="auto"/>
                <w:szCs w:val="21"/>
              </w:rPr>
              <w:t>3</w:t>
            </w:r>
            <w:r>
              <w:rPr>
                <w:color w:val="auto"/>
                <w:szCs w:val="21"/>
              </w:rPr>
              <w:t>类功能区，执行《声环境质量标准》（GB3096-2008）的</w:t>
            </w:r>
            <w:r>
              <w:rPr>
                <w:rFonts w:hint="eastAsia"/>
                <w:color w:val="auto"/>
                <w:szCs w:val="21"/>
              </w:rPr>
              <w:t>3</w:t>
            </w:r>
            <w:r>
              <w:rPr>
                <w:color w:val="auto"/>
                <w:szCs w:val="21"/>
              </w:rPr>
              <w:t>类标准，（即昼间≤6</w:t>
            </w:r>
            <w:r>
              <w:rPr>
                <w:rFonts w:hint="eastAsia"/>
                <w:color w:val="auto"/>
                <w:szCs w:val="21"/>
              </w:rPr>
              <w:t>5</w:t>
            </w:r>
            <w:r>
              <w:rPr>
                <w:color w:val="auto"/>
                <w:szCs w:val="21"/>
              </w:rPr>
              <w:t>dB(A)、夜间≤5</w:t>
            </w:r>
            <w:r>
              <w:rPr>
                <w:rFonts w:hint="eastAsia"/>
                <w:color w:val="auto"/>
                <w:szCs w:val="21"/>
              </w:rPr>
              <w:t>5</w:t>
            </w:r>
            <w:r>
              <w:rPr>
                <w:color w:val="auto"/>
                <w:szCs w:val="21"/>
              </w:rPr>
              <w:t>dB(A)）。</w:t>
            </w:r>
          </w:p>
          <w:p>
            <w:pPr>
              <w:adjustRightInd w:val="0"/>
              <w:snapToGrid w:val="0"/>
              <w:spacing w:line="360" w:lineRule="auto"/>
              <w:ind w:firstLine="420" w:firstLineChars="200"/>
              <w:jc w:val="left"/>
              <w:rPr>
                <w:rFonts w:hint="eastAsia"/>
                <w:color w:val="auto"/>
                <w:szCs w:val="21"/>
              </w:rPr>
            </w:pPr>
            <w:r>
              <w:rPr>
                <w:color w:val="auto"/>
                <w:szCs w:val="21"/>
              </w:rPr>
              <w:t>由于项目厂界外50m范围内不存在声环境保护目标，</w:t>
            </w:r>
            <w:r>
              <w:rPr>
                <w:rFonts w:hint="eastAsia"/>
                <w:color w:val="auto"/>
                <w:kern w:val="0"/>
                <w:szCs w:val="21"/>
              </w:rPr>
              <w:t>根据《建设项目环境影响报告表编制指南》，可不进行声环境现状监测，本项目未进行声环境质量现状监测</w:t>
            </w:r>
            <w:r>
              <w:rPr>
                <w:rFonts w:hint="eastAsia"/>
                <w:color w:val="auto"/>
                <w:szCs w:val="21"/>
              </w:rPr>
              <w:t>。</w:t>
            </w:r>
          </w:p>
          <w:p>
            <w:pPr>
              <w:pStyle w:val="4"/>
              <w:adjustRightInd w:val="0"/>
              <w:snapToGrid w:val="0"/>
              <w:spacing w:before="0" w:after="0" w:line="360" w:lineRule="auto"/>
              <w:ind w:firstLine="422" w:firstLineChars="200"/>
              <w:jc w:val="left"/>
              <w:rPr>
                <w:color w:val="auto"/>
                <w:sz w:val="21"/>
                <w:szCs w:val="21"/>
              </w:rPr>
            </w:pPr>
            <w:r>
              <w:rPr>
                <w:rFonts w:hint="eastAsia"/>
                <w:color w:val="auto"/>
                <w:sz w:val="21"/>
                <w:szCs w:val="21"/>
              </w:rPr>
              <w:t>四、地下水、土壤环境质量现状</w:t>
            </w:r>
          </w:p>
          <w:p>
            <w:pPr>
              <w:pStyle w:val="147"/>
              <w:rPr>
                <w:bCs w:val="0"/>
                <w:color w:val="auto"/>
                <w:kern w:val="0"/>
                <w:lang w:val="en-US" w:eastAsia="zh-CN"/>
              </w:rPr>
            </w:pPr>
            <w:r>
              <w:rPr>
                <w:bCs w:val="0"/>
                <w:color w:val="auto"/>
                <w:kern w:val="0"/>
                <w:lang w:val="en-US" w:eastAsia="zh-CN"/>
              </w:rPr>
              <w:t>根据《建设项目环境影响报告表编制技术指南（污染影响类）（试行）》中要求，原则上不开展地下水和土壤环境质量现状调查。建设项目存在土壤、地下水环境污染途径的，应结合污染源、保护目标分布情况开展现状调查以留作背景值。</w:t>
            </w:r>
          </w:p>
          <w:p>
            <w:pPr>
              <w:pStyle w:val="147"/>
              <w:rPr>
                <w:bCs w:val="0"/>
                <w:color w:val="auto"/>
                <w:kern w:val="0"/>
                <w:lang w:val="en-US" w:eastAsia="zh-CN"/>
              </w:rPr>
            </w:pPr>
            <w:r>
              <w:rPr>
                <w:bCs w:val="0"/>
                <w:color w:val="auto"/>
                <w:kern w:val="0"/>
                <w:lang w:val="en-US" w:eastAsia="zh-CN"/>
              </w:rPr>
              <w:t>项目厂界外500米范围内无地下水集中式饮用水水源和热水、矿泉水、温泉等特殊地下水资源。项目周边200m范围内均为工业用地及企业，无土壤敏感目标。</w:t>
            </w:r>
          </w:p>
          <w:p>
            <w:pPr>
              <w:pStyle w:val="129"/>
              <w:ind w:firstLine="420"/>
              <w:rPr>
                <w:color w:val="auto"/>
                <w:sz w:val="21"/>
                <w:szCs w:val="21"/>
              </w:rPr>
            </w:pPr>
            <w:r>
              <w:rPr>
                <w:color w:val="auto"/>
                <w:sz w:val="21"/>
                <w:szCs w:val="21"/>
              </w:rPr>
              <w:t>本项目建设完整的</w:t>
            </w:r>
            <w:r>
              <w:rPr>
                <w:rFonts w:hint="eastAsia"/>
                <w:color w:val="auto"/>
                <w:sz w:val="21"/>
                <w:szCs w:val="21"/>
                <w:lang w:eastAsia="zh-CN"/>
              </w:rPr>
              <w:t>“</w:t>
            </w:r>
            <w:r>
              <w:rPr>
                <w:color w:val="auto"/>
                <w:sz w:val="21"/>
                <w:szCs w:val="21"/>
              </w:rPr>
              <w:t>雨污分流、清污分流</w:t>
            </w:r>
            <w:r>
              <w:rPr>
                <w:rFonts w:hint="eastAsia"/>
                <w:color w:val="auto"/>
                <w:sz w:val="21"/>
                <w:szCs w:val="21"/>
                <w:lang w:eastAsia="zh-CN"/>
              </w:rPr>
              <w:t>”</w:t>
            </w:r>
            <w:r>
              <w:rPr>
                <w:color w:val="auto"/>
                <w:sz w:val="21"/>
                <w:szCs w:val="21"/>
              </w:rPr>
              <w:t>排水系统，雨水排入雨水管网。危废间</w:t>
            </w:r>
            <w:r>
              <w:rPr>
                <w:rFonts w:hint="eastAsia"/>
                <w:color w:val="auto"/>
                <w:sz w:val="21"/>
                <w:szCs w:val="21"/>
              </w:rPr>
              <w:t>、辅料库</w:t>
            </w:r>
            <w:r>
              <w:rPr>
                <w:color w:val="auto"/>
                <w:sz w:val="21"/>
                <w:szCs w:val="21"/>
              </w:rPr>
              <w:t>等区域采取重点防渗措施，存储物料不会外泄进入外环境对污染地下水和土壤造成污染。</w:t>
            </w:r>
          </w:p>
          <w:p>
            <w:pPr>
              <w:tabs>
                <w:tab w:val="left" w:pos="452"/>
              </w:tabs>
              <w:adjustRightInd w:val="0"/>
              <w:snapToGrid w:val="0"/>
              <w:spacing w:line="360" w:lineRule="auto"/>
              <w:ind w:firstLine="422" w:firstLineChars="200"/>
              <w:jc w:val="left"/>
              <w:rPr>
                <w:b/>
                <w:color w:val="auto"/>
                <w:szCs w:val="21"/>
              </w:rPr>
            </w:pPr>
            <w:r>
              <w:rPr>
                <w:b/>
                <w:color w:val="auto"/>
                <w:szCs w:val="21"/>
              </w:rPr>
              <w:t>五、生态环境质量现状</w:t>
            </w:r>
          </w:p>
          <w:p>
            <w:pPr>
              <w:adjustRightInd w:val="0"/>
              <w:snapToGrid w:val="0"/>
              <w:spacing w:line="360" w:lineRule="auto"/>
              <w:ind w:firstLine="420" w:firstLineChars="200"/>
              <w:jc w:val="left"/>
              <w:rPr>
                <w:rFonts w:hint="eastAsia"/>
                <w:color w:val="FF0000"/>
              </w:rPr>
            </w:pPr>
            <w:r>
              <w:rPr>
                <w:color w:val="auto"/>
                <w:szCs w:val="21"/>
              </w:rPr>
              <w:t>本项目位于</w:t>
            </w:r>
            <w:r>
              <w:rPr>
                <w:rFonts w:hint="eastAsia" w:ascii="Times New Roman" w:cs="Times New Roman"/>
                <w:color w:val="auto"/>
                <w:spacing w:val="-3"/>
                <w:szCs w:val="21"/>
                <w:lang w:val="en-US"/>
              </w:rPr>
              <w:t>淮南安成经济开发区</w:t>
            </w:r>
            <w:r>
              <w:rPr>
                <w:color w:val="auto"/>
                <w:szCs w:val="21"/>
              </w:rPr>
              <w:t>，位于规划的工业园区内，项目为现状工业用地。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52" w:type="dxa"/>
            <w:noWrap w:val="0"/>
            <w:vAlign w:val="center"/>
          </w:tcPr>
          <w:p>
            <w:pPr>
              <w:adjustRightInd w:val="0"/>
              <w:snapToGrid w:val="0"/>
              <w:jc w:val="center"/>
              <w:rPr>
                <w:color w:val="auto"/>
                <w:kern w:val="0"/>
                <w:szCs w:val="21"/>
              </w:rPr>
            </w:pPr>
            <w:r>
              <w:rPr>
                <w:color w:val="auto"/>
                <w:kern w:val="0"/>
                <w:szCs w:val="21"/>
              </w:rPr>
              <w:t>环境</w:t>
            </w:r>
          </w:p>
          <w:p>
            <w:pPr>
              <w:adjustRightInd w:val="0"/>
              <w:snapToGrid w:val="0"/>
              <w:jc w:val="center"/>
              <w:rPr>
                <w:color w:val="auto"/>
                <w:kern w:val="0"/>
                <w:szCs w:val="21"/>
              </w:rPr>
            </w:pPr>
            <w:r>
              <w:rPr>
                <w:color w:val="auto"/>
                <w:kern w:val="0"/>
                <w:szCs w:val="21"/>
              </w:rPr>
              <w:t>保护</w:t>
            </w:r>
          </w:p>
          <w:p>
            <w:pPr>
              <w:adjustRightInd w:val="0"/>
              <w:snapToGrid w:val="0"/>
              <w:jc w:val="center"/>
              <w:rPr>
                <w:color w:val="auto"/>
                <w:kern w:val="0"/>
                <w:szCs w:val="21"/>
              </w:rPr>
            </w:pPr>
            <w:r>
              <w:rPr>
                <w:color w:val="auto"/>
                <w:kern w:val="0"/>
                <w:szCs w:val="21"/>
              </w:rPr>
              <w:t>目标</w:t>
            </w:r>
          </w:p>
        </w:tc>
        <w:tc>
          <w:tcPr>
            <w:tcW w:w="7771" w:type="dxa"/>
            <w:noWrap w:val="0"/>
            <w:vAlign w:val="center"/>
          </w:tcPr>
          <w:p>
            <w:pPr>
              <w:adjustRightInd w:val="0"/>
              <w:snapToGrid w:val="0"/>
              <w:spacing w:line="360" w:lineRule="auto"/>
              <w:rPr>
                <w:b/>
                <w:color w:val="auto"/>
                <w:spacing w:val="4"/>
                <w:szCs w:val="21"/>
              </w:rPr>
            </w:pPr>
            <w:r>
              <w:rPr>
                <w:b/>
                <w:color w:val="auto"/>
                <w:spacing w:val="4"/>
                <w:szCs w:val="21"/>
              </w:rPr>
              <w:t>1、大气环境</w:t>
            </w:r>
          </w:p>
          <w:p>
            <w:pPr>
              <w:adjustRightInd w:val="0"/>
              <w:snapToGrid w:val="0"/>
              <w:spacing w:line="360" w:lineRule="auto"/>
              <w:ind w:firstLine="420" w:firstLineChars="200"/>
              <w:rPr>
                <w:color w:val="auto"/>
                <w:kern w:val="0"/>
                <w:szCs w:val="21"/>
              </w:rPr>
            </w:pPr>
            <w:r>
              <w:rPr>
                <w:rFonts w:hint="eastAsia"/>
                <w:color w:val="auto"/>
                <w:szCs w:val="21"/>
                <w:lang w:val="en-US" w:eastAsia="zh-CN"/>
              </w:rPr>
              <w:t>本项目</w:t>
            </w:r>
            <w:r>
              <w:rPr>
                <w:rFonts w:hint="eastAsia"/>
                <w:color w:val="auto"/>
                <w:szCs w:val="21"/>
              </w:rPr>
              <w:t>位于</w:t>
            </w:r>
            <w:r>
              <w:rPr>
                <w:rFonts w:hint="eastAsia" w:ascii="Times New Roman" w:cs="Times New Roman"/>
                <w:color w:val="auto"/>
                <w:spacing w:val="-3"/>
                <w:szCs w:val="21"/>
                <w:lang w:val="en-US"/>
              </w:rPr>
              <w:t>淮南安成经济开发区</w:t>
            </w:r>
            <w:r>
              <w:rPr>
                <w:color w:val="auto"/>
                <w:kern w:val="0"/>
                <w:szCs w:val="21"/>
              </w:rPr>
              <w:t>，</w:t>
            </w:r>
            <w:r>
              <w:rPr>
                <w:rFonts w:cs="宋体"/>
                <w:color w:val="auto"/>
                <w:szCs w:val="21"/>
              </w:rPr>
              <w:t>项目东侧为</w:t>
            </w:r>
            <w:r>
              <w:rPr>
                <w:rFonts w:hint="eastAsia" w:cs="宋体"/>
                <w:color w:val="auto"/>
                <w:szCs w:val="21"/>
              </w:rPr>
              <w:t>安徽鑫宏机械有限公司</w:t>
            </w:r>
            <w:r>
              <w:rPr>
                <w:rFonts w:cs="宋体"/>
                <w:color w:val="auto"/>
                <w:szCs w:val="21"/>
              </w:rPr>
              <w:t>，南侧为</w:t>
            </w:r>
            <w:r>
              <w:rPr>
                <w:rFonts w:hint="eastAsia" w:cs="宋体"/>
                <w:color w:val="auto"/>
                <w:szCs w:val="21"/>
                <w:lang w:val="en-US" w:eastAsia="zh-CN"/>
              </w:rPr>
              <w:t>批发市场</w:t>
            </w:r>
            <w:r>
              <w:rPr>
                <w:rFonts w:cs="宋体"/>
                <w:color w:val="auto"/>
                <w:szCs w:val="21"/>
              </w:rPr>
              <w:t>，西侧为</w:t>
            </w:r>
            <w:r>
              <w:rPr>
                <w:rFonts w:hint="eastAsia" w:cs="宋体"/>
                <w:color w:val="auto"/>
                <w:szCs w:val="21"/>
                <w:lang w:val="en-US" w:eastAsia="zh-CN"/>
              </w:rPr>
              <w:t>沿淮路</w:t>
            </w:r>
            <w:r>
              <w:rPr>
                <w:rFonts w:cs="宋体"/>
                <w:color w:val="auto"/>
                <w:szCs w:val="21"/>
              </w:rPr>
              <w:t>，</w:t>
            </w:r>
            <w:r>
              <w:rPr>
                <w:rFonts w:hint="eastAsia" w:cs="宋体"/>
                <w:color w:val="auto"/>
                <w:szCs w:val="21"/>
              </w:rPr>
              <w:t>北侧为</w:t>
            </w:r>
            <w:r>
              <w:rPr>
                <w:rFonts w:hint="eastAsia" w:cs="宋体"/>
                <w:color w:val="auto"/>
                <w:szCs w:val="21"/>
                <w:lang w:val="en-US" w:eastAsia="zh-CN"/>
              </w:rPr>
              <w:t>青网科技园二期</w:t>
            </w:r>
            <w:r>
              <w:rPr>
                <w:rFonts w:hint="eastAsia" w:cs="宋体"/>
                <w:color w:val="auto"/>
                <w:szCs w:val="21"/>
              </w:rPr>
              <w:t>，厂界周边500m范围内不涉及自然保护区、风景名胜区，</w:t>
            </w:r>
            <w:r>
              <w:rPr>
                <w:rFonts w:hint="eastAsia"/>
                <w:color w:val="auto"/>
                <w:kern w:val="0"/>
                <w:szCs w:val="21"/>
              </w:rPr>
              <w:t>根据评价范围，以评价范围内环境敏感点作为保护目标，本项目周边5</w:t>
            </w:r>
            <w:r>
              <w:rPr>
                <w:color w:val="auto"/>
                <w:kern w:val="0"/>
                <w:szCs w:val="21"/>
              </w:rPr>
              <w:t>00m</w:t>
            </w:r>
            <w:r>
              <w:rPr>
                <w:rFonts w:hint="eastAsia"/>
                <w:color w:val="auto"/>
                <w:kern w:val="0"/>
                <w:szCs w:val="21"/>
              </w:rPr>
              <w:t>范围内大气环境敏感目标分布见下表。</w:t>
            </w:r>
          </w:p>
          <w:p>
            <w:pPr>
              <w:pStyle w:val="110"/>
              <w:keepNext w:val="0"/>
              <w:keepLines w:val="0"/>
              <w:pageBreakBefore w:val="0"/>
              <w:widowControl/>
              <w:kinsoku/>
              <w:wordWrap/>
              <w:overflowPunct/>
              <w:topLinePunct w:val="0"/>
              <w:autoSpaceDE/>
              <w:autoSpaceDN/>
              <w:bidi w:val="0"/>
              <w:adjustRightInd/>
              <w:snapToGrid w:val="0"/>
              <w:spacing w:before="0" w:after="0" w:line="360" w:lineRule="auto"/>
              <w:ind w:right="0"/>
              <w:textAlignment w:val="auto"/>
              <w:rPr>
                <w:color w:val="auto"/>
                <w:szCs w:val="21"/>
                <w:lang w:val="en-US" w:eastAsia="zh-CN"/>
              </w:rPr>
            </w:pPr>
            <w:r>
              <w:rPr>
                <w:rFonts w:hint="eastAsia"/>
                <w:color w:val="auto"/>
                <w:szCs w:val="21"/>
                <w:lang w:val="en-US" w:eastAsia="zh-CN"/>
              </w:rPr>
              <w:t>表3-3  主要环境保护目标一览表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202"/>
              <w:gridCol w:w="625"/>
              <w:gridCol w:w="654"/>
              <w:gridCol w:w="1379"/>
              <w:gridCol w:w="1006"/>
              <w:gridCol w:w="101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348" w:type="pct"/>
                  <w:vMerge w:val="restart"/>
                  <w:noWrap w:val="0"/>
                  <w:vAlign w:val="center"/>
                </w:tcPr>
                <w:p>
                  <w:pPr>
                    <w:jc w:val="center"/>
                    <w:rPr>
                      <w:color w:val="auto"/>
                      <w:sz w:val="18"/>
                      <w:szCs w:val="18"/>
                    </w:rPr>
                  </w:pPr>
                  <w:r>
                    <w:rPr>
                      <w:color w:val="auto"/>
                      <w:sz w:val="18"/>
                      <w:szCs w:val="18"/>
                    </w:rPr>
                    <w:t>环境要素</w:t>
                  </w:r>
                </w:p>
              </w:tc>
              <w:tc>
                <w:tcPr>
                  <w:tcW w:w="796" w:type="pct"/>
                  <w:vMerge w:val="restart"/>
                  <w:noWrap w:val="0"/>
                  <w:vAlign w:val="center"/>
                </w:tcPr>
                <w:p>
                  <w:pPr>
                    <w:jc w:val="center"/>
                    <w:rPr>
                      <w:color w:val="auto"/>
                      <w:sz w:val="18"/>
                      <w:szCs w:val="18"/>
                    </w:rPr>
                  </w:pPr>
                  <w:r>
                    <w:rPr>
                      <w:color w:val="auto"/>
                      <w:sz w:val="18"/>
                      <w:szCs w:val="18"/>
                    </w:rPr>
                    <w:t>保护目标</w:t>
                  </w:r>
                </w:p>
              </w:tc>
              <w:tc>
                <w:tcPr>
                  <w:tcW w:w="414" w:type="pct"/>
                  <w:vMerge w:val="restart"/>
                  <w:noWrap w:val="0"/>
                  <w:vAlign w:val="center"/>
                </w:tcPr>
                <w:p>
                  <w:pPr>
                    <w:jc w:val="center"/>
                    <w:rPr>
                      <w:color w:val="auto"/>
                      <w:sz w:val="18"/>
                      <w:szCs w:val="18"/>
                    </w:rPr>
                  </w:pPr>
                  <w:r>
                    <w:rPr>
                      <w:color w:val="auto"/>
                      <w:sz w:val="18"/>
                      <w:szCs w:val="18"/>
                    </w:rPr>
                    <w:t>方位</w:t>
                  </w:r>
                </w:p>
              </w:tc>
              <w:tc>
                <w:tcPr>
                  <w:tcW w:w="433" w:type="pct"/>
                  <w:vMerge w:val="restart"/>
                  <w:noWrap w:val="0"/>
                  <w:vAlign w:val="center"/>
                </w:tcPr>
                <w:p>
                  <w:pPr>
                    <w:jc w:val="center"/>
                    <w:rPr>
                      <w:color w:val="auto"/>
                      <w:sz w:val="18"/>
                      <w:szCs w:val="18"/>
                    </w:rPr>
                  </w:pPr>
                  <w:r>
                    <w:rPr>
                      <w:color w:val="auto"/>
                      <w:sz w:val="18"/>
                      <w:szCs w:val="18"/>
                    </w:rPr>
                    <w:t>距离/m</w:t>
                  </w:r>
                </w:p>
              </w:tc>
              <w:tc>
                <w:tcPr>
                  <w:tcW w:w="913" w:type="pct"/>
                  <w:vMerge w:val="restart"/>
                  <w:noWrap w:val="0"/>
                  <w:vAlign w:val="center"/>
                </w:tcPr>
                <w:p>
                  <w:pPr>
                    <w:jc w:val="center"/>
                    <w:rPr>
                      <w:color w:val="auto"/>
                      <w:sz w:val="18"/>
                      <w:szCs w:val="18"/>
                    </w:rPr>
                  </w:pPr>
                  <w:r>
                    <w:rPr>
                      <w:rFonts w:hint="eastAsia"/>
                      <w:color w:val="auto"/>
                      <w:sz w:val="18"/>
                      <w:szCs w:val="18"/>
                    </w:rPr>
                    <w:t>规模</w:t>
                  </w:r>
                </w:p>
              </w:tc>
              <w:tc>
                <w:tcPr>
                  <w:tcW w:w="1335" w:type="pct"/>
                  <w:gridSpan w:val="2"/>
                  <w:noWrap w:val="0"/>
                  <w:vAlign w:val="center"/>
                </w:tcPr>
                <w:p>
                  <w:pPr>
                    <w:jc w:val="center"/>
                    <w:rPr>
                      <w:color w:val="auto"/>
                      <w:sz w:val="18"/>
                      <w:szCs w:val="18"/>
                    </w:rPr>
                  </w:pPr>
                  <w:r>
                    <w:rPr>
                      <w:color w:val="auto"/>
                      <w:sz w:val="18"/>
                      <w:szCs w:val="18"/>
                    </w:rPr>
                    <w:t>坐标</w:t>
                  </w:r>
                </w:p>
              </w:tc>
              <w:tc>
                <w:tcPr>
                  <w:tcW w:w="758" w:type="pct"/>
                  <w:vMerge w:val="restart"/>
                  <w:noWrap w:val="0"/>
                  <w:vAlign w:val="center"/>
                </w:tcPr>
                <w:p>
                  <w:pPr>
                    <w:jc w:val="center"/>
                    <w:rPr>
                      <w:color w:val="auto"/>
                      <w:sz w:val="18"/>
                      <w:szCs w:val="18"/>
                    </w:rPr>
                  </w:pPr>
                  <w:r>
                    <w:rPr>
                      <w:color w:val="auto"/>
                      <w:sz w:val="18"/>
                      <w:szCs w:val="18"/>
                    </w:rPr>
                    <w:t>环境功能及保护级别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348" w:type="pct"/>
                  <w:vMerge w:val="continue"/>
                  <w:noWrap w:val="0"/>
                  <w:vAlign w:val="center"/>
                </w:tcPr>
                <w:p>
                  <w:pPr>
                    <w:jc w:val="center"/>
                    <w:rPr>
                      <w:color w:val="auto"/>
                      <w:sz w:val="18"/>
                      <w:szCs w:val="18"/>
                    </w:rPr>
                  </w:pPr>
                </w:p>
              </w:tc>
              <w:tc>
                <w:tcPr>
                  <w:tcW w:w="796" w:type="pct"/>
                  <w:vMerge w:val="continue"/>
                  <w:noWrap w:val="0"/>
                  <w:vAlign w:val="center"/>
                </w:tcPr>
                <w:p>
                  <w:pPr>
                    <w:jc w:val="center"/>
                    <w:rPr>
                      <w:color w:val="auto"/>
                      <w:sz w:val="18"/>
                      <w:szCs w:val="18"/>
                    </w:rPr>
                  </w:pPr>
                </w:p>
              </w:tc>
              <w:tc>
                <w:tcPr>
                  <w:tcW w:w="414" w:type="pct"/>
                  <w:vMerge w:val="continue"/>
                  <w:noWrap w:val="0"/>
                  <w:vAlign w:val="center"/>
                </w:tcPr>
                <w:p>
                  <w:pPr>
                    <w:jc w:val="center"/>
                    <w:rPr>
                      <w:color w:val="auto"/>
                      <w:sz w:val="18"/>
                      <w:szCs w:val="18"/>
                    </w:rPr>
                  </w:pPr>
                </w:p>
              </w:tc>
              <w:tc>
                <w:tcPr>
                  <w:tcW w:w="433" w:type="pct"/>
                  <w:vMerge w:val="continue"/>
                  <w:noWrap w:val="0"/>
                  <w:vAlign w:val="center"/>
                </w:tcPr>
                <w:p>
                  <w:pPr>
                    <w:jc w:val="center"/>
                    <w:rPr>
                      <w:color w:val="auto"/>
                      <w:sz w:val="18"/>
                      <w:szCs w:val="18"/>
                    </w:rPr>
                  </w:pPr>
                </w:p>
              </w:tc>
              <w:tc>
                <w:tcPr>
                  <w:tcW w:w="913" w:type="pct"/>
                  <w:vMerge w:val="continue"/>
                  <w:noWrap w:val="0"/>
                  <w:vAlign w:val="center"/>
                </w:tcPr>
                <w:p>
                  <w:pPr>
                    <w:jc w:val="center"/>
                    <w:rPr>
                      <w:color w:val="auto"/>
                      <w:sz w:val="18"/>
                      <w:szCs w:val="18"/>
                    </w:rPr>
                  </w:pPr>
                </w:p>
              </w:tc>
              <w:tc>
                <w:tcPr>
                  <w:tcW w:w="666" w:type="pct"/>
                  <w:noWrap w:val="0"/>
                  <w:vAlign w:val="center"/>
                </w:tcPr>
                <w:p>
                  <w:pPr>
                    <w:jc w:val="center"/>
                    <w:rPr>
                      <w:color w:val="auto"/>
                      <w:sz w:val="18"/>
                      <w:szCs w:val="18"/>
                    </w:rPr>
                  </w:pPr>
                  <w:r>
                    <w:rPr>
                      <w:color w:val="auto"/>
                      <w:sz w:val="18"/>
                      <w:szCs w:val="18"/>
                    </w:rPr>
                    <w:t>X</w:t>
                  </w:r>
                </w:p>
              </w:tc>
              <w:tc>
                <w:tcPr>
                  <w:tcW w:w="668" w:type="pct"/>
                  <w:noWrap w:val="0"/>
                  <w:vAlign w:val="center"/>
                </w:tcPr>
                <w:p>
                  <w:pPr>
                    <w:jc w:val="center"/>
                    <w:rPr>
                      <w:color w:val="auto"/>
                      <w:sz w:val="18"/>
                      <w:szCs w:val="18"/>
                    </w:rPr>
                  </w:pPr>
                  <w:r>
                    <w:rPr>
                      <w:color w:val="auto"/>
                      <w:sz w:val="18"/>
                      <w:szCs w:val="18"/>
                    </w:rPr>
                    <w:t>Y</w:t>
                  </w:r>
                </w:p>
              </w:tc>
              <w:tc>
                <w:tcPr>
                  <w:tcW w:w="758" w:type="pct"/>
                  <w:vMerge w:val="continue"/>
                  <w:noWrap w:val="0"/>
                  <w:vAlign w:val="center"/>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348" w:type="pct"/>
                  <w:vMerge w:val="restart"/>
                  <w:noWrap w:val="0"/>
                  <w:vAlign w:val="center"/>
                </w:tcPr>
                <w:p>
                  <w:pPr>
                    <w:jc w:val="center"/>
                    <w:rPr>
                      <w:color w:val="auto"/>
                      <w:sz w:val="18"/>
                      <w:szCs w:val="18"/>
                    </w:rPr>
                  </w:pPr>
                  <w:r>
                    <w:rPr>
                      <w:color w:val="auto"/>
                      <w:sz w:val="18"/>
                      <w:szCs w:val="18"/>
                    </w:rPr>
                    <w:t>大气环境</w:t>
                  </w:r>
                </w:p>
              </w:tc>
              <w:tc>
                <w:tcPr>
                  <w:tcW w:w="796" w:type="pct"/>
                  <w:noWrap w:val="0"/>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下陈新村小区</w:t>
                  </w:r>
                </w:p>
              </w:tc>
              <w:tc>
                <w:tcPr>
                  <w:tcW w:w="414" w:type="pct"/>
                  <w:noWrap w:val="0"/>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SW</w:t>
                  </w:r>
                </w:p>
              </w:tc>
              <w:tc>
                <w:tcPr>
                  <w:tcW w:w="433" w:type="pct"/>
                  <w:noWrap w:val="0"/>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405</w:t>
                  </w:r>
                </w:p>
              </w:tc>
              <w:tc>
                <w:tcPr>
                  <w:tcW w:w="913" w:type="pct"/>
                  <w:noWrap w:val="0"/>
                  <w:vAlign w:val="center"/>
                </w:tcPr>
                <w:p>
                  <w:pPr>
                    <w:jc w:val="center"/>
                    <w:rPr>
                      <w:color w:val="auto"/>
                      <w:sz w:val="18"/>
                      <w:szCs w:val="18"/>
                    </w:rPr>
                  </w:pPr>
                  <w:r>
                    <w:rPr>
                      <w:rFonts w:hint="eastAsia"/>
                      <w:color w:val="auto"/>
                      <w:sz w:val="18"/>
                      <w:szCs w:val="18"/>
                    </w:rPr>
                    <w:t>约</w:t>
                  </w:r>
                  <w:r>
                    <w:rPr>
                      <w:rFonts w:hint="eastAsia"/>
                      <w:color w:val="auto"/>
                      <w:sz w:val="18"/>
                      <w:szCs w:val="18"/>
                      <w:lang w:val="en-US" w:eastAsia="zh-CN"/>
                    </w:rPr>
                    <w:t>50</w:t>
                  </w:r>
                  <w:r>
                    <w:rPr>
                      <w:rFonts w:hint="eastAsia"/>
                      <w:color w:val="auto"/>
                      <w:sz w:val="18"/>
                      <w:szCs w:val="18"/>
                    </w:rPr>
                    <w:t>户，</w:t>
                  </w:r>
                  <w:r>
                    <w:rPr>
                      <w:rFonts w:hint="eastAsia"/>
                      <w:color w:val="auto"/>
                      <w:sz w:val="18"/>
                      <w:szCs w:val="18"/>
                      <w:lang w:val="en-US" w:eastAsia="zh-CN"/>
                    </w:rPr>
                    <w:t>1</w:t>
                  </w:r>
                  <w:r>
                    <w:rPr>
                      <w:rFonts w:hint="eastAsia"/>
                      <w:color w:val="auto"/>
                      <w:sz w:val="18"/>
                      <w:szCs w:val="18"/>
                    </w:rPr>
                    <w:t>50人</w:t>
                  </w:r>
                </w:p>
              </w:tc>
              <w:tc>
                <w:tcPr>
                  <w:tcW w:w="666" w:type="pct"/>
                  <w:noWrap w:val="0"/>
                  <w:vAlign w:val="center"/>
                </w:tcPr>
                <w:p>
                  <w:pPr>
                    <w:jc w:val="center"/>
                    <w:rPr>
                      <w:rFonts w:hint="default" w:eastAsia="宋体"/>
                      <w:color w:val="auto"/>
                      <w:sz w:val="18"/>
                      <w:szCs w:val="18"/>
                      <w:lang w:val="en-US" w:eastAsia="zh-CN"/>
                    </w:rPr>
                  </w:pPr>
                  <w:r>
                    <w:rPr>
                      <w:rFonts w:hint="eastAsia"/>
                      <w:color w:val="auto"/>
                      <w:sz w:val="18"/>
                      <w:szCs w:val="18"/>
                    </w:rPr>
                    <w:t>116.</w:t>
                  </w:r>
                  <w:r>
                    <w:rPr>
                      <w:rFonts w:hint="eastAsia"/>
                      <w:color w:val="auto"/>
                      <w:sz w:val="18"/>
                      <w:szCs w:val="18"/>
                      <w:lang w:val="en-US" w:eastAsia="zh-CN"/>
                    </w:rPr>
                    <w:t>965425</w:t>
                  </w:r>
                </w:p>
              </w:tc>
              <w:tc>
                <w:tcPr>
                  <w:tcW w:w="668" w:type="pct"/>
                  <w:noWrap w:val="0"/>
                  <w:vAlign w:val="center"/>
                </w:tcPr>
                <w:p>
                  <w:pPr>
                    <w:jc w:val="center"/>
                    <w:rPr>
                      <w:rFonts w:hint="default" w:eastAsia="宋体"/>
                      <w:color w:val="auto"/>
                      <w:sz w:val="18"/>
                      <w:szCs w:val="18"/>
                      <w:lang w:val="en-US" w:eastAsia="zh-CN"/>
                    </w:rPr>
                  </w:pPr>
                  <w:r>
                    <w:rPr>
                      <w:rFonts w:hint="eastAsia"/>
                      <w:color w:val="auto"/>
                      <w:sz w:val="18"/>
                      <w:szCs w:val="18"/>
                    </w:rPr>
                    <w:t>32.6</w:t>
                  </w:r>
                  <w:r>
                    <w:rPr>
                      <w:rFonts w:hint="eastAsia"/>
                      <w:color w:val="auto"/>
                      <w:sz w:val="18"/>
                      <w:szCs w:val="18"/>
                      <w:lang w:val="en-US" w:eastAsia="zh-CN"/>
                    </w:rPr>
                    <w:t>40323</w:t>
                  </w:r>
                </w:p>
              </w:tc>
              <w:tc>
                <w:tcPr>
                  <w:tcW w:w="758" w:type="pct"/>
                  <w:vMerge w:val="restart"/>
                  <w:noWrap w:val="0"/>
                  <w:vAlign w:val="center"/>
                </w:tcPr>
                <w:p>
                  <w:pPr>
                    <w:jc w:val="center"/>
                    <w:rPr>
                      <w:color w:val="auto"/>
                      <w:sz w:val="18"/>
                      <w:szCs w:val="18"/>
                    </w:rPr>
                  </w:pPr>
                  <w:r>
                    <w:rPr>
                      <w:color w:val="auto"/>
                      <w:sz w:val="18"/>
                      <w:szCs w:val="18"/>
                    </w:rPr>
                    <w:t>GB3095-2012二级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348" w:type="pct"/>
                  <w:vMerge w:val="continue"/>
                  <w:noWrap w:val="0"/>
                  <w:vAlign w:val="center"/>
                </w:tcPr>
                <w:p>
                  <w:pPr>
                    <w:jc w:val="center"/>
                    <w:rPr>
                      <w:color w:val="auto"/>
                      <w:sz w:val="18"/>
                      <w:szCs w:val="18"/>
                    </w:rPr>
                  </w:pPr>
                </w:p>
              </w:tc>
              <w:tc>
                <w:tcPr>
                  <w:tcW w:w="796" w:type="pct"/>
                  <w:noWrap w:val="0"/>
                  <w:vAlign w:val="center"/>
                </w:tcPr>
                <w:p>
                  <w:pPr>
                    <w:widowControl/>
                    <w:jc w:val="center"/>
                    <w:rPr>
                      <w:rFonts w:hint="default"/>
                      <w:color w:val="auto"/>
                      <w:kern w:val="0"/>
                      <w:sz w:val="18"/>
                      <w:szCs w:val="18"/>
                      <w:lang w:val="en-US" w:eastAsia="zh-CN"/>
                    </w:rPr>
                  </w:pPr>
                  <w:r>
                    <w:rPr>
                      <w:rFonts w:hint="eastAsia"/>
                      <w:color w:val="auto"/>
                      <w:kern w:val="0"/>
                      <w:sz w:val="18"/>
                      <w:szCs w:val="18"/>
                      <w:lang w:val="en-US" w:eastAsia="zh-CN"/>
                    </w:rPr>
                    <w:t>淮南阳光医院</w:t>
                  </w:r>
                </w:p>
              </w:tc>
              <w:tc>
                <w:tcPr>
                  <w:tcW w:w="414" w:type="pct"/>
                  <w:noWrap w:val="0"/>
                  <w:vAlign w:val="center"/>
                </w:tcPr>
                <w:p>
                  <w:pPr>
                    <w:widowControl/>
                    <w:jc w:val="center"/>
                    <w:rPr>
                      <w:rFonts w:hint="default"/>
                      <w:color w:val="auto"/>
                      <w:kern w:val="0"/>
                      <w:sz w:val="18"/>
                      <w:szCs w:val="18"/>
                      <w:lang w:val="en-US" w:eastAsia="zh-CN"/>
                    </w:rPr>
                  </w:pPr>
                  <w:r>
                    <w:rPr>
                      <w:rFonts w:hint="eastAsia"/>
                      <w:color w:val="auto"/>
                      <w:kern w:val="0"/>
                      <w:sz w:val="18"/>
                      <w:szCs w:val="18"/>
                      <w:lang w:val="en-US" w:eastAsia="zh-CN"/>
                    </w:rPr>
                    <w:t>S</w:t>
                  </w:r>
                </w:p>
              </w:tc>
              <w:tc>
                <w:tcPr>
                  <w:tcW w:w="433" w:type="pct"/>
                  <w:noWrap w:val="0"/>
                  <w:vAlign w:val="center"/>
                </w:tcPr>
                <w:p>
                  <w:pPr>
                    <w:widowControl/>
                    <w:jc w:val="center"/>
                    <w:rPr>
                      <w:rFonts w:hint="default"/>
                      <w:color w:val="auto"/>
                      <w:kern w:val="0"/>
                      <w:sz w:val="18"/>
                      <w:szCs w:val="18"/>
                      <w:lang w:val="en-US" w:eastAsia="zh-CN"/>
                    </w:rPr>
                  </w:pPr>
                  <w:r>
                    <w:rPr>
                      <w:rFonts w:hint="eastAsia"/>
                      <w:color w:val="auto"/>
                      <w:kern w:val="0"/>
                      <w:sz w:val="18"/>
                      <w:szCs w:val="18"/>
                      <w:lang w:val="en-US" w:eastAsia="zh-CN"/>
                    </w:rPr>
                    <w:t>301</w:t>
                  </w:r>
                </w:p>
              </w:tc>
              <w:tc>
                <w:tcPr>
                  <w:tcW w:w="913"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200</w:t>
                  </w:r>
                </w:p>
              </w:tc>
              <w:tc>
                <w:tcPr>
                  <w:tcW w:w="666"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116.968837</w:t>
                  </w:r>
                </w:p>
              </w:tc>
              <w:tc>
                <w:tcPr>
                  <w:tcW w:w="668"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32.639982</w:t>
                  </w:r>
                </w:p>
              </w:tc>
              <w:tc>
                <w:tcPr>
                  <w:tcW w:w="758" w:type="pct"/>
                  <w:vMerge w:val="continue"/>
                  <w:noWrap w:val="0"/>
                  <w:vAlign w:val="center"/>
                </w:tcPr>
                <w:p>
                  <w:pPr>
                    <w:jc w:val="center"/>
                    <w:rPr>
                      <w:color w:val="auto"/>
                      <w:sz w:val="18"/>
                      <w:szCs w:val="18"/>
                    </w:rPr>
                  </w:pPr>
                </w:p>
              </w:tc>
            </w:tr>
          </w:tbl>
          <w:p>
            <w:pPr>
              <w:widowControl/>
              <w:adjustRightInd w:val="0"/>
              <w:snapToGrid w:val="0"/>
              <w:spacing w:line="360" w:lineRule="auto"/>
              <w:jc w:val="left"/>
              <w:rPr>
                <w:rFonts w:hint="default" w:ascii="Times New Roman" w:hAnsi="Times New Roman" w:cs="Times New Roman"/>
                <w:b/>
                <w:color w:val="auto"/>
                <w:spacing w:val="4"/>
                <w:szCs w:val="21"/>
              </w:rPr>
            </w:pPr>
            <w:r>
              <w:rPr>
                <w:rFonts w:hint="default" w:ascii="Times New Roman" w:hAnsi="Times New Roman" w:cs="Times New Roman"/>
                <w:b/>
                <w:color w:val="auto"/>
                <w:spacing w:val="4"/>
                <w:szCs w:val="21"/>
              </w:rPr>
              <w:t>2、声环境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kern w:val="0"/>
                <w:szCs w:val="21"/>
              </w:rPr>
            </w:pPr>
            <w:r>
              <w:rPr>
                <w:color w:val="auto"/>
                <w:kern w:val="0"/>
                <w:szCs w:val="21"/>
              </w:rPr>
              <w:t>项目厂区四周均为</w:t>
            </w:r>
            <w:r>
              <w:rPr>
                <w:rFonts w:hint="eastAsia"/>
                <w:color w:val="auto"/>
                <w:kern w:val="0"/>
                <w:szCs w:val="21"/>
              </w:rPr>
              <w:t>规划工业用地及生产企业</w:t>
            </w:r>
            <w:r>
              <w:rPr>
                <w:color w:val="auto"/>
                <w:kern w:val="0"/>
                <w:szCs w:val="21"/>
              </w:rPr>
              <w:t>，厂界外50米范围内，无声环境保护目标</w:t>
            </w:r>
            <w:r>
              <w:rPr>
                <w:rFonts w:hint="eastAsia"/>
                <w:color w:val="auto"/>
                <w:kern w:val="0"/>
                <w:szCs w:val="21"/>
              </w:rPr>
              <w:t>。</w:t>
            </w:r>
          </w:p>
          <w:p>
            <w:pPr>
              <w:adjustRightInd w:val="0"/>
              <w:snapToGrid w:val="0"/>
              <w:spacing w:line="360" w:lineRule="auto"/>
              <w:rPr>
                <w:b/>
                <w:color w:val="auto"/>
                <w:spacing w:val="4"/>
                <w:szCs w:val="21"/>
              </w:rPr>
            </w:pPr>
            <w:r>
              <w:rPr>
                <w:b/>
                <w:color w:val="auto"/>
                <w:spacing w:val="4"/>
                <w:szCs w:val="21"/>
              </w:rPr>
              <w:t>3、地表水环境</w:t>
            </w:r>
          </w:p>
          <w:p>
            <w:pPr>
              <w:adjustRightInd w:val="0"/>
              <w:snapToGrid w:val="0"/>
              <w:spacing w:line="360" w:lineRule="auto"/>
              <w:ind w:firstLine="420" w:firstLineChars="200"/>
              <w:rPr>
                <w:rFonts w:hint="eastAsia"/>
                <w:color w:val="auto"/>
                <w:szCs w:val="21"/>
              </w:rPr>
            </w:pPr>
            <w:r>
              <w:rPr>
                <w:color w:val="auto"/>
                <w:szCs w:val="21"/>
              </w:rPr>
              <w:t>项目地表水水体为</w:t>
            </w:r>
            <w:r>
              <w:rPr>
                <w:rFonts w:hint="eastAsia"/>
                <w:color w:val="auto"/>
                <w:szCs w:val="21"/>
              </w:rPr>
              <w:t>淮河淮南段</w:t>
            </w:r>
            <w:r>
              <w:rPr>
                <w:color w:val="auto"/>
                <w:szCs w:val="21"/>
              </w:rPr>
              <w:t>。</w:t>
            </w:r>
          </w:p>
          <w:p>
            <w:pPr>
              <w:adjustRightInd w:val="0"/>
              <w:snapToGrid w:val="0"/>
              <w:spacing w:line="360" w:lineRule="auto"/>
              <w:ind w:firstLine="422" w:firstLineChars="20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表3-4</w:t>
            </w:r>
            <w:r>
              <w:rPr>
                <w:rFonts w:hint="eastAsia" w:cs="Times New Roman"/>
                <w:b/>
                <w:color w:val="auto"/>
                <w:szCs w:val="21"/>
                <w:lang w:val="en-US" w:eastAsia="zh-CN"/>
              </w:rPr>
              <w:t xml:space="preserve"> </w:t>
            </w:r>
            <w:r>
              <w:rPr>
                <w:rFonts w:hint="default" w:ascii="Times New Roman" w:hAnsi="Times New Roman" w:cs="Times New Roman"/>
                <w:b/>
                <w:color w:val="auto"/>
                <w:szCs w:val="21"/>
              </w:rPr>
              <w:t xml:space="preserve"> 项目环境敏感保护目标一览表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07"/>
              <w:gridCol w:w="540"/>
              <w:gridCol w:w="723"/>
              <w:gridCol w:w="752"/>
              <w:gridCol w:w="680"/>
              <w:gridCol w:w="879"/>
              <w:gridCol w:w="850"/>
              <w:gridCol w:w="591"/>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92" w:type="dxa"/>
                  <w:vMerge w:val="restart"/>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类别</w:t>
                  </w:r>
                </w:p>
              </w:tc>
              <w:tc>
                <w:tcPr>
                  <w:tcW w:w="606" w:type="dxa"/>
                  <w:vMerge w:val="restart"/>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序号</w:t>
                  </w:r>
                </w:p>
              </w:tc>
              <w:tc>
                <w:tcPr>
                  <w:tcW w:w="838" w:type="dxa"/>
                  <w:vMerge w:val="restart"/>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主要保护目标</w:t>
                  </w:r>
                </w:p>
              </w:tc>
              <w:tc>
                <w:tcPr>
                  <w:tcW w:w="1687" w:type="dxa"/>
                  <w:gridSpan w:val="2"/>
                  <w:noWrap w:val="0"/>
                  <w:vAlign w:val="center"/>
                </w:tcPr>
                <w:p>
                  <w:pPr>
                    <w:widowControl/>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坐标/m</w:t>
                  </w:r>
                </w:p>
              </w:tc>
              <w:tc>
                <w:tcPr>
                  <w:tcW w:w="988" w:type="dxa"/>
                  <w:vMerge w:val="restart"/>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性质、规模</w:t>
                  </w:r>
                </w:p>
              </w:tc>
              <w:tc>
                <w:tcPr>
                  <w:tcW w:w="883" w:type="dxa"/>
                  <w:vMerge w:val="restart"/>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距离</w:t>
                  </w:r>
                  <w:r>
                    <w:rPr>
                      <w:rFonts w:hint="default" w:ascii="Times New Roman" w:hAnsi="Times New Roman" w:cs="Times New Roman"/>
                      <w:b/>
                      <w:bCs/>
                      <w:color w:val="auto"/>
                      <w:sz w:val="18"/>
                      <w:szCs w:val="18"/>
                      <w:lang w:eastAsia="zh-CN"/>
                    </w:rPr>
                    <w:t>（</w:t>
                  </w:r>
                  <w:r>
                    <w:rPr>
                      <w:rFonts w:hint="default" w:ascii="Times New Roman" w:hAnsi="Times New Roman" w:cs="Times New Roman"/>
                      <w:b/>
                      <w:bCs/>
                      <w:color w:val="auto"/>
                      <w:sz w:val="18"/>
                      <w:szCs w:val="18"/>
                    </w:rPr>
                    <w:t>km</w:t>
                  </w:r>
                  <w:r>
                    <w:rPr>
                      <w:rFonts w:hint="default" w:ascii="Times New Roman" w:hAnsi="Times New Roman" w:cs="Times New Roman"/>
                      <w:b/>
                      <w:bCs/>
                      <w:color w:val="auto"/>
                      <w:sz w:val="18"/>
                      <w:szCs w:val="18"/>
                      <w:lang w:eastAsia="zh-CN"/>
                    </w:rPr>
                    <w:t>）</w:t>
                  </w:r>
                </w:p>
              </w:tc>
              <w:tc>
                <w:tcPr>
                  <w:tcW w:w="655" w:type="dxa"/>
                  <w:vMerge w:val="restart"/>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方位</w:t>
                  </w:r>
                </w:p>
              </w:tc>
              <w:tc>
                <w:tcPr>
                  <w:tcW w:w="2036" w:type="dxa"/>
                  <w:vMerge w:val="restart"/>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92" w:type="dxa"/>
                  <w:vMerge w:val="continue"/>
                  <w:noWrap w:val="0"/>
                  <w:vAlign w:val="center"/>
                </w:tcPr>
                <w:p>
                  <w:pPr>
                    <w:jc w:val="center"/>
                    <w:rPr>
                      <w:rFonts w:hint="default" w:ascii="Times New Roman" w:hAnsi="Times New Roman" w:cs="Times New Roman"/>
                      <w:color w:val="auto"/>
                      <w:sz w:val="18"/>
                      <w:szCs w:val="18"/>
                    </w:rPr>
                  </w:pPr>
                </w:p>
              </w:tc>
              <w:tc>
                <w:tcPr>
                  <w:tcW w:w="606" w:type="dxa"/>
                  <w:vMerge w:val="continue"/>
                  <w:noWrap w:val="0"/>
                  <w:vAlign w:val="center"/>
                </w:tcPr>
                <w:p>
                  <w:pPr>
                    <w:jc w:val="center"/>
                    <w:rPr>
                      <w:rFonts w:hint="default" w:ascii="Times New Roman" w:hAnsi="Times New Roman" w:cs="Times New Roman"/>
                      <w:color w:val="auto"/>
                      <w:sz w:val="18"/>
                      <w:szCs w:val="18"/>
                    </w:rPr>
                  </w:pPr>
                </w:p>
              </w:tc>
              <w:tc>
                <w:tcPr>
                  <w:tcW w:w="838" w:type="dxa"/>
                  <w:vMerge w:val="continue"/>
                  <w:noWrap w:val="0"/>
                  <w:vAlign w:val="center"/>
                </w:tcPr>
                <w:p>
                  <w:pPr>
                    <w:jc w:val="center"/>
                    <w:rPr>
                      <w:rFonts w:hint="default" w:ascii="Times New Roman" w:hAnsi="Times New Roman" w:cs="Times New Roman"/>
                      <w:color w:val="auto"/>
                      <w:sz w:val="18"/>
                      <w:szCs w:val="18"/>
                    </w:rPr>
                  </w:pPr>
                </w:p>
              </w:tc>
              <w:tc>
                <w:tcPr>
                  <w:tcW w:w="889" w:type="dxa"/>
                  <w:noWrap w:val="0"/>
                  <w:vAlign w:val="center"/>
                </w:tcPr>
                <w:p>
                  <w:pPr>
                    <w:widowControl/>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X</w:t>
                  </w:r>
                </w:p>
              </w:tc>
              <w:tc>
                <w:tcPr>
                  <w:tcW w:w="798" w:type="dxa"/>
                  <w:noWrap w:val="0"/>
                  <w:vAlign w:val="center"/>
                </w:tcPr>
                <w:p>
                  <w:pPr>
                    <w:widowControl/>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Y</w:t>
                  </w:r>
                </w:p>
              </w:tc>
              <w:tc>
                <w:tcPr>
                  <w:tcW w:w="988" w:type="dxa"/>
                  <w:vMerge w:val="continue"/>
                  <w:noWrap w:val="0"/>
                  <w:vAlign w:val="center"/>
                </w:tcPr>
                <w:p>
                  <w:pPr>
                    <w:jc w:val="center"/>
                    <w:rPr>
                      <w:rFonts w:hint="default" w:ascii="Times New Roman" w:hAnsi="Times New Roman" w:cs="Times New Roman"/>
                      <w:color w:val="auto"/>
                      <w:sz w:val="18"/>
                      <w:szCs w:val="18"/>
                    </w:rPr>
                  </w:pPr>
                </w:p>
              </w:tc>
              <w:tc>
                <w:tcPr>
                  <w:tcW w:w="883" w:type="dxa"/>
                  <w:vMerge w:val="continue"/>
                  <w:noWrap w:val="0"/>
                  <w:vAlign w:val="center"/>
                </w:tcPr>
                <w:p>
                  <w:pPr>
                    <w:jc w:val="center"/>
                    <w:rPr>
                      <w:rFonts w:hint="default" w:ascii="Times New Roman" w:hAnsi="Times New Roman" w:cs="Times New Roman"/>
                      <w:color w:val="auto"/>
                      <w:sz w:val="18"/>
                      <w:szCs w:val="18"/>
                    </w:rPr>
                  </w:pPr>
                </w:p>
              </w:tc>
              <w:tc>
                <w:tcPr>
                  <w:tcW w:w="655" w:type="dxa"/>
                  <w:vMerge w:val="continue"/>
                  <w:noWrap w:val="0"/>
                  <w:vAlign w:val="center"/>
                </w:tcPr>
                <w:p>
                  <w:pPr>
                    <w:jc w:val="center"/>
                    <w:rPr>
                      <w:rFonts w:hint="default" w:ascii="Times New Roman" w:hAnsi="Times New Roman" w:cs="Times New Roman"/>
                      <w:color w:val="auto"/>
                      <w:sz w:val="18"/>
                      <w:szCs w:val="18"/>
                    </w:rPr>
                  </w:pPr>
                </w:p>
              </w:tc>
              <w:tc>
                <w:tcPr>
                  <w:tcW w:w="2036" w:type="dxa"/>
                  <w:vMerge w:val="continue"/>
                  <w:noWrap w:val="0"/>
                  <w:vAlign w:val="center"/>
                </w:tcPr>
                <w:p>
                  <w:pPr>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92"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地表水环境</w:t>
                  </w:r>
                </w:p>
              </w:tc>
              <w:tc>
                <w:tcPr>
                  <w:tcW w:w="606"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838"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淮河</w:t>
                  </w:r>
                </w:p>
              </w:tc>
              <w:tc>
                <w:tcPr>
                  <w:tcW w:w="889"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798"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988"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大型河流</w:t>
                  </w:r>
                </w:p>
              </w:tc>
              <w:tc>
                <w:tcPr>
                  <w:tcW w:w="883" w:type="dxa"/>
                  <w:noWrap w:val="0"/>
                  <w:vAlign w:val="center"/>
                </w:tcPr>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3.55</w:t>
                  </w:r>
                </w:p>
              </w:tc>
              <w:tc>
                <w:tcPr>
                  <w:tcW w:w="655"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N</w:t>
                  </w:r>
                  <w:r>
                    <w:rPr>
                      <w:rFonts w:hint="default" w:ascii="Times New Roman" w:hAnsi="Times New Roman" w:cs="Times New Roman"/>
                      <w:color w:val="auto"/>
                      <w:sz w:val="18"/>
                      <w:szCs w:val="18"/>
                    </w:rPr>
                    <w:t>E</w:t>
                  </w:r>
                </w:p>
              </w:tc>
              <w:tc>
                <w:tcPr>
                  <w:tcW w:w="2036"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《地表水环境质量标准》（GB3838-2002）</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Ⅲ类标准</w:t>
                  </w:r>
                </w:p>
              </w:tc>
            </w:tr>
          </w:tbl>
          <w:p>
            <w:pPr>
              <w:adjustRightInd w:val="0"/>
              <w:snapToGrid w:val="0"/>
              <w:spacing w:before="120" w:beforeLines="50" w:line="360" w:lineRule="auto"/>
              <w:rPr>
                <w:rFonts w:hint="default" w:ascii="Times New Roman" w:hAnsi="Times New Roman" w:cs="Times New Roman"/>
                <w:b/>
                <w:color w:val="auto"/>
                <w:spacing w:val="4"/>
                <w:szCs w:val="21"/>
              </w:rPr>
            </w:pPr>
            <w:r>
              <w:rPr>
                <w:rFonts w:hint="default" w:ascii="Times New Roman" w:hAnsi="Times New Roman" w:cs="Times New Roman"/>
                <w:b/>
                <w:color w:val="auto"/>
                <w:spacing w:val="4"/>
                <w:szCs w:val="21"/>
              </w:rPr>
              <w:t>4、地下水环境</w:t>
            </w:r>
          </w:p>
          <w:p>
            <w:pPr>
              <w:adjustRightInd w:val="0"/>
              <w:snapToGrid w:val="0"/>
              <w:spacing w:line="360" w:lineRule="auto"/>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本项目厂界外500米范围内无地下水集中式饮用水水源和热水、矿泉水、温泉等特殊地下水资源。</w:t>
            </w:r>
          </w:p>
          <w:p>
            <w:pPr>
              <w:adjustRightInd w:val="0"/>
              <w:snapToGrid w:val="0"/>
              <w:spacing w:before="120" w:beforeLines="50" w:line="360" w:lineRule="auto"/>
              <w:rPr>
                <w:rFonts w:hint="default" w:ascii="Times New Roman" w:hAnsi="Times New Roman" w:cs="Times New Roman"/>
                <w:b/>
                <w:color w:val="auto"/>
                <w:spacing w:val="4"/>
                <w:szCs w:val="21"/>
              </w:rPr>
            </w:pPr>
            <w:r>
              <w:rPr>
                <w:rFonts w:hint="default" w:ascii="Times New Roman" w:hAnsi="Times New Roman" w:cs="Times New Roman"/>
                <w:b/>
                <w:color w:val="auto"/>
                <w:spacing w:val="4"/>
                <w:szCs w:val="21"/>
              </w:rPr>
              <w:t>5、生态环境</w:t>
            </w:r>
          </w:p>
          <w:p>
            <w:pPr>
              <w:adjustRightInd w:val="0"/>
              <w:snapToGrid w:val="0"/>
              <w:spacing w:line="360" w:lineRule="auto"/>
              <w:ind w:firstLine="436" w:firstLineChars="200"/>
              <w:jc w:val="left"/>
              <w:rPr>
                <w:rFonts w:hint="eastAsia"/>
                <w:color w:val="auto"/>
                <w:szCs w:val="21"/>
              </w:rPr>
            </w:pPr>
            <w:r>
              <w:rPr>
                <w:rFonts w:hint="default" w:ascii="Times New Roman" w:hAnsi="Times New Roman" w:cs="Times New Roman"/>
                <w:color w:val="auto"/>
                <w:spacing w:val="4"/>
                <w:szCs w:val="21"/>
              </w:rPr>
              <w:t>本项目位于</w:t>
            </w:r>
            <w:r>
              <w:rPr>
                <w:rFonts w:hint="eastAsia" w:ascii="Times New Roman" w:cs="Times New Roman"/>
                <w:color w:val="auto"/>
                <w:spacing w:val="-3"/>
                <w:szCs w:val="21"/>
                <w:lang w:val="en-US"/>
              </w:rPr>
              <w:t>淮南安成经济开发区</w:t>
            </w:r>
            <w:r>
              <w:rPr>
                <w:rFonts w:hint="default" w:ascii="Times New Roman" w:hAnsi="Times New Roman" w:cs="Times New Roman"/>
                <w:color w:val="auto"/>
                <w:spacing w:val="4"/>
                <w:szCs w:val="21"/>
              </w:rPr>
              <w:t>，为工业用地，不涉及生态环境保护目标。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2" w:type="dxa"/>
            <w:noWrap w:val="0"/>
            <w:tcMar>
              <w:left w:w="28" w:type="dxa"/>
              <w:right w:w="28" w:type="dxa"/>
            </w:tcMar>
            <w:vAlign w:val="center"/>
          </w:tcPr>
          <w:p>
            <w:pPr>
              <w:adjustRightInd w:val="0"/>
              <w:snapToGrid w:val="0"/>
              <w:jc w:val="center"/>
              <w:rPr>
                <w:color w:val="auto"/>
                <w:kern w:val="0"/>
                <w:szCs w:val="21"/>
              </w:rPr>
            </w:pPr>
            <w:r>
              <w:rPr>
                <w:color w:val="auto"/>
                <w:kern w:val="0"/>
                <w:szCs w:val="21"/>
              </w:rPr>
              <w:t>污染</w:t>
            </w:r>
          </w:p>
          <w:p>
            <w:pPr>
              <w:adjustRightInd w:val="0"/>
              <w:snapToGrid w:val="0"/>
              <w:jc w:val="center"/>
              <w:rPr>
                <w:color w:val="auto"/>
                <w:kern w:val="0"/>
                <w:szCs w:val="21"/>
              </w:rPr>
            </w:pPr>
            <w:r>
              <w:rPr>
                <w:color w:val="auto"/>
                <w:kern w:val="0"/>
                <w:szCs w:val="21"/>
              </w:rPr>
              <w:t>物排</w:t>
            </w:r>
          </w:p>
          <w:p>
            <w:pPr>
              <w:adjustRightInd w:val="0"/>
              <w:snapToGrid w:val="0"/>
              <w:jc w:val="center"/>
              <w:rPr>
                <w:color w:val="auto"/>
                <w:kern w:val="0"/>
                <w:szCs w:val="21"/>
              </w:rPr>
            </w:pPr>
            <w:r>
              <w:rPr>
                <w:color w:val="auto"/>
                <w:kern w:val="0"/>
                <w:szCs w:val="21"/>
              </w:rPr>
              <w:t>放控</w:t>
            </w:r>
          </w:p>
          <w:p>
            <w:pPr>
              <w:adjustRightInd w:val="0"/>
              <w:snapToGrid w:val="0"/>
              <w:jc w:val="center"/>
              <w:rPr>
                <w:color w:val="auto"/>
                <w:kern w:val="0"/>
                <w:szCs w:val="21"/>
              </w:rPr>
            </w:pPr>
            <w:r>
              <w:rPr>
                <w:color w:val="auto"/>
                <w:kern w:val="0"/>
                <w:szCs w:val="21"/>
              </w:rPr>
              <w:t>制标</w:t>
            </w:r>
          </w:p>
          <w:p>
            <w:pPr>
              <w:adjustRightInd w:val="0"/>
              <w:snapToGrid w:val="0"/>
              <w:jc w:val="center"/>
              <w:rPr>
                <w:color w:val="FF0000"/>
                <w:kern w:val="0"/>
                <w:szCs w:val="21"/>
              </w:rPr>
            </w:pPr>
            <w:r>
              <w:rPr>
                <w:color w:val="auto"/>
                <w:kern w:val="0"/>
                <w:szCs w:val="21"/>
              </w:rPr>
              <w:t>准</w:t>
            </w:r>
          </w:p>
        </w:tc>
        <w:tc>
          <w:tcPr>
            <w:tcW w:w="7771" w:type="dxa"/>
            <w:noWrap w:val="0"/>
            <w:vAlign w:val="center"/>
          </w:tcPr>
          <w:p>
            <w:pPr>
              <w:spacing w:line="360" w:lineRule="auto"/>
              <w:ind w:firstLine="420" w:firstLineChars="200"/>
              <w:rPr>
                <w:color w:val="auto"/>
                <w:szCs w:val="21"/>
              </w:rPr>
            </w:pPr>
            <w:r>
              <w:rPr>
                <w:color w:val="auto"/>
                <w:szCs w:val="21"/>
              </w:rPr>
              <w:t>1、废气</w:t>
            </w:r>
            <w:r>
              <w:rPr>
                <w:rFonts w:hint="eastAsia"/>
                <w:color w:val="auto"/>
                <w:szCs w:val="21"/>
              </w:rPr>
              <w:t>排放标准</w:t>
            </w:r>
          </w:p>
          <w:p>
            <w:pPr>
              <w:widowControl/>
              <w:adjustRightInd w:val="0"/>
              <w:snapToGrid w:val="0"/>
              <w:spacing w:line="360" w:lineRule="auto"/>
              <w:ind w:firstLine="420" w:firstLineChars="200"/>
              <w:rPr>
                <w:color w:val="auto"/>
                <w:szCs w:val="21"/>
              </w:rPr>
            </w:pPr>
            <w:r>
              <w:rPr>
                <w:color w:val="auto"/>
                <w:szCs w:val="21"/>
              </w:rPr>
              <w:t>有组织废气</w:t>
            </w:r>
            <w:r>
              <w:rPr>
                <w:rFonts w:hint="eastAsia"/>
                <w:color w:val="auto"/>
                <w:szCs w:val="21"/>
              </w:rPr>
              <w:t>：</w:t>
            </w:r>
            <w:r>
              <w:rPr>
                <w:rFonts w:hint="eastAsia"/>
                <w:color w:val="auto"/>
                <w:szCs w:val="21"/>
                <w:lang w:val="en-US" w:eastAsia="zh-CN"/>
              </w:rPr>
              <w:t>热熔焊接</w:t>
            </w:r>
            <w:r>
              <w:rPr>
                <w:rFonts w:hint="eastAsia"/>
                <w:color w:val="auto"/>
                <w:szCs w:val="21"/>
              </w:rPr>
              <w:t>生产工序产生</w:t>
            </w:r>
            <w:r>
              <w:rPr>
                <w:color w:val="auto"/>
                <w:szCs w:val="21"/>
              </w:rPr>
              <w:t>非甲烷总烃</w:t>
            </w:r>
            <w:r>
              <w:rPr>
                <w:rFonts w:hint="eastAsia"/>
                <w:color w:val="auto"/>
                <w:szCs w:val="21"/>
                <w:lang w:val="en-US" w:eastAsia="zh-CN"/>
              </w:rPr>
              <w:t>执行</w:t>
            </w:r>
            <w:r>
              <w:rPr>
                <w:color w:val="auto"/>
                <w:szCs w:val="21"/>
              </w:rPr>
              <w:t>《</w:t>
            </w:r>
            <w:r>
              <w:rPr>
                <w:rFonts w:hint="eastAsia"/>
                <w:color w:val="auto"/>
                <w:szCs w:val="21"/>
                <w:lang w:val="en-US" w:eastAsia="zh-CN"/>
              </w:rPr>
              <w:t>合成树脂工业污染物排放标准</w:t>
            </w:r>
            <w:r>
              <w:rPr>
                <w:color w:val="auto"/>
                <w:szCs w:val="21"/>
              </w:rPr>
              <w:t>》（</w:t>
            </w:r>
            <w:r>
              <w:rPr>
                <w:rFonts w:hint="eastAsia"/>
                <w:color w:val="auto"/>
                <w:szCs w:val="21"/>
              </w:rPr>
              <w:t>GB31572-2015</w:t>
            </w:r>
            <w:r>
              <w:rPr>
                <w:color w:val="auto"/>
                <w:szCs w:val="21"/>
              </w:rPr>
              <w:t>）</w:t>
            </w:r>
            <w:r>
              <w:rPr>
                <w:rFonts w:hint="eastAsia"/>
                <w:color w:val="auto"/>
                <w:szCs w:val="21"/>
              </w:rPr>
              <w:t>表9企业边界大气污染物浓度限值要求</w:t>
            </w:r>
            <w:r>
              <w:rPr>
                <w:rFonts w:hint="eastAsia"/>
                <w:color w:val="auto"/>
                <w:szCs w:val="21"/>
                <w:lang w:eastAsia="zh-CN"/>
              </w:rPr>
              <w:t>，</w:t>
            </w:r>
            <w:r>
              <w:rPr>
                <w:color w:val="auto"/>
                <w:szCs w:val="21"/>
              </w:rPr>
              <w:t>颗粒物执行《</w:t>
            </w:r>
            <w:r>
              <w:rPr>
                <w:rFonts w:hint="eastAsia"/>
                <w:color w:val="auto"/>
                <w:szCs w:val="21"/>
              </w:rPr>
              <w:t>大气污染物综合排放标准</w:t>
            </w:r>
            <w:r>
              <w:rPr>
                <w:color w:val="auto"/>
                <w:szCs w:val="21"/>
              </w:rPr>
              <w:t>》（GB</w:t>
            </w:r>
            <w:r>
              <w:rPr>
                <w:rFonts w:hint="eastAsia"/>
                <w:color w:val="auto"/>
                <w:szCs w:val="21"/>
              </w:rPr>
              <w:t>16297-1996</w:t>
            </w:r>
            <w:r>
              <w:rPr>
                <w:color w:val="auto"/>
                <w:szCs w:val="21"/>
              </w:rPr>
              <w:t>）表</w:t>
            </w:r>
            <w:r>
              <w:rPr>
                <w:rFonts w:hint="eastAsia"/>
                <w:color w:val="auto"/>
                <w:szCs w:val="21"/>
              </w:rPr>
              <w:t>2</w:t>
            </w:r>
            <w:r>
              <w:rPr>
                <w:color w:val="auto"/>
                <w:szCs w:val="21"/>
              </w:rPr>
              <w:t>中新</w:t>
            </w:r>
            <w:r>
              <w:rPr>
                <w:rFonts w:hint="eastAsia"/>
                <w:color w:val="auto"/>
                <w:szCs w:val="21"/>
              </w:rPr>
              <w:t>污染源大气污染物排放限值</w:t>
            </w:r>
            <w:r>
              <w:rPr>
                <w:color w:val="auto"/>
                <w:szCs w:val="21"/>
              </w:rPr>
              <w:t>。厂区内非甲烷总烃无组织排放执行《挥发性有机物无组织排放控制标准》</w:t>
            </w:r>
            <w:r>
              <w:rPr>
                <w:rFonts w:hint="eastAsia"/>
                <w:color w:val="auto"/>
                <w:szCs w:val="21"/>
                <w:lang w:eastAsia="zh-CN"/>
              </w:rPr>
              <w:t>（</w:t>
            </w:r>
            <w:r>
              <w:rPr>
                <w:color w:val="auto"/>
                <w:szCs w:val="21"/>
              </w:rPr>
              <w:t>GB37822-2019</w:t>
            </w:r>
            <w:r>
              <w:rPr>
                <w:rFonts w:hint="eastAsia"/>
                <w:color w:val="auto"/>
                <w:szCs w:val="21"/>
                <w:lang w:eastAsia="zh-CN"/>
              </w:rPr>
              <w:t>）</w:t>
            </w:r>
            <w:r>
              <w:rPr>
                <w:color w:val="auto"/>
                <w:szCs w:val="21"/>
              </w:rPr>
              <w:t>中</w:t>
            </w:r>
            <w:r>
              <w:rPr>
                <w:rFonts w:hint="eastAsia"/>
                <w:color w:val="auto"/>
                <w:szCs w:val="21"/>
              </w:rPr>
              <w:t>表A.1</w:t>
            </w:r>
            <w:r>
              <w:rPr>
                <w:color w:val="auto"/>
                <w:szCs w:val="21"/>
              </w:rPr>
              <w:t>标准值）</w:t>
            </w:r>
            <w:r>
              <w:rPr>
                <w:rFonts w:hint="eastAsia"/>
                <w:color w:val="auto"/>
                <w:szCs w:val="21"/>
                <w:lang w:eastAsia="zh-CN"/>
              </w:rPr>
              <w:t>，</w:t>
            </w:r>
            <w:r>
              <w:rPr>
                <w:rFonts w:hint="eastAsia"/>
                <w:lang w:val="en-US" w:eastAsia="zh-CN"/>
              </w:rPr>
              <w:t>食堂油烟废气执行《饮食业油烟排放标准（试行）》（GB18483-2001）中小型规模油烟排放标准。</w:t>
            </w:r>
            <w:r>
              <w:rPr>
                <w:color w:val="auto"/>
                <w:szCs w:val="21"/>
              </w:rPr>
              <w:t>具体见下表。</w:t>
            </w:r>
          </w:p>
          <w:p>
            <w:pPr>
              <w:autoSpaceDE w:val="0"/>
              <w:autoSpaceDN w:val="0"/>
              <w:adjustRightInd w:val="0"/>
              <w:snapToGrid w:val="0"/>
              <w:spacing w:line="240" w:lineRule="atLeast"/>
              <w:ind w:firstLine="482"/>
              <w:jc w:val="center"/>
              <w:rPr>
                <w:rFonts w:hint="eastAsia"/>
                <w:b/>
                <w:bCs/>
                <w:color w:val="auto"/>
                <w:szCs w:val="21"/>
                <w:lang w:val="zh-CN"/>
              </w:rPr>
            </w:pPr>
            <w:r>
              <w:rPr>
                <w:b/>
                <w:bCs/>
                <w:color w:val="auto"/>
                <w:szCs w:val="21"/>
                <w:lang w:val="zh-CN"/>
              </w:rPr>
              <w:t>表</w:t>
            </w:r>
            <w:r>
              <w:rPr>
                <w:rFonts w:hint="eastAsia"/>
                <w:b/>
                <w:bCs/>
                <w:color w:val="auto"/>
                <w:szCs w:val="21"/>
                <w:lang w:val="zh-CN"/>
              </w:rPr>
              <w:t>3-5</w:t>
            </w:r>
            <w:r>
              <w:rPr>
                <w:b/>
                <w:bCs/>
                <w:color w:val="auto"/>
                <w:szCs w:val="21"/>
                <w:lang w:val="zh-CN"/>
              </w:rPr>
              <w:t xml:space="preserve"> </w:t>
            </w:r>
            <w:r>
              <w:rPr>
                <w:rFonts w:hint="eastAsia"/>
                <w:b/>
                <w:bCs/>
                <w:color w:val="auto"/>
                <w:szCs w:val="21"/>
                <w:lang w:val="en-US" w:eastAsia="zh-CN"/>
              </w:rPr>
              <w:t xml:space="preserve"> 厂界</w:t>
            </w:r>
            <w:r>
              <w:rPr>
                <w:b/>
                <w:bCs/>
                <w:color w:val="auto"/>
                <w:szCs w:val="21"/>
                <w:lang w:val="zh-CN"/>
              </w:rPr>
              <w:t>污染物排放标准</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2"/>
              <w:gridCol w:w="2879"/>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466" w:type="pct"/>
                  <w:noWrap w:val="0"/>
                  <w:vAlign w:val="center"/>
                </w:tcPr>
                <w:p>
                  <w:pPr>
                    <w:snapToGrid w:val="0"/>
                    <w:jc w:val="center"/>
                    <w:rPr>
                      <w:b/>
                      <w:color w:val="auto"/>
                      <w:szCs w:val="21"/>
                    </w:rPr>
                  </w:pPr>
                  <w:r>
                    <w:rPr>
                      <w:b/>
                      <w:color w:val="auto"/>
                      <w:szCs w:val="21"/>
                    </w:rPr>
                    <w:t>污染物</w:t>
                  </w:r>
                  <w:r>
                    <w:rPr>
                      <w:rFonts w:hint="eastAsia"/>
                      <w:b/>
                      <w:color w:val="auto"/>
                      <w:szCs w:val="21"/>
                    </w:rPr>
                    <w:t>名称</w:t>
                  </w:r>
                </w:p>
              </w:tc>
              <w:tc>
                <w:tcPr>
                  <w:tcW w:w="3533" w:type="pct"/>
                  <w:gridSpan w:val="2"/>
                  <w:noWrap w:val="0"/>
                  <w:vAlign w:val="center"/>
                </w:tcPr>
                <w:p>
                  <w:pPr>
                    <w:snapToGrid w:val="0"/>
                    <w:jc w:val="center"/>
                    <w:rPr>
                      <w:b/>
                      <w:color w:val="auto"/>
                      <w:szCs w:val="21"/>
                    </w:rPr>
                  </w:pPr>
                  <w:r>
                    <w:rPr>
                      <w:b/>
                      <w:color w:val="auto"/>
                      <w:szCs w:val="21"/>
                    </w:rPr>
                    <w:t>无组织排放监控限值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466" w:type="pct"/>
                  <w:noWrap w:val="0"/>
                  <w:vAlign w:val="center"/>
                </w:tcPr>
                <w:p>
                  <w:pPr>
                    <w:adjustRightInd w:val="0"/>
                    <w:snapToGrid w:val="0"/>
                    <w:jc w:val="center"/>
                    <w:textAlignment w:val="baseline"/>
                    <w:rPr>
                      <w:rFonts w:hint="eastAsia"/>
                      <w:color w:val="auto"/>
                      <w:sz w:val="18"/>
                      <w:szCs w:val="18"/>
                    </w:rPr>
                  </w:pPr>
                  <w:r>
                    <w:rPr>
                      <w:rFonts w:hint="eastAsia"/>
                      <w:color w:val="auto"/>
                      <w:sz w:val="18"/>
                      <w:szCs w:val="18"/>
                    </w:rPr>
                    <w:t>非甲烷总烃</w:t>
                  </w:r>
                </w:p>
              </w:tc>
              <w:tc>
                <w:tcPr>
                  <w:tcW w:w="1908" w:type="pct"/>
                  <w:noWrap w:val="0"/>
                  <w:vAlign w:val="center"/>
                </w:tcPr>
                <w:p>
                  <w:pPr>
                    <w:adjustRightInd w:val="0"/>
                    <w:snapToGrid w:val="0"/>
                    <w:jc w:val="center"/>
                    <w:textAlignment w:val="baseline"/>
                    <w:rPr>
                      <w:rFonts w:hint="eastAsia"/>
                      <w:color w:val="auto"/>
                      <w:sz w:val="18"/>
                      <w:szCs w:val="18"/>
                    </w:rPr>
                  </w:pPr>
                  <w:r>
                    <w:rPr>
                      <w:rFonts w:hint="eastAsia"/>
                      <w:color w:val="auto"/>
                      <w:sz w:val="18"/>
                      <w:szCs w:val="18"/>
                    </w:rPr>
                    <w:t>周界外浓度最高点</w:t>
                  </w:r>
                </w:p>
              </w:tc>
              <w:tc>
                <w:tcPr>
                  <w:tcW w:w="1624" w:type="pct"/>
                  <w:noWrap w:val="0"/>
                  <w:vAlign w:val="center"/>
                </w:tcPr>
                <w:p>
                  <w:pPr>
                    <w:adjustRightInd w:val="0"/>
                    <w:snapToGrid w:val="0"/>
                    <w:jc w:val="center"/>
                    <w:textAlignment w:val="baseline"/>
                    <w:rPr>
                      <w:rFonts w:hint="eastAsia"/>
                      <w:color w:val="auto"/>
                      <w:sz w:val="18"/>
                      <w:szCs w:val="18"/>
                    </w:rPr>
                  </w:pPr>
                  <w:r>
                    <w:rPr>
                      <w:rFonts w:hint="eastAsia"/>
                      <w:color w:val="auto"/>
                      <w:sz w:val="18"/>
                      <w:szCs w:val="18"/>
                    </w:rPr>
                    <w:t>4.0</w:t>
                  </w:r>
                  <w:r>
                    <w:rPr>
                      <w:color w:val="auto"/>
                      <w:sz w:val="18"/>
                      <w:szCs w:val="18"/>
                    </w:rPr>
                    <w:t>mg/m</w:t>
                  </w:r>
                  <w:r>
                    <w:rPr>
                      <w:color w:val="auto"/>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466" w:type="pct"/>
                  <w:noWrap w:val="0"/>
                  <w:vAlign w:val="center"/>
                </w:tcPr>
                <w:p>
                  <w:pPr>
                    <w:adjustRightInd w:val="0"/>
                    <w:snapToGrid w:val="0"/>
                    <w:jc w:val="center"/>
                    <w:textAlignment w:val="baseline"/>
                    <w:rPr>
                      <w:rFonts w:hint="eastAsia"/>
                      <w:color w:val="auto"/>
                      <w:sz w:val="18"/>
                      <w:szCs w:val="18"/>
                    </w:rPr>
                  </w:pPr>
                  <w:r>
                    <w:rPr>
                      <w:rFonts w:hint="eastAsia"/>
                      <w:color w:val="auto"/>
                      <w:sz w:val="18"/>
                      <w:szCs w:val="18"/>
                    </w:rPr>
                    <w:t>颗粒物</w:t>
                  </w:r>
                </w:p>
              </w:tc>
              <w:tc>
                <w:tcPr>
                  <w:tcW w:w="1908" w:type="pct"/>
                  <w:noWrap w:val="0"/>
                  <w:vAlign w:val="center"/>
                </w:tcPr>
                <w:p>
                  <w:pPr>
                    <w:adjustRightInd w:val="0"/>
                    <w:snapToGrid w:val="0"/>
                    <w:jc w:val="center"/>
                    <w:textAlignment w:val="baseline"/>
                    <w:rPr>
                      <w:rFonts w:hint="eastAsia"/>
                      <w:color w:val="auto"/>
                      <w:sz w:val="18"/>
                      <w:szCs w:val="18"/>
                    </w:rPr>
                  </w:pPr>
                  <w:r>
                    <w:rPr>
                      <w:rFonts w:hint="eastAsia"/>
                      <w:color w:val="auto"/>
                      <w:sz w:val="18"/>
                      <w:szCs w:val="18"/>
                    </w:rPr>
                    <w:t>周界外浓度最高点</w:t>
                  </w:r>
                </w:p>
              </w:tc>
              <w:tc>
                <w:tcPr>
                  <w:tcW w:w="1624" w:type="pct"/>
                  <w:noWrap w:val="0"/>
                  <w:vAlign w:val="center"/>
                </w:tcPr>
                <w:p>
                  <w:pPr>
                    <w:adjustRightInd w:val="0"/>
                    <w:snapToGrid w:val="0"/>
                    <w:jc w:val="center"/>
                    <w:textAlignment w:val="baseline"/>
                    <w:rPr>
                      <w:rFonts w:hint="eastAsia"/>
                      <w:color w:val="auto"/>
                      <w:sz w:val="18"/>
                      <w:szCs w:val="18"/>
                    </w:rPr>
                  </w:pPr>
                  <w:r>
                    <w:rPr>
                      <w:rFonts w:hint="eastAsia"/>
                      <w:color w:val="auto"/>
                      <w:sz w:val="18"/>
                      <w:szCs w:val="18"/>
                    </w:rPr>
                    <w:t>1.0</w:t>
                  </w:r>
                  <w:r>
                    <w:rPr>
                      <w:color w:val="auto"/>
                      <w:sz w:val="18"/>
                      <w:szCs w:val="18"/>
                    </w:rPr>
                    <w:t>mg/m</w:t>
                  </w:r>
                  <w:r>
                    <w:rPr>
                      <w:color w:val="auto"/>
                      <w:sz w:val="18"/>
                      <w:szCs w:val="18"/>
                      <w:vertAlign w:val="superscript"/>
                    </w:rPr>
                    <w:t>3</w:t>
                  </w:r>
                </w:p>
              </w:tc>
            </w:tr>
          </w:tbl>
          <w:p>
            <w:pPr>
              <w:keepNext w:val="0"/>
              <w:keepLines w:val="0"/>
              <w:pageBreakBefore w:val="0"/>
              <w:widowControl w:val="0"/>
              <w:kinsoku/>
              <w:wordWrap/>
              <w:overflowPunct/>
              <w:topLinePunct w:val="0"/>
              <w:autoSpaceDE w:val="0"/>
              <w:autoSpaceDN w:val="0"/>
              <w:bidi w:val="0"/>
              <w:adjustRightInd w:val="0"/>
              <w:snapToGrid w:val="0"/>
              <w:spacing w:before="63" w:beforeLines="20" w:line="360" w:lineRule="auto"/>
              <w:ind w:firstLine="482"/>
              <w:jc w:val="center"/>
              <w:textAlignment w:val="auto"/>
              <w:rPr>
                <w:b/>
                <w:bCs/>
                <w:color w:val="auto"/>
                <w:szCs w:val="21"/>
                <w:lang w:val="zh-CN"/>
              </w:rPr>
            </w:pPr>
            <w:r>
              <w:rPr>
                <w:b/>
                <w:bCs/>
                <w:color w:val="auto"/>
                <w:szCs w:val="21"/>
                <w:lang w:val="zh-CN"/>
              </w:rPr>
              <w:t>表3-</w:t>
            </w:r>
            <w:r>
              <w:rPr>
                <w:rFonts w:hint="eastAsia"/>
                <w:b/>
                <w:bCs/>
                <w:color w:val="auto"/>
                <w:szCs w:val="21"/>
                <w:lang w:val="zh-CN"/>
              </w:rPr>
              <w:t>6</w:t>
            </w:r>
            <w:r>
              <w:rPr>
                <w:b/>
                <w:bCs/>
                <w:color w:val="auto"/>
                <w:szCs w:val="21"/>
                <w:lang w:val="zh-CN"/>
              </w:rPr>
              <w:t xml:space="preserve"> </w:t>
            </w:r>
            <w:r>
              <w:rPr>
                <w:rFonts w:hint="eastAsia"/>
                <w:b/>
                <w:bCs/>
                <w:color w:val="auto"/>
                <w:szCs w:val="21"/>
                <w:lang w:val="en-US" w:eastAsia="zh-CN"/>
              </w:rPr>
              <w:t xml:space="preserve"> 厂区内</w:t>
            </w:r>
            <w:r>
              <w:rPr>
                <w:b/>
                <w:bCs/>
                <w:color w:val="auto"/>
                <w:szCs w:val="21"/>
                <w:lang w:val="zh-CN"/>
              </w:rPr>
              <w:t>无组织排放控制标准</w:t>
            </w:r>
            <w:r>
              <w:rPr>
                <w:rFonts w:hint="eastAsia"/>
                <w:b/>
                <w:bCs/>
                <w:color w:val="auto"/>
                <w:szCs w:val="21"/>
                <w:lang w:val="zh-CN"/>
              </w:rPr>
              <w:t>（</w:t>
            </w:r>
            <w:r>
              <w:rPr>
                <w:b/>
                <w:bCs/>
                <w:color w:val="auto"/>
                <w:szCs w:val="21"/>
                <w:lang w:val="zh-CN"/>
              </w:rPr>
              <w:t>单位：mg/m</w:t>
            </w:r>
            <w:r>
              <w:rPr>
                <w:b/>
                <w:bCs/>
                <w:color w:val="auto"/>
                <w:szCs w:val="21"/>
                <w:vertAlign w:val="superscript"/>
                <w:lang w:val="zh-CN"/>
              </w:rPr>
              <w:t>3</w:t>
            </w:r>
            <w:r>
              <w:rPr>
                <w:rFonts w:hint="eastAsia"/>
                <w:b/>
                <w:bCs/>
                <w:color w:val="auto"/>
                <w:szCs w:val="21"/>
                <w:lang w:val="zh-CN"/>
              </w:rPr>
              <w:t>）</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022"/>
              <w:gridCol w:w="1317"/>
              <w:gridCol w:w="2417"/>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0" w:type="pct"/>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b/>
                      <w:color w:val="auto"/>
                      <w:sz w:val="18"/>
                      <w:szCs w:val="18"/>
                    </w:rPr>
                  </w:pPr>
                  <w:r>
                    <w:rPr>
                      <w:rFonts w:cs="Times New Roman"/>
                      <w:b/>
                      <w:color w:val="auto"/>
                      <w:sz w:val="18"/>
                      <w:szCs w:val="18"/>
                    </w:rPr>
                    <w:t>污染物项目</w:t>
                  </w:r>
                </w:p>
              </w:tc>
              <w:tc>
                <w:tcPr>
                  <w:tcW w:w="677" w:type="pct"/>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b/>
                      <w:color w:val="auto"/>
                      <w:sz w:val="18"/>
                      <w:szCs w:val="18"/>
                    </w:rPr>
                  </w:pPr>
                  <w:r>
                    <w:rPr>
                      <w:rFonts w:cs="Times New Roman"/>
                      <w:b/>
                      <w:color w:val="auto"/>
                      <w:sz w:val="18"/>
                      <w:szCs w:val="18"/>
                    </w:rPr>
                    <w:t>排放限值</w:t>
                  </w:r>
                </w:p>
              </w:tc>
              <w:tc>
                <w:tcPr>
                  <w:tcW w:w="873" w:type="pct"/>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b/>
                      <w:color w:val="auto"/>
                      <w:sz w:val="18"/>
                      <w:szCs w:val="18"/>
                    </w:rPr>
                  </w:pPr>
                  <w:r>
                    <w:rPr>
                      <w:rFonts w:cs="Times New Roman"/>
                      <w:b/>
                      <w:color w:val="auto"/>
                      <w:sz w:val="18"/>
                      <w:szCs w:val="18"/>
                    </w:rPr>
                    <w:t>特别排放限值</w:t>
                  </w:r>
                </w:p>
              </w:tc>
              <w:tc>
                <w:tcPr>
                  <w:tcW w:w="1602" w:type="pct"/>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b/>
                      <w:color w:val="auto"/>
                      <w:sz w:val="18"/>
                      <w:szCs w:val="18"/>
                    </w:rPr>
                  </w:pPr>
                  <w:r>
                    <w:rPr>
                      <w:rFonts w:cs="Times New Roman"/>
                      <w:b/>
                      <w:color w:val="auto"/>
                      <w:sz w:val="18"/>
                      <w:szCs w:val="18"/>
                    </w:rPr>
                    <w:t>限值含义</w:t>
                  </w:r>
                </w:p>
              </w:tc>
              <w:tc>
                <w:tcPr>
                  <w:tcW w:w="1068" w:type="pct"/>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b/>
                      <w:color w:val="auto"/>
                      <w:sz w:val="18"/>
                      <w:szCs w:val="18"/>
                    </w:rPr>
                  </w:pPr>
                  <w:r>
                    <w:rPr>
                      <w:rFonts w:cs="Times New Roman"/>
                      <w:b/>
                      <w:color w:val="auto"/>
                      <w:sz w:val="18"/>
                      <w:szCs w:val="18"/>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0" w:type="pct"/>
                  <w:vMerge w:val="restart"/>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color w:val="auto"/>
                      <w:sz w:val="18"/>
                      <w:szCs w:val="18"/>
                    </w:rPr>
                  </w:pPr>
                  <w:r>
                    <w:rPr>
                      <w:rFonts w:hint="eastAsia"/>
                      <w:color w:val="auto"/>
                      <w:sz w:val="18"/>
                      <w:szCs w:val="18"/>
                    </w:rPr>
                    <w:t>非甲烷总烃</w:t>
                  </w:r>
                </w:p>
              </w:tc>
              <w:tc>
                <w:tcPr>
                  <w:tcW w:w="677" w:type="pct"/>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color w:val="auto"/>
                      <w:sz w:val="18"/>
                      <w:szCs w:val="18"/>
                    </w:rPr>
                  </w:pPr>
                  <w:r>
                    <w:rPr>
                      <w:rFonts w:cs="Times New Roman"/>
                      <w:color w:val="auto"/>
                      <w:sz w:val="18"/>
                      <w:szCs w:val="18"/>
                    </w:rPr>
                    <w:t>10</w:t>
                  </w:r>
                </w:p>
              </w:tc>
              <w:tc>
                <w:tcPr>
                  <w:tcW w:w="873" w:type="pct"/>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color w:val="auto"/>
                      <w:sz w:val="18"/>
                      <w:szCs w:val="18"/>
                    </w:rPr>
                  </w:pPr>
                  <w:r>
                    <w:rPr>
                      <w:rFonts w:cs="Times New Roman"/>
                      <w:color w:val="auto"/>
                      <w:sz w:val="18"/>
                      <w:szCs w:val="18"/>
                    </w:rPr>
                    <w:t>6</w:t>
                  </w:r>
                </w:p>
              </w:tc>
              <w:tc>
                <w:tcPr>
                  <w:tcW w:w="1602" w:type="pct"/>
                  <w:noWrap w:val="0"/>
                  <w:vAlign w:val="center"/>
                </w:tcPr>
                <w:p>
                  <w:pPr>
                    <w:pStyle w:val="169"/>
                    <w:bidi w:val="0"/>
                  </w:pPr>
                  <w:r>
                    <w:rPr>
                      <w:rFonts w:cs="Times New Roman"/>
                      <w:color w:val="auto"/>
                      <w:sz w:val="18"/>
                      <w:szCs w:val="18"/>
                    </w:rPr>
                    <w:t>监控点处1h平均浓度值</w:t>
                  </w:r>
                </w:p>
              </w:tc>
              <w:tc>
                <w:tcPr>
                  <w:tcW w:w="1068" w:type="pct"/>
                  <w:vMerge w:val="restart"/>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color w:val="auto"/>
                      <w:sz w:val="18"/>
                      <w:szCs w:val="18"/>
                    </w:rPr>
                  </w:pPr>
                  <w:r>
                    <w:rPr>
                      <w:rFonts w:cs="Times New Roman"/>
                      <w:color w:val="auto"/>
                      <w:sz w:val="18"/>
                      <w:szCs w:val="18"/>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0" w:type="pct"/>
                  <w:vMerge w:val="continue"/>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color w:val="auto"/>
                      <w:sz w:val="18"/>
                      <w:szCs w:val="18"/>
                    </w:rPr>
                  </w:pPr>
                </w:p>
              </w:tc>
              <w:tc>
                <w:tcPr>
                  <w:tcW w:w="677" w:type="pct"/>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color w:val="auto"/>
                      <w:sz w:val="18"/>
                      <w:szCs w:val="18"/>
                    </w:rPr>
                  </w:pPr>
                  <w:r>
                    <w:rPr>
                      <w:rFonts w:cs="Times New Roman"/>
                      <w:color w:val="auto"/>
                      <w:sz w:val="18"/>
                      <w:szCs w:val="18"/>
                    </w:rPr>
                    <w:t>30</w:t>
                  </w:r>
                </w:p>
              </w:tc>
              <w:tc>
                <w:tcPr>
                  <w:tcW w:w="873" w:type="pct"/>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color w:val="auto"/>
                      <w:sz w:val="18"/>
                      <w:szCs w:val="18"/>
                    </w:rPr>
                  </w:pPr>
                  <w:r>
                    <w:rPr>
                      <w:rFonts w:cs="Times New Roman"/>
                      <w:color w:val="auto"/>
                      <w:sz w:val="18"/>
                      <w:szCs w:val="18"/>
                    </w:rPr>
                    <w:t>20</w:t>
                  </w:r>
                </w:p>
              </w:tc>
              <w:tc>
                <w:tcPr>
                  <w:tcW w:w="1602" w:type="pct"/>
                  <w:noWrap w:val="0"/>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cs="Times New Roman"/>
                      <w:color w:val="auto"/>
                      <w:sz w:val="18"/>
                      <w:szCs w:val="18"/>
                    </w:rPr>
                  </w:pPr>
                  <w:r>
                    <w:rPr>
                      <w:rFonts w:cs="Times New Roman"/>
                      <w:color w:val="auto"/>
                      <w:sz w:val="18"/>
                      <w:szCs w:val="18"/>
                    </w:rPr>
                    <w:t>监控点处任意一次浓度值</w:t>
                  </w:r>
                </w:p>
              </w:tc>
              <w:tc>
                <w:tcPr>
                  <w:tcW w:w="106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b/>
                      <w:color w:val="auto"/>
                      <w:sz w:val="18"/>
                      <w:szCs w:val="18"/>
                    </w:rPr>
                  </w:pPr>
                </w:p>
              </w:tc>
            </w:tr>
          </w:tbl>
          <w:p>
            <w:pPr>
              <w:keepNext w:val="0"/>
              <w:keepLines w:val="0"/>
              <w:pageBreakBefore w:val="0"/>
              <w:widowControl w:val="0"/>
              <w:kinsoku/>
              <w:wordWrap/>
              <w:overflowPunct/>
              <w:topLinePunct w:val="0"/>
              <w:autoSpaceDE w:val="0"/>
              <w:autoSpaceDN w:val="0"/>
              <w:bidi w:val="0"/>
              <w:adjustRightInd w:val="0"/>
              <w:snapToGrid w:val="0"/>
              <w:spacing w:before="63" w:beforeLines="20" w:line="360" w:lineRule="auto"/>
              <w:ind w:firstLine="482"/>
              <w:jc w:val="center"/>
              <w:textAlignment w:val="auto"/>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表3-7  饮食业油烟排放标准</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759"/>
              <w:gridCol w:w="1602"/>
              <w:gridCol w:w="1598"/>
              <w:gridCol w:w="15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hAnsi="宋体" w:eastAsia="宋体"/>
                      <w:b w:val="0"/>
                      <w:color w:val="auto"/>
                      <w:sz w:val="21"/>
                      <w:szCs w:val="21"/>
                      <w:lang w:val="en-US" w:eastAsia="zh-CN"/>
                    </w:rPr>
                  </w:pPr>
                  <w:r>
                    <w:rPr>
                      <w:rFonts w:hint="eastAsia" w:hAnsi="宋体" w:eastAsia="宋体"/>
                      <w:b w:val="0"/>
                      <w:color w:val="auto"/>
                      <w:sz w:val="21"/>
                      <w:szCs w:val="21"/>
                      <w:lang w:val="en-US" w:eastAsia="zh-CN"/>
                    </w:rPr>
                    <w:t>规模</w:t>
                  </w:r>
                </w:p>
              </w:tc>
              <w:tc>
                <w:tcPr>
                  <w:tcW w:w="17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hAnsi="宋体" w:eastAsia="宋体"/>
                      <w:b w:val="0"/>
                      <w:color w:val="auto"/>
                      <w:sz w:val="21"/>
                      <w:szCs w:val="21"/>
                      <w:lang w:val="en-US" w:eastAsia="zh-CN"/>
                    </w:rPr>
                  </w:pPr>
                  <w:r>
                    <w:rPr>
                      <w:rFonts w:hint="eastAsia" w:hAnsi="宋体" w:eastAsia="宋体"/>
                      <w:b w:val="0"/>
                      <w:color w:val="auto"/>
                      <w:sz w:val="21"/>
                      <w:szCs w:val="21"/>
                      <w:lang w:val="en-US" w:eastAsia="zh-CN"/>
                    </w:rPr>
                    <w:t>小型</w:t>
                  </w:r>
                </w:p>
              </w:tc>
              <w:tc>
                <w:tcPr>
                  <w:tcW w:w="17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hAnsi="宋体" w:eastAsia="宋体"/>
                      <w:b w:val="0"/>
                      <w:color w:val="auto"/>
                      <w:sz w:val="21"/>
                      <w:szCs w:val="21"/>
                      <w:lang w:val="en-US" w:eastAsia="zh-CN"/>
                    </w:rPr>
                  </w:pPr>
                  <w:r>
                    <w:rPr>
                      <w:rFonts w:hint="eastAsia" w:hAnsi="宋体" w:eastAsia="宋体"/>
                      <w:b w:val="0"/>
                      <w:color w:val="auto"/>
                      <w:sz w:val="21"/>
                      <w:szCs w:val="21"/>
                      <w:lang w:val="en-US" w:eastAsia="zh-CN"/>
                    </w:rPr>
                    <w:t>中型</w:t>
                  </w:r>
                </w:p>
              </w:tc>
              <w:tc>
                <w:tcPr>
                  <w:tcW w:w="1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hAnsi="宋体" w:eastAsia="宋体"/>
                      <w:b w:val="0"/>
                      <w:color w:val="auto"/>
                      <w:sz w:val="21"/>
                      <w:szCs w:val="21"/>
                      <w:lang w:val="en-US" w:eastAsia="zh-CN"/>
                    </w:rPr>
                  </w:pPr>
                  <w:r>
                    <w:rPr>
                      <w:rFonts w:hint="eastAsia" w:hAnsi="宋体" w:eastAsia="宋体"/>
                      <w:b w:val="0"/>
                      <w:color w:val="auto"/>
                      <w:sz w:val="21"/>
                      <w:szCs w:val="21"/>
                      <w:lang w:val="en-US" w:eastAsia="zh-CN"/>
                    </w:rPr>
                    <w:t>大型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hAnsi="宋体" w:eastAsia="宋体"/>
                      <w:b w:val="0"/>
                      <w:color w:val="auto"/>
                      <w:sz w:val="18"/>
                      <w:szCs w:val="18"/>
                      <w:lang w:val="en-US" w:eastAsia="zh-CN"/>
                    </w:rPr>
                  </w:pPr>
                  <w:r>
                    <w:rPr>
                      <w:rFonts w:hint="eastAsia" w:hAnsi="宋体" w:eastAsia="宋体"/>
                      <w:b w:val="0"/>
                      <w:color w:val="auto"/>
                      <w:sz w:val="18"/>
                      <w:szCs w:val="18"/>
                      <w:lang w:val="en-US" w:eastAsia="zh-CN"/>
                    </w:rPr>
                    <w:t>基准灶头数</w:t>
                  </w:r>
                </w:p>
              </w:tc>
              <w:tc>
                <w:tcPr>
                  <w:tcW w:w="17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default" w:ascii="Times New Roman" w:hAnsi="Times New Roman" w:eastAsia="宋体" w:cs="Times New Roman"/>
                      <w:b w:val="0"/>
                      <w:color w:val="auto"/>
                      <w:sz w:val="18"/>
                      <w:szCs w:val="18"/>
                      <w:lang w:val="en-US" w:eastAsia="zh-CN"/>
                    </w:rPr>
                    <w:t>≥</w:t>
                  </w:r>
                  <w:r>
                    <w:rPr>
                      <w:rFonts w:hint="eastAsia" w:ascii="Times New Roman" w:hAnsi="Times New Roman" w:eastAsia="宋体" w:cs="Times New Roman"/>
                      <w:b w:val="0"/>
                      <w:color w:val="auto"/>
                      <w:sz w:val="18"/>
                      <w:szCs w:val="18"/>
                      <w:lang w:val="en-US" w:eastAsia="zh-CN"/>
                    </w:rPr>
                    <w:t>1，&lt;3</w:t>
                  </w:r>
                </w:p>
              </w:tc>
              <w:tc>
                <w:tcPr>
                  <w:tcW w:w="17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default" w:ascii="Times New Roman" w:hAnsi="Times New Roman" w:eastAsia="宋体" w:cs="Times New Roman"/>
                      <w:b w:val="0"/>
                      <w:color w:val="auto"/>
                      <w:sz w:val="18"/>
                      <w:szCs w:val="18"/>
                      <w:lang w:val="en-US" w:eastAsia="zh-CN"/>
                    </w:rPr>
                    <w:t>≥</w:t>
                  </w:r>
                  <w:r>
                    <w:rPr>
                      <w:rFonts w:hint="eastAsia" w:ascii="Times New Roman" w:hAnsi="Times New Roman" w:eastAsia="宋体" w:cs="Times New Roman"/>
                      <w:b w:val="0"/>
                      <w:color w:val="auto"/>
                      <w:sz w:val="18"/>
                      <w:szCs w:val="18"/>
                      <w:lang w:val="en-US" w:eastAsia="zh-CN"/>
                    </w:rPr>
                    <w:t>3，&lt;6</w:t>
                  </w:r>
                </w:p>
              </w:tc>
              <w:tc>
                <w:tcPr>
                  <w:tcW w:w="1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default" w:ascii="Times New Roman" w:hAnsi="Times New Roman" w:eastAsia="宋体" w:cs="Times New Roman"/>
                      <w:b w:val="0"/>
                      <w:color w:val="auto"/>
                      <w:sz w:val="18"/>
                      <w:szCs w:val="18"/>
                      <w:lang w:val="en-US" w:eastAsia="zh-CN"/>
                    </w:rPr>
                    <w:t>≥</w:t>
                  </w:r>
                  <w:r>
                    <w:rPr>
                      <w:rFonts w:hint="eastAsia" w:ascii="Times New Roman" w:hAnsi="Times New Roman" w:eastAsia="宋体" w:cs="Times New Roman"/>
                      <w:b w:val="0"/>
                      <w:color w:val="auto"/>
                      <w:sz w:val="18"/>
                      <w:szCs w:val="1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hAnsi="宋体" w:eastAsia="宋体"/>
                      <w:b w:val="0"/>
                      <w:color w:val="auto"/>
                      <w:sz w:val="18"/>
                      <w:szCs w:val="18"/>
                      <w:lang w:val="en-US" w:eastAsia="zh-CN"/>
                    </w:rPr>
                  </w:pPr>
                  <w:r>
                    <w:rPr>
                      <w:rFonts w:hint="eastAsia" w:hAnsi="宋体" w:eastAsia="宋体"/>
                      <w:b w:val="0"/>
                      <w:color w:val="auto"/>
                      <w:sz w:val="18"/>
                      <w:szCs w:val="18"/>
                      <w:lang w:val="en-US" w:eastAsia="zh-CN"/>
                    </w:rPr>
                    <w:t>对应灶头总功率（10</w:t>
                  </w:r>
                  <w:r>
                    <w:rPr>
                      <w:rFonts w:hint="eastAsia" w:hAnsi="宋体" w:eastAsia="宋体"/>
                      <w:b w:val="0"/>
                      <w:color w:val="auto"/>
                      <w:sz w:val="18"/>
                      <w:szCs w:val="18"/>
                      <w:vertAlign w:val="superscript"/>
                      <w:lang w:val="en-US" w:eastAsia="zh-CN"/>
                    </w:rPr>
                    <w:t>8</w:t>
                  </w:r>
                  <w:r>
                    <w:rPr>
                      <w:rFonts w:hint="eastAsia" w:hAnsi="宋体" w:eastAsia="宋体"/>
                      <w:b w:val="0"/>
                      <w:color w:val="auto"/>
                      <w:sz w:val="18"/>
                      <w:szCs w:val="18"/>
                      <w:lang w:val="en-US" w:eastAsia="zh-CN"/>
                    </w:rPr>
                    <w:t>J/h）</w:t>
                  </w:r>
                </w:p>
              </w:tc>
              <w:tc>
                <w:tcPr>
                  <w:tcW w:w="17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default" w:ascii="Times New Roman" w:hAnsi="Times New Roman" w:eastAsia="宋体" w:cs="Times New Roman"/>
                      <w:b w:val="0"/>
                      <w:color w:val="auto"/>
                      <w:sz w:val="18"/>
                      <w:szCs w:val="18"/>
                      <w:lang w:val="en-US" w:eastAsia="zh-CN"/>
                    </w:rPr>
                    <w:t>≥</w:t>
                  </w:r>
                  <w:r>
                    <w:rPr>
                      <w:rFonts w:hint="eastAsia" w:ascii="Times New Roman" w:hAnsi="Times New Roman" w:eastAsia="宋体" w:cs="Times New Roman"/>
                      <w:b w:val="0"/>
                      <w:color w:val="auto"/>
                      <w:sz w:val="18"/>
                      <w:szCs w:val="18"/>
                      <w:lang w:val="en-US" w:eastAsia="zh-CN"/>
                    </w:rPr>
                    <w:t>1.67，&lt;5.00</w:t>
                  </w:r>
                </w:p>
              </w:tc>
              <w:tc>
                <w:tcPr>
                  <w:tcW w:w="17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default" w:ascii="Times New Roman" w:hAnsi="Times New Roman" w:eastAsia="宋体" w:cs="Times New Roman"/>
                      <w:b w:val="0"/>
                      <w:color w:val="auto"/>
                      <w:sz w:val="18"/>
                      <w:szCs w:val="18"/>
                      <w:lang w:val="en-US" w:eastAsia="zh-CN"/>
                    </w:rPr>
                    <w:t>≥</w:t>
                  </w:r>
                  <w:r>
                    <w:rPr>
                      <w:rFonts w:hint="eastAsia" w:ascii="Times New Roman" w:hAnsi="Times New Roman" w:eastAsia="宋体" w:cs="Times New Roman"/>
                      <w:b w:val="0"/>
                      <w:color w:val="auto"/>
                      <w:sz w:val="18"/>
                      <w:szCs w:val="18"/>
                      <w:lang w:val="en-US" w:eastAsia="zh-CN"/>
                    </w:rPr>
                    <w:t>500，&lt;10</w:t>
                  </w:r>
                </w:p>
              </w:tc>
              <w:tc>
                <w:tcPr>
                  <w:tcW w:w="1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default" w:ascii="Times New Roman" w:hAnsi="Times New Roman" w:eastAsia="宋体" w:cs="Times New Roman"/>
                      <w:b w:val="0"/>
                      <w:color w:val="auto"/>
                      <w:sz w:val="18"/>
                      <w:szCs w:val="18"/>
                      <w:lang w:val="en-US" w:eastAsia="zh-CN"/>
                    </w:rPr>
                    <w:t>≥</w:t>
                  </w:r>
                  <w:r>
                    <w:rPr>
                      <w:rFonts w:hint="eastAsia" w:ascii="Times New Roman" w:hAnsi="Times New Roman" w:eastAsia="宋体" w:cs="Times New Roman"/>
                      <w:b w:val="0"/>
                      <w:color w:val="auto"/>
                      <w:sz w:val="18"/>
                      <w:szCs w:val="1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hAnsi="宋体" w:eastAsia="宋体"/>
                      <w:b w:val="0"/>
                      <w:color w:val="auto"/>
                      <w:sz w:val="18"/>
                      <w:szCs w:val="18"/>
                      <w:lang w:val="en-US" w:eastAsia="zh-CN"/>
                    </w:rPr>
                  </w:pPr>
                  <w:r>
                    <w:rPr>
                      <w:rFonts w:hint="eastAsia" w:hAnsi="宋体" w:eastAsia="宋体"/>
                      <w:b w:val="0"/>
                      <w:color w:val="auto"/>
                      <w:sz w:val="18"/>
                      <w:szCs w:val="18"/>
                      <w:lang w:val="en-US" w:eastAsia="zh-CN"/>
                    </w:rPr>
                    <w:t>对应排气罩灶面总投影面积（m</w:t>
                  </w:r>
                  <w:r>
                    <w:rPr>
                      <w:rFonts w:hint="eastAsia" w:hAnsi="宋体" w:eastAsia="宋体"/>
                      <w:b w:val="0"/>
                      <w:color w:val="auto"/>
                      <w:sz w:val="18"/>
                      <w:szCs w:val="18"/>
                      <w:vertAlign w:val="superscript"/>
                      <w:lang w:val="en-US" w:eastAsia="zh-CN"/>
                    </w:rPr>
                    <w:t>2</w:t>
                  </w:r>
                  <w:r>
                    <w:rPr>
                      <w:rFonts w:hint="eastAsia" w:hAnsi="宋体" w:eastAsia="宋体"/>
                      <w:b w:val="0"/>
                      <w:color w:val="auto"/>
                      <w:sz w:val="18"/>
                      <w:szCs w:val="18"/>
                      <w:lang w:val="en-US" w:eastAsia="zh-CN"/>
                    </w:rPr>
                    <w:t>）</w:t>
                  </w:r>
                </w:p>
              </w:tc>
              <w:tc>
                <w:tcPr>
                  <w:tcW w:w="17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default" w:ascii="Times New Roman" w:hAnsi="Times New Roman" w:eastAsia="宋体" w:cs="Times New Roman"/>
                      <w:b w:val="0"/>
                      <w:color w:val="auto"/>
                      <w:sz w:val="18"/>
                      <w:szCs w:val="18"/>
                      <w:lang w:val="en-US" w:eastAsia="zh-CN"/>
                    </w:rPr>
                    <w:t>≥</w:t>
                  </w:r>
                  <w:r>
                    <w:rPr>
                      <w:rFonts w:hint="eastAsia" w:ascii="Times New Roman" w:hAnsi="Times New Roman" w:eastAsia="宋体" w:cs="Times New Roman"/>
                      <w:b w:val="0"/>
                      <w:color w:val="auto"/>
                      <w:sz w:val="18"/>
                      <w:szCs w:val="18"/>
                      <w:lang w:val="en-US" w:eastAsia="zh-CN"/>
                    </w:rPr>
                    <w:t>1.1，&lt;3.3</w:t>
                  </w:r>
                </w:p>
              </w:tc>
              <w:tc>
                <w:tcPr>
                  <w:tcW w:w="17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default" w:ascii="Times New Roman" w:hAnsi="Times New Roman" w:eastAsia="宋体" w:cs="Times New Roman"/>
                      <w:b w:val="0"/>
                      <w:color w:val="auto"/>
                      <w:sz w:val="18"/>
                      <w:szCs w:val="18"/>
                      <w:lang w:val="en-US" w:eastAsia="zh-CN"/>
                    </w:rPr>
                    <w:t>≥</w:t>
                  </w:r>
                  <w:r>
                    <w:rPr>
                      <w:rFonts w:hint="eastAsia" w:ascii="Times New Roman" w:hAnsi="Times New Roman" w:eastAsia="宋体" w:cs="Times New Roman"/>
                      <w:b w:val="0"/>
                      <w:color w:val="auto"/>
                      <w:sz w:val="18"/>
                      <w:szCs w:val="18"/>
                      <w:lang w:val="en-US" w:eastAsia="zh-CN"/>
                    </w:rPr>
                    <w:t>3.3，&lt;6.6</w:t>
                  </w:r>
                </w:p>
              </w:tc>
              <w:tc>
                <w:tcPr>
                  <w:tcW w:w="1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default" w:ascii="Times New Roman" w:hAnsi="Times New Roman" w:eastAsia="宋体" w:cs="Times New Roman"/>
                      <w:b w:val="0"/>
                      <w:color w:val="auto"/>
                      <w:sz w:val="18"/>
                      <w:szCs w:val="18"/>
                      <w:lang w:val="en-US" w:eastAsia="zh-CN"/>
                    </w:rPr>
                    <w:t>≥</w:t>
                  </w:r>
                  <w:r>
                    <w:rPr>
                      <w:rFonts w:hint="eastAsia" w:ascii="Times New Roman" w:hAnsi="Times New Roman" w:eastAsia="宋体" w:cs="Times New Roman"/>
                      <w:b w:val="0"/>
                      <w:color w:val="auto"/>
                      <w:sz w:val="18"/>
                      <w:szCs w:val="18"/>
                      <w:lang w:val="en-US" w:eastAsia="zh-CN"/>
                    </w:rPr>
                    <w:t>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hAnsi="宋体" w:eastAsia="宋体"/>
                      <w:b w:val="0"/>
                      <w:color w:val="auto"/>
                      <w:sz w:val="18"/>
                      <w:szCs w:val="18"/>
                      <w:lang w:val="en-US" w:eastAsia="zh-CN"/>
                    </w:rPr>
                  </w:pPr>
                  <w:r>
                    <w:rPr>
                      <w:rFonts w:hint="eastAsia" w:hAnsi="宋体" w:eastAsia="宋体"/>
                      <w:b w:val="0"/>
                      <w:color w:val="auto"/>
                      <w:sz w:val="18"/>
                      <w:szCs w:val="18"/>
                      <w:lang w:val="en-US" w:eastAsia="zh-CN"/>
                    </w:rPr>
                    <w:t>最高允许排放浓度</w:t>
                  </w:r>
                  <w:r>
                    <w:rPr>
                      <w:rFonts w:hint="eastAsia" w:eastAsia="宋体"/>
                      <w:b w:val="0"/>
                      <w:bCs w:val="0"/>
                      <w:sz w:val="18"/>
                      <w:szCs w:val="18"/>
                      <w:lang w:val="en-US" w:eastAsia="zh-CN"/>
                    </w:rPr>
                    <w:t>（</w:t>
                  </w:r>
                  <w:r>
                    <w:rPr>
                      <w:rFonts w:hint="default" w:eastAsia="宋体"/>
                      <w:b w:val="0"/>
                      <w:bCs w:val="0"/>
                      <w:sz w:val="18"/>
                      <w:szCs w:val="18"/>
                      <w:lang w:val="en-US" w:eastAsia="zh-CN"/>
                    </w:rPr>
                    <w:t>mg/m</w:t>
                  </w:r>
                  <w:r>
                    <w:rPr>
                      <w:rFonts w:hint="default" w:eastAsia="宋体"/>
                      <w:b w:val="0"/>
                      <w:bCs w:val="0"/>
                      <w:sz w:val="18"/>
                      <w:szCs w:val="18"/>
                      <w:vertAlign w:val="superscript"/>
                      <w:lang w:val="en-US" w:eastAsia="zh-CN"/>
                    </w:rPr>
                    <w:t>3</w:t>
                  </w:r>
                  <w:r>
                    <w:rPr>
                      <w:rFonts w:hint="eastAsia" w:eastAsia="宋体"/>
                      <w:b w:val="0"/>
                      <w:bCs w:val="0"/>
                      <w:sz w:val="18"/>
                      <w:szCs w:val="18"/>
                      <w:lang w:val="en-US" w:eastAsia="zh-CN"/>
                    </w:rPr>
                    <w:t>）</w:t>
                  </w:r>
                </w:p>
              </w:tc>
              <w:tc>
                <w:tcPr>
                  <w:tcW w:w="51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hAnsi="宋体" w:eastAsia="宋体"/>
                      <w:b w:val="0"/>
                      <w:color w:val="auto"/>
                      <w:sz w:val="18"/>
                      <w:szCs w:val="18"/>
                      <w:lang w:val="en-US" w:eastAsia="zh-CN"/>
                    </w:rPr>
                  </w:pPr>
                  <w:r>
                    <w:rPr>
                      <w:rFonts w:hint="eastAsia" w:hAnsi="宋体" w:eastAsia="宋体"/>
                      <w:b w:val="0"/>
                      <w:color w:val="auto"/>
                      <w:sz w:val="18"/>
                      <w:szCs w:val="18"/>
                      <w:lang w:val="en-US" w:eastAsia="zh-CN"/>
                    </w:rPr>
                    <w:t>净化设备最低去除率（%）</w:t>
                  </w:r>
                </w:p>
              </w:tc>
              <w:tc>
                <w:tcPr>
                  <w:tcW w:w="17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60</w:t>
                  </w:r>
                </w:p>
              </w:tc>
              <w:tc>
                <w:tcPr>
                  <w:tcW w:w="17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75</w:t>
                  </w:r>
                </w:p>
              </w:tc>
              <w:tc>
                <w:tcPr>
                  <w:tcW w:w="1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85</w:t>
                  </w:r>
                </w:p>
              </w:tc>
            </w:tr>
          </w:tbl>
          <w:p>
            <w:pPr>
              <w:spacing w:line="360" w:lineRule="auto"/>
              <w:ind w:firstLine="420" w:firstLineChars="200"/>
              <w:rPr>
                <w:color w:val="auto"/>
                <w:szCs w:val="21"/>
              </w:rPr>
            </w:pPr>
            <w:r>
              <w:rPr>
                <w:color w:val="auto"/>
                <w:szCs w:val="21"/>
              </w:rPr>
              <w:t>2、废水</w:t>
            </w:r>
            <w:r>
              <w:rPr>
                <w:rFonts w:hint="eastAsia"/>
                <w:color w:val="auto"/>
                <w:szCs w:val="21"/>
              </w:rPr>
              <w:t>排放标准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本项目食堂废水经隔油池后</w:t>
            </w:r>
            <w:r>
              <w:rPr>
                <w:rFonts w:hint="eastAsia" w:cs="Times New Roman"/>
                <w:color w:val="auto"/>
                <w:kern w:val="0"/>
                <w:szCs w:val="21"/>
                <w:lang w:val="en-US" w:eastAsia="zh-CN"/>
              </w:rPr>
              <w:t>、</w:t>
            </w:r>
            <w:r>
              <w:rPr>
                <w:rFonts w:hint="eastAsia" w:ascii="Times New Roman" w:hAnsi="Times New Roman" w:cs="Times New Roman"/>
                <w:color w:val="auto"/>
                <w:kern w:val="0"/>
                <w:szCs w:val="21"/>
                <w:lang w:val="en-US" w:eastAsia="zh-CN"/>
              </w:rPr>
              <w:t>生活污水经化粪池预处理后和</w:t>
            </w:r>
            <w:r>
              <w:rPr>
                <w:rFonts w:hint="eastAsia" w:cs="Times New Roman"/>
                <w:color w:val="auto"/>
                <w:kern w:val="0"/>
                <w:szCs w:val="21"/>
                <w:lang w:val="en-US" w:eastAsia="zh-CN"/>
              </w:rPr>
              <w:t>纯水制备浓水、反冲洗水、调试废水</w:t>
            </w:r>
            <w:r>
              <w:rPr>
                <w:rFonts w:hint="eastAsia" w:ascii="Times New Roman" w:hAnsi="Times New Roman" w:cs="Times New Roman"/>
                <w:color w:val="auto"/>
                <w:kern w:val="0"/>
                <w:szCs w:val="21"/>
                <w:lang w:val="en-US" w:eastAsia="zh-CN"/>
              </w:rPr>
              <w:t>一起</w:t>
            </w:r>
            <w:r>
              <w:rPr>
                <w:rFonts w:hint="eastAsia" w:cs="Times New Roman"/>
                <w:color w:val="auto"/>
                <w:kern w:val="0"/>
                <w:szCs w:val="21"/>
                <w:lang w:val="en-US" w:eastAsia="zh-CN"/>
              </w:rPr>
              <w:t>达到</w:t>
            </w:r>
            <w:r>
              <w:rPr>
                <w:rFonts w:hint="eastAsia" w:ascii="Times New Roman" w:hAnsi="Times New Roman" w:cs="Times New Roman"/>
                <w:color w:val="auto"/>
                <w:kern w:val="0"/>
                <w:szCs w:val="21"/>
                <w:lang w:val="en-US" w:eastAsia="zh-CN"/>
              </w:rPr>
              <w:t>安成经济开发区污水接管标准</w:t>
            </w:r>
            <w:r>
              <w:rPr>
                <w:rFonts w:hint="default" w:ascii="Times New Roman" w:hAnsi="Times New Roman" w:eastAsia="宋体" w:cs="Times New Roman"/>
                <w:color w:val="auto"/>
                <w:sz w:val="21"/>
                <w:szCs w:val="21"/>
                <w:lang w:val="en-US" w:eastAsia="zh-CN"/>
              </w:rPr>
              <w:t>（接管标准中未包含的污染物执行《污水排入城镇下水道水质标准》（GB/T31962-2015）中B等级排放标准</w:t>
            </w:r>
            <w:r>
              <w:rPr>
                <w:rFonts w:hint="eastAsia" w:cs="Times New Roman"/>
                <w:color w:val="auto"/>
                <w:kern w:val="0"/>
                <w:sz w:val="21"/>
                <w:szCs w:val="21"/>
                <w:lang w:val="en-US" w:eastAsia="zh-CN"/>
              </w:rPr>
              <w:t>）</w:t>
            </w:r>
            <w:r>
              <w:rPr>
                <w:rFonts w:hint="eastAsia" w:ascii="Times New Roman" w:hAnsi="Times New Roman" w:cs="Times New Roman"/>
                <w:color w:val="auto"/>
                <w:kern w:val="0"/>
                <w:sz w:val="21"/>
                <w:szCs w:val="21"/>
                <w:lang w:val="en-US" w:eastAsia="zh-CN"/>
              </w:rPr>
              <w:t>后</w:t>
            </w:r>
            <w:r>
              <w:rPr>
                <w:rFonts w:hint="eastAsia" w:ascii="Times New Roman" w:hAnsi="Times New Roman" w:cs="Times New Roman"/>
                <w:color w:val="auto"/>
                <w:kern w:val="0"/>
                <w:szCs w:val="21"/>
                <w:lang w:val="en-US" w:eastAsia="zh-CN"/>
              </w:rPr>
              <w:t>排入安成经济开发区污水处理厂</w:t>
            </w:r>
            <w:r>
              <w:rPr>
                <w:rFonts w:hint="eastAsia" w:cs="Times New Roman"/>
                <w:color w:val="auto"/>
                <w:kern w:val="0"/>
                <w:szCs w:val="21"/>
                <w:lang w:val="en-US" w:eastAsia="zh-CN"/>
              </w:rPr>
              <w:t>，</w:t>
            </w:r>
            <w:r>
              <w:rPr>
                <w:rFonts w:hint="eastAsia" w:ascii="Times New Roman" w:hAnsi="Times New Roman" w:cs="Times New Roman"/>
                <w:color w:val="auto"/>
                <w:kern w:val="0"/>
                <w:szCs w:val="21"/>
                <w:lang w:val="en-US" w:eastAsia="zh-CN"/>
              </w:rPr>
              <w:t>处理达到《城镇污水处理厂污染物排放标准》GB18918-2001）中一级A类标准后排入淮河。</w:t>
            </w:r>
          </w:p>
          <w:p>
            <w:pPr>
              <w:pStyle w:val="110"/>
              <w:spacing w:beforeLines="0" w:afterLines="0"/>
              <w:rPr>
                <w:rFonts w:hint="eastAsia" w:eastAsia="宋体"/>
                <w:b/>
                <w:bCs w:val="0"/>
                <w:lang w:eastAsia="zh-CN"/>
              </w:rPr>
            </w:pPr>
            <w:r>
              <w:rPr>
                <w:rFonts w:hint="eastAsia"/>
                <w:b/>
                <w:bCs w:val="0"/>
              </w:rPr>
              <w:t>表3-</w:t>
            </w:r>
            <w:r>
              <w:rPr>
                <w:rFonts w:hint="eastAsia"/>
                <w:b/>
                <w:bCs w:val="0"/>
                <w:lang w:val="en-US" w:eastAsia="zh-CN"/>
              </w:rPr>
              <w:t xml:space="preserve">8  </w:t>
            </w:r>
            <w:r>
              <w:rPr>
                <w:rFonts w:hint="eastAsia"/>
                <w:b/>
                <w:bCs w:val="0"/>
              </w:rPr>
              <w:t>污水排放标准限值</w:t>
            </w:r>
            <w:r>
              <w:rPr>
                <w:rFonts w:hint="eastAsia"/>
                <w:b/>
                <w:bCs w:val="0"/>
                <w:lang w:eastAsia="zh-CN"/>
              </w:rPr>
              <w:t>（</w:t>
            </w:r>
            <w:r>
              <w:rPr>
                <w:rFonts w:hint="eastAsia"/>
                <w:b/>
                <w:bCs w:val="0"/>
              </w:rPr>
              <w:t>单位：mg/L，pH值除外</w:t>
            </w:r>
            <w:r>
              <w:rPr>
                <w:rFonts w:hint="eastAsia"/>
                <w:b/>
                <w:bCs w:val="0"/>
                <w:lang w:eastAsia="zh-CN"/>
              </w:rPr>
              <w:t>）</w:t>
            </w:r>
          </w:p>
          <w:tbl>
            <w:tblPr>
              <w:tblStyle w:val="44"/>
              <w:tblW w:w="5000" w:type="pct"/>
              <w:tblInd w:w="-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56"/>
              <w:gridCol w:w="896"/>
              <w:gridCol w:w="897"/>
              <w:gridCol w:w="1963"/>
              <w:gridCol w:w="968"/>
              <w:gridCol w:w="19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trPr>
              <w:tc>
                <w:tcPr>
                  <w:tcW w:w="946" w:type="dxa"/>
                  <w:tcBorders>
                    <w:tl2br w:val="nil"/>
                    <w:tr2bl w:val="nil"/>
                  </w:tcBorders>
                  <w:noWrap w:val="0"/>
                  <w:vAlign w:val="center"/>
                </w:tcPr>
                <w:p>
                  <w:pPr>
                    <w:pStyle w:val="13"/>
                    <w:snapToGrid/>
                    <w:spacing w:before="0" w:after="0" w:line="240" w:lineRule="auto"/>
                    <w:ind w:right="0"/>
                    <w:jc w:val="center"/>
                    <w:rPr>
                      <w:rFonts w:hint="default"/>
                      <w:color w:val="auto"/>
                      <w:szCs w:val="18"/>
                      <w:lang w:val="en-US" w:eastAsia="zh-CN"/>
                    </w:rPr>
                  </w:pPr>
                  <w:r>
                    <w:rPr>
                      <w:rFonts w:hint="eastAsia"/>
                      <w:color w:val="auto"/>
                      <w:szCs w:val="18"/>
                      <w:lang w:val="en-US" w:eastAsia="zh-CN"/>
                    </w:rPr>
                    <w:t>序号</w:t>
                  </w:r>
                </w:p>
              </w:tc>
              <w:tc>
                <w:tcPr>
                  <w:tcW w:w="94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项目</w:t>
                  </w:r>
                </w:p>
              </w:tc>
              <w:tc>
                <w:tcPr>
                  <w:tcW w:w="980"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标准值</w:t>
                  </w:r>
                </w:p>
              </w:tc>
              <w:tc>
                <w:tcPr>
                  <w:tcW w:w="2205"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标准来源</w:t>
                  </w:r>
                </w:p>
              </w:tc>
              <w:tc>
                <w:tcPr>
                  <w:tcW w:w="103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标准值</w:t>
                  </w:r>
                </w:p>
              </w:tc>
              <w:tc>
                <w:tcPr>
                  <w:tcW w:w="2018"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标准来源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trPr>
              <w:tc>
                <w:tcPr>
                  <w:tcW w:w="946"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1</w:t>
                  </w:r>
                </w:p>
              </w:tc>
              <w:tc>
                <w:tcPr>
                  <w:tcW w:w="94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pH</w:t>
                  </w:r>
                </w:p>
              </w:tc>
              <w:tc>
                <w:tcPr>
                  <w:tcW w:w="980"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6～9</w:t>
                  </w:r>
                </w:p>
              </w:tc>
              <w:tc>
                <w:tcPr>
                  <w:tcW w:w="2205" w:type="dxa"/>
                  <w:vMerge w:val="restart"/>
                  <w:tcBorders>
                    <w:tl2br w:val="nil"/>
                    <w:tr2bl w:val="nil"/>
                  </w:tcBorders>
                  <w:noWrap w:val="0"/>
                  <w:vAlign w:val="center"/>
                </w:tcPr>
                <w:p>
                  <w:pPr>
                    <w:pStyle w:val="13"/>
                    <w:snapToGrid/>
                    <w:spacing w:before="0" w:after="0" w:line="240" w:lineRule="auto"/>
                    <w:ind w:right="0"/>
                    <w:jc w:val="center"/>
                    <w:rPr>
                      <w:rFonts w:hint="default"/>
                      <w:color w:val="auto"/>
                      <w:szCs w:val="18"/>
                      <w:lang w:val="en-US" w:eastAsia="zh-CN"/>
                    </w:rPr>
                  </w:pPr>
                  <w:r>
                    <w:rPr>
                      <w:rFonts w:hint="eastAsia"/>
                      <w:color w:val="auto"/>
                      <w:szCs w:val="18"/>
                      <w:lang w:val="en-US" w:eastAsia="zh-CN"/>
                    </w:rPr>
                    <w:t>安成经济开发区污水处理厂接管标准</w:t>
                  </w:r>
                </w:p>
              </w:tc>
              <w:tc>
                <w:tcPr>
                  <w:tcW w:w="103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6～9</w:t>
                  </w:r>
                </w:p>
              </w:tc>
              <w:tc>
                <w:tcPr>
                  <w:tcW w:w="2018" w:type="dxa"/>
                  <w:vMerge w:val="restart"/>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《城镇污水处理厂污染物排放标准》（GB18918-2002）一级A标准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trPr>
              <w:tc>
                <w:tcPr>
                  <w:tcW w:w="946"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2</w:t>
                  </w:r>
                </w:p>
              </w:tc>
              <w:tc>
                <w:tcPr>
                  <w:tcW w:w="94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COD</w:t>
                  </w:r>
                </w:p>
              </w:tc>
              <w:tc>
                <w:tcPr>
                  <w:tcW w:w="980"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≤400</w:t>
                  </w:r>
                </w:p>
              </w:tc>
              <w:tc>
                <w:tcPr>
                  <w:tcW w:w="2205" w:type="dxa"/>
                  <w:vMerge w:val="continue"/>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p>
              </w:tc>
              <w:tc>
                <w:tcPr>
                  <w:tcW w:w="103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≤50</w:t>
                  </w:r>
                </w:p>
              </w:tc>
              <w:tc>
                <w:tcPr>
                  <w:tcW w:w="2018" w:type="dxa"/>
                  <w:vMerge w:val="continue"/>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trPr>
              <w:tc>
                <w:tcPr>
                  <w:tcW w:w="946"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3</w:t>
                  </w:r>
                </w:p>
              </w:tc>
              <w:tc>
                <w:tcPr>
                  <w:tcW w:w="94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BOD</w:t>
                  </w:r>
                </w:p>
              </w:tc>
              <w:tc>
                <w:tcPr>
                  <w:tcW w:w="980"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≤200</w:t>
                  </w:r>
                </w:p>
              </w:tc>
              <w:tc>
                <w:tcPr>
                  <w:tcW w:w="2205" w:type="dxa"/>
                  <w:vMerge w:val="continue"/>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p>
              </w:tc>
              <w:tc>
                <w:tcPr>
                  <w:tcW w:w="103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≤10</w:t>
                  </w:r>
                </w:p>
              </w:tc>
              <w:tc>
                <w:tcPr>
                  <w:tcW w:w="2018" w:type="dxa"/>
                  <w:vMerge w:val="continue"/>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trPr>
              <w:tc>
                <w:tcPr>
                  <w:tcW w:w="946"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4</w:t>
                  </w:r>
                </w:p>
              </w:tc>
              <w:tc>
                <w:tcPr>
                  <w:tcW w:w="94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SS</w:t>
                  </w:r>
                </w:p>
              </w:tc>
              <w:tc>
                <w:tcPr>
                  <w:tcW w:w="980"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≤200</w:t>
                  </w:r>
                </w:p>
              </w:tc>
              <w:tc>
                <w:tcPr>
                  <w:tcW w:w="2205" w:type="dxa"/>
                  <w:vMerge w:val="continue"/>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p>
              </w:tc>
              <w:tc>
                <w:tcPr>
                  <w:tcW w:w="103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≤10</w:t>
                  </w:r>
                </w:p>
              </w:tc>
              <w:tc>
                <w:tcPr>
                  <w:tcW w:w="2018" w:type="dxa"/>
                  <w:vMerge w:val="continue"/>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trPr>
              <w:tc>
                <w:tcPr>
                  <w:tcW w:w="946"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default"/>
                      <w:color w:val="auto"/>
                      <w:szCs w:val="18"/>
                      <w:lang w:val="en-US" w:eastAsia="zh-CN"/>
                    </w:rPr>
                    <w:t>5</w:t>
                  </w:r>
                </w:p>
              </w:tc>
              <w:tc>
                <w:tcPr>
                  <w:tcW w:w="94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NH</w:t>
                  </w:r>
                  <w:r>
                    <w:rPr>
                      <w:rFonts w:hint="eastAsia"/>
                      <w:color w:val="auto"/>
                      <w:szCs w:val="18"/>
                      <w:vertAlign w:val="subscript"/>
                      <w:lang w:val="en-US" w:eastAsia="zh-CN"/>
                    </w:rPr>
                    <w:t>3</w:t>
                  </w:r>
                  <w:r>
                    <w:rPr>
                      <w:rFonts w:hint="eastAsia"/>
                      <w:color w:val="auto"/>
                      <w:szCs w:val="18"/>
                      <w:lang w:val="en-US" w:eastAsia="zh-CN"/>
                    </w:rPr>
                    <w:t>-N</w:t>
                  </w:r>
                </w:p>
              </w:tc>
              <w:tc>
                <w:tcPr>
                  <w:tcW w:w="980" w:type="dxa"/>
                  <w:tcBorders>
                    <w:tl2br w:val="nil"/>
                    <w:tr2bl w:val="nil"/>
                  </w:tcBorders>
                  <w:noWrap w:val="0"/>
                  <w:vAlign w:val="center"/>
                </w:tcPr>
                <w:p>
                  <w:pPr>
                    <w:pStyle w:val="13"/>
                    <w:snapToGrid/>
                    <w:spacing w:before="0" w:after="0" w:line="240" w:lineRule="auto"/>
                    <w:ind w:right="0"/>
                    <w:jc w:val="center"/>
                    <w:rPr>
                      <w:rFonts w:hint="default"/>
                      <w:color w:val="auto"/>
                      <w:szCs w:val="18"/>
                      <w:lang w:val="en-US" w:eastAsia="zh-CN"/>
                    </w:rPr>
                  </w:pPr>
                  <w:r>
                    <w:rPr>
                      <w:rFonts w:hint="eastAsia"/>
                      <w:color w:val="auto"/>
                      <w:szCs w:val="18"/>
                      <w:lang w:val="en-US" w:eastAsia="zh-CN"/>
                    </w:rPr>
                    <w:t>≤30</w:t>
                  </w:r>
                </w:p>
              </w:tc>
              <w:tc>
                <w:tcPr>
                  <w:tcW w:w="2205" w:type="dxa"/>
                  <w:vMerge w:val="continue"/>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p>
              </w:tc>
              <w:tc>
                <w:tcPr>
                  <w:tcW w:w="103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≤5（8）*</w:t>
                  </w:r>
                </w:p>
              </w:tc>
              <w:tc>
                <w:tcPr>
                  <w:tcW w:w="2018" w:type="dxa"/>
                  <w:vMerge w:val="continue"/>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trPr>
              <w:tc>
                <w:tcPr>
                  <w:tcW w:w="946"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default"/>
                      <w:color w:val="auto"/>
                      <w:szCs w:val="18"/>
                      <w:lang w:val="en-US" w:eastAsia="zh-CN"/>
                    </w:rPr>
                    <w:t>6</w:t>
                  </w:r>
                </w:p>
              </w:tc>
              <w:tc>
                <w:tcPr>
                  <w:tcW w:w="94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总氮</w:t>
                  </w:r>
                </w:p>
              </w:tc>
              <w:tc>
                <w:tcPr>
                  <w:tcW w:w="980" w:type="dxa"/>
                  <w:tcBorders>
                    <w:tl2br w:val="nil"/>
                    <w:tr2bl w:val="nil"/>
                  </w:tcBorders>
                  <w:noWrap w:val="0"/>
                  <w:vAlign w:val="center"/>
                </w:tcPr>
                <w:p>
                  <w:pPr>
                    <w:pStyle w:val="13"/>
                    <w:snapToGrid/>
                    <w:spacing w:before="0" w:after="0" w:line="240" w:lineRule="auto"/>
                    <w:ind w:right="0"/>
                    <w:jc w:val="center"/>
                    <w:rPr>
                      <w:rFonts w:hint="default"/>
                      <w:color w:val="auto"/>
                      <w:szCs w:val="18"/>
                      <w:lang w:val="en-US" w:eastAsia="zh-CN"/>
                    </w:rPr>
                  </w:pPr>
                  <w:r>
                    <w:rPr>
                      <w:rFonts w:hint="eastAsia"/>
                      <w:color w:val="auto"/>
                      <w:szCs w:val="18"/>
                      <w:lang w:val="en-US" w:eastAsia="zh-CN"/>
                    </w:rPr>
                    <w:t>≤40</w:t>
                  </w:r>
                </w:p>
              </w:tc>
              <w:tc>
                <w:tcPr>
                  <w:tcW w:w="2205" w:type="dxa"/>
                  <w:vMerge w:val="continue"/>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p>
              </w:tc>
              <w:tc>
                <w:tcPr>
                  <w:tcW w:w="103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≤15</w:t>
                  </w:r>
                </w:p>
              </w:tc>
              <w:tc>
                <w:tcPr>
                  <w:tcW w:w="2018" w:type="dxa"/>
                  <w:vMerge w:val="continue"/>
                  <w:tcBorders>
                    <w:tl2br w:val="nil"/>
                    <w:tr2bl w:val="nil"/>
                  </w:tcBorders>
                  <w:noWrap w:val="0"/>
                  <w:vAlign w:val="center"/>
                </w:tcPr>
                <w:p>
                  <w:pPr>
                    <w:pStyle w:val="111"/>
                    <w:keepNext w:val="0"/>
                    <w:keepLines w:val="0"/>
                    <w:pageBreakBefore w:val="0"/>
                    <w:widowControl/>
                    <w:kinsoku/>
                    <w:wordWrap/>
                    <w:overflowPunct/>
                    <w:topLinePunct w:val="0"/>
                    <w:autoSpaceDE/>
                    <w:autoSpaceDN/>
                    <w:bidi w:val="0"/>
                    <w:adjustRightInd/>
                    <w:snapToGrid w:val="0"/>
                    <w:spacing w:before="0" w:after="0" w:line="240" w:lineRule="auto"/>
                    <w:ind w:right="113"/>
                    <w:textAlignment w:val="auto"/>
                    <w:rPr>
                      <w:rFonts w:hint="eastAsia" w:ascii="Times New Roman" w:hAnsi="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trPr>
              <w:tc>
                <w:tcPr>
                  <w:tcW w:w="946" w:type="dxa"/>
                  <w:tcBorders>
                    <w:tl2br w:val="nil"/>
                    <w:tr2bl w:val="nil"/>
                  </w:tcBorders>
                  <w:noWrap w:val="0"/>
                  <w:vAlign w:val="center"/>
                </w:tcPr>
                <w:p>
                  <w:pPr>
                    <w:pStyle w:val="13"/>
                    <w:snapToGrid/>
                    <w:spacing w:before="0" w:after="0" w:line="240" w:lineRule="auto"/>
                    <w:ind w:right="0"/>
                    <w:jc w:val="center"/>
                    <w:rPr>
                      <w:rFonts w:hint="default"/>
                      <w:color w:val="auto"/>
                      <w:szCs w:val="18"/>
                      <w:lang w:val="en-US" w:eastAsia="zh-CN"/>
                    </w:rPr>
                  </w:pPr>
                  <w:r>
                    <w:rPr>
                      <w:rFonts w:hint="default"/>
                      <w:color w:val="auto"/>
                      <w:szCs w:val="18"/>
                      <w:lang w:val="en-US" w:eastAsia="zh-CN"/>
                    </w:rPr>
                    <w:t>7</w:t>
                  </w:r>
                </w:p>
              </w:tc>
              <w:tc>
                <w:tcPr>
                  <w:tcW w:w="94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总磷</w:t>
                  </w:r>
                </w:p>
              </w:tc>
              <w:tc>
                <w:tcPr>
                  <w:tcW w:w="980"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≤4</w:t>
                  </w:r>
                </w:p>
              </w:tc>
              <w:tc>
                <w:tcPr>
                  <w:tcW w:w="2205" w:type="dxa"/>
                  <w:vMerge w:val="continue"/>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p>
              </w:tc>
              <w:tc>
                <w:tcPr>
                  <w:tcW w:w="1037" w:type="dxa"/>
                  <w:tcBorders>
                    <w:tl2br w:val="nil"/>
                    <w:tr2bl w:val="nil"/>
                  </w:tcBorders>
                  <w:noWrap w:val="0"/>
                  <w:vAlign w:val="center"/>
                </w:tcPr>
                <w:p>
                  <w:pPr>
                    <w:pStyle w:val="13"/>
                    <w:snapToGrid/>
                    <w:spacing w:before="0" w:after="0" w:line="240" w:lineRule="auto"/>
                    <w:ind w:right="0"/>
                    <w:jc w:val="center"/>
                    <w:rPr>
                      <w:rFonts w:hint="eastAsia"/>
                      <w:color w:val="auto"/>
                      <w:szCs w:val="18"/>
                      <w:lang w:val="en-US" w:eastAsia="zh-CN"/>
                    </w:rPr>
                  </w:pPr>
                  <w:r>
                    <w:rPr>
                      <w:rFonts w:hint="eastAsia"/>
                      <w:color w:val="auto"/>
                      <w:szCs w:val="18"/>
                      <w:lang w:val="en-US" w:eastAsia="zh-CN"/>
                    </w:rPr>
                    <w:t>≤0.5</w:t>
                  </w:r>
                </w:p>
              </w:tc>
              <w:tc>
                <w:tcPr>
                  <w:tcW w:w="2018" w:type="dxa"/>
                  <w:vMerge w:val="continue"/>
                  <w:tcBorders>
                    <w:tl2br w:val="nil"/>
                    <w:tr2bl w:val="nil"/>
                  </w:tcBorders>
                  <w:noWrap w:val="0"/>
                  <w:vAlign w:val="center"/>
                </w:tcPr>
                <w:p>
                  <w:pPr>
                    <w:pStyle w:val="111"/>
                    <w:keepNext w:val="0"/>
                    <w:keepLines w:val="0"/>
                    <w:pageBreakBefore w:val="0"/>
                    <w:widowControl/>
                    <w:kinsoku/>
                    <w:wordWrap/>
                    <w:overflowPunct/>
                    <w:topLinePunct w:val="0"/>
                    <w:autoSpaceDE/>
                    <w:autoSpaceDN/>
                    <w:bidi w:val="0"/>
                    <w:adjustRightInd/>
                    <w:snapToGrid w:val="0"/>
                    <w:spacing w:before="0" w:after="0" w:line="240" w:lineRule="auto"/>
                    <w:ind w:right="113"/>
                    <w:textAlignment w:val="auto"/>
                    <w:rPr>
                      <w:rFonts w:hint="eastAsia" w:ascii="Times New Roman" w:hAnsi="Times New Roman"/>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注：括号外数值为水温&gt;12℃时的控制指标，括号内数值为水温≤12℃时的控制指标。</w:t>
            </w:r>
          </w:p>
          <w:p>
            <w:pPr>
              <w:spacing w:line="360" w:lineRule="auto"/>
              <w:ind w:firstLine="420" w:firstLineChars="200"/>
              <w:rPr>
                <w:color w:val="auto"/>
                <w:szCs w:val="21"/>
              </w:rPr>
            </w:pPr>
            <w:r>
              <w:rPr>
                <w:color w:val="auto"/>
                <w:szCs w:val="21"/>
              </w:rPr>
              <w:t>3、噪声</w:t>
            </w:r>
            <w:r>
              <w:rPr>
                <w:rFonts w:hint="eastAsia"/>
                <w:color w:val="auto"/>
                <w:szCs w:val="21"/>
              </w:rPr>
              <w:t>排放标准</w:t>
            </w:r>
          </w:p>
          <w:p>
            <w:pPr>
              <w:pStyle w:val="114"/>
              <w:widowControl/>
              <w:spacing w:line="360" w:lineRule="auto"/>
              <w:ind w:left="0" w:right="0" w:firstLine="482"/>
              <w:rPr>
                <w:rFonts w:ascii="Times New Roman" w:hAnsi="Times New Roman" w:eastAsia="黑体" w:cs="Times New Roman"/>
                <w:color w:val="auto"/>
                <w:szCs w:val="21"/>
                <w:lang w:val="en-US" w:eastAsia="zh-CN"/>
              </w:rPr>
            </w:pPr>
            <w:r>
              <w:rPr>
                <w:rFonts w:hint="eastAsia" w:ascii="Times New Roman" w:hAnsi="Times New Roman" w:eastAsia="宋体" w:cs="Times New Roman"/>
                <w:color w:val="auto"/>
                <w:szCs w:val="21"/>
                <w:lang w:val="en-US" w:eastAsia="zh-CN"/>
              </w:rPr>
              <w:t>施工期执行《建筑施工场界环境噪声排放标准》（GB12523-2011）噪声限值。</w:t>
            </w:r>
            <w:r>
              <w:rPr>
                <w:rFonts w:ascii="Times New Roman" w:hAnsi="Times New Roman" w:eastAsia="宋体" w:cs="Times New Roman"/>
                <w:color w:val="auto"/>
                <w:szCs w:val="21"/>
                <w:lang w:eastAsia="zh-CN"/>
              </w:rPr>
              <w:t>运营期厂界噪声排放执行《工业企业厂界环境噪声排放标准》（GB12348-2008）中</w:t>
            </w:r>
            <w:r>
              <w:rPr>
                <w:rFonts w:ascii="Times New Roman" w:hAnsi="Times New Roman" w:eastAsia="宋体" w:cs="Times New Roman"/>
                <w:color w:val="auto"/>
                <w:szCs w:val="21"/>
                <w:lang w:val="en-US" w:eastAsia="zh-CN"/>
              </w:rPr>
              <w:t>3</w:t>
            </w:r>
            <w:r>
              <w:rPr>
                <w:rFonts w:ascii="Times New Roman" w:hAnsi="Times New Roman" w:eastAsia="宋体" w:cs="Times New Roman"/>
                <w:color w:val="auto"/>
                <w:szCs w:val="21"/>
                <w:lang w:eastAsia="zh-CN"/>
              </w:rPr>
              <w:t>类标准。具体见下表。</w:t>
            </w:r>
          </w:p>
          <w:p>
            <w:pPr>
              <w:jc w:val="center"/>
              <w:rPr>
                <w:rFonts w:hint="eastAsia" w:eastAsia="宋体"/>
                <w:b/>
                <w:color w:val="auto"/>
                <w:szCs w:val="21"/>
                <w:lang w:eastAsia="zh-CN"/>
              </w:rPr>
            </w:pPr>
            <w:r>
              <w:rPr>
                <w:b/>
                <w:color w:val="auto"/>
                <w:szCs w:val="21"/>
              </w:rPr>
              <w:t>表</w:t>
            </w:r>
            <w:r>
              <w:rPr>
                <w:rFonts w:hint="eastAsia"/>
                <w:b/>
                <w:color w:val="auto"/>
                <w:szCs w:val="21"/>
              </w:rPr>
              <w:t>3-</w:t>
            </w:r>
            <w:r>
              <w:rPr>
                <w:rFonts w:hint="eastAsia"/>
                <w:b/>
                <w:color w:val="auto"/>
                <w:szCs w:val="21"/>
                <w:lang w:val="en-US" w:eastAsia="zh-CN"/>
              </w:rPr>
              <w:t xml:space="preserve">9  </w:t>
            </w:r>
            <w:r>
              <w:rPr>
                <w:b/>
                <w:color w:val="auto"/>
                <w:szCs w:val="21"/>
              </w:rPr>
              <w:t>噪声排放标准</w:t>
            </w:r>
            <w:r>
              <w:rPr>
                <w:rFonts w:hint="eastAsia"/>
                <w:b/>
                <w:color w:val="auto"/>
                <w:szCs w:val="21"/>
                <w:lang w:eastAsia="zh-CN"/>
              </w:rPr>
              <w:t>（</w:t>
            </w:r>
            <w:r>
              <w:rPr>
                <w:b/>
                <w:color w:val="auto"/>
                <w:szCs w:val="21"/>
              </w:rPr>
              <w:t>单位：dB(A)</w:t>
            </w:r>
            <w:r>
              <w:rPr>
                <w:rFonts w:hint="eastAsia"/>
                <w:b/>
                <w:color w:val="auto"/>
                <w:szCs w:val="21"/>
                <w:lang w:eastAsia="zh-CN"/>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9"/>
              <w:gridCol w:w="2155"/>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590" w:type="dxa"/>
                  <w:noWrap w:val="0"/>
                  <w:vAlign w:val="center"/>
                </w:tcPr>
                <w:p>
                  <w:pPr>
                    <w:pStyle w:val="13"/>
                    <w:snapToGrid/>
                    <w:spacing w:before="0" w:after="0" w:line="240" w:lineRule="auto"/>
                    <w:ind w:right="0"/>
                    <w:jc w:val="center"/>
                    <w:rPr>
                      <w:b/>
                      <w:bCs/>
                      <w:color w:val="auto"/>
                      <w:szCs w:val="18"/>
                      <w:lang w:val="en-US" w:eastAsia="zh-CN"/>
                    </w:rPr>
                  </w:pPr>
                  <w:r>
                    <w:rPr>
                      <w:b/>
                      <w:bCs/>
                      <w:color w:val="auto"/>
                      <w:szCs w:val="18"/>
                      <w:lang w:val="en-US" w:eastAsia="zh-CN"/>
                    </w:rPr>
                    <w:t>类别</w:t>
                  </w:r>
                </w:p>
              </w:tc>
              <w:tc>
                <w:tcPr>
                  <w:tcW w:w="2412" w:type="dxa"/>
                  <w:noWrap w:val="0"/>
                  <w:vAlign w:val="center"/>
                </w:tcPr>
                <w:p>
                  <w:pPr>
                    <w:pStyle w:val="13"/>
                    <w:snapToGrid/>
                    <w:spacing w:before="0" w:after="0" w:line="240" w:lineRule="auto"/>
                    <w:ind w:right="0"/>
                    <w:jc w:val="center"/>
                    <w:rPr>
                      <w:b/>
                      <w:bCs/>
                      <w:color w:val="auto"/>
                      <w:szCs w:val="18"/>
                      <w:lang w:val="en-US" w:eastAsia="zh-CN"/>
                    </w:rPr>
                  </w:pPr>
                  <w:r>
                    <w:rPr>
                      <w:b/>
                      <w:bCs/>
                      <w:color w:val="auto"/>
                      <w:szCs w:val="18"/>
                      <w:lang w:val="en-US" w:eastAsia="zh-CN"/>
                    </w:rPr>
                    <w:t>昼间</w:t>
                  </w:r>
                </w:p>
              </w:tc>
              <w:tc>
                <w:tcPr>
                  <w:tcW w:w="2281" w:type="dxa"/>
                  <w:noWrap w:val="0"/>
                  <w:vAlign w:val="center"/>
                </w:tcPr>
                <w:p>
                  <w:pPr>
                    <w:pStyle w:val="13"/>
                    <w:snapToGrid/>
                    <w:spacing w:before="0" w:after="0" w:line="240" w:lineRule="auto"/>
                    <w:ind w:right="0"/>
                    <w:jc w:val="center"/>
                    <w:rPr>
                      <w:b/>
                      <w:bCs/>
                      <w:color w:val="auto"/>
                      <w:szCs w:val="18"/>
                      <w:lang w:val="en-US" w:eastAsia="zh-CN"/>
                    </w:rPr>
                  </w:pPr>
                  <w:r>
                    <w:rPr>
                      <w:b/>
                      <w:bCs/>
                      <w:color w:val="auto"/>
                      <w:szCs w:val="18"/>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590" w:type="dxa"/>
                  <w:noWrap w:val="0"/>
                  <w:vAlign w:val="center"/>
                </w:tcPr>
                <w:p>
                  <w:pPr>
                    <w:pStyle w:val="13"/>
                    <w:snapToGrid/>
                    <w:spacing w:before="0" w:after="0" w:line="240" w:lineRule="auto"/>
                    <w:ind w:right="0"/>
                    <w:jc w:val="center"/>
                    <w:rPr>
                      <w:b/>
                      <w:bCs/>
                      <w:color w:val="auto"/>
                      <w:szCs w:val="18"/>
                      <w:lang w:val="en-US" w:eastAsia="zh-CN"/>
                    </w:rPr>
                  </w:pPr>
                  <w:r>
                    <w:rPr>
                      <w:rFonts w:hint="eastAsia" w:ascii="Times New Roman" w:hAnsi="Times New Roman" w:eastAsia="宋体" w:cs="Times New Roman"/>
                      <w:color w:val="auto"/>
                      <w:szCs w:val="21"/>
                      <w:lang w:val="en-US" w:eastAsia="zh-CN"/>
                    </w:rPr>
                    <w:t>《建筑施工场界环境噪声排放标准》(GB12523-2011)</w:t>
                  </w:r>
                </w:p>
              </w:tc>
              <w:tc>
                <w:tcPr>
                  <w:tcW w:w="2412" w:type="dxa"/>
                  <w:noWrap w:val="0"/>
                  <w:vAlign w:val="center"/>
                </w:tcPr>
                <w:p>
                  <w:pPr>
                    <w:pStyle w:val="13"/>
                    <w:snapToGrid/>
                    <w:spacing w:before="0" w:after="0" w:line="240" w:lineRule="auto"/>
                    <w:ind w:right="0"/>
                    <w:jc w:val="center"/>
                    <w:rPr>
                      <w:rFonts w:hint="default"/>
                      <w:b/>
                      <w:bCs/>
                      <w:color w:val="auto"/>
                      <w:szCs w:val="18"/>
                      <w:lang w:val="en-US" w:eastAsia="zh-CN"/>
                    </w:rPr>
                  </w:pPr>
                  <w:r>
                    <w:rPr>
                      <w:rFonts w:hint="eastAsia"/>
                      <w:b/>
                      <w:bCs/>
                      <w:color w:val="auto"/>
                      <w:szCs w:val="18"/>
                      <w:lang w:val="en-US" w:eastAsia="zh-CN"/>
                    </w:rPr>
                    <w:t>70</w:t>
                  </w:r>
                </w:p>
              </w:tc>
              <w:tc>
                <w:tcPr>
                  <w:tcW w:w="2281" w:type="dxa"/>
                  <w:noWrap w:val="0"/>
                  <w:vAlign w:val="center"/>
                </w:tcPr>
                <w:p>
                  <w:pPr>
                    <w:pStyle w:val="13"/>
                    <w:snapToGrid/>
                    <w:spacing w:before="0" w:after="0" w:line="240" w:lineRule="auto"/>
                    <w:ind w:right="0"/>
                    <w:jc w:val="center"/>
                    <w:rPr>
                      <w:rFonts w:hint="default"/>
                      <w:b/>
                      <w:bCs/>
                      <w:color w:val="auto"/>
                      <w:szCs w:val="18"/>
                      <w:lang w:val="en-US" w:eastAsia="zh-CN"/>
                    </w:rPr>
                  </w:pPr>
                  <w:r>
                    <w:rPr>
                      <w:rFonts w:hint="eastAsia"/>
                      <w:b/>
                      <w:bCs/>
                      <w:color w:val="auto"/>
                      <w:szCs w:val="18"/>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590" w:type="dxa"/>
                  <w:noWrap w:val="0"/>
                  <w:vAlign w:val="center"/>
                </w:tcPr>
                <w:p>
                  <w:pPr>
                    <w:pStyle w:val="13"/>
                    <w:snapToGrid/>
                    <w:spacing w:before="0" w:after="0" w:line="240" w:lineRule="auto"/>
                    <w:ind w:right="0"/>
                    <w:jc w:val="center"/>
                    <w:rPr>
                      <w:color w:val="auto"/>
                      <w:szCs w:val="18"/>
                      <w:lang w:val="en-US" w:eastAsia="zh-CN"/>
                    </w:rPr>
                  </w:pPr>
                  <w:r>
                    <w:rPr>
                      <w:color w:val="auto"/>
                      <w:szCs w:val="18"/>
                      <w:lang w:val="en-US" w:eastAsia="zh-CN"/>
                    </w:rPr>
                    <w:t>《工业企业厂界环境噪声排放标准》（GB12348-2008）中3类标准</w:t>
                  </w:r>
                </w:p>
              </w:tc>
              <w:tc>
                <w:tcPr>
                  <w:tcW w:w="2412" w:type="dxa"/>
                  <w:noWrap w:val="0"/>
                  <w:vAlign w:val="center"/>
                </w:tcPr>
                <w:p>
                  <w:pPr>
                    <w:pStyle w:val="13"/>
                    <w:snapToGrid/>
                    <w:spacing w:before="0" w:after="0" w:line="240" w:lineRule="auto"/>
                    <w:ind w:right="0"/>
                    <w:jc w:val="center"/>
                    <w:rPr>
                      <w:color w:val="auto"/>
                      <w:szCs w:val="18"/>
                      <w:lang w:val="en-US" w:eastAsia="zh-CN"/>
                    </w:rPr>
                  </w:pPr>
                  <w:r>
                    <w:rPr>
                      <w:color w:val="auto"/>
                      <w:szCs w:val="18"/>
                      <w:lang w:val="en-US" w:eastAsia="zh-CN"/>
                    </w:rPr>
                    <w:t>65</w:t>
                  </w:r>
                </w:p>
              </w:tc>
              <w:tc>
                <w:tcPr>
                  <w:tcW w:w="2281" w:type="dxa"/>
                  <w:noWrap w:val="0"/>
                  <w:vAlign w:val="center"/>
                </w:tcPr>
                <w:p>
                  <w:pPr>
                    <w:pStyle w:val="13"/>
                    <w:snapToGrid/>
                    <w:spacing w:before="0" w:after="0" w:line="240" w:lineRule="auto"/>
                    <w:ind w:right="0"/>
                    <w:jc w:val="center"/>
                    <w:rPr>
                      <w:color w:val="auto"/>
                      <w:szCs w:val="18"/>
                      <w:lang w:val="en-US" w:eastAsia="zh-CN"/>
                    </w:rPr>
                  </w:pPr>
                  <w:r>
                    <w:rPr>
                      <w:color w:val="auto"/>
                      <w:szCs w:val="18"/>
                      <w:lang w:val="en-US" w:eastAsia="zh-CN"/>
                    </w:rPr>
                    <w:t>55</w:t>
                  </w:r>
                </w:p>
              </w:tc>
            </w:tr>
          </w:tbl>
          <w:p>
            <w:pPr>
              <w:spacing w:line="360" w:lineRule="auto"/>
              <w:ind w:firstLine="420" w:firstLineChars="200"/>
              <w:rPr>
                <w:color w:val="auto"/>
                <w:szCs w:val="21"/>
              </w:rPr>
            </w:pPr>
            <w:r>
              <w:rPr>
                <w:color w:val="auto"/>
                <w:szCs w:val="21"/>
              </w:rPr>
              <w:t>4、固废</w:t>
            </w:r>
          </w:p>
          <w:p>
            <w:pPr>
              <w:spacing w:line="360" w:lineRule="auto"/>
              <w:ind w:firstLine="420" w:firstLineChars="200"/>
              <w:rPr>
                <w:color w:val="FF0000"/>
                <w:kern w:val="0"/>
                <w:szCs w:val="21"/>
              </w:rPr>
            </w:pPr>
            <w:r>
              <w:rPr>
                <w:color w:val="auto"/>
                <w:szCs w:val="21"/>
              </w:rPr>
              <w:t>项目产生的一般工业固体废物的贮存、处置</w:t>
            </w:r>
            <w:r>
              <w:rPr>
                <w:rFonts w:hint="eastAsia"/>
                <w:color w:val="auto"/>
                <w:szCs w:val="21"/>
              </w:rPr>
              <w:t>参照</w:t>
            </w:r>
            <w:r>
              <w:rPr>
                <w:color w:val="auto"/>
                <w:szCs w:val="21"/>
              </w:rPr>
              <w:t>执行《</w:t>
            </w:r>
            <w:r>
              <w:rPr>
                <w:rFonts w:hint="eastAsia"/>
                <w:color w:val="auto"/>
                <w:szCs w:val="21"/>
              </w:rPr>
              <w:t>一般工业固体废物贮存和填埋污染控制标准</w:t>
            </w:r>
            <w:r>
              <w:rPr>
                <w:color w:val="auto"/>
                <w:szCs w:val="21"/>
              </w:rPr>
              <w:t>》（GB18599-2020）</w:t>
            </w:r>
            <w:r>
              <w:rPr>
                <w:rFonts w:hint="eastAsia"/>
                <w:color w:val="auto"/>
                <w:szCs w:val="21"/>
              </w:rPr>
              <w:t>中规定</w:t>
            </w:r>
            <w:r>
              <w:rPr>
                <w:color w:val="auto"/>
                <w:szCs w:val="21"/>
              </w:rPr>
              <w:t>。危险废物贮存执行《危险废物贮存污染控制标准》（GB18597-20</w:t>
            </w:r>
            <w:r>
              <w:rPr>
                <w:rFonts w:hint="eastAsia"/>
                <w:color w:val="auto"/>
                <w:szCs w:val="21"/>
              </w:rPr>
              <w:t>23</w:t>
            </w:r>
            <w:r>
              <w:rPr>
                <w:color w:val="auto"/>
                <w:szCs w:val="21"/>
              </w:rPr>
              <w:t>）有关规定</w:t>
            </w: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752" w:type="dxa"/>
            <w:noWrap w:val="0"/>
            <w:vAlign w:val="center"/>
          </w:tcPr>
          <w:p>
            <w:pPr>
              <w:adjustRightInd w:val="0"/>
              <w:snapToGrid w:val="0"/>
              <w:jc w:val="center"/>
              <w:rPr>
                <w:color w:val="auto"/>
                <w:kern w:val="0"/>
                <w:szCs w:val="21"/>
              </w:rPr>
            </w:pPr>
            <w:r>
              <w:rPr>
                <w:color w:val="auto"/>
                <w:kern w:val="0"/>
                <w:szCs w:val="21"/>
              </w:rPr>
              <w:t>总量</w:t>
            </w:r>
          </w:p>
          <w:p>
            <w:pPr>
              <w:adjustRightInd w:val="0"/>
              <w:snapToGrid w:val="0"/>
              <w:jc w:val="center"/>
              <w:rPr>
                <w:color w:val="auto"/>
                <w:kern w:val="0"/>
                <w:szCs w:val="21"/>
              </w:rPr>
            </w:pPr>
            <w:r>
              <w:rPr>
                <w:color w:val="auto"/>
                <w:kern w:val="0"/>
                <w:szCs w:val="21"/>
              </w:rPr>
              <w:t>控制</w:t>
            </w:r>
          </w:p>
          <w:p>
            <w:pPr>
              <w:adjustRightInd w:val="0"/>
              <w:snapToGrid w:val="0"/>
              <w:jc w:val="center"/>
              <w:rPr>
                <w:color w:val="FF0000"/>
                <w:kern w:val="0"/>
                <w:szCs w:val="21"/>
              </w:rPr>
            </w:pPr>
            <w:r>
              <w:rPr>
                <w:color w:val="auto"/>
                <w:kern w:val="0"/>
                <w:szCs w:val="21"/>
              </w:rPr>
              <w:t>指标</w:t>
            </w:r>
          </w:p>
        </w:tc>
        <w:tc>
          <w:tcPr>
            <w:tcW w:w="7771" w:type="dxa"/>
            <w:noWrap w:val="0"/>
            <w:vAlign w:val="center"/>
          </w:tcPr>
          <w:p>
            <w:pPr>
              <w:pStyle w:val="126"/>
              <w:keepNext w:val="0"/>
              <w:keepLines w:val="0"/>
              <w:pageBreakBefore w:val="0"/>
              <w:kinsoku/>
              <w:wordWrap/>
              <w:overflowPunct/>
              <w:topLinePunct w:val="0"/>
              <w:autoSpaceDE/>
              <w:autoSpaceDN/>
              <w:bidi w:val="0"/>
              <w:ind w:firstLine="42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根据《国务院关于印发</w:t>
            </w:r>
            <w:r>
              <w:rPr>
                <w:rFonts w:hint="default" w:ascii="Times New Roman" w:hAnsi="Times New Roman" w:cs="Times New Roman"/>
                <w:color w:val="auto"/>
                <w:sz w:val="21"/>
                <w:szCs w:val="21"/>
                <w:lang w:eastAsia="zh-CN"/>
              </w:rPr>
              <w:t>&lt;</w:t>
            </w:r>
            <w:r>
              <w:rPr>
                <w:rFonts w:hint="default" w:ascii="Times New Roman" w:hAnsi="Times New Roman" w:cs="Times New Roman"/>
                <w:color w:val="auto"/>
                <w:sz w:val="21"/>
                <w:szCs w:val="21"/>
              </w:rPr>
              <w:t>十四五节能减排综合工作方案&gt;的通知》（国发</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2021</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33号），目前国家对化学需氧量COD、氨氮NH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-N、氮氧化物NOx、VOCs（以非甲烷总烃计）等四种主要污染物纳入排放总量控制管理计划。</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本次环评推荐总量控制指标如下：</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废水：根据本项目工程分析计算，本项目废水主要为生活污水、食堂废水、纯水制备浓水、反冲洗水及调试废水；食堂废水经隔油池后与生活污水一起经化粪池处理后排入开发区污水管网，纯水制备浓水、反冲洗水及调试废水直接排入开发区污水管网，废水经安成经济开发区污水处理厂处理达标后排放，因此项目废水污染物总量纳入安成经济开发区污水处理厂总量控制指标之内。</w:t>
            </w:r>
          </w:p>
          <w:p>
            <w:pPr>
              <w:pStyle w:val="126"/>
              <w:keepNext w:val="0"/>
              <w:keepLines w:val="0"/>
              <w:pageBreakBefore w:val="0"/>
              <w:kinsoku/>
              <w:wordWrap/>
              <w:overflowPunct/>
              <w:topLinePunct w:val="0"/>
              <w:autoSpaceDE/>
              <w:autoSpaceDN/>
              <w:bidi w:val="0"/>
              <w:ind w:firstLine="42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废气：</w:t>
            </w:r>
            <w:r>
              <w:rPr>
                <w:rFonts w:hint="default" w:ascii="Times New Roman" w:hAnsi="Times New Roman" w:cs="Times New Roman"/>
                <w:color w:val="auto"/>
                <w:sz w:val="21"/>
                <w:szCs w:val="21"/>
              </w:rPr>
              <w:t>生产工序产生的大气污染物主要为粉尘和非甲烷总烃，</w:t>
            </w:r>
            <w:r>
              <w:rPr>
                <w:rFonts w:hint="default" w:ascii="Times New Roman" w:hAnsi="Times New Roman" w:cs="Times New Roman"/>
                <w:color w:val="auto"/>
                <w:sz w:val="21"/>
                <w:szCs w:val="21"/>
                <w:lang w:val="en-US" w:eastAsia="zh-CN"/>
              </w:rPr>
              <w:t>本项目热熔焊接过程产生非甲烷总烃，</w:t>
            </w:r>
            <w:r>
              <w:rPr>
                <w:rFonts w:hint="default" w:ascii="Times New Roman" w:hAnsi="Times New Roman" w:cs="Times New Roman"/>
                <w:color w:val="auto"/>
                <w:kern w:val="2"/>
                <w:sz w:val="21"/>
                <w:szCs w:val="21"/>
              </w:rPr>
              <w:t>本项目新增</w:t>
            </w:r>
            <w:r>
              <w:rPr>
                <w:rFonts w:hint="default" w:ascii="Times New Roman" w:hAnsi="Times New Roman" w:cs="Times New Roman"/>
                <w:color w:val="auto"/>
                <w:sz w:val="21"/>
                <w:szCs w:val="21"/>
              </w:rPr>
              <w:t>非甲烷总烃</w:t>
            </w:r>
            <w:r>
              <w:rPr>
                <w:rFonts w:hint="default" w:ascii="Times New Roman" w:hAnsi="Times New Roman" w:cs="Times New Roman"/>
                <w:color w:val="auto"/>
                <w:kern w:val="2"/>
                <w:sz w:val="21"/>
                <w:szCs w:val="21"/>
              </w:rPr>
              <w:t>排放量为0.</w:t>
            </w:r>
            <w:r>
              <w:rPr>
                <w:rFonts w:hint="eastAsia" w:cs="Times New Roman"/>
                <w:color w:val="auto"/>
                <w:kern w:val="2"/>
                <w:sz w:val="21"/>
                <w:szCs w:val="21"/>
                <w:lang w:val="en-US" w:eastAsia="zh-CN"/>
              </w:rPr>
              <w:t>0216</w:t>
            </w:r>
            <w:r>
              <w:rPr>
                <w:rFonts w:hint="default" w:ascii="Times New Roman" w:hAnsi="Times New Roman" w:cs="Times New Roman"/>
                <w:color w:val="auto"/>
                <w:kern w:val="2"/>
                <w:sz w:val="21"/>
                <w:szCs w:val="21"/>
              </w:rPr>
              <w:t>t/a</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lang w:val="en-US" w:eastAsia="zh-CN"/>
              </w:rPr>
              <w:t>无组织排放</w:t>
            </w:r>
            <w:r>
              <w:rPr>
                <w:rFonts w:hint="default" w:ascii="Times New Roman" w:hAnsi="Times New Roman" w:cs="Times New Roman"/>
                <w:color w:val="auto"/>
                <w:kern w:val="2"/>
                <w:sz w:val="21"/>
                <w:szCs w:val="21"/>
                <w:lang w:eastAsia="zh-CN"/>
              </w:rPr>
              <w:t>）。</w:t>
            </w:r>
          </w:p>
          <w:p>
            <w:pPr>
              <w:pStyle w:val="126"/>
              <w:keepNext w:val="0"/>
              <w:keepLines w:val="0"/>
              <w:pageBreakBefore w:val="0"/>
              <w:kinsoku/>
              <w:wordWrap/>
              <w:overflowPunct/>
              <w:topLinePunct w:val="0"/>
              <w:autoSpaceDE/>
              <w:autoSpaceDN/>
              <w:bidi w:val="0"/>
              <w:ind w:firstLine="420"/>
              <w:jc w:val="left"/>
              <w:textAlignment w:val="auto"/>
              <w:rPr>
                <w:rFonts w:hint="eastAsia"/>
                <w:color w:val="FF0000"/>
                <w:szCs w:val="21"/>
              </w:rPr>
            </w:pPr>
            <w:r>
              <w:rPr>
                <w:rFonts w:hint="default" w:ascii="Times New Roman" w:hAnsi="Times New Roman" w:cs="Times New Roman"/>
                <w:color w:val="auto"/>
                <w:kern w:val="2"/>
                <w:sz w:val="21"/>
                <w:szCs w:val="21"/>
              </w:rPr>
              <w:t>本项目需申请总量控制指标为</w:t>
            </w:r>
            <w:r>
              <w:rPr>
                <w:rFonts w:hint="default" w:ascii="Times New Roman" w:hAnsi="Times New Roman" w:cs="Times New Roman"/>
                <w:color w:val="auto"/>
                <w:kern w:val="2"/>
                <w:sz w:val="21"/>
                <w:szCs w:val="21"/>
                <w:highlight w:val="none"/>
              </w:rPr>
              <w:t>：VOC</w:t>
            </w:r>
            <w:r>
              <w:rPr>
                <w:rFonts w:hint="default" w:ascii="Times New Roman" w:hAnsi="Times New Roman" w:cs="Times New Roman"/>
                <w:color w:val="auto"/>
                <w:kern w:val="2"/>
                <w:sz w:val="21"/>
                <w:szCs w:val="21"/>
                <w:highlight w:val="none"/>
                <w:vertAlign w:val="subscript"/>
              </w:rPr>
              <w:t>S</w:t>
            </w:r>
            <w:r>
              <w:rPr>
                <w:rFonts w:hint="default" w:ascii="Times New Roman" w:hAnsi="Times New Roman" w:cs="Times New Roman"/>
                <w:color w:val="auto"/>
                <w:kern w:val="2"/>
                <w:sz w:val="21"/>
                <w:szCs w:val="21"/>
                <w:highlight w:val="none"/>
              </w:rPr>
              <w:t>：0.</w:t>
            </w:r>
            <w:r>
              <w:rPr>
                <w:rFonts w:hint="eastAsia" w:cs="Times New Roman"/>
                <w:color w:val="auto"/>
                <w:kern w:val="2"/>
                <w:sz w:val="21"/>
                <w:szCs w:val="21"/>
                <w:highlight w:val="none"/>
                <w:lang w:val="en-US" w:eastAsia="zh-CN"/>
              </w:rPr>
              <w:t>0216</w:t>
            </w:r>
            <w:r>
              <w:rPr>
                <w:rFonts w:hint="default" w:ascii="Times New Roman" w:hAnsi="Times New Roman" w:cs="Times New Roman"/>
                <w:color w:val="auto"/>
                <w:kern w:val="2"/>
                <w:sz w:val="21"/>
                <w:szCs w:val="21"/>
                <w:highlight w:val="none"/>
              </w:rPr>
              <w:t>t/a。</w:t>
            </w:r>
          </w:p>
        </w:tc>
      </w:tr>
    </w:tbl>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auto"/>
          <w:sz w:val="30"/>
          <w:szCs w:val="30"/>
        </w:rPr>
      </w:pPr>
      <w:r>
        <w:rPr>
          <w:rFonts w:ascii="Times New Roman" w:hAnsi="Times New Roman" w:eastAsia="黑体"/>
          <w:snapToGrid w:val="0"/>
          <w:color w:val="FF0000"/>
          <w:sz w:val="36"/>
          <w:szCs w:val="36"/>
        </w:rPr>
        <w:br w:type="page"/>
      </w:r>
      <w:r>
        <w:rPr>
          <w:rFonts w:ascii="Times New Roman" w:hAnsi="Times New Roman" w:eastAsia="黑体"/>
          <w:snapToGrid w:val="0"/>
          <w:color w:val="auto"/>
          <w:sz w:val="30"/>
          <w:szCs w:val="30"/>
        </w:rPr>
        <w:t>四、主要环境影响和保护措施</w:t>
      </w:r>
    </w:p>
    <w:tbl>
      <w:tblPr>
        <w:tblStyle w:val="4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46" w:type="dxa"/>
            <w:noWrap w:val="0"/>
            <w:tcMar>
              <w:left w:w="28" w:type="dxa"/>
              <w:right w:w="28" w:type="dxa"/>
            </w:tcMar>
            <w:vAlign w:val="center"/>
          </w:tcPr>
          <w:p>
            <w:pPr>
              <w:adjustRightInd w:val="0"/>
              <w:snapToGrid w:val="0"/>
              <w:jc w:val="center"/>
              <w:rPr>
                <w:rFonts w:hint="eastAsia" w:cs="宋体"/>
                <w:color w:val="auto"/>
                <w:szCs w:val="21"/>
              </w:rPr>
            </w:pPr>
            <w:r>
              <w:rPr>
                <w:rFonts w:hint="eastAsia" w:cs="宋体"/>
                <w:color w:val="auto"/>
                <w:szCs w:val="21"/>
              </w:rPr>
              <w:t>施工</w:t>
            </w:r>
          </w:p>
          <w:p>
            <w:pPr>
              <w:adjustRightInd w:val="0"/>
              <w:snapToGrid w:val="0"/>
              <w:jc w:val="center"/>
              <w:rPr>
                <w:rFonts w:hint="eastAsia" w:cs="宋体"/>
                <w:color w:val="auto"/>
                <w:szCs w:val="21"/>
              </w:rPr>
            </w:pPr>
            <w:r>
              <w:rPr>
                <w:rFonts w:hint="eastAsia" w:cs="宋体"/>
                <w:color w:val="auto"/>
                <w:szCs w:val="21"/>
              </w:rPr>
              <w:t>期环</w:t>
            </w:r>
          </w:p>
          <w:p>
            <w:pPr>
              <w:adjustRightInd w:val="0"/>
              <w:snapToGrid w:val="0"/>
              <w:jc w:val="center"/>
              <w:rPr>
                <w:rFonts w:hint="eastAsia" w:cs="宋体"/>
                <w:color w:val="auto"/>
                <w:szCs w:val="21"/>
              </w:rPr>
            </w:pPr>
            <w:r>
              <w:rPr>
                <w:rFonts w:hint="eastAsia" w:cs="宋体"/>
                <w:color w:val="auto"/>
                <w:szCs w:val="21"/>
              </w:rPr>
              <w:t>境保</w:t>
            </w:r>
          </w:p>
          <w:p>
            <w:pPr>
              <w:adjustRightInd w:val="0"/>
              <w:snapToGrid w:val="0"/>
              <w:jc w:val="center"/>
              <w:rPr>
                <w:rFonts w:hint="eastAsia" w:cs="宋体"/>
                <w:color w:val="auto"/>
                <w:szCs w:val="21"/>
              </w:rPr>
            </w:pPr>
            <w:r>
              <w:rPr>
                <w:rFonts w:hint="eastAsia" w:cs="宋体"/>
                <w:color w:val="auto"/>
                <w:szCs w:val="21"/>
              </w:rPr>
              <w:t>护措</w:t>
            </w:r>
          </w:p>
          <w:p>
            <w:pPr>
              <w:adjustRightInd w:val="0"/>
              <w:snapToGrid w:val="0"/>
              <w:jc w:val="center"/>
              <w:rPr>
                <w:rFonts w:hint="eastAsia" w:cs="宋体"/>
                <w:bCs/>
                <w:color w:val="FF0000"/>
                <w:szCs w:val="21"/>
              </w:rPr>
            </w:pPr>
            <w:r>
              <w:rPr>
                <w:rFonts w:hint="eastAsia" w:cs="宋体"/>
                <w:color w:val="auto"/>
                <w:szCs w:val="21"/>
              </w:rPr>
              <w:t>施</w:t>
            </w:r>
          </w:p>
        </w:tc>
        <w:tc>
          <w:tcPr>
            <w:tcW w:w="8162" w:type="dxa"/>
            <w:noWrap w:val="0"/>
            <w:vAlign w:val="center"/>
          </w:tcPr>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施工期环境影响简要分析</w:t>
            </w:r>
            <w:r>
              <w:rPr>
                <w:rFonts w:hint="default" w:ascii="Times New Roman" w:hAnsi="Times New Roman" w:eastAsia="宋体" w:cs="Times New Roman"/>
                <w:sz w:val="21"/>
                <w:szCs w:val="21"/>
                <w:lang w:eastAsia="zh-CN"/>
              </w:rPr>
              <w:t>：</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项目施工期间，各项施工活动不可避免地将对周围环境噪声造成破坏和产生影响，主要包括废气和粉尘、噪声、固体废物、废水等对周围环境的影响，而且以粉尘和施工噪声尤为明显。</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废气</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的大气污染源主要为施工区裸露的地表在大风气象条件下易形成风蚀扬尘，其产生量与风力、表土含水率等因素有关。另外建筑材料运输、卸载中的扬尘，土方运输车辆行驶产生的扬尘，临时物料堆场产生的风蚀扬尘，混凝土搅拌产生的水泥粉尘等。但影响程度及范围有限，而且是短期的局部影响。</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为减轻扬尘对区域环境空气质量的不利影响，应根据设计方案对规划中的公共绿地进行合理绿化，以减少表土的裸露。同时建议对各污染源和扬尘点采取以下控制措施。</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bookmarkStart w:id="4" w:name="9"/>
            <w:r>
              <w:rPr>
                <w:rFonts w:hint="default" w:ascii="Times New Roman" w:hAnsi="Times New Roman" w:eastAsia="宋体" w:cs="Times New Roman"/>
                <w:sz w:val="21"/>
                <w:szCs w:val="21"/>
              </w:rPr>
              <w:t>（1）建筑工地自基础施工阶段起，落实好了出入口硬化和冲洗等防尘措施。</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（2）施工期间，土建工地、市政工程和道路施工等，其边界应设置高度1.8米以上围挡。围挡底端应设置防溢座，围挡之间及围挡与防溢座之间应无缝隙。</w:t>
            </w:r>
            <w:bookmarkEnd w:id="4"/>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（3）施工过程中使用水泥、石灰、砂石、涂料、铺装材料等易产生扬尘的建筑材料，应当密闭存储。若工地内堆放，应当采用防尘布苫盖，或采取其他有效的防尘措施。</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施工期间，应在物料、渣土、垃圾运输车辆的出口内侧设置洗车平台，车辆驶离工地前，应在洗车平台清洗轮胎及车身，不得带泥上路。工地出口处铺装道路上可见粘带泥土不得超过10米，并应及时清扫冲洗。</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物料、渣土、垃圾运输车辆，应尽可能采用密闭车斗，保证物料不遗撒外漏。若无密闭车斗，其装载高度不得超过车辆槽帮上沿，车斗应用苫布遮盖严实，苫布边缘至少要遮住槽帮上沿以下15厘米，并按批准时间和路线运输。</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（6）施工</w:t>
            </w:r>
            <w:r>
              <w:rPr>
                <w:rFonts w:hint="eastAsia" w:cs="Times New Roman"/>
                <w:sz w:val="21"/>
                <w:szCs w:val="21"/>
                <w:lang w:eastAsia="zh-CN"/>
              </w:rPr>
              <w:t>场地</w:t>
            </w:r>
            <w:r>
              <w:rPr>
                <w:rFonts w:hint="default" w:ascii="Times New Roman" w:hAnsi="Times New Roman" w:eastAsia="宋体" w:cs="Times New Roman"/>
                <w:sz w:val="21"/>
                <w:szCs w:val="21"/>
              </w:rPr>
              <w:t>内，从建筑上层将具有粉尘逸散性物料、渣土或废弃物，输送至地面或地下楼层时，应从电梯孔道、建筑内部管道或密闭输送管道输送，或打包装框搬运，不得凌空抛洒。</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（7）施工期间，应当对工地建筑结构脚手架外侧设置密目防尘网（不低于2000目/100平方厘米）或防尘布。应当对保洁责任区周围环境进行保洁，保洁责任区范围，一般设在工地周围20米内。</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施工工地内及工地出口至铺装道路间的车行道路应铺设钢板、混凝土、细石等材料，并辅以洒水、喷洒抑尘剂等措施。施工工地道路积尘可采用吸尘或水冲洗的方法清洁路面，不得在未实施洒水等抑尘措施情况下直接清扫。</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（9）开挖时，对作业面适当喷水，使其保持一定的湿度，以减少扬尘量。而且，建筑垃圾及时运走。</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（10）在对弃土和废渣外运方面，采用密闭化运输车辆运输，杜绝施工废渣沿途抛洒。临时堆场尽量设置在敏感点的下风向，且尽量远离敏感点，减少对周边敏感点的影响。</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（11）工地内裸露地面，应覆盖防尘网、防尘布，或铺设细石等材料、喷洒抑尘剂、植被绿化等防尘措施。闲置3个月以上的施工工地，建设单位应当对其裸露泥地进行临时绿化或铺装。</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（12）开挖、运输和填筑土方等工程施工中，对干燥、易起尘的土方工程，应辅以洒水压尘，尽量缩短起尘操作时间。遇到四级或四级以上大风天气，应停止土方作业，并在作业处覆盖防尘网。</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（13）建筑垃圾、工程渣土等应当及时清运。在48小时内未能清运的，应当在施工工地内设置临时堆放场内临时堆放，临时堆放场应采取围挡、遮盖等有效防尘措施。</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（14）需使用混凝土的，应当使用预拌商品混凝土，或者进行密闭搅拌并采取相应的扬尘防治措施，不得现场露天搅拌混凝土、消化石灰及拌石灰土等。</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划分物料区和道路界限，及时清除散落的物料，保持道路整洁并及时清洗。根据《安徽省建筑工程施工预拌混凝土生产扬尘污染防治标准》，环评要求企业做到“六个百分百”，分别是：施工工地周边100%围挡；物料堆放100%覆盖；出入车辆100%冲洗；施工现场路面100%硬化；拆迁工地100%湿法作业；渣土车辆100%，密闭运输。</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经上述措施治理后，项目施工期废气能得到有效控制，减小对周边环境的不利影响。且项目施工期是偶然的、短暂的，其不利影响会随着施工期结束而消失。</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废水</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施工过程产生的废水主要有生产废水和施工人员生活污水。针对本项目的施工期的生产废水和施工人员生活污水，采用以下防治措施：</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1、生产废水</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施工期废水污染源主要有施工区的地面清洗和施工机械、建材冲洗产生的废水，施工期的主要水污染物为BOD</w:t>
            </w:r>
            <w:r>
              <w:rPr>
                <w:rFonts w:hint="default" w:ascii="Times New Roman" w:hAnsi="Times New Roman" w:eastAsia="宋体" w:cs="Times New Roman"/>
                <w:sz w:val="21"/>
                <w:szCs w:val="21"/>
                <w:vertAlign w:val="subscript"/>
              </w:rPr>
              <w:t>5</w:t>
            </w:r>
            <w:r>
              <w:rPr>
                <w:rFonts w:hint="default" w:ascii="Times New Roman" w:hAnsi="Times New Roman" w:eastAsia="宋体" w:cs="Times New Roman"/>
                <w:sz w:val="21"/>
                <w:szCs w:val="21"/>
              </w:rPr>
              <w:t>、COD、SS、NH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-N和石油类。</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项目施工期生产废水包括开挖、钻孔产生的泥浆水和各种施工机械设备运转的冷却及洗涤用水。前者含有大量的</w:t>
            </w:r>
            <w:r>
              <w:rPr>
                <w:rFonts w:hint="eastAsia" w:cs="Times New Roman"/>
                <w:sz w:val="21"/>
                <w:szCs w:val="21"/>
                <w:lang w:eastAsia="zh-CN"/>
              </w:rPr>
              <w:t>泥沙</w:t>
            </w:r>
            <w:r>
              <w:rPr>
                <w:rFonts w:hint="default" w:ascii="Times New Roman" w:hAnsi="Times New Roman" w:eastAsia="宋体" w:cs="Times New Roman"/>
                <w:sz w:val="21"/>
                <w:szCs w:val="21"/>
              </w:rPr>
              <w:t>，后者则会有一定量的油污。在设备安装过程中，因调试、清洗设备，也会产生一定量的含油废水，清洗废水的排放特点是间歇式排放，废水量不稳定。但是，如果施工中节水措施不落实，冲洗用水无节制，自来水在施工现场随意流淌，从而导致冲洗废水排放量增大，势必对周围环境造成一定影响。</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于施工中的冲洗废水，建议在加强施工现场管理、杜绝人为浪费的同时，在低洼地设置临时的废水沉淀池一座，收集施工中所排放的各类废水；沉淀一定时间后，作为施工用水的一部分重复使用，这样既节约了水资源，又减轻了对周围环境的污染。</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施工过程中产生的泥浆废水应设沉淀池收集后部分回用，少量泼洒场地，这样对环境影响很小。</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2、生活污水</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施工期间，工地设施工营地，施工营地设</w:t>
            </w:r>
            <w:r>
              <w:rPr>
                <w:rFonts w:hint="eastAsia" w:cs="Times New Roman"/>
                <w:sz w:val="21"/>
                <w:szCs w:val="21"/>
                <w:lang w:val="en-US" w:eastAsia="zh-CN"/>
              </w:rPr>
              <w:t>租赁厂区周边小区</w:t>
            </w:r>
            <w:r>
              <w:rPr>
                <w:rFonts w:hint="default" w:ascii="Times New Roman" w:hAnsi="Times New Roman" w:eastAsia="宋体" w:cs="Times New Roman"/>
                <w:sz w:val="21"/>
                <w:szCs w:val="21"/>
              </w:rPr>
              <w:t>。生活污水主要污染物是COD、BOD</w:t>
            </w:r>
            <w:r>
              <w:rPr>
                <w:rFonts w:hint="default" w:ascii="Times New Roman" w:hAnsi="Times New Roman" w:eastAsia="宋体" w:cs="Times New Roman"/>
                <w:sz w:val="21"/>
                <w:szCs w:val="21"/>
                <w:vertAlign w:val="subscript"/>
              </w:rPr>
              <w:t>5</w:t>
            </w:r>
            <w:r>
              <w:rPr>
                <w:rFonts w:hint="default" w:ascii="Times New Roman" w:hAnsi="Times New Roman" w:eastAsia="宋体" w:cs="Times New Roman"/>
                <w:sz w:val="21"/>
                <w:szCs w:val="21"/>
              </w:rPr>
              <w:t>和氨氮等。根据类比调查结果，施工期废水中污染物主要为COD、BOD</w:t>
            </w:r>
            <w:r>
              <w:rPr>
                <w:rFonts w:hint="eastAsia" w:cs="Times New Roman"/>
                <w:sz w:val="21"/>
                <w:szCs w:val="21"/>
                <w:vertAlign w:val="subscript"/>
                <w:lang w:val="en-US" w:eastAsia="zh-CN"/>
              </w:rPr>
              <w:t>5</w:t>
            </w:r>
            <w:r>
              <w:rPr>
                <w:rFonts w:hint="default" w:ascii="Times New Roman" w:hAnsi="Times New Roman" w:eastAsia="宋体" w:cs="Times New Roman"/>
                <w:sz w:val="21"/>
                <w:szCs w:val="21"/>
              </w:rPr>
              <w:t>、SS、NH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-N，污染物浓度较低。</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eastAsia" w:cs="Times New Roman"/>
                <w:sz w:val="21"/>
                <w:szCs w:val="21"/>
                <w:lang w:val="en-US" w:eastAsia="zh-CN"/>
              </w:rPr>
              <w:t>生活污水依托租赁小区市政污水管网排入</w:t>
            </w:r>
            <w:r>
              <w:rPr>
                <w:rFonts w:hint="default" w:ascii="Times New Roman" w:hAnsi="Times New Roman" w:cs="Times New Roman"/>
                <w:color w:val="auto"/>
                <w:kern w:val="0"/>
                <w:sz w:val="21"/>
                <w:szCs w:val="21"/>
                <w:lang w:val="en-US" w:eastAsia="zh-CN"/>
              </w:rPr>
              <w:t>安成经济开发区污水处理厂</w:t>
            </w:r>
            <w:r>
              <w:rPr>
                <w:rFonts w:hint="default" w:ascii="Times New Roman" w:hAnsi="Times New Roman" w:eastAsia="宋体" w:cs="Times New Roman"/>
                <w:sz w:val="21"/>
                <w:szCs w:val="21"/>
              </w:rPr>
              <w:t>，项目施工期废水经上述措施处理后，施工生产性废水不外排，因此对周边水体影响较小。</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3、施工期水环境污染防治措施建议</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本工程施工期对环境的影响主要由于施工区的生产废水、施工队伍的生活污水排入受纳水体后产生的影响。为了减少因施工带来的水体污染，应采取措施后，使施工期产生的废污水对环境的</w:t>
            </w:r>
            <w:r>
              <w:rPr>
                <w:rFonts w:hint="eastAsia" w:cs="Times New Roman"/>
                <w:sz w:val="21"/>
                <w:szCs w:val="21"/>
                <w:lang w:eastAsia="zh-CN"/>
              </w:rPr>
              <w:t>影响</w:t>
            </w:r>
            <w:r>
              <w:rPr>
                <w:rFonts w:hint="default" w:ascii="Times New Roman" w:hAnsi="Times New Roman" w:eastAsia="宋体" w:cs="Times New Roman"/>
                <w:sz w:val="21"/>
                <w:szCs w:val="21"/>
              </w:rPr>
              <w:t>降到最低水平。</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（1）本工程施工</w:t>
            </w:r>
            <w:r>
              <w:rPr>
                <w:rFonts w:hint="eastAsia" w:cs="Times New Roman"/>
                <w:sz w:val="21"/>
                <w:szCs w:val="21"/>
                <w:lang w:eastAsia="zh-CN"/>
              </w:rPr>
              <w:t>废水</w:t>
            </w:r>
            <w:r>
              <w:rPr>
                <w:rFonts w:hint="default" w:ascii="Times New Roman" w:hAnsi="Times New Roman" w:eastAsia="宋体" w:cs="Times New Roman"/>
                <w:sz w:val="21"/>
                <w:szCs w:val="21"/>
              </w:rPr>
              <w:t>、污水禁止直接排入地表水体；</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（2）施工人员的生活污水，需集中外运或者设立临时厕所，不得任意排放。</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要求建设单位在进行设备及车辆冲洗时应固定地点，不允许将冲洗水随时随地排放，避免造成对环境的污染，同时要节约用水；针对施工外排废水类型，在施工场所修沉淀池，用来集中处理施工期产生的生产废水。</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left"/>
              <w:textAlignment w:val="auto"/>
              <w:rPr>
                <w:rFonts w:hint="eastAsia"/>
                <w:color w:val="FF0000"/>
                <w:lang w:val="en-US"/>
              </w:rPr>
            </w:pPr>
            <w:r>
              <w:rPr>
                <w:rFonts w:hint="default" w:ascii="Times New Roman" w:hAnsi="Times New Roman" w:eastAsia="宋体" w:cs="Times New Roman"/>
                <w:sz w:val="21"/>
                <w:szCs w:val="21"/>
              </w:rPr>
              <w:t>（4）加强对施工人员的教育，贯彻文明施工的原则，严格按施工操作规范执行，避免和减少污染事故发生。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46" w:type="dxa"/>
            <w:noWrap w:val="0"/>
            <w:tcMar>
              <w:left w:w="28" w:type="dxa"/>
              <w:right w:w="28" w:type="dxa"/>
            </w:tcMar>
            <w:vAlign w:val="center"/>
          </w:tcPr>
          <w:p>
            <w:pPr>
              <w:adjustRightInd w:val="0"/>
              <w:snapToGrid w:val="0"/>
              <w:jc w:val="center"/>
              <w:rPr>
                <w:rFonts w:hint="eastAsia" w:ascii="宋体" w:hAnsi="宋体" w:cs="宋体"/>
                <w:bCs/>
                <w:color w:val="auto"/>
                <w:szCs w:val="21"/>
              </w:rPr>
            </w:pPr>
            <w:r>
              <w:rPr>
                <w:rFonts w:hint="eastAsia" w:ascii="宋体" w:hAnsi="宋体" w:cs="宋体"/>
                <w:bCs/>
                <w:color w:val="auto"/>
                <w:szCs w:val="21"/>
              </w:rPr>
              <w:t>运营</w:t>
            </w:r>
          </w:p>
          <w:p>
            <w:pPr>
              <w:adjustRightInd w:val="0"/>
              <w:snapToGrid w:val="0"/>
              <w:jc w:val="center"/>
              <w:rPr>
                <w:rFonts w:hint="eastAsia" w:ascii="宋体" w:hAnsi="宋体" w:cs="宋体"/>
                <w:bCs/>
                <w:color w:val="auto"/>
                <w:szCs w:val="21"/>
              </w:rPr>
            </w:pPr>
            <w:r>
              <w:rPr>
                <w:rFonts w:hint="eastAsia" w:ascii="宋体" w:hAnsi="宋体" w:cs="宋体"/>
                <w:bCs/>
                <w:color w:val="auto"/>
                <w:szCs w:val="21"/>
              </w:rPr>
              <w:t>期环</w:t>
            </w:r>
          </w:p>
          <w:p>
            <w:pPr>
              <w:adjustRightInd w:val="0"/>
              <w:snapToGrid w:val="0"/>
              <w:jc w:val="center"/>
              <w:rPr>
                <w:rFonts w:hint="eastAsia" w:ascii="宋体" w:hAnsi="宋体" w:cs="宋体"/>
                <w:bCs/>
                <w:color w:val="auto"/>
                <w:szCs w:val="21"/>
              </w:rPr>
            </w:pPr>
            <w:r>
              <w:rPr>
                <w:rFonts w:hint="eastAsia" w:ascii="宋体" w:hAnsi="宋体" w:cs="宋体"/>
                <w:bCs/>
                <w:color w:val="auto"/>
                <w:szCs w:val="21"/>
              </w:rPr>
              <w:t>境影</w:t>
            </w:r>
          </w:p>
          <w:p>
            <w:pPr>
              <w:adjustRightInd w:val="0"/>
              <w:snapToGrid w:val="0"/>
              <w:jc w:val="center"/>
              <w:rPr>
                <w:rFonts w:hint="eastAsia" w:ascii="宋体" w:hAnsi="宋体" w:cs="宋体"/>
                <w:bCs/>
                <w:color w:val="auto"/>
                <w:szCs w:val="21"/>
              </w:rPr>
            </w:pPr>
            <w:r>
              <w:rPr>
                <w:rFonts w:hint="eastAsia" w:ascii="宋体" w:hAnsi="宋体" w:cs="宋体"/>
                <w:bCs/>
                <w:color w:val="auto"/>
                <w:szCs w:val="21"/>
              </w:rPr>
              <w:t>响和</w:t>
            </w:r>
          </w:p>
          <w:p>
            <w:pPr>
              <w:adjustRightInd w:val="0"/>
              <w:snapToGrid w:val="0"/>
              <w:jc w:val="center"/>
              <w:rPr>
                <w:rFonts w:hint="eastAsia" w:ascii="宋体" w:hAnsi="宋体" w:cs="宋体"/>
                <w:bCs/>
                <w:color w:val="auto"/>
                <w:szCs w:val="21"/>
              </w:rPr>
            </w:pPr>
            <w:r>
              <w:rPr>
                <w:rFonts w:hint="eastAsia" w:ascii="宋体" w:hAnsi="宋体" w:cs="宋体"/>
                <w:bCs/>
                <w:color w:val="auto"/>
                <w:szCs w:val="21"/>
              </w:rPr>
              <w:t>保护</w:t>
            </w:r>
          </w:p>
          <w:p>
            <w:pPr>
              <w:adjustRightInd w:val="0"/>
              <w:snapToGrid w:val="0"/>
              <w:jc w:val="center"/>
              <w:rPr>
                <w:rFonts w:ascii="宋体" w:hAnsi="宋体" w:cs="宋体"/>
                <w:bCs/>
                <w:color w:val="FF0000"/>
                <w:szCs w:val="21"/>
              </w:rPr>
            </w:pPr>
            <w:r>
              <w:rPr>
                <w:rFonts w:hint="eastAsia" w:ascii="宋体" w:hAnsi="宋体" w:cs="宋体"/>
                <w:bCs/>
                <w:color w:val="auto"/>
                <w:szCs w:val="21"/>
              </w:rPr>
              <w:t>措施</w:t>
            </w:r>
          </w:p>
        </w:tc>
        <w:tc>
          <w:tcPr>
            <w:tcW w:w="8162" w:type="dxa"/>
            <w:noWrap w:val="0"/>
            <w:vAlign w:val="center"/>
          </w:tcPr>
          <w:p>
            <w:pPr>
              <w:pStyle w:val="147"/>
              <w:ind w:firstLine="422"/>
              <w:rPr>
                <w:b/>
                <w:bCs w:val="0"/>
                <w:color w:val="auto"/>
              </w:rPr>
            </w:pPr>
            <w:r>
              <w:rPr>
                <w:rFonts w:hint="eastAsia"/>
                <w:b/>
                <w:bCs w:val="0"/>
                <w:color w:val="auto"/>
              </w:rPr>
              <w:t>一、大气环境影响和保护措施</w:t>
            </w:r>
          </w:p>
          <w:p>
            <w:pPr>
              <w:pStyle w:val="147"/>
              <w:ind w:firstLine="422"/>
              <w:rPr>
                <w:b/>
                <w:bCs w:val="0"/>
                <w:color w:val="auto"/>
              </w:rPr>
            </w:pPr>
            <w:r>
              <w:rPr>
                <w:rFonts w:hint="eastAsia"/>
                <w:b/>
                <w:bCs w:val="0"/>
                <w:color w:val="auto"/>
              </w:rPr>
              <w:t>1、废气污染物排放情况</w:t>
            </w:r>
          </w:p>
          <w:p>
            <w:pPr>
              <w:pStyle w:val="147"/>
              <w:rPr>
                <w:color w:val="auto"/>
              </w:rPr>
            </w:pPr>
            <w:r>
              <w:rPr>
                <w:rFonts w:hint="eastAsia"/>
                <w:color w:val="auto"/>
              </w:rPr>
              <w:t>本项目废气产排情况见表4-</w:t>
            </w:r>
            <w:r>
              <w:rPr>
                <w:color w:val="auto"/>
              </w:rPr>
              <w:t>1</w:t>
            </w:r>
            <w:r>
              <w:rPr>
                <w:rFonts w:hint="eastAsia"/>
                <w:color w:val="auto"/>
              </w:rPr>
              <w:t>。</w:t>
            </w:r>
          </w:p>
          <w:p>
            <w:pPr>
              <w:pStyle w:val="147"/>
              <w:rPr>
                <w:color w:val="auto"/>
              </w:rPr>
            </w:pPr>
            <w:r>
              <w:rPr>
                <w:rFonts w:hint="eastAsia"/>
                <w:color w:val="auto"/>
              </w:rPr>
              <w:t>本项目大气污染物无组织排放信息汇总见表4-</w:t>
            </w:r>
            <w:r>
              <w:rPr>
                <w:rFonts w:hint="eastAsia"/>
                <w:color w:val="auto"/>
                <w:lang w:val="en-US" w:eastAsia="zh-CN"/>
              </w:rPr>
              <w:t>2</w:t>
            </w:r>
            <w:r>
              <w:rPr>
                <w:rFonts w:hint="eastAsia"/>
                <w:color w:val="auto"/>
              </w:rPr>
              <w:t>。</w:t>
            </w:r>
          </w:p>
          <w:p>
            <w:pPr>
              <w:pStyle w:val="147"/>
              <w:rPr>
                <w:color w:val="auto"/>
              </w:rPr>
            </w:pPr>
            <w:r>
              <w:rPr>
                <w:rFonts w:hint="eastAsia"/>
                <w:color w:val="auto"/>
              </w:rPr>
              <w:t>本项目废气例行监测要求汇总见表4-</w:t>
            </w:r>
            <w:r>
              <w:rPr>
                <w:rFonts w:hint="eastAsia"/>
                <w:color w:val="auto"/>
                <w:lang w:val="en-US" w:eastAsia="zh-CN"/>
              </w:rPr>
              <w:t>3</w:t>
            </w:r>
            <w:r>
              <w:rPr>
                <w:rFonts w:hint="eastAsia"/>
                <w:color w:val="auto"/>
              </w:rPr>
              <w:t>。</w:t>
            </w:r>
          </w:p>
          <w:p>
            <w:pPr>
              <w:pStyle w:val="126"/>
              <w:ind w:firstLine="480"/>
              <w:rPr>
                <w:color w:val="FF0000"/>
              </w:rPr>
            </w:pPr>
          </w:p>
          <w:p>
            <w:pPr>
              <w:pStyle w:val="126"/>
              <w:ind w:firstLine="480"/>
              <w:rPr>
                <w:rFonts w:hint="eastAsia"/>
                <w:color w:val="FF0000"/>
              </w:rPr>
            </w:pPr>
          </w:p>
          <w:p>
            <w:pPr>
              <w:pStyle w:val="126"/>
              <w:ind w:firstLine="480"/>
              <w:rPr>
                <w:rFonts w:hint="eastAsia"/>
                <w:color w:val="FF0000"/>
              </w:rPr>
            </w:pPr>
          </w:p>
          <w:p>
            <w:pPr>
              <w:pStyle w:val="126"/>
              <w:ind w:firstLine="480"/>
              <w:rPr>
                <w:rFonts w:hint="eastAsia"/>
                <w:color w:val="FF0000"/>
              </w:rPr>
            </w:pPr>
          </w:p>
          <w:p>
            <w:pPr>
              <w:pStyle w:val="126"/>
              <w:ind w:firstLine="480"/>
              <w:rPr>
                <w:rFonts w:hint="eastAsia"/>
                <w:color w:val="FF0000"/>
              </w:rPr>
            </w:pPr>
          </w:p>
          <w:p>
            <w:pPr>
              <w:pStyle w:val="126"/>
              <w:ind w:firstLine="480"/>
              <w:rPr>
                <w:rFonts w:hint="eastAsia"/>
                <w:color w:val="FF0000"/>
              </w:rPr>
            </w:pPr>
          </w:p>
          <w:p>
            <w:pPr>
              <w:pStyle w:val="126"/>
              <w:ind w:firstLine="480"/>
              <w:rPr>
                <w:rFonts w:hint="eastAsia"/>
                <w:color w:val="FF0000"/>
              </w:rPr>
            </w:pPr>
          </w:p>
          <w:p>
            <w:pPr>
              <w:pStyle w:val="126"/>
              <w:ind w:firstLine="480"/>
              <w:rPr>
                <w:rFonts w:hint="eastAsia"/>
                <w:color w:val="FF0000"/>
              </w:rPr>
            </w:pPr>
          </w:p>
          <w:p>
            <w:pPr>
              <w:pStyle w:val="126"/>
              <w:ind w:firstLine="480"/>
              <w:rPr>
                <w:rFonts w:hint="eastAsia"/>
                <w:color w:val="FF0000"/>
              </w:rPr>
            </w:pPr>
          </w:p>
          <w:p>
            <w:pPr>
              <w:pStyle w:val="126"/>
              <w:ind w:firstLine="480"/>
              <w:rPr>
                <w:rFonts w:hint="eastAsia"/>
                <w:color w:val="FF0000"/>
              </w:rPr>
            </w:pPr>
          </w:p>
        </w:tc>
      </w:tr>
    </w:tbl>
    <w:p>
      <w:pPr>
        <w:pStyle w:val="126"/>
        <w:ind w:firstLine="480"/>
        <w:rPr>
          <w:rFonts w:hint="eastAsia"/>
          <w:color w:val="FF0000"/>
        </w:rPr>
      </w:pPr>
    </w:p>
    <w:p>
      <w:pPr>
        <w:pStyle w:val="87"/>
        <w:rPr>
          <w:color w:val="FF0000"/>
        </w:rPr>
        <w:sectPr>
          <w:pgSz w:w="11907" w:h="16840"/>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pPr>
        <w:pStyle w:val="149"/>
        <w:spacing w:line="300" w:lineRule="exact"/>
        <w:rPr>
          <w:rFonts w:hint="eastAsia"/>
          <w:snapToGrid w:val="0"/>
          <w:color w:val="auto"/>
        </w:rPr>
      </w:pPr>
      <w:r>
        <w:rPr>
          <w:rFonts w:hint="eastAsia"/>
          <w:snapToGrid w:val="0"/>
          <w:color w:val="auto"/>
        </w:rPr>
        <w:t>表4-</w:t>
      </w:r>
      <w:r>
        <w:rPr>
          <w:snapToGrid w:val="0"/>
          <w:color w:val="auto"/>
        </w:rPr>
        <w:t>1</w:t>
      </w:r>
      <w:r>
        <w:rPr>
          <w:rFonts w:hint="eastAsia"/>
          <w:snapToGrid w:val="0"/>
          <w:color w:val="auto"/>
        </w:rPr>
        <w:t xml:space="preserve"> </w:t>
      </w:r>
      <w:r>
        <w:rPr>
          <w:rFonts w:hint="eastAsia"/>
          <w:snapToGrid w:val="0"/>
          <w:color w:val="auto"/>
          <w:lang w:val="en-US" w:eastAsia="zh-CN"/>
        </w:rPr>
        <w:t xml:space="preserve"> 本</w:t>
      </w:r>
      <w:r>
        <w:rPr>
          <w:rFonts w:hint="eastAsia"/>
          <w:snapToGrid w:val="0"/>
          <w:color w:val="auto"/>
        </w:rPr>
        <w:t>项目废气产排污节点、污染物产排及污染治理设施信息表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53"/>
        <w:gridCol w:w="675"/>
        <w:gridCol w:w="898"/>
        <w:gridCol w:w="920"/>
        <w:gridCol w:w="821"/>
        <w:gridCol w:w="563"/>
        <w:gridCol w:w="859"/>
        <w:gridCol w:w="571"/>
        <w:gridCol w:w="716"/>
        <w:gridCol w:w="1007"/>
        <w:gridCol w:w="862"/>
        <w:gridCol w:w="773"/>
        <w:gridCol w:w="765"/>
        <w:gridCol w:w="1096"/>
        <w:gridCol w:w="92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51" w:type="pct"/>
            <w:vMerge w:val="restar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工序</w:t>
            </w:r>
          </w:p>
        </w:tc>
        <w:tc>
          <w:tcPr>
            <w:tcW w:w="280" w:type="pct"/>
            <w:vMerge w:val="restar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污染物</w:t>
            </w:r>
          </w:p>
        </w:tc>
        <w:tc>
          <w:tcPr>
            <w:tcW w:w="1231" w:type="pct"/>
            <w:gridSpan w:val="4"/>
            <w:vMerge w:val="restar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污染物产生情况</w:t>
            </w:r>
          </w:p>
        </w:tc>
        <w:tc>
          <w:tcPr>
            <w:tcW w:w="1006" w:type="pct"/>
            <w:gridSpan w:val="4"/>
            <w:vMerge w:val="restar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治理设施</w:t>
            </w:r>
          </w:p>
        </w:tc>
        <w:tc>
          <w:tcPr>
            <w:tcW w:w="2016" w:type="pct"/>
            <w:gridSpan w:val="6"/>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污染物排放情况</w:t>
            </w:r>
          </w:p>
        </w:tc>
        <w:tc>
          <w:tcPr>
            <w:tcW w:w="214" w:type="pct"/>
            <w:vMerge w:val="restar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排放时间h</w:t>
            </w:r>
            <w:r>
              <w:rPr>
                <w:color w:val="auto"/>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51" w:type="pct"/>
            <w:vMerge w:val="continue"/>
            <w:noWrap w:val="0"/>
            <w:vAlign w:val="center"/>
          </w:tcPr>
          <w:p>
            <w:pPr>
              <w:pStyle w:val="147"/>
              <w:spacing w:line="240" w:lineRule="atLeast"/>
              <w:ind w:firstLine="0" w:firstLineChars="0"/>
              <w:jc w:val="center"/>
              <w:rPr>
                <w:color w:val="auto"/>
                <w:sz w:val="18"/>
                <w:szCs w:val="18"/>
              </w:rPr>
            </w:pPr>
          </w:p>
        </w:tc>
        <w:tc>
          <w:tcPr>
            <w:tcW w:w="280" w:type="pct"/>
            <w:vMerge w:val="continue"/>
            <w:noWrap w:val="0"/>
            <w:vAlign w:val="center"/>
          </w:tcPr>
          <w:p>
            <w:pPr>
              <w:pStyle w:val="147"/>
              <w:spacing w:line="240" w:lineRule="atLeast"/>
              <w:ind w:firstLine="0" w:firstLineChars="0"/>
              <w:jc w:val="center"/>
              <w:rPr>
                <w:color w:val="auto"/>
                <w:sz w:val="18"/>
                <w:szCs w:val="18"/>
              </w:rPr>
            </w:pPr>
          </w:p>
        </w:tc>
        <w:tc>
          <w:tcPr>
            <w:tcW w:w="1231" w:type="pct"/>
            <w:gridSpan w:val="4"/>
            <w:vMerge w:val="continue"/>
            <w:noWrap w:val="0"/>
            <w:vAlign w:val="center"/>
          </w:tcPr>
          <w:p>
            <w:pPr>
              <w:pStyle w:val="147"/>
              <w:spacing w:line="240" w:lineRule="atLeast"/>
              <w:ind w:firstLine="0" w:firstLineChars="0"/>
              <w:jc w:val="center"/>
              <w:rPr>
                <w:color w:val="auto"/>
                <w:sz w:val="18"/>
                <w:szCs w:val="18"/>
              </w:rPr>
            </w:pPr>
          </w:p>
        </w:tc>
        <w:tc>
          <w:tcPr>
            <w:tcW w:w="1006" w:type="pct"/>
            <w:gridSpan w:val="4"/>
            <w:vMerge w:val="continue"/>
            <w:noWrap w:val="0"/>
            <w:vAlign w:val="center"/>
          </w:tcPr>
          <w:p>
            <w:pPr>
              <w:pStyle w:val="147"/>
              <w:spacing w:line="240" w:lineRule="atLeast"/>
              <w:ind w:firstLine="0" w:firstLineChars="0"/>
              <w:jc w:val="center"/>
              <w:rPr>
                <w:color w:val="auto"/>
                <w:sz w:val="18"/>
                <w:szCs w:val="18"/>
              </w:rPr>
            </w:pPr>
          </w:p>
        </w:tc>
        <w:tc>
          <w:tcPr>
            <w:tcW w:w="1265" w:type="pct"/>
            <w:gridSpan w:val="4"/>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有组织</w:t>
            </w:r>
          </w:p>
        </w:tc>
        <w:tc>
          <w:tcPr>
            <w:tcW w:w="750" w:type="pct"/>
            <w:gridSpan w:val="2"/>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无组织</w:t>
            </w:r>
          </w:p>
        </w:tc>
        <w:tc>
          <w:tcPr>
            <w:tcW w:w="214" w:type="pct"/>
            <w:vMerge w:val="continue"/>
            <w:noWrap w:val="0"/>
            <w:vAlign w:val="center"/>
          </w:tcPr>
          <w:p>
            <w:pPr>
              <w:pStyle w:val="147"/>
              <w:spacing w:line="240" w:lineRule="atLeast"/>
              <w:ind w:firstLine="0" w:firstLineChars="0"/>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Merge w:val="continue"/>
            <w:noWrap w:val="0"/>
            <w:vAlign w:val="center"/>
          </w:tcPr>
          <w:p>
            <w:pPr>
              <w:pStyle w:val="147"/>
              <w:spacing w:line="240" w:lineRule="atLeast"/>
              <w:ind w:firstLine="0" w:firstLineChars="0"/>
              <w:jc w:val="center"/>
              <w:rPr>
                <w:color w:val="auto"/>
                <w:sz w:val="18"/>
                <w:szCs w:val="18"/>
              </w:rPr>
            </w:pPr>
          </w:p>
        </w:tc>
        <w:tc>
          <w:tcPr>
            <w:tcW w:w="280" w:type="pct"/>
            <w:vMerge w:val="continue"/>
            <w:noWrap w:val="0"/>
            <w:vAlign w:val="center"/>
          </w:tcPr>
          <w:p>
            <w:pPr>
              <w:pStyle w:val="147"/>
              <w:spacing w:line="240" w:lineRule="atLeast"/>
              <w:ind w:firstLine="0" w:firstLineChars="0"/>
              <w:jc w:val="center"/>
              <w:rPr>
                <w:color w:val="auto"/>
                <w:sz w:val="18"/>
                <w:szCs w:val="18"/>
              </w:rPr>
            </w:pPr>
          </w:p>
        </w:tc>
        <w:tc>
          <w:tcPr>
            <w:tcW w:w="251"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废气量</w:t>
            </w:r>
          </w:p>
          <w:p>
            <w:pPr>
              <w:pStyle w:val="147"/>
              <w:spacing w:line="240" w:lineRule="atLeast"/>
              <w:ind w:firstLine="0" w:firstLineChars="0"/>
              <w:jc w:val="center"/>
              <w:rPr>
                <w:color w:val="auto"/>
                <w:sz w:val="18"/>
                <w:szCs w:val="18"/>
              </w:rPr>
            </w:pPr>
            <w:r>
              <w:rPr>
                <w:color w:val="auto"/>
                <w:sz w:val="18"/>
                <w:szCs w:val="18"/>
              </w:rPr>
              <w:t>m</w:t>
            </w:r>
            <w:r>
              <w:rPr>
                <w:color w:val="auto"/>
                <w:sz w:val="18"/>
                <w:szCs w:val="18"/>
                <w:vertAlign w:val="superscript"/>
              </w:rPr>
              <w:t>3</w:t>
            </w:r>
            <w:r>
              <w:rPr>
                <w:color w:val="auto"/>
                <w:sz w:val="18"/>
                <w:szCs w:val="18"/>
              </w:rPr>
              <w:t>/h</w:t>
            </w:r>
          </w:p>
        </w:tc>
        <w:tc>
          <w:tcPr>
            <w:tcW w:w="333"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产生量</w:t>
            </w:r>
          </w:p>
          <w:p>
            <w:pPr>
              <w:pStyle w:val="147"/>
              <w:spacing w:line="240" w:lineRule="atLeast"/>
              <w:ind w:firstLine="0" w:firstLineChars="0"/>
              <w:jc w:val="center"/>
              <w:rPr>
                <w:color w:val="auto"/>
                <w:sz w:val="18"/>
                <w:szCs w:val="18"/>
              </w:rPr>
            </w:pPr>
            <w:r>
              <w:rPr>
                <w:rFonts w:hint="eastAsia"/>
                <w:color w:val="auto"/>
                <w:sz w:val="18"/>
                <w:szCs w:val="18"/>
                <w:lang w:eastAsia="zh-CN"/>
              </w:rPr>
              <w:t>t</w:t>
            </w:r>
            <w:r>
              <w:rPr>
                <w:color w:val="auto"/>
                <w:sz w:val="18"/>
                <w:szCs w:val="18"/>
              </w:rPr>
              <w:t>/a</w:t>
            </w:r>
          </w:p>
        </w:tc>
        <w:tc>
          <w:tcPr>
            <w:tcW w:w="342"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浓度</w:t>
            </w:r>
          </w:p>
          <w:p>
            <w:pPr>
              <w:pStyle w:val="147"/>
              <w:spacing w:line="240" w:lineRule="atLeast"/>
              <w:ind w:firstLine="0" w:firstLineChars="0"/>
              <w:jc w:val="center"/>
              <w:rPr>
                <w:color w:val="auto"/>
                <w:sz w:val="18"/>
                <w:szCs w:val="18"/>
              </w:rPr>
            </w:pPr>
            <w:r>
              <w:rPr>
                <w:rFonts w:hint="eastAsia"/>
                <w:color w:val="auto"/>
                <w:sz w:val="18"/>
                <w:szCs w:val="18"/>
              </w:rPr>
              <w:t>m</w:t>
            </w:r>
            <w:r>
              <w:rPr>
                <w:color w:val="auto"/>
                <w:sz w:val="18"/>
                <w:szCs w:val="18"/>
              </w:rPr>
              <w:t>g/m</w:t>
            </w:r>
            <w:r>
              <w:rPr>
                <w:color w:val="auto"/>
                <w:sz w:val="18"/>
                <w:szCs w:val="18"/>
                <w:vertAlign w:val="superscript"/>
              </w:rPr>
              <w:t>3</w:t>
            </w:r>
          </w:p>
        </w:tc>
        <w:tc>
          <w:tcPr>
            <w:tcW w:w="304"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速率</w:t>
            </w:r>
          </w:p>
          <w:p>
            <w:pPr>
              <w:pStyle w:val="147"/>
              <w:spacing w:line="240" w:lineRule="atLeast"/>
              <w:ind w:firstLine="0" w:firstLineChars="0"/>
              <w:jc w:val="center"/>
              <w:rPr>
                <w:color w:val="auto"/>
                <w:sz w:val="18"/>
                <w:szCs w:val="18"/>
              </w:rPr>
            </w:pPr>
            <w:r>
              <w:rPr>
                <w:rFonts w:hint="eastAsia"/>
                <w:color w:val="auto"/>
                <w:sz w:val="18"/>
                <w:szCs w:val="18"/>
              </w:rPr>
              <w:t>k</w:t>
            </w:r>
            <w:r>
              <w:rPr>
                <w:color w:val="auto"/>
                <w:sz w:val="18"/>
                <w:szCs w:val="18"/>
              </w:rPr>
              <w:t>g/h</w:t>
            </w:r>
          </w:p>
        </w:tc>
        <w:tc>
          <w:tcPr>
            <w:tcW w:w="209"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收集效率</w:t>
            </w:r>
          </w:p>
          <w:p>
            <w:pPr>
              <w:pStyle w:val="147"/>
              <w:spacing w:line="240" w:lineRule="atLeast"/>
              <w:ind w:firstLine="0" w:firstLineChars="0"/>
              <w:jc w:val="center"/>
              <w:rPr>
                <w:color w:val="auto"/>
                <w:sz w:val="18"/>
                <w:szCs w:val="18"/>
              </w:rPr>
            </w:pPr>
            <w:r>
              <w:rPr>
                <w:rFonts w:hint="eastAsia"/>
                <w:color w:val="auto"/>
                <w:sz w:val="18"/>
                <w:szCs w:val="18"/>
              </w:rPr>
              <w:t>%</w:t>
            </w:r>
          </w:p>
        </w:tc>
        <w:tc>
          <w:tcPr>
            <w:tcW w:w="319"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治理工艺</w:t>
            </w:r>
          </w:p>
        </w:tc>
        <w:tc>
          <w:tcPr>
            <w:tcW w:w="212"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去除效率%</w:t>
            </w:r>
          </w:p>
        </w:tc>
        <w:tc>
          <w:tcPr>
            <w:tcW w:w="266"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是否为可行性技术</w:t>
            </w:r>
          </w:p>
        </w:tc>
        <w:tc>
          <w:tcPr>
            <w:tcW w:w="374"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排放量</w:t>
            </w:r>
          </w:p>
          <w:p>
            <w:pPr>
              <w:pStyle w:val="147"/>
              <w:spacing w:line="240" w:lineRule="atLeast"/>
              <w:ind w:firstLine="0" w:firstLineChars="0"/>
              <w:jc w:val="center"/>
              <w:rPr>
                <w:color w:val="auto"/>
                <w:sz w:val="18"/>
                <w:szCs w:val="18"/>
              </w:rPr>
            </w:pPr>
            <w:r>
              <w:rPr>
                <w:rFonts w:hint="eastAsia"/>
                <w:color w:val="auto"/>
                <w:sz w:val="18"/>
                <w:szCs w:val="18"/>
                <w:lang w:eastAsia="zh-CN"/>
              </w:rPr>
              <w:t>t</w:t>
            </w:r>
            <w:r>
              <w:rPr>
                <w:color w:val="auto"/>
                <w:sz w:val="18"/>
                <w:szCs w:val="18"/>
              </w:rPr>
              <w:t>/a</w:t>
            </w:r>
          </w:p>
        </w:tc>
        <w:tc>
          <w:tcPr>
            <w:tcW w:w="320"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浓度</w:t>
            </w:r>
          </w:p>
          <w:p>
            <w:pPr>
              <w:pStyle w:val="147"/>
              <w:spacing w:line="240" w:lineRule="atLeast"/>
              <w:ind w:firstLine="0" w:firstLineChars="0"/>
              <w:jc w:val="center"/>
              <w:rPr>
                <w:color w:val="auto"/>
                <w:sz w:val="18"/>
                <w:szCs w:val="18"/>
              </w:rPr>
            </w:pPr>
            <w:r>
              <w:rPr>
                <w:rFonts w:hint="eastAsia"/>
                <w:color w:val="auto"/>
                <w:sz w:val="18"/>
                <w:szCs w:val="18"/>
              </w:rPr>
              <w:t>m</w:t>
            </w:r>
            <w:r>
              <w:rPr>
                <w:color w:val="auto"/>
                <w:sz w:val="18"/>
                <w:szCs w:val="18"/>
              </w:rPr>
              <w:t>g/m</w:t>
            </w:r>
            <w:r>
              <w:rPr>
                <w:color w:val="auto"/>
                <w:sz w:val="18"/>
                <w:szCs w:val="18"/>
                <w:vertAlign w:val="superscript"/>
              </w:rPr>
              <w:t>3</w:t>
            </w:r>
          </w:p>
        </w:tc>
        <w:tc>
          <w:tcPr>
            <w:tcW w:w="287"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速率</w:t>
            </w:r>
          </w:p>
          <w:p>
            <w:pPr>
              <w:pStyle w:val="147"/>
              <w:spacing w:line="240" w:lineRule="atLeast"/>
              <w:ind w:firstLine="0" w:firstLineChars="0"/>
              <w:jc w:val="center"/>
              <w:rPr>
                <w:color w:val="auto"/>
                <w:sz w:val="18"/>
                <w:szCs w:val="18"/>
              </w:rPr>
            </w:pPr>
            <w:r>
              <w:rPr>
                <w:rFonts w:hint="eastAsia"/>
                <w:color w:val="auto"/>
                <w:sz w:val="18"/>
                <w:szCs w:val="18"/>
              </w:rPr>
              <w:t>k</w:t>
            </w:r>
            <w:r>
              <w:rPr>
                <w:color w:val="auto"/>
                <w:sz w:val="18"/>
                <w:szCs w:val="18"/>
              </w:rPr>
              <w:t>g/h</w:t>
            </w:r>
          </w:p>
        </w:tc>
        <w:tc>
          <w:tcPr>
            <w:tcW w:w="284"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排口</w:t>
            </w:r>
          </w:p>
        </w:tc>
        <w:tc>
          <w:tcPr>
            <w:tcW w:w="407"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排放量t</w:t>
            </w:r>
            <w:r>
              <w:rPr>
                <w:color w:val="auto"/>
                <w:sz w:val="18"/>
                <w:szCs w:val="18"/>
              </w:rPr>
              <w:t>/a</w:t>
            </w:r>
          </w:p>
        </w:tc>
        <w:tc>
          <w:tcPr>
            <w:tcW w:w="343"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rPr>
              <w:t>速率</w:t>
            </w:r>
          </w:p>
          <w:p>
            <w:pPr>
              <w:pStyle w:val="147"/>
              <w:spacing w:line="240" w:lineRule="atLeast"/>
              <w:ind w:firstLine="0" w:firstLineChars="0"/>
              <w:jc w:val="center"/>
              <w:rPr>
                <w:color w:val="auto"/>
                <w:sz w:val="18"/>
                <w:szCs w:val="18"/>
              </w:rPr>
            </w:pPr>
            <w:r>
              <w:rPr>
                <w:rFonts w:hint="eastAsia"/>
                <w:color w:val="auto"/>
                <w:sz w:val="18"/>
                <w:szCs w:val="18"/>
              </w:rPr>
              <w:t>k</w:t>
            </w:r>
            <w:r>
              <w:rPr>
                <w:color w:val="auto"/>
                <w:sz w:val="18"/>
                <w:szCs w:val="18"/>
              </w:rPr>
              <w:t>g/h</w:t>
            </w:r>
          </w:p>
        </w:tc>
        <w:tc>
          <w:tcPr>
            <w:tcW w:w="214" w:type="pct"/>
            <w:vMerge w:val="continue"/>
            <w:noWrap w:val="0"/>
            <w:vAlign w:val="center"/>
          </w:tcPr>
          <w:p>
            <w:pPr>
              <w:pStyle w:val="147"/>
              <w:spacing w:line="240" w:lineRule="atLeast"/>
              <w:ind w:firstLine="0" w:firstLineChars="0"/>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切割</w:t>
            </w:r>
          </w:p>
        </w:tc>
        <w:tc>
          <w:tcPr>
            <w:tcW w:w="280" w:type="pct"/>
            <w:noWrap w:val="0"/>
            <w:vAlign w:val="center"/>
          </w:tcPr>
          <w:p>
            <w:pPr>
              <w:pStyle w:val="147"/>
              <w:spacing w:line="240" w:lineRule="atLeast"/>
              <w:ind w:firstLine="0" w:firstLineChars="0"/>
              <w:jc w:val="center"/>
              <w:rPr>
                <w:rFonts w:hint="eastAsia" w:eastAsia="宋体"/>
                <w:color w:val="auto"/>
                <w:sz w:val="18"/>
                <w:szCs w:val="18"/>
                <w:lang w:eastAsia="zh-CN"/>
              </w:rPr>
            </w:pPr>
            <w:r>
              <w:rPr>
                <w:rFonts w:hint="eastAsia"/>
                <w:color w:val="auto"/>
                <w:sz w:val="18"/>
                <w:szCs w:val="18"/>
                <w:lang w:val="en-US" w:eastAsia="zh-CN"/>
              </w:rPr>
              <w:t>颗粒物</w:t>
            </w:r>
          </w:p>
        </w:tc>
        <w:tc>
          <w:tcPr>
            <w:tcW w:w="251"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w:t>
            </w:r>
          </w:p>
        </w:tc>
        <w:tc>
          <w:tcPr>
            <w:tcW w:w="333"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1.166</w:t>
            </w:r>
          </w:p>
        </w:tc>
        <w:tc>
          <w:tcPr>
            <w:tcW w:w="342"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eastAsia="等线"/>
                <w:color w:val="auto"/>
                <w:sz w:val="18"/>
                <w:szCs w:val="18"/>
                <w:lang w:val="en-US" w:eastAsia="zh-CN"/>
              </w:rPr>
              <w:t>/</w:t>
            </w:r>
          </w:p>
        </w:tc>
        <w:tc>
          <w:tcPr>
            <w:tcW w:w="304"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kern w:val="0"/>
                <w:sz w:val="18"/>
                <w:szCs w:val="18"/>
                <w:lang w:eastAsia="zh-CN"/>
              </w:rPr>
              <w:t>0.</w:t>
            </w:r>
            <w:r>
              <w:rPr>
                <w:rFonts w:hint="eastAsia"/>
                <w:color w:val="auto"/>
                <w:kern w:val="0"/>
                <w:sz w:val="18"/>
                <w:szCs w:val="18"/>
                <w:lang w:val="en-US" w:eastAsia="zh-CN"/>
              </w:rPr>
              <w:t>486</w:t>
            </w:r>
          </w:p>
        </w:tc>
        <w:tc>
          <w:tcPr>
            <w:tcW w:w="209" w:type="pct"/>
            <w:noWrap w:val="0"/>
            <w:vAlign w:val="center"/>
          </w:tcPr>
          <w:p>
            <w:pPr>
              <w:pStyle w:val="147"/>
              <w:spacing w:line="240" w:lineRule="atLeast"/>
              <w:ind w:firstLine="0" w:firstLineChars="0"/>
              <w:jc w:val="center"/>
              <w:rPr>
                <w:color w:val="auto"/>
                <w:sz w:val="18"/>
                <w:szCs w:val="18"/>
                <w:lang w:eastAsia="zh-CN"/>
              </w:rPr>
            </w:pPr>
            <w:r>
              <w:rPr>
                <w:rFonts w:hint="eastAsia"/>
                <w:color w:val="auto"/>
                <w:sz w:val="18"/>
                <w:szCs w:val="18"/>
                <w:lang w:val="en-US" w:eastAsia="zh-CN"/>
              </w:rPr>
              <w:t>/</w:t>
            </w:r>
          </w:p>
        </w:tc>
        <w:tc>
          <w:tcPr>
            <w:tcW w:w="319" w:type="pct"/>
            <w:noWrap w:val="0"/>
            <w:vAlign w:val="center"/>
          </w:tcPr>
          <w:p>
            <w:pPr>
              <w:pStyle w:val="147"/>
              <w:spacing w:line="240" w:lineRule="atLeast"/>
              <w:ind w:firstLine="0" w:firstLineChars="0"/>
              <w:jc w:val="center"/>
              <w:rPr>
                <w:rFonts w:hint="default" w:eastAsia="宋体"/>
                <w:color w:val="auto"/>
                <w:sz w:val="18"/>
                <w:szCs w:val="18"/>
                <w:lang w:val="en-US" w:eastAsia="zh-CN"/>
              </w:rPr>
            </w:pPr>
            <w:r>
              <w:rPr>
                <w:rFonts w:hint="eastAsia"/>
                <w:color w:val="auto"/>
                <w:sz w:val="18"/>
                <w:szCs w:val="18"/>
                <w:lang w:val="en-US" w:eastAsia="zh-CN"/>
              </w:rPr>
              <w:t>车间密闭</w:t>
            </w:r>
          </w:p>
        </w:tc>
        <w:tc>
          <w:tcPr>
            <w:tcW w:w="212"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60</w:t>
            </w:r>
          </w:p>
        </w:tc>
        <w:tc>
          <w:tcPr>
            <w:tcW w:w="266" w:type="pct"/>
            <w:noWrap w:val="0"/>
            <w:vAlign w:val="center"/>
          </w:tcPr>
          <w:p>
            <w:pPr>
              <w:pStyle w:val="147"/>
              <w:spacing w:line="240" w:lineRule="atLeast"/>
              <w:ind w:firstLine="0" w:firstLineChars="0"/>
              <w:jc w:val="center"/>
              <w:rPr>
                <w:color w:val="auto"/>
                <w:sz w:val="18"/>
                <w:szCs w:val="18"/>
              </w:rPr>
            </w:pPr>
            <w:r>
              <w:rPr>
                <w:rFonts w:hint="eastAsia"/>
                <w:color w:val="auto"/>
                <w:sz w:val="18"/>
                <w:szCs w:val="18"/>
                <w:lang w:eastAsia="zh-CN"/>
              </w:rPr>
              <w:t>/</w:t>
            </w:r>
          </w:p>
        </w:tc>
        <w:tc>
          <w:tcPr>
            <w:tcW w:w="374" w:type="pct"/>
            <w:noWrap w:val="0"/>
            <w:vAlign w:val="center"/>
          </w:tcPr>
          <w:p>
            <w:pPr>
              <w:spacing w:line="240" w:lineRule="atLeast"/>
              <w:ind w:firstLine="0" w:firstLineChars="0"/>
              <w:jc w:val="center"/>
              <w:rPr>
                <w:rFonts w:hint="eastAsia"/>
                <w:color w:val="auto"/>
                <w:sz w:val="18"/>
                <w:szCs w:val="18"/>
                <w:lang w:eastAsia="zh-CN"/>
              </w:rPr>
            </w:pPr>
            <w:r>
              <w:rPr>
                <w:rFonts w:hint="eastAsia"/>
                <w:color w:val="auto"/>
                <w:sz w:val="18"/>
                <w:szCs w:val="18"/>
                <w:lang w:eastAsia="zh-CN"/>
              </w:rPr>
              <w:t>/</w:t>
            </w:r>
          </w:p>
        </w:tc>
        <w:tc>
          <w:tcPr>
            <w:tcW w:w="320" w:type="pct"/>
            <w:noWrap w:val="0"/>
            <w:vAlign w:val="center"/>
          </w:tcPr>
          <w:p>
            <w:pPr>
              <w:spacing w:line="240" w:lineRule="atLeast"/>
              <w:ind w:firstLine="0" w:firstLineChars="0"/>
              <w:jc w:val="center"/>
              <w:rPr>
                <w:rFonts w:hint="default"/>
                <w:color w:val="auto"/>
                <w:sz w:val="18"/>
                <w:szCs w:val="18"/>
                <w:lang w:val="en-US" w:eastAsia="zh-CN"/>
              </w:rPr>
            </w:pPr>
            <w:r>
              <w:rPr>
                <w:rFonts w:hint="eastAsia"/>
                <w:color w:val="auto"/>
                <w:sz w:val="18"/>
                <w:szCs w:val="18"/>
                <w:lang w:eastAsia="zh-CN"/>
              </w:rPr>
              <w:t>/</w:t>
            </w:r>
          </w:p>
        </w:tc>
        <w:tc>
          <w:tcPr>
            <w:tcW w:w="287" w:type="pct"/>
            <w:noWrap w:val="0"/>
            <w:vAlign w:val="center"/>
          </w:tcPr>
          <w:p>
            <w:pPr>
              <w:spacing w:line="240" w:lineRule="atLeast"/>
              <w:ind w:firstLine="0" w:firstLineChars="0"/>
              <w:jc w:val="center"/>
              <w:rPr>
                <w:rFonts w:hint="eastAsia"/>
                <w:color w:val="auto"/>
                <w:sz w:val="18"/>
                <w:szCs w:val="18"/>
                <w:lang w:eastAsia="zh-CN"/>
              </w:rPr>
            </w:pPr>
            <w:r>
              <w:rPr>
                <w:rFonts w:hint="eastAsia"/>
                <w:color w:val="auto"/>
                <w:sz w:val="18"/>
                <w:szCs w:val="18"/>
                <w:lang w:eastAsia="zh-CN"/>
              </w:rPr>
              <w:t>/</w:t>
            </w:r>
          </w:p>
        </w:tc>
        <w:tc>
          <w:tcPr>
            <w:tcW w:w="284" w:type="pct"/>
            <w:vMerge w:val="restart"/>
            <w:noWrap w:val="0"/>
            <w:vAlign w:val="center"/>
          </w:tcPr>
          <w:p>
            <w:pPr>
              <w:pStyle w:val="147"/>
              <w:spacing w:line="240" w:lineRule="atLeast"/>
              <w:ind w:firstLine="0" w:firstLineChars="0"/>
              <w:jc w:val="center"/>
              <w:rPr>
                <w:rFonts w:hint="default" w:eastAsia="宋体"/>
                <w:color w:val="auto"/>
                <w:sz w:val="18"/>
                <w:szCs w:val="18"/>
                <w:lang w:val="en-US" w:eastAsia="zh-CN"/>
              </w:rPr>
            </w:pPr>
            <w:r>
              <w:rPr>
                <w:rFonts w:hint="eastAsia"/>
                <w:color w:val="auto"/>
                <w:sz w:val="18"/>
                <w:szCs w:val="18"/>
                <w:lang w:val="en-US" w:eastAsia="zh-CN"/>
              </w:rPr>
              <w:t>/</w:t>
            </w:r>
          </w:p>
        </w:tc>
        <w:tc>
          <w:tcPr>
            <w:tcW w:w="407"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0.466</w:t>
            </w:r>
          </w:p>
        </w:tc>
        <w:tc>
          <w:tcPr>
            <w:tcW w:w="343"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eastAsia="zh-CN"/>
              </w:rPr>
              <w:t>0.</w:t>
            </w:r>
            <w:r>
              <w:rPr>
                <w:rFonts w:hint="eastAsia"/>
                <w:color w:val="auto"/>
                <w:sz w:val="18"/>
                <w:szCs w:val="18"/>
                <w:lang w:val="en-US" w:eastAsia="zh-CN"/>
              </w:rPr>
              <w:t>194</w:t>
            </w:r>
          </w:p>
        </w:tc>
        <w:tc>
          <w:tcPr>
            <w:tcW w:w="214" w:type="pct"/>
            <w:noWrap w:val="0"/>
            <w:vAlign w:val="center"/>
          </w:tcPr>
          <w:p>
            <w:pPr>
              <w:spacing w:line="240" w:lineRule="atLeast"/>
              <w:jc w:val="center"/>
              <w:rPr>
                <w:color w:val="auto"/>
                <w:sz w:val="18"/>
                <w:szCs w:val="18"/>
              </w:rPr>
            </w:pPr>
            <w:r>
              <w:rPr>
                <w:rFonts w:hint="eastAsia"/>
                <w:color w:val="auto"/>
                <w:sz w:val="18"/>
                <w:szCs w:val="1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焊接</w:t>
            </w:r>
          </w:p>
        </w:tc>
        <w:tc>
          <w:tcPr>
            <w:tcW w:w="280" w:type="pct"/>
            <w:noWrap w:val="0"/>
            <w:vAlign w:val="center"/>
          </w:tcPr>
          <w:p>
            <w:pPr>
              <w:pStyle w:val="147"/>
              <w:spacing w:line="240" w:lineRule="atLeast"/>
              <w:ind w:firstLine="0" w:firstLineChars="0"/>
              <w:jc w:val="center"/>
              <w:rPr>
                <w:rFonts w:hint="eastAsia"/>
                <w:color w:val="auto"/>
                <w:sz w:val="18"/>
                <w:szCs w:val="18"/>
                <w:lang w:eastAsia="zh-CN"/>
              </w:rPr>
            </w:pPr>
            <w:r>
              <w:rPr>
                <w:rFonts w:hint="eastAsia"/>
                <w:color w:val="auto"/>
                <w:sz w:val="18"/>
                <w:szCs w:val="18"/>
                <w:lang w:eastAsia="zh-CN"/>
              </w:rPr>
              <w:t>颗粒物</w:t>
            </w:r>
          </w:p>
        </w:tc>
        <w:tc>
          <w:tcPr>
            <w:tcW w:w="251" w:type="pct"/>
            <w:noWrap w:val="0"/>
            <w:vAlign w:val="center"/>
          </w:tcPr>
          <w:p>
            <w:pPr>
              <w:pStyle w:val="147"/>
              <w:spacing w:line="240" w:lineRule="atLeast"/>
              <w:ind w:left="0" w:leftChars="0" w:firstLine="0" w:firstLineChars="0"/>
              <w:jc w:val="both"/>
              <w:rPr>
                <w:rFonts w:hint="default"/>
                <w:color w:val="auto"/>
                <w:sz w:val="18"/>
                <w:szCs w:val="18"/>
                <w:lang w:val="en-US" w:eastAsia="zh-CN"/>
              </w:rPr>
            </w:pPr>
            <w:r>
              <w:rPr>
                <w:rFonts w:hint="eastAsia"/>
                <w:color w:val="auto"/>
                <w:sz w:val="18"/>
                <w:szCs w:val="18"/>
                <w:lang w:val="en-US" w:eastAsia="zh-CN"/>
              </w:rPr>
              <w:t>2500</w:t>
            </w:r>
          </w:p>
        </w:tc>
        <w:tc>
          <w:tcPr>
            <w:tcW w:w="333"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eastAsia="zh-CN"/>
              </w:rPr>
              <w:t>0.</w:t>
            </w:r>
            <w:r>
              <w:rPr>
                <w:rFonts w:hint="eastAsia"/>
                <w:color w:val="auto"/>
                <w:sz w:val="18"/>
                <w:szCs w:val="18"/>
                <w:lang w:val="en-US" w:eastAsia="zh-CN"/>
              </w:rPr>
              <w:t>003</w:t>
            </w:r>
          </w:p>
        </w:tc>
        <w:tc>
          <w:tcPr>
            <w:tcW w:w="342" w:type="pct"/>
            <w:noWrap w:val="0"/>
            <w:vAlign w:val="center"/>
          </w:tcPr>
          <w:p>
            <w:pPr>
              <w:pStyle w:val="147"/>
              <w:spacing w:line="240" w:lineRule="atLeast"/>
              <w:ind w:firstLine="0" w:firstLineChars="0"/>
              <w:jc w:val="center"/>
              <w:rPr>
                <w:rFonts w:hint="default" w:eastAsia="等线"/>
                <w:color w:val="auto"/>
                <w:sz w:val="18"/>
                <w:szCs w:val="18"/>
                <w:lang w:val="en-US" w:eastAsia="zh-CN"/>
              </w:rPr>
            </w:pPr>
            <w:r>
              <w:rPr>
                <w:rFonts w:hint="eastAsia" w:eastAsia="等线"/>
                <w:color w:val="auto"/>
                <w:sz w:val="18"/>
                <w:szCs w:val="18"/>
                <w:lang w:val="en-US" w:eastAsia="zh-CN"/>
              </w:rPr>
              <w:t>6</w:t>
            </w:r>
          </w:p>
        </w:tc>
        <w:tc>
          <w:tcPr>
            <w:tcW w:w="304" w:type="pct"/>
            <w:noWrap w:val="0"/>
            <w:vAlign w:val="center"/>
          </w:tcPr>
          <w:p>
            <w:pPr>
              <w:pStyle w:val="147"/>
              <w:spacing w:line="240" w:lineRule="atLeast"/>
              <w:ind w:firstLine="0" w:firstLineChars="0"/>
              <w:jc w:val="center"/>
              <w:rPr>
                <w:rFonts w:hint="default"/>
                <w:color w:val="auto"/>
                <w:kern w:val="0"/>
                <w:sz w:val="18"/>
                <w:szCs w:val="18"/>
                <w:lang w:val="en-US" w:eastAsia="zh-CN"/>
              </w:rPr>
            </w:pPr>
            <w:r>
              <w:rPr>
                <w:rFonts w:hint="eastAsia"/>
                <w:color w:val="auto"/>
                <w:kern w:val="0"/>
                <w:sz w:val="18"/>
                <w:szCs w:val="18"/>
                <w:lang w:eastAsia="zh-CN"/>
              </w:rPr>
              <w:t>0.</w:t>
            </w:r>
            <w:r>
              <w:rPr>
                <w:rFonts w:hint="eastAsia"/>
                <w:color w:val="auto"/>
                <w:kern w:val="0"/>
                <w:sz w:val="18"/>
                <w:szCs w:val="18"/>
                <w:lang w:val="en-US" w:eastAsia="zh-CN"/>
              </w:rPr>
              <w:t>01</w:t>
            </w:r>
          </w:p>
        </w:tc>
        <w:tc>
          <w:tcPr>
            <w:tcW w:w="209"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80</w:t>
            </w:r>
          </w:p>
        </w:tc>
        <w:tc>
          <w:tcPr>
            <w:tcW w:w="319"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烟尘净化器</w:t>
            </w:r>
          </w:p>
        </w:tc>
        <w:tc>
          <w:tcPr>
            <w:tcW w:w="212"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90</w:t>
            </w:r>
          </w:p>
        </w:tc>
        <w:tc>
          <w:tcPr>
            <w:tcW w:w="266" w:type="pct"/>
            <w:noWrap w:val="0"/>
            <w:vAlign w:val="center"/>
          </w:tcPr>
          <w:p>
            <w:pPr>
              <w:pStyle w:val="147"/>
              <w:spacing w:line="240" w:lineRule="atLeast"/>
              <w:ind w:firstLine="0" w:firstLineChars="0"/>
              <w:jc w:val="center"/>
              <w:rPr>
                <w:rFonts w:hint="eastAsia"/>
                <w:color w:val="auto"/>
                <w:sz w:val="18"/>
                <w:szCs w:val="18"/>
                <w:lang w:eastAsia="zh-CN"/>
              </w:rPr>
            </w:pPr>
            <w:r>
              <w:rPr>
                <w:rFonts w:hint="eastAsia"/>
                <w:color w:val="auto"/>
                <w:sz w:val="18"/>
                <w:szCs w:val="18"/>
                <w:lang w:val="en-US" w:eastAsia="zh-CN"/>
              </w:rPr>
              <w:t>是</w:t>
            </w:r>
          </w:p>
        </w:tc>
        <w:tc>
          <w:tcPr>
            <w:tcW w:w="374" w:type="pct"/>
            <w:noWrap w:val="0"/>
            <w:vAlign w:val="center"/>
          </w:tcPr>
          <w:p>
            <w:pPr>
              <w:spacing w:line="240" w:lineRule="atLeast"/>
              <w:ind w:firstLine="0" w:firstLineChars="0"/>
              <w:jc w:val="center"/>
              <w:rPr>
                <w:rFonts w:hint="eastAsia" w:eastAsia="等线"/>
                <w:color w:val="auto"/>
                <w:sz w:val="18"/>
                <w:szCs w:val="18"/>
                <w:lang w:eastAsia="zh-CN"/>
              </w:rPr>
            </w:pPr>
            <w:r>
              <w:rPr>
                <w:rFonts w:hint="eastAsia"/>
                <w:color w:val="auto"/>
                <w:sz w:val="18"/>
                <w:szCs w:val="18"/>
                <w:lang w:eastAsia="zh-CN"/>
              </w:rPr>
              <w:t>/</w:t>
            </w:r>
          </w:p>
        </w:tc>
        <w:tc>
          <w:tcPr>
            <w:tcW w:w="320" w:type="pct"/>
            <w:noWrap w:val="0"/>
            <w:vAlign w:val="center"/>
          </w:tcPr>
          <w:p>
            <w:pPr>
              <w:spacing w:line="240" w:lineRule="atLeast"/>
              <w:ind w:firstLine="0" w:firstLineChars="0"/>
              <w:jc w:val="center"/>
              <w:rPr>
                <w:rFonts w:hint="default" w:eastAsia="等线"/>
                <w:color w:val="auto"/>
                <w:sz w:val="18"/>
                <w:szCs w:val="18"/>
                <w:lang w:val="en-US" w:eastAsia="zh-CN"/>
              </w:rPr>
            </w:pPr>
            <w:r>
              <w:rPr>
                <w:rFonts w:hint="eastAsia"/>
                <w:color w:val="auto"/>
                <w:sz w:val="18"/>
                <w:szCs w:val="18"/>
                <w:lang w:eastAsia="zh-CN"/>
              </w:rPr>
              <w:t>/</w:t>
            </w:r>
          </w:p>
        </w:tc>
        <w:tc>
          <w:tcPr>
            <w:tcW w:w="287" w:type="pct"/>
            <w:noWrap w:val="0"/>
            <w:vAlign w:val="center"/>
          </w:tcPr>
          <w:p>
            <w:pPr>
              <w:spacing w:line="240" w:lineRule="atLeast"/>
              <w:ind w:firstLine="0" w:firstLineChars="0"/>
              <w:jc w:val="center"/>
              <w:rPr>
                <w:rFonts w:hint="eastAsia" w:eastAsia="等线"/>
                <w:color w:val="auto"/>
                <w:sz w:val="18"/>
                <w:szCs w:val="18"/>
                <w:lang w:eastAsia="zh-CN"/>
              </w:rPr>
            </w:pPr>
            <w:r>
              <w:rPr>
                <w:rFonts w:hint="eastAsia"/>
                <w:color w:val="auto"/>
                <w:sz w:val="18"/>
                <w:szCs w:val="18"/>
                <w:lang w:eastAsia="zh-CN"/>
              </w:rPr>
              <w:t>/</w:t>
            </w:r>
          </w:p>
        </w:tc>
        <w:tc>
          <w:tcPr>
            <w:tcW w:w="284" w:type="pct"/>
            <w:vMerge w:val="continue"/>
            <w:noWrap w:val="0"/>
            <w:vAlign w:val="center"/>
          </w:tcPr>
          <w:p>
            <w:pPr>
              <w:pStyle w:val="147"/>
              <w:spacing w:line="240" w:lineRule="atLeast"/>
              <w:ind w:firstLine="360"/>
              <w:jc w:val="center"/>
              <w:rPr>
                <w:rFonts w:hint="eastAsia"/>
                <w:color w:val="auto"/>
                <w:sz w:val="18"/>
                <w:szCs w:val="18"/>
                <w:lang w:eastAsia="zh-CN"/>
              </w:rPr>
            </w:pPr>
          </w:p>
        </w:tc>
        <w:tc>
          <w:tcPr>
            <w:tcW w:w="407"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eastAsia="zh-CN"/>
              </w:rPr>
              <w:t>0.</w:t>
            </w:r>
            <w:r>
              <w:rPr>
                <w:rFonts w:hint="eastAsia"/>
                <w:color w:val="auto"/>
                <w:sz w:val="18"/>
                <w:szCs w:val="18"/>
                <w:lang w:val="en-US" w:eastAsia="zh-CN"/>
              </w:rPr>
              <w:t>0008</w:t>
            </w:r>
          </w:p>
        </w:tc>
        <w:tc>
          <w:tcPr>
            <w:tcW w:w="343"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eastAsia="zh-CN"/>
              </w:rPr>
              <w:t>0.0</w:t>
            </w:r>
            <w:r>
              <w:rPr>
                <w:rFonts w:hint="eastAsia"/>
                <w:color w:val="auto"/>
                <w:sz w:val="18"/>
                <w:szCs w:val="18"/>
                <w:lang w:val="en-US" w:eastAsia="zh-CN"/>
              </w:rPr>
              <w:t>03</w:t>
            </w:r>
          </w:p>
        </w:tc>
        <w:tc>
          <w:tcPr>
            <w:tcW w:w="214" w:type="pct"/>
            <w:noWrap w:val="0"/>
            <w:vAlign w:val="center"/>
          </w:tcPr>
          <w:p>
            <w:pPr>
              <w:spacing w:line="240" w:lineRule="atLeast"/>
              <w:jc w:val="center"/>
              <w:rPr>
                <w:rFonts w:hint="eastAsia"/>
                <w:color w:val="auto"/>
                <w:sz w:val="18"/>
                <w:szCs w:val="18"/>
              </w:rPr>
            </w:pPr>
            <w:r>
              <w:rPr>
                <w:rFonts w:hint="eastAsia"/>
                <w:color w:val="auto"/>
                <w:sz w:val="18"/>
                <w:szCs w:val="18"/>
                <w:lang w:val="en-US" w:eastAsia="zh-CN"/>
              </w:rPr>
              <w:t>3</w:t>
            </w:r>
            <w:r>
              <w:rPr>
                <w:rFonts w:hint="eastAsia"/>
                <w:color w:val="auto"/>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热熔焊接</w:t>
            </w:r>
          </w:p>
        </w:tc>
        <w:tc>
          <w:tcPr>
            <w:tcW w:w="280" w:type="pct"/>
            <w:noWrap w:val="0"/>
            <w:vAlign w:val="center"/>
          </w:tcPr>
          <w:p>
            <w:pPr>
              <w:pStyle w:val="147"/>
              <w:spacing w:line="240" w:lineRule="atLeast"/>
              <w:ind w:firstLine="0" w:firstLineChars="0"/>
              <w:jc w:val="center"/>
              <w:rPr>
                <w:rFonts w:hint="eastAsia"/>
                <w:color w:val="auto"/>
                <w:sz w:val="18"/>
                <w:szCs w:val="18"/>
                <w:lang w:eastAsia="zh-CN"/>
              </w:rPr>
            </w:pPr>
            <w:r>
              <w:rPr>
                <w:rFonts w:hint="eastAsia"/>
                <w:color w:val="auto"/>
                <w:sz w:val="18"/>
                <w:szCs w:val="18"/>
              </w:rPr>
              <w:t>非甲烷总烃</w:t>
            </w:r>
          </w:p>
        </w:tc>
        <w:tc>
          <w:tcPr>
            <w:tcW w:w="251"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w:t>
            </w:r>
          </w:p>
        </w:tc>
        <w:tc>
          <w:tcPr>
            <w:tcW w:w="333"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0.0216</w:t>
            </w:r>
          </w:p>
        </w:tc>
        <w:tc>
          <w:tcPr>
            <w:tcW w:w="342" w:type="pct"/>
            <w:noWrap w:val="0"/>
            <w:vAlign w:val="center"/>
          </w:tcPr>
          <w:p>
            <w:pPr>
              <w:pStyle w:val="147"/>
              <w:spacing w:line="240" w:lineRule="atLeast"/>
              <w:ind w:firstLine="0" w:firstLineChars="0"/>
              <w:jc w:val="center"/>
              <w:rPr>
                <w:rFonts w:hint="default" w:eastAsia="等线"/>
                <w:color w:val="auto"/>
                <w:sz w:val="18"/>
                <w:szCs w:val="18"/>
                <w:lang w:val="en-US" w:eastAsia="zh-CN"/>
              </w:rPr>
            </w:pPr>
            <w:r>
              <w:rPr>
                <w:rFonts w:hint="eastAsia" w:eastAsia="等线"/>
                <w:color w:val="auto"/>
                <w:sz w:val="18"/>
                <w:szCs w:val="18"/>
                <w:lang w:val="en-US" w:eastAsia="zh-CN"/>
              </w:rPr>
              <w:t>/</w:t>
            </w:r>
          </w:p>
        </w:tc>
        <w:tc>
          <w:tcPr>
            <w:tcW w:w="304" w:type="pct"/>
            <w:noWrap w:val="0"/>
            <w:vAlign w:val="center"/>
          </w:tcPr>
          <w:p>
            <w:pPr>
              <w:pStyle w:val="147"/>
              <w:spacing w:line="240" w:lineRule="atLeast"/>
              <w:ind w:firstLine="0" w:firstLineChars="0"/>
              <w:jc w:val="center"/>
              <w:rPr>
                <w:rFonts w:hint="default"/>
                <w:color w:val="auto"/>
                <w:kern w:val="0"/>
                <w:sz w:val="18"/>
                <w:szCs w:val="18"/>
                <w:lang w:val="en-US" w:eastAsia="zh-CN"/>
              </w:rPr>
            </w:pPr>
            <w:r>
              <w:rPr>
                <w:rFonts w:hint="eastAsia"/>
                <w:color w:val="auto"/>
                <w:kern w:val="0"/>
                <w:sz w:val="18"/>
                <w:szCs w:val="18"/>
                <w:lang w:eastAsia="zh-CN"/>
              </w:rPr>
              <w:t>0.</w:t>
            </w:r>
            <w:r>
              <w:rPr>
                <w:rFonts w:hint="eastAsia"/>
                <w:color w:val="auto"/>
                <w:kern w:val="0"/>
                <w:sz w:val="18"/>
                <w:szCs w:val="18"/>
                <w:lang w:val="en-US" w:eastAsia="zh-CN"/>
              </w:rPr>
              <w:t>009</w:t>
            </w:r>
          </w:p>
        </w:tc>
        <w:tc>
          <w:tcPr>
            <w:tcW w:w="209" w:type="pct"/>
            <w:noWrap w:val="0"/>
            <w:vAlign w:val="center"/>
          </w:tcPr>
          <w:p>
            <w:pPr>
              <w:pStyle w:val="147"/>
              <w:spacing w:line="240" w:lineRule="atLeast"/>
              <w:ind w:firstLine="0" w:firstLineChars="0"/>
              <w:jc w:val="center"/>
              <w:rPr>
                <w:rFonts w:hint="eastAsia"/>
                <w:color w:val="auto"/>
                <w:sz w:val="18"/>
                <w:szCs w:val="18"/>
                <w:lang w:eastAsia="zh-CN"/>
              </w:rPr>
            </w:pPr>
            <w:r>
              <w:rPr>
                <w:rFonts w:hint="eastAsia"/>
                <w:color w:val="auto"/>
                <w:sz w:val="18"/>
                <w:szCs w:val="18"/>
                <w:lang w:val="en-US" w:eastAsia="zh-CN"/>
              </w:rPr>
              <w:t>/</w:t>
            </w:r>
          </w:p>
        </w:tc>
        <w:tc>
          <w:tcPr>
            <w:tcW w:w="319" w:type="pct"/>
            <w:noWrap w:val="0"/>
            <w:vAlign w:val="center"/>
          </w:tcPr>
          <w:p>
            <w:pPr>
              <w:pStyle w:val="147"/>
              <w:spacing w:line="240" w:lineRule="atLeast"/>
              <w:ind w:firstLine="360"/>
              <w:jc w:val="both"/>
              <w:rPr>
                <w:rFonts w:hint="default"/>
                <w:color w:val="auto"/>
                <w:sz w:val="18"/>
                <w:szCs w:val="18"/>
                <w:lang w:val="en-US" w:eastAsia="zh-CN"/>
              </w:rPr>
            </w:pPr>
            <w:r>
              <w:rPr>
                <w:rFonts w:hint="eastAsia"/>
                <w:color w:val="auto"/>
                <w:sz w:val="18"/>
                <w:szCs w:val="18"/>
                <w:lang w:val="en-US" w:eastAsia="zh-CN"/>
              </w:rPr>
              <w:t>/</w:t>
            </w:r>
          </w:p>
        </w:tc>
        <w:tc>
          <w:tcPr>
            <w:tcW w:w="212" w:type="pct"/>
            <w:noWrap w:val="0"/>
            <w:vAlign w:val="center"/>
          </w:tcPr>
          <w:p>
            <w:pPr>
              <w:pStyle w:val="147"/>
              <w:spacing w:line="240" w:lineRule="atLeast"/>
              <w:ind w:firstLine="0" w:firstLineChars="0"/>
              <w:jc w:val="center"/>
              <w:rPr>
                <w:rFonts w:hint="eastAsia"/>
                <w:color w:val="auto"/>
                <w:sz w:val="18"/>
                <w:szCs w:val="18"/>
                <w:lang w:eastAsia="zh-CN"/>
              </w:rPr>
            </w:pPr>
            <w:r>
              <w:rPr>
                <w:rFonts w:hint="eastAsia"/>
                <w:color w:val="auto"/>
                <w:sz w:val="18"/>
                <w:szCs w:val="18"/>
                <w:lang w:val="en-US" w:eastAsia="zh-CN"/>
              </w:rPr>
              <w:t>/</w:t>
            </w:r>
          </w:p>
        </w:tc>
        <w:tc>
          <w:tcPr>
            <w:tcW w:w="266" w:type="pct"/>
            <w:noWrap w:val="0"/>
            <w:vAlign w:val="center"/>
          </w:tcPr>
          <w:p>
            <w:pPr>
              <w:pStyle w:val="147"/>
              <w:spacing w:line="240" w:lineRule="atLeast"/>
              <w:ind w:firstLine="0" w:firstLineChars="0"/>
              <w:jc w:val="center"/>
              <w:rPr>
                <w:rFonts w:hint="eastAsia"/>
                <w:color w:val="auto"/>
                <w:sz w:val="18"/>
                <w:szCs w:val="18"/>
                <w:lang w:eastAsia="zh-CN"/>
              </w:rPr>
            </w:pPr>
            <w:r>
              <w:rPr>
                <w:rFonts w:hint="eastAsia"/>
                <w:color w:val="auto"/>
                <w:sz w:val="18"/>
                <w:szCs w:val="18"/>
                <w:lang w:val="en-US" w:eastAsia="zh-CN"/>
              </w:rPr>
              <w:t>/</w:t>
            </w:r>
          </w:p>
        </w:tc>
        <w:tc>
          <w:tcPr>
            <w:tcW w:w="374" w:type="pct"/>
            <w:noWrap w:val="0"/>
            <w:vAlign w:val="center"/>
          </w:tcPr>
          <w:p>
            <w:pPr>
              <w:spacing w:line="240" w:lineRule="atLeast"/>
              <w:ind w:firstLine="0" w:firstLineChars="0"/>
              <w:jc w:val="center"/>
              <w:rPr>
                <w:rFonts w:hint="eastAsia" w:eastAsia="等线"/>
                <w:color w:val="auto"/>
                <w:sz w:val="18"/>
                <w:szCs w:val="18"/>
                <w:lang w:eastAsia="zh-CN"/>
              </w:rPr>
            </w:pPr>
            <w:r>
              <w:rPr>
                <w:rFonts w:hint="eastAsia"/>
                <w:color w:val="auto"/>
                <w:sz w:val="18"/>
                <w:szCs w:val="18"/>
                <w:lang w:eastAsia="zh-CN"/>
              </w:rPr>
              <w:t>/</w:t>
            </w:r>
          </w:p>
        </w:tc>
        <w:tc>
          <w:tcPr>
            <w:tcW w:w="320" w:type="pct"/>
            <w:noWrap w:val="0"/>
            <w:vAlign w:val="center"/>
          </w:tcPr>
          <w:p>
            <w:pPr>
              <w:spacing w:line="240" w:lineRule="atLeast"/>
              <w:ind w:firstLine="0" w:firstLineChars="0"/>
              <w:jc w:val="center"/>
              <w:rPr>
                <w:rFonts w:hint="default" w:eastAsia="等线"/>
                <w:color w:val="auto"/>
                <w:sz w:val="18"/>
                <w:szCs w:val="18"/>
                <w:lang w:val="en-US" w:eastAsia="zh-CN"/>
              </w:rPr>
            </w:pPr>
            <w:r>
              <w:rPr>
                <w:rFonts w:hint="eastAsia"/>
                <w:color w:val="auto"/>
                <w:sz w:val="18"/>
                <w:szCs w:val="18"/>
                <w:lang w:eastAsia="zh-CN"/>
              </w:rPr>
              <w:t>/</w:t>
            </w:r>
          </w:p>
        </w:tc>
        <w:tc>
          <w:tcPr>
            <w:tcW w:w="287" w:type="pct"/>
            <w:noWrap w:val="0"/>
            <w:vAlign w:val="center"/>
          </w:tcPr>
          <w:p>
            <w:pPr>
              <w:spacing w:line="240" w:lineRule="atLeast"/>
              <w:ind w:firstLine="0" w:firstLineChars="0"/>
              <w:jc w:val="center"/>
              <w:rPr>
                <w:rFonts w:hint="eastAsia" w:eastAsia="等线"/>
                <w:color w:val="auto"/>
                <w:sz w:val="18"/>
                <w:szCs w:val="18"/>
                <w:lang w:eastAsia="zh-CN"/>
              </w:rPr>
            </w:pPr>
            <w:r>
              <w:rPr>
                <w:rFonts w:hint="eastAsia"/>
                <w:color w:val="auto"/>
                <w:sz w:val="18"/>
                <w:szCs w:val="18"/>
                <w:lang w:eastAsia="zh-CN"/>
              </w:rPr>
              <w:t>/</w:t>
            </w:r>
          </w:p>
        </w:tc>
        <w:tc>
          <w:tcPr>
            <w:tcW w:w="284" w:type="pct"/>
            <w:vMerge w:val="continue"/>
            <w:noWrap w:val="0"/>
            <w:vAlign w:val="center"/>
          </w:tcPr>
          <w:p>
            <w:pPr>
              <w:pStyle w:val="147"/>
              <w:spacing w:line="240" w:lineRule="atLeast"/>
              <w:ind w:firstLine="360"/>
              <w:jc w:val="center"/>
              <w:rPr>
                <w:rFonts w:hint="eastAsia"/>
                <w:color w:val="auto"/>
                <w:sz w:val="18"/>
                <w:szCs w:val="18"/>
                <w:lang w:eastAsia="zh-CN"/>
              </w:rPr>
            </w:pPr>
          </w:p>
        </w:tc>
        <w:tc>
          <w:tcPr>
            <w:tcW w:w="407"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eastAsia="zh-CN"/>
              </w:rPr>
              <w:t>0.0</w:t>
            </w:r>
            <w:r>
              <w:rPr>
                <w:rFonts w:hint="eastAsia"/>
                <w:color w:val="auto"/>
                <w:sz w:val="18"/>
                <w:szCs w:val="18"/>
                <w:lang w:val="en-US" w:eastAsia="zh-CN"/>
              </w:rPr>
              <w:t>216</w:t>
            </w:r>
          </w:p>
        </w:tc>
        <w:tc>
          <w:tcPr>
            <w:tcW w:w="343"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eastAsia="zh-CN"/>
              </w:rPr>
              <w:t>0.0</w:t>
            </w:r>
            <w:r>
              <w:rPr>
                <w:rFonts w:hint="eastAsia"/>
                <w:color w:val="auto"/>
                <w:sz w:val="18"/>
                <w:szCs w:val="18"/>
                <w:lang w:val="en-US" w:eastAsia="zh-CN"/>
              </w:rPr>
              <w:t>09</w:t>
            </w:r>
          </w:p>
        </w:tc>
        <w:tc>
          <w:tcPr>
            <w:tcW w:w="214" w:type="pct"/>
            <w:noWrap w:val="0"/>
            <w:vAlign w:val="center"/>
          </w:tcPr>
          <w:p>
            <w:pPr>
              <w:spacing w:line="240" w:lineRule="atLeast"/>
              <w:jc w:val="center"/>
              <w:rPr>
                <w:rFonts w:hint="eastAsia"/>
                <w:color w:val="auto"/>
                <w:sz w:val="18"/>
                <w:szCs w:val="18"/>
              </w:rPr>
            </w:pPr>
            <w:r>
              <w:rPr>
                <w:rFonts w:hint="eastAsia"/>
                <w:color w:val="auto"/>
                <w:sz w:val="18"/>
                <w:szCs w:val="1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员工生活</w:t>
            </w:r>
          </w:p>
        </w:tc>
        <w:tc>
          <w:tcPr>
            <w:tcW w:w="280" w:type="pct"/>
            <w:noWrap w:val="0"/>
            <w:vAlign w:val="center"/>
          </w:tcPr>
          <w:p>
            <w:pPr>
              <w:pStyle w:val="147"/>
              <w:spacing w:line="240" w:lineRule="atLeast"/>
              <w:ind w:firstLine="0" w:firstLineChars="0"/>
              <w:jc w:val="center"/>
              <w:rPr>
                <w:rFonts w:hint="eastAsia" w:eastAsia="宋体"/>
                <w:color w:val="auto"/>
                <w:sz w:val="18"/>
                <w:szCs w:val="18"/>
                <w:lang w:val="en-US" w:eastAsia="zh-CN"/>
              </w:rPr>
            </w:pPr>
            <w:r>
              <w:rPr>
                <w:rFonts w:hint="eastAsia"/>
                <w:color w:val="auto"/>
                <w:sz w:val="18"/>
                <w:szCs w:val="18"/>
                <w:lang w:val="en-US" w:eastAsia="zh-CN"/>
              </w:rPr>
              <w:t>油烟</w:t>
            </w:r>
          </w:p>
        </w:tc>
        <w:tc>
          <w:tcPr>
            <w:tcW w:w="251"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3000</w:t>
            </w:r>
          </w:p>
        </w:tc>
        <w:tc>
          <w:tcPr>
            <w:tcW w:w="333"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7.2×10</w:t>
            </w:r>
            <w:r>
              <w:rPr>
                <w:rFonts w:hint="eastAsia"/>
                <w:color w:val="auto"/>
                <w:sz w:val="18"/>
                <w:szCs w:val="18"/>
                <w:vertAlign w:val="superscript"/>
                <w:lang w:val="en-US" w:eastAsia="zh-CN"/>
              </w:rPr>
              <w:t>-3</w:t>
            </w:r>
          </w:p>
        </w:tc>
        <w:tc>
          <w:tcPr>
            <w:tcW w:w="342" w:type="pct"/>
            <w:noWrap w:val="0"/>
            <w:vAlign w:val="center"/>
          </w:tcPr>
          <w:p>
            <w:pPr>
              <w:pStyle w:val="147"/>
              <w:spacing w:line="240" w:lineRule="atLeast"/>
              <w:ind w:firstLine="0" w:firstLineChars="0"/>
              <w:jc w:val="center"/>
              <w:rPr>
                <w:rFonts w:hint="default" w:eastAsia="等线"/>
                <w:color w:val="auto"/>
                <w:sz w:val="18"/>
                <w:szCs w:val="18"/>
                <w:lang w:val="en-US" w:eastAsia="zh-CN"/>
              </w:rPr>
            </w:pPr>
            <w:r>
              <w:rPr>
                <w:rFonts w:hint="eastAsia" w:eastAsia="等线"/>
                <w:color w:val="auto"/>
                <w:sz w:val="18"/>
                <w:szCs w:val="18"/>
                <w:lang w:val="en-US" w:eastAsia="zh-CN"/>
              </w:rPr>
              <w:t>4</w:t>
            </w:r>
          </w:p>
        </w:tc>
        <w:tc>
          <w:tcPr>
            <w:tcW w:w="304" w:type="pct"/>
            <w:noWrap w:val="0"/>
            <w:vAlign w:val="center"/>
          </w:tcPr>
          <w:p>
            <w:pPr>
              <w:pStyle w:val="147"/>
              <w:spacing w:line="240" w:lineRule="atLeast"/>
              <w:ind w:firstLine="0" w:firstLineChars="0"/>
              <w:jc w:val="center"/>
              <w:rPr>
                <w:rFonts w:hint="default"/>
                <w:color w:val="auto"/>
                <w:kern w:val="0"/>
                <w:sz w:val="18"/>
                <w:szCs w:val="18"/>
                <w:lang w:val="en-US" w:eastAsia="zh-CN"/>
              </w:rPr>
            </w:pPr>
            <w:r>
              <w:rPr>
                <w:rFonts w:hint="eastAsia"/>
                <w:color w:val="auto"/>
                <w:kern w:val="0"/>
                <w:sz w:val="18"/>
                <w:szCs w:val="18"/>
                <w:lang w:val="en-US" w:eastAsia="zh-CN"/>
              </w:rPr>
              <w:t>0.012</w:t>
            </w:r>
          </w:p>
        </w:tc>
        <w:tc>
          <w:tcPr>
            <w:tcW w:w="209"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100</w:t>
            </w:r>
          </w:p>
        </w:tc>
        <w:tc>
          <w:tcPr>
            <w:tcW w:w="319" w:type="pct"/>
            <w:noWrap w:val="0"/>
            <w:vAlign w:val="center"/>
          </w:tcPr>
          <w:p>
            <w:pPr>
              <w:pStyle w:val="147"/>
              <w:spacing w:line="240" w:lineRule="atLeast"/>
              <w:ind w:left="0" w:leftChars="0" w:firstLine="0" w:firstLineChars="0"/>
              <w:jc w:val="both"/>
              <w:rPr>
                <w:rFonts w:hint="default"/>
                <w:color w:val="auto"/>
                <w:sz w:val="18"/>
                <w:szCs w:val="18"/>
                <w:lang w:val="en-US" w:eastAsia="zh-CN"/>
              </w:rPr>
            </w:pPr>
            <w:r>
              <w:rPr>
                <w:rFonts w:hint="eastAsia"/>
                <w:color w:val="auto"/>
                <w:sz w:val="18"/>
                <w:szCs w:val="18"/>
                <w:lang w:val="en-US" w:eastAsia="zh-CN"/>
              </w:rPr>
              <w:t>油烟净化器</w:t>
            </w:r>
          </w:p>
        </w:tc>
        <w:tc>
          <w:tcPr>
            <w:tcW w:w="212"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70</w:t>
            </w:r>
          </w:p>
        </w:tc>
        <w:tc>
          <w:tcPr>
            <w:tcW w:w="266" w:type="pct"/>
            <w:noWrap w:val="0"/>
            <w:vAlign w:val="center"/>
          </w:tcPr>
          <w:p>
            <w:pPr>
              <w:pStyle w:val="147"/>
              <w:spacing w:line="240" w:lineRule="atLeast"/>
              <w:ind w:firstLine="0" w:firstLineChars="0"/>
              <w:jc w:val="center"/>
              <w:rPr>
                <w:rFonts w:hint="eastAsia"/>
                <w:color w:val="auto"/>
                <w:sz w:val="18"/>
                <w:szCs w:val="18"/>
                <w:lang w:eastAsia="zh-CN"/>
              </w:rPr>
            </w:pPr>
          </w:p>
        </w:tc>
        <w:tc>
          <w:tcPr>
            <w:tcW w:w="374" w:type="pct"/>
            <w:noWrap w:val="0"/>
            <w:vAlign w:val="center"/>
          </w:tcPr>
          <w:p>
            <w:pPr>
              <w:pStyle w:val="147"/>
              <w:spacing w:line="240" w:lineRule="atLeast"/>
              <w:ind w:firstLine="0" w:firstLineChars="0"/>
              <w:jc w:val="center"/>
              <w:rPr>
                <w:rFonts w:hint="default" w:ascii="Times New Roman" w:hAnsi="Times New Roman" w:eastAsia="宋体" w:cs="Times New Roman"/>
                <w:bCs/>
                <w:color w:val="auto"/>
                <w:kern w:val="2"/>
                <w:sz w:val="18"/>
                <w:szCs w:val="18"/>
                <w:lang w:val="en-US" w:eastAsia="zh-CN" w:bidi="ar-SA"/>
              </w:rPr>
            </w:pPr>
            <w:r>
              <w:rPr>
                <w:rFonts w:hint="eastAsia" w:cs="Times New Roman"/>
                <w:bCs/>
                <w:color w:val="auto"/>
                <w:kern w:val="2"/>
                <w:sz w:val="18"/>
                <w:szCs w:val="18"/>
                <w:lang w:val="en-US" w:eastAsia="zh-CN" w:bidi="ar-SA"/>
              </w:rPr>
              <w:t>/</w:t>
            </w:r>
          </w:p>
        </w:tc>
        <w:tc>
          <w:tcPr>
            <w:tcW w:w="320" w:type="pct"/>
            <w:noWrap w:val="0"/>
            <w:vAlign w:val="center"/>
          </w:tcPr>
          <w:p>
            <w:pPr>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w:t>
            </w:r>
          </w:p>
        </w:tc>
        <w:tc>
          <w:tcPr>
            <w:tcW w:w="287" w:type="pct"/>
            <w:noWrap w:val="0"/>
            <w:vAlign w:val="center"/>
          </w:tcPr>
          <w:p>
            <w:pPr>
              <w:spacing w:line="240" w:lineRule="atLeast"/>
              <w:ind w:firstLine="0" w:firstLineChars="0"/>
              <w:jc w:val="center"/>
              <w:rPr>
                <w:rFonts w:hint="default"/>
                <w:color w:val="auto"/>
                <w:sz w:val="18"/>
                <w:szCs w:val="18"/>
                <w:lang w:val="en-US" w:eastAsia="zh-CN"/>
              </w:rPr>
            </w:pPr>
          </w:p>
        </w:tc>
        <w:tc>
          <w:tcPr>
            <w:tcW w:w="284" w:type="pct"/>
            <w:noWrap w:val="0"/>
            <w:vAlign w:val="center"/>
          </w:tcPr>
          <w:p>
            <w:pPr>
              <w:pStyle w:val="147"/>
              <w:spacing w:line="240" w:lineRule="atLeast"/>
              <w:ind w:firstLine="360"/>
              <w:jc w:val="center"/>
              <w:rPr>
                <w:rFonts w:hint="default"/>
                <w:color w:val="auto"/>
                <w:sz w:val="18"/>
                <w:szCs w:val="18"/>
                <w:lang w:val="en-US" w:eastAsia="zh-CN"/>
              </w:rPr>
            </w:pPr>
            <w:r>
              <w:rPr>
                <w:rFonts w:hint="eastAsia"/>
                <w:color w:val="auto"/>
                <w:sz w:val="18"/>
                <w:szCs w:val="18"/>
                <w:lang w:val="en-US" w:eastAsia="zh-CN"/>
              </w:rPr>
              <w:t>/</w:t>
            </w:r>
          </w:p>
        </w:tc>
        <w:tc>
          <w:tcPr>
            <w:tcW w:w="407"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2.16×10</w:t>
            </w:r>
            <w:r>
              <w:rPr>
                <w:rFonts w:hint="eastAsia"/>
                <w:color w:val="auto"/>
                <w:sz w:val="18"/>
                <w:szCs w:val="18"/>
                <w:vertAlign w:val="superscript"/>
                <w:lang w:val="en-US" w:eastAsia="zh-CN"/>
              </w:rPr>
              <w:t>-3</w:t>
            </w:r>
          </w:p>
        </w:tc>
        <w:tc>
          <w:tcPr>
            <w:tcW w:w="343" w:type="pct"/>
            <w:noWrap w:val="0"/>
            <w:vAlign w:val="center"/>
          </w:tcPr>
          <w:p>
            <w:pPr>
              <w:pStyle w:val="147"/>
              <w:spacing w:line="240" w:lineRule="atLeast"/>
              <w:ind w:firstLine="0" w:firstLineChars="0"/>
              <w:jc w:val="center"/>
              <w:rPr>
                <w:rFonts w:hint="default"/>
                <w:color w:val="auto"/>
                <w:sz w:val="18"/>
                <w:szCs w:val="18"/>
                <w:lang w:val="en-US" w:eastAsia="zh-CN"/>
              </w:rPr>
            </w:pPr>
            <w:r>
              <w:rPr>
                <w:rFonts w:hint="eastAsia"/>
                <w:color w:val="auto"/>
                <w:sz w:val="18"/>
                <w:szCs w:val="18"/>
                <w:lang w:val="en-US" w:eastAsia="zh-CN"/>
              </w:rPr>
              <w:t>0.0036</w:t>
            </w:r>
          </w:p>
        </w:tc>
        <w:tc>
          <w:tcPr>
            <w:tcW w:w="214" w:type="pct"/>
            <w:noWrap w:val="0"/>
            <w:vAlign w:val="center"/>
          </w:tcPr>
          <w:p>
            <w:pPr>
              <w:spacing w:line="240" w:lineRule="atLeast"/>
              <w:jc w:val="center"/>
              <w:rPr>
                <w:rFonts w:hint="default" w:eastAsia="宋体"/>
                <w:color w:val="auto"/>
                <w:sz w:val="18"/>
                <w:szCs w:val="18"/>
                <w:lang w:val="en-US" w:eastAsia="zh-CN"/>
              </w:rPr>
            </w:pPr>
            <w:r>
              <w:rPr>
                <w:rFonts w:hint="eastAsia"/>
                <w:color w:val="auto"/>
                <w:sz w:val="18"/>
                <w:szCs w:val="18"/>
                <w:lang w:val="en-US" w:eastAsia="zh-CN"/>
              </w:rPr>
              <w:t>600</w:t>
            </w:r>
          </w:p>
        </w:tc>
      </w:tr>
    </w:tbl>
    <w:p>
      <w:pPr>
        <w:pStyle w:val="149"/>
        <w:spacing w:line="300" w:lineRule="exact"/>
        <w:rPr>
          <w:color w:val="auto"/>
        </w:rPr>
      </w:pPr>
      <w:r>
        <w:rPr>
          <w:color w:val="auto"/>
        </w:rPr>
        <w:t>表</w:t>
      </w:r>
      <w:r>
        <w:rPr>
          <w:rFonts w:hint="eastAsia"/>
          <w:color w:val="auto"/>
        </w:rPr>
        <w:t>4-</w:t>
      </w:r>
      <w:r>
        <w:rPr>
          <w:rFonts w:hint="eastAsia"/>
          <w:color w:val="auto"/>
          <w:lang w:val="en-US" w:eastAsia="zh-CN"/>
        </w:rPr>
        <w:t xml:space="preserve">2  </w:t>
      </w:r>
      <w:r>
        <w:rPr>
          <w:rFonts w:hint="eastAsia"/>
          <w:color w:val="auto"/>
        </w:rPr>
        <w:t>本项目无</w:t>
      </w:r>
      <w:r>
        <w:rPr>
          <w:color w:val="auto"/>
        </w:rPr>
        <w:t>组织废气排放基本信息一览表</w:t>
      </w:r>
    </w:p>
    <w:tbl>
      <w:tblPr>
        <w:tblStyle w:val="44"/>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3"/>
        <w:gridCol w:w="1432"/>
        <w:gridCol w:w="1523"/>
        <w:gridCol w:w="1206"/>
        <w:gridCol w:w="4510"/>
        <w:gridCol w:w="1844"/>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blHeader/>
          <w:jc w:val="center"/>
        </w:trPr>
        <w:tc>
          <w:tcPr>
            <w:tcW w:w="823" w:type="dxa"/>
            <w:vMerge w:val="restart"/>
            <w:noWrap w:val="0"/>
            <w:vAlign w:val="center"/>
          </w:tcPr>
          <w:p>
            <w:pPr>
              <w:pStyle w:val="91"/>
              <w:spacing w:before="24" w:after="24"/>
              <w:rPr>
                <w:rFonts w:ascii="Times New Roman"/>
                <w:color w:val="auto"/>
                <w:sz w:val="18"/>
                <w:szCs w:val="18"/>
              </w:rPr>
            </w:pPr>
            <w:r>
              <w:rPr>
                <w:rFonts w:ascii="Times New Roman"/>
                <w:color w:val="auto"/>
                <w:sz w:val="18"/>
                <w:szCs w:val="18"/>
              </w:rPr>
              <w:t>序号</w:t>
            </w:r>
          </w:p>
        </w:tc>
        <w:tc>
          <w:tcPr>
            <w:tcW w:w="1431" w:type="dxa"/>
            <w:vMerge w:val="restart"/>
            <w:noWrap w:val="0"/>
            <w:vAlign w:val="center"/>
          </w:tcPr>
          <w:p>
            <w:pPr>
              <w:pStyle w:val="91"/>
              <w:spacing w:before="24" w:after="24"/>
              <w:rPr>
                <w:rFonts w:ascii="Times New Roman"/>
                <w:color w:val="auto"/>
                <w:sz w:val="18"/>
                <w:szCs w:val="18"/>
              </w:rPr>
            </w:pPr>
            <w:r>
              <w:rPr>
                <w:rFonts w:ascii="Times New Roman"/>
                <w:color w:val="auto"/>
                <w:sz w:val="18"/>
                <w:szCs w:val="18"/>
              </w:rPr>
              <w:t>生产设施编号/无组织排放编号</w:t>
            </w:r>
          </w:p>
        </w:tc>
        <w:tc>
          <w:tcPr>
            <w:tcW w:w="1522" w:type="dxa"/>
            <w:vMerge w:val="restart"/>
            <w:noWrap w:val="0"/>
            <w:vAlign w:val="center"/>
          </w:tcPr>
          <w:p>
            <w:pPr>
              <w:pStyle w:val="91"/>
              <w:spacing w:before="24" w:after="24"/>
              <w:rPr>
                <w:rFonts w:ascii="Times New Roman"/>
                <w:color w:val="auto"/>
                <w:sz w:val="18"/>
                <w:szCs w:val="18"/>
              </w:rPr>
            </w:pPr>
            <w:r>
              <w:rPr>
                <w:rFonts w:ascii="Times New Roman"/>
                <w:color w:val="auto"/>
                <w:sz w:val="18"/>
                <w:szCs w:val="18"/>
              </w:rPr>
              <w:t>产污环节</w:t>
            </w:r>
          </w:p>
        </w:tc>
        <w:tc>
          <w:tcPr>
            <w:tcW w:w="1205" w:type="dxa"/>
            <w:vMerge w:val="restart"/>
            <w:noWrap w:val="0"/>
            <w:vAlign w:val="center"/>
          </w:tcPr>
          <w:p>
            <w:pPr>
              <w:pStyle w:val="91"/>
              <w:spacing w:before="24" w:after="24"/>
              <w:rPr>
                <w:rFonts w:ascii="Times New Roman"/>
                <w:color w:val="auto"/>
                <w:sz w:val="18"/>
                <w:szCs w:val="18"/>
              </w:rPr>
            </w:pPr>
            <w:r>
              <w:rPr>
                <w:rFonts w:ascii="Times New Roman"/>
                <w:color w:val="auto"/>
                <w:sz w:val="18"/>
                <w:szCs w:val="18"/>
              </w:rPr>
              <w:t>污染物种类</w:t>
            </w:r>
          </w:p>
        </w:tc>
        <w:tc>
          <w:tcPr>
            <w:tcW w:w="4507" w:type="dxa"/>
            <w:vMerge w:val="restart"/>
            <w:noWrap w:val="0"/>
            <w:vAlign w:val="center"/>
          </w:tcPr>
          <w:p>
            <w:pPr>
              <w:pStyle w:val="91"/>
              <w:spacing w:before="24" w:after="24"/>
              <w:rPr>
                <w:rFonts w:ascii="Times New Roman"/>
                <w:color w:val="auto"/>
                <w:sz w:val="18"/>
                <w:szCs w:val="18"/>
              </w:rPr>
            </w:pPr>
            <w:r>
              <w:rPr>
                <w:rFonts w:ascii="Times New Roman"/>
                <w:color w:val="auto"/>
                <w:sz w:val="18"/>
                <w:szCs w:val="18"/>
              </w:rPr>
              <w:t>主要污染防治措施</w:t>
            </w:r>
          </w:p>
        </w:tc>
        <w:tc>
          <w:tcPr>
            <w:tcW w:w="4067" w:type="dxa"/>
            <w:gridSpan w:val="2"/>
            <w:noWrap w:val="0"/>
            <w:vAlign w:val="center"/>
          </w:tcPr>
          <w:p>
            <w:pPr>
              <w:pStyle w:val="91"/>
              <w:spacing w:before="24" w:after="24"/>
              <w:rPr>
                <w:rFonts w:ascii="Times New Roman"/>
                <w:color w:val="auto"/>
                <w:sz w:val="18"/>
                <w:szCs w:val="18"/>
              </w:rPr>
            </w:pPr>
            <w:r>
              <w:rPr>
                <w:rFonts w:ascii="Times New Roman"/>
                <w:color w:val="auto"/>
                <w:sz w:val="18"/>
                <w:szCs w:val="18"/>
              </w:rPr>
              <w:t>国家或地方污染物排放标准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blHeader/>
          <w:jc w:val="center"/>
        </w:trPr>
        <w:tc>
          <w:tcPr>
            <w:tcW w:w="823" w:type="dxa"/>
            <w:vMerge w:val="continue"/>
            <w:noWrap w:val="0"/>
            <w:vAlign w:val="center"/>
          </w:tcPr>
          <w:p>
            <w:pPr>
              <w:pStyle w:val="91"/>
              <w:spacing w:before="24" w:after="24"/>
              <w:rPr>
                <w:rFonts w:ascii="Times New Roman"/>
                <w:color w:val="auto"/>
                <w:sz w:val="18"/>
                <w:szCs w:val="18"/>
              </w:rPr>
            </w:pPr>
          </w:p>
        </w:tc>
        <w:tc>
          <w:tcPr>
            <w:tcW w:w="1431" w:type="dxa"/>
            <w:vMerge w:val="continue"/>
            <w:noWrap w:val="0"/>
            <w:vAlign w:val="center"/>
          </w:tcPr>
          <w:p>
            <w:pPr>
              <w:pStyle w:val="91"/>
              <w:spacing w:before="24" w:after="24"/>
              <w:rPr>
                <w:rFonts w:ascii="Times New Roman"/>
                <w:color w:val="auto"/>
                <w:sz w:val="18"/>
                <w:szCs w:val="18"/>
              </w:rPr>
            </w:pPr>
          </w:p>
        </w:tc>
        <w:tc>
          <w:tcPr>
            <w:tcW w:w="1522" w:type="dxa"/>
            <w:vMerge w:val="continue"/>
            <w:noWrap w:val="0"/>
            <w:vAlign w:val="center"/>
          </w:tcPr>
          <w:p>
            <w:pPr>
              <w:pStyle w:val="91"/>
              <w:spacing w:before="24" w:after="24"/>
              <w:rPr>
                <w:rFonts w:ascii="Times New Roman"/>
                <w:color w:val="auto"/>
                <w:sz w:val="18"/>
                <w:szCs w:val="18"/>
              </w:rPr>
            </w:pPr>
          </w:p>
        </w:tc>
        <w:tc>
          <w:tcPr>
            <w:tcW w:w="1205" w:type="dxa"/>
            <w:vMerge w:val="continue"/>
            <w:noWrap w:val="0"/>
            <w:vAlign w:val="center"/>
          </w:tcPr>
          <w:p>
            <w:pPr>
              <w:pStyle w:val="91"/>
              <w:spacing w:before="24" w:after="24"/>
              <w:rPr>
                <w:rFonts w:ascii="Times New Roman"/>
                <w:color w:val="auto"/>
                <w:sz w:val="18"/>
                <w:szCs w:val="18"/>
              </w:rPr>
            </w:pPr>
          </w:p>
        </w:tc>
        <w:tc>
          <w:tcPr>
            <w:tcW w:w="4507" w:type="dxa"/>
            <w:vMerge w:val="continue"/>
            <w:noWrap w:val="0"/>
            <w:vAlign w:val="center"/>
          </w:tcPr>
          <w:p>
            <w:pPr>
              <w:pStyle w:val="91"/>
              <w:spacing w:before="24" w:after="24"/>
              <w:rPr>
                <w:rFonts w:ascii="Times New Roman"/>
                <w:color w:val="auto"/>
                <w:sz w:val="18"/>
                <w:szCs w:val="18"/>
              </w:rPr>
            </w:pPr>
          </w:p>
        </w:tc>
        <w:tc>
          <w:tcPr>
            <w:tcW w:w="1843" w:type="dxa"/>
            <w:noWrap w:val="0"/>
            <w:vAlign w:val="center"/>
          </w:tcPr>
          <w:p>
            <w:pPr>
              <w:pStyle w:val="91"/>
              <w:spacing w:before="24" w:after="24"/>
              <w:rPr>
                <w:rFonts w:ascii="Times New Roman"/>
                <w:color w:val="auto"/>
                <w:sz w:val="18"/>
                <w:szCs w:val="18"/>
              </w:rPr>
            </w:pPr>
            <w:r>
              <w:rPr>
                <w:rFonts w:ascii="Times New Roman"/>
                <w:color w:val="auto"/>
                <w:sz w:val="18"/>
                <w:szCs w:val="18"/>
              </w:rPr>
              <w:t>名称</w:t>
            </w:r>
          </w:p>
        </w:tc>
        <w:tc>
          <w:tcPr>
            <w:tcW w:w="2224" w:type="dxa"/>
            <w:noWrap w:val="0"/>
            <w:vAlign w:val="center"/>
          </w:tcPr>
          <w:p>
            <w:pPr>
              <w:pStyle w:val="91"/>
              <w:spacing w:before="24" w:after="24"/>
              <w:jc w:val="center"/>
              <w:rPr>
                <w:rFonts w:ascii="Times New Roman"/>
                <w:color w:val="auto"/>
                <w:sz w:val="18"/>
                <w:szCs w:val="18"/>
              </w:rPr>
            </w:pPr>
            <w:r>
              <w:rPr>
                <w:rFonts w:ascii="Times New Roman"/>
                <w:color w:val="auto"/>
                <w:sz w:val="18"/>
                <w:szCs w:val="18"/>
              </w:rPr>
              <w:t>浓度限值（mg/Nm</w:t>
            </w:r>
            <w:r>
              <w:rPr>
                <w:rFonts w:ascii="Times New Roman"/>
                <w:color w:val="auto"/>
                <w:sz w:val="18"/>
                <w:szCs w:val="18"/>
                <w:vertAlign w:val="superscript"/>
              </w:rPr>
              <w:t>3</w:t>
            </w:r>
            <w:r>
              <w:rPr>
                <w:rFonts w:ascii="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blHeader/>
          <w:jc w:val="center"/>
        </w:trPr>
        <w:tc>
          <w:tcPr>
            <w:tcW w:w="823" w:type="dxa"/>
            <w:noWrap w:val="0"/>
            <w:vAlign w:val="center"/>
          </w:tcPr>
          <w:p>
            <w:pPr>
              <w:pStyle w:val="91"/>
              <w:spacing w:before="24" w:after="24"/>
              <w:rPr>
                <w:rFonts w:ascii="Times New Roman"/>
                <w:color w:val="auto"/>
                <w:sz w:val="18"/>
                <w:szCs w:val="18"/>
              </w:rPr>
            </w:pPr>
            <w:r>
              <w:rPr>
                <w:rFonts w:ascii="Times New Roman"/>
                <w:color w:val="auto"/>
                <w:sz w:val="18"/>
                <w:szCs w:val="18"/>
              </w:rPr>
              <w:t>1</w:t>
            </w:r>
          </w:p>
        </w:tc>
        <w:tc>
          <w:tcPr>
            <w:tcW w:w="1431" w:type="dxa"/>
            <w:noWrap w:val="0"/>
            <w:vAlign w:val="center"/>
          </w:tcPr>
          <w:p>
            <w:pPr>
              <w:pStyle w:val="91"/>
              <w:spacing w:before="24" w:after="24"/>
              <w:rPr>
                <w:rFonts w:ascii="Times New Roman"/>
                <w:color w:val="auto"/>
                <w:sz w:val="18"/>
                <w:szCs w:val="18"/>
              </w:rPr>
            </w:pPr>
            <w:r>
              <w:rPr>
                <w:rFonts w:ascii="Times New Roman"/>
                <w:color w:val="auto"/>
                <w:sz w:val="18"/>
                <w:szCs w:val="18"/>
              </w:rPr>
              <w:t>厂界</w:t>
            </w:r>
          </w:p>
        </w:tc>
        <w:tc>
          <w:tcPr>
            <w:tcW w:w="1522" w:type="dxa"/>
            <w:noWrap w:val="0"/>
            <w:vAlign w:val="center"/>
          </w:tcPr>
          <w:p>
            <w:pPr>
              <w:pStyle w:val="91"/>
              <w:spacing w:before="24" w:after="24"/>
              <w:rPr>
                <w:rFonts w:ascii="Times New Roman"/>
                <w:color w:val="auto"/>
                <w:sz w:val="18"/>
                <w:szCs w:val="18"/>
              </w:rPr>
            </w:pPr>
            <w:r>
              <w:rPr>
                <w:rFonts w:ascii="Times New Roman"/>
                <w:color w:val="auto"/>
                <w:sz w:val="18"/>
                <w:szCs w:val="18"/>
              </w:rPr>
              <w:t>废气未</w:t>
            </w:r>
            <w:r>
              <w:rPr>
                <w:rFonts w:hint="eastAsia" w:ascii="Times New Roman"/>
                <w:color w:val="auto"/>
                <w:sz w:val="18"/>
                <w:szCs w:val="18"/>
                <w:lang w:eastAsia="zh-CN"/>
              </w:rPr>
              <w:t>被</w:t>
            </w:r>
            <w:r>
              <w:rPr>
                <w:rFonts w:ascii="Times New Roman"/>
                <w:color w:val="auto"/>
                <w:sz w:val="18"/>
                <w:szCs w:val="18"/>
              </w:rPr>
              <w:t>收集</w:t>
            </w:r>
          </w:p>
        </w:tc>
        <w:tc>
          <w:tcPr>
            <w:tcW w:w="1205" w:type="dxa"/>
            <w:noWrap w:val="0"/>
            <w:vAlign w:val="center"/>
          </w:tcPr>
          <w:p>
            <w:pPr>
              <w:pStyle w:val="91"/>
              <w:spacing w:before="24" w:after="24"/>
              <w:rPr>
                <w:rFonts w:ascii="Times New Roman"/>
                <w:color w:val="auto"/>
                <w:sz w:val="18"/>
                <w:szCs w:val="18"/>
              </w:rPr>
            </w:pPr>
            <w:r>
              <w:rPr>
                <w:rFonts w:ascii="Times New Roman"/>
                <w:color w:val="auto"/>
                <w:sz w:val="18"/>
                <w:szCs w:val="18"/>
              </w:rPr>
              <w:t>颗粒物</w:t>
            </w:r>
          </w:p>
        </w:tc>
        <w:tc>
          <w:tcPr>
            <w:tcW w:w="4507" w:type="dxa"/>
            <w:noWrap w:val="0"/>
            <w:vAlign w:val="center"/>
          </w:tcPr>
          <w:p>
            <w:pPr>
              <w:pStyle w:val="91"/>
              <w:spacing w:before="24" w:after="24"/>
              <w:rPr>
                <w:rFonts w:ascii="Times New Roman"/>
                <w:color w:val="auto"/>
                <w:sz w:val="18"/>
                <w:szCs w:val="18"/>
              </w:rPr>
            </w:pPr>
            <w:r>
              <w:rPr>
                <w:rFonts w:ascii="Times New Roman"/>
                <w:color w:val="auto"/>
                <w:sz w:val="18"/>
                <w:szCs w:val="18"/>
              </w:rPr>
              <w:t>密闭车间，提高废气收集效率，地面定期干法清洁</w:t>
            </w:r>
          </w:p>
        </w:tc>
        <w:tc>
          <w:tcPr>
            <w:tcW w:w="1843" w:type="dxa"/>
            <w:noWrap w:val="0"/>
            <w:vAlign w:val="center"/>
          </w:tcPr>
          <w:p>
            <w:pPr>
              <w:pStyle w:val="91"/>
              <w:spacing w:before="24" w:after="24"/>
              <w:rPr>
                <w:rFonts w:ascii="Times New Roman"/>
                <w:color w:val="auto"/>
                <w:sz w:val="18"/>
                <w:szCs w:val="18"/>
              </w:rPr>
            </w:pPr>
            <w:r>
              <w:rPr>
                <w:rFonts w:ascii="Times New Roman"/>
                <w:color w:val="auto"/>
                <w:sz w:val="18"/>
                <w:szCs w:val="18"/>
              </w:rPr>
              <w:t>GB</w:t>
            </w:r>
            <w:r>
              <w:rPr>
                <w:rFonts w:hint="eastAsia" w:ascii="Times New Roman"/>
                <w:color w:val="auto"/>
                <w:sz w:val="18"/>
                <w:szCs w:val="18"/>
                <w:lang w:eastAsia="zh-CN"/>
              </w:rPr>
              <w:t>16297-1996</w:t>
            </w:r>
          </w:p>
        </w:tc>
        <w:tc>
          <w:tcPr>
            <w:tcW w:w="2224" w:type="dxa"/>
            <w:noWrap w:val="0"/>
            <w:vAlign w:val="center"/>
          </w:tcPr>
          <w:p>
            <w:pPr>
              <w:pStyle w:val="91"/>
              <w:spacing w:before="24" w:after="24"/>
              <w:rPr>
                <w:rFonts w:ascii="Times New Roman"/>
                <w:color w:val="auto"/>
                <w:sz w:val="18"/>
                <w:szCs w:val="18"/>
              </w:rPr>
            </w:pPr>
            <w:r>
              <w:rPr>
                <w:rFonts w:ascii="Times New Roman"/>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blHeader/>
          <w:jc w:val="center"/>
        </w:trPr>
        <w:tc>
          <w:tcPr>
            <w:tcW w:w="823" w:type="dxa"/>
            <w:noWrap w:val="0"/>
            <w:vAlign w:val="center"/>
          </w:tcPr>
          <w:p>
            <w:pPr>
              <w:pStyle w:val="91"/>
              <w:spacing w:before="24" w:after="24"/>
              <w:rPr>
                <w:rFonts w:ascii="Times New Roman"/>
                <w:color w:val="auto"/>
                <w:sz w:val="18"/>
                <w:szCs w:val="18"/>
              </w:rPr>
            </w:pPr>
            <w:r>
              <w:rPr>
                <w:rFonts w:ascii="Times New Roman"/>
                <w:color w:val="auto"/>
                <w:sz w:val="18"/>
                <w:szCs w:val="18"/>
              </w:rPr>
              <w:t>2</w:t>
            </w:r>
          </w:p>
        </w:tc>
        <w:tc>
          <w:tcPr>
            <w:tcW w:w="1431" w:type="dxa"/>
            <w:noWrap w:val="0"/>
            <w:vAlign w:val="center"/>
          </w:tcPr>
          <w:p>
            <w:pPr>
              <w:pStyle w:val="91"/>
              <w:spacing w:before="24" w:after="24"/>
              <w:rPr>
                <w:rFonts w:ascii="Times New Roman"/>
                <w:color w:val="auto"/>
                <w:sz w:val="18"/>
                <w:szCs w:val="18"/>
              </w:rPr>
            </w:pPr>
            <w:r>
              <w:rPr>
                <w:rFonts w:ascii="Times New Roman"/>
                <w:color w:val="auto"/>
                <w:sz w:val="18"/>
                <w:szCs w:val="18"/>
              </w:rPr>
              <w:t>厂界</w:t>
            </w:r>
          </w:p>
        </w:tc>
        <w:tc>
          <w:tcPr>
            <w:tcW w:w="1522" w:type="dxa"/>
            <w:noWrap w:val="0"/>
            <w:vAlign w:val="center"/>
          </w:tcPr>
          <w:p>
            <w:pPr>
              <w:pStyle w:val="91"/>
              <w:spacing w:before="24" w:after="24"/>
              <w:rPr>
                <w:rFonts w:hint="eastAsia" w:ascii="Times New Roman"/>
                <w:color w:val="auto"/>
                <w:sz w:val="18"/>
                <w:szCs w:val="18"/>
                <w:lang w:eastAsia="zh-CN"/>
              </w:rPr>
            </w:pPr>
            <w:r>
              <w:rPr>
                <w:rFonts w:hint="eastAsia" w:ascii="Times New Roman"/>
                <w:color w:val="auto"/>
                <w:sz w:val="18"/>
                <w:szCs w:val="18"/>
                <w:lang w:val="en-US" w:eastAsia="zh-CN"/>
              </w:rPr>
              <w:t>胶黏剂使用</w:t>
            </w:r>
          </w:p>
        </w:tc>
        <w:tc>
          <w:tcPr>
            <w:tcW w:w="1205" w:type="dxa"/>
            <w:noWrap w:val="0"/>
            <w:vAlign w:val="center"/>
          </w:tcPr>
          <w:p>
            <w:pPr>
              <w:pStyle w:val="91"/>
              <w:spacing w:before="24" w:after="24"/>
              <w:rPr>
                <w:rFonts w:ascii="Times New Roman"/>
                <w:color w:val="auto"/>
                <w:sz w:val="18"/>
                <w:szCs w:val="18"/>
              </w:rPr>
            </w:pPr>
            <w:r>
              <w:rPr>
                <w:rFonts w:hint="eastAsia"/>
                <w:color w:val="auto"/>
                <w:sz w:val="18"/>
                <w:szCs w:val="18"/>
              </w:rPr>
              <w:t>非甲烷总烃</w:t>
            </w:r>
          </w:p>
        </w:tc>
        <w:tc>
          <w:tcPr>
            <w:tcW w:w="4507" w:type="dxa"/>
            <w:noWrap w:val="0"/>
            <w:vAlign w:val="center"/>
          </w:tcPr>
          <w:p>
            <w:pPr>
              <w:pStyle w:val="91"/>
              <w:spacing w:before="24" w:after="24"/>
              <w:rPr>
                <w:rFonts w:hint="default" w:ascii="Times New Roman" w:eastAsia="宋体"/>
                <w:color w:val="auto"/>
                <w:sz w:val="18"/>
                <w:szCs w:val="18"/>
                <w:lang w:val="en-US" w:eastAsia="zh-CN"/>
              </w:rPr>
            </w:pPr>
            <w:r>
              <w:rPr>
                <w:rFonts w:hint="eastAsia" w:ascii="Times New Roman"/>
                <w:color w:val="auto"/>
                <w:sz w:val="18"/>
                <w:szCs w:val="18"/>
                <w:lang w:val="en-US" w:eastAsia="zh-CN"/>
              </w:rPr>
              <w:t>选用本体型低挥发胶黏剂</w:t>
            </w:r>
            <w:r>
              <w:rPr>
                <w:rFonts w:ascii="Times New Roman"/>
                <w:color w:val="auto"/>
                <w:sz w:val="18"/>
                <w:szCs w:val="18"/>
              </w:rPr>
              <w:t>，减少</w:t>
            </w:r>
            <w:r>
              <w:rPr>
                <w:rFonts w:hint="eastAsia" w:ascii="Times New Roman"/>
                <w:color w:val="auto"/>
                <w:sz w:val="18"/>
                <w:szCs w:val="18"/>
                <w:lang w:val="en-US" w:eastAsia="zh-CN"/>
              </w:rPr>
              <w:t>废气产生</w:t>
            </w:r>
          </w:p>
        </w:tc>
        <w:tc>
          <w:tcPr>
            <w:tcW w:w="1843" w:type="dxa"/>
            <w:noWrap w:val="0"/>
            <w:vAlign w:val="center"/>
          </w:tcPr>
          <w:p>
            <w:pPr>
              <w:jc w:val="center"/>
              <w:rPr>
                <w:color w:val="auto"/>
                <w:sz w:val="18"/>
                <w:szCs w:val="18"/>
              </w:rPr>
            </w:pPr>
            <w:r>
              <w:rPr>
                <w:color w:val="auto"/>
                <w:sz w:val="18"/>
                <w:szCs w:val="18"/>
              </w:rPr>
              <w:t>GB</w:t>
            </w:r>
            <w:r>
              <w:rPr>
                <w:rFonts w:hint="eastAsia"/>
                <w:color w:val="auto"/>
                <w:sz w:val="18"/>
                <w:szCs w:val="18"/>
              </w:rPr>
              <w:t>16297-1996</w:t>
            </w:r>
          </w:p>
        </w:tc>
        <w:tc>
          <w:tcPr>
            <w:tcW w:w="2224" w:type="dxa"/>
            <w:noWrap w:val="0"/>
            <w:vAlign w:val="center"/>
          </w:tcPr>
          <w:p>
            <w:pPr>
              <w:pStyle w:val="91"/>
              <w:spacing w:before="24" w:after="24"/>
              <w:rPr>
                <w:rFonts w:hint="eastAsia" w:ascii="Times New Roman"/>
                <w:color w:val="auto"/>
                <w:sz w:val="18"/>
                <w:szCs w:val="18"/>
                <w:lang w:eastAsia="zh-CN"/>
              </w:rPr>
            </w:pPr>
            <w:r>
              <w:rPr>
                <w:rFonts w:hint="eastAsia" w:ascii="Times New Roman"/>
                <w:color w:val="auto"/>
                <w:sz w:val="18"/>
                <w:szCs w:val="18"/>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blHeader/>
          <w:jc w:val="center"/>
        </w:trPr>
        <w:tc>
          <w:tcPr>
            <w:tcW w:w="823" w:type="dxa"/>
            <w:noWrap w:val="0"/>
            <w:vAlign w:val="center"/>
          </w:tcPr>
          <w:p>
            <w:pPr>
              <w:pStyle w:val="91"/>
              <w:spacing w:before="24" w:after="24"/>
              <w:rPr>
                <w:rFonts w:hint="eastAsia" w:ascii="Times New Roman"/>
                <w:color w:val="auto"/>
                <w:sz w:val="18"/>
                <w:szCs w:val="18"/>
                <w:lang w:eastAsia="zh-CN"/>
              </w:rPr>
            </w:pPr>
            <w:r>
              <w:rPr>
                <w:rFonts w:hint="eastAsia" w:ascii="Times New Roman"/>
                <w:color w:val="auto"/>
                <w:sz w:val="18"/>
                <w:szCs w:val="18"/>
                <w:lang w:eastAsia="zh-CN"/>
              </w:rPr>
              <w:t>3</w:t>
            </w:r>
          </w:p>
        </w:tc>
        <w:tc>
          <w:tcPr>
            <w:tcW w:w="1431" w:type="dxa"/>
            <w:noWrap w:val="0"/>
            <w:vAlign w:val="center"/>
          </w:tcPr>
          <w:p>
            <w:pPr>
              <w:jc w:val="center"/>
              <w:rPr>
                <w:color w:val="auto"/>
                <w:sz w:val="18"/>
                <w:szCs w:val="18"/>
              </w:rPr>
            </w:pPr>
            <w:r>
              <w:rPr>
                <w:rFonts w:hint="eastAsia"/>
                <w:color w:val="auto"/>
                <w:sz w:val="18"/>
                <w:szCs w:val="18"/>
              </w:rPr>
              <w:t>厂区内</w:t>
            </w:r>
          </w:p>
        </w:tc>
        <w:tc>
          <w:tcPr>
            <w:tcW w:w="1522" w:type="dxa"/>
            <w:noWrap w:val="0"/>
            <w:vAlign w:val="center"/>
          </w:tcPr>
          <w:p>
            <w:pPr>
              <w:pStyle w:val="91"/>
              <w:spacing w:before="24" w:after="24"/>
              <w:rPr>
                <w:rFonts w:hint="default" w:ascii="Times New Roman" w:eastAsia="宋体"/>
                <w:color w:val="auto"/>
                <w:sz w:val="18"/>
                <w:szCs w:val="18"/>
                <w:lang w:val="en-US" w:eastAsia="zh-CN"/>
              </w:rPr>
            </w:pPr>
            <w:r>
              <w:rPr>
                <w:rFonts w:hint="eastAsia" w:ascii="Times New Roman"/>
                <w:color w:val="auto"/>
                <w:sz w:val="18"/>
                <w:szCs w:val="18"/>
                <w:lang w:val="en-US" w:eastAsia="zh-CN"/>
              </w:rPr>
              <w:t>胶黏剂使用</w:t>
            </w:r>
          </w:p>
        </w:tc>
        <w:tc>
          <w:tcPr>
            <w:tcW w:w="1205" w:type="dxa"/>
            <w:noWrap w:val="0"/>
            <w:vAlign w:val="center"/>
          </w:tcPr>
          <w:p>
            <w:pPr>
              <w:pStyle w:val="91"/>
              <w:spacing w:before="24" w:after="24"/>
              <w:rPr>
                <w:rFonts w:ascii="Times New Roman"/>
                <w:color w:val="auto"/>
                <w:sz w:val="18"/>
                <w:szCs w:val="18"/>
              </w:rPr>
            </w:pPr>
            <w:r>
              <w:rPr>
                <w:rFonts w:hint="eastAsia"/>
                <w:color w:val="auto"/>
                <w:sz w:val="18"/>
                <w:szCs w:val="18"/>
              </w:rPr>
              <w:t>非甲烷总烃</w:t>
            </w:r>
          </w:p>
        </w:tc>
        <w:tc>
          <w:tcPr>
            <w:tcW w:w="4507" w:type="dxa"/>
            <w:noWrap w:val="0"/>
            <w:vAlign w:val="center"/>
          </w:tcPr>
          <w:p>
            <w:pPr>
              <w:pStyle w:val="91"/>
              <w:spacing w:before="24" w:after="24"/>
              <w:rPr>
                <w:rFonts w:hint="eastAsia" w:ascii="Times New Roman" w:eastAsia="宋体"/>
                <w:color w:val="auto"/>
                <w:sz w:val="18"/>
                <w:szCs w:val="18"/>
                <w:lang w:eastAsia="zh-CN"/>
              </w:rPr>
            </w:pPr>
            <w:r>
              <w:rPr>
                <w:rFonts w:hint="eastAsia" w:ascii="Times New Roman"/>
                <w:color w:val="auto"/>
                <w:sz w:val="18"/>
                <w:szCs w:val="18"/>
                <w:lang w:val="en-US" w:eastAsia="zh-CN"/>
              </w:rPr>
              <w:t>选用本体型低挥发胶黏剂</w:t>
            </w:r>
            <w:r>
              <w:rPr>
                <w:rFonts w:ascii="Times New Roman"/>
                <w:color w:val="auto"/>
                <w:sz w:val="18"/>
                <w:szCs w:val="18"/>
              </w:rPr>
              <w:t>，减少</w:t>
            </w:r>
            <w:r>
              <w:rPr>
                <w:rFonts w:hint="eastAsia" w:ascii="Times New Roman"/>
                <w:color w:val="auto"/>
                <w:sz w:val="18"/>
                <w:szCs w:val="18"/>
                <w:lang w:val="en-US" w:eastAsia="zh-CN"/>
              </w:rPr>
              <w:t>废气产生</w:t>
            </w:r>
          </w:p>
        </w:tc>
        <w:tc>
          <w:tcPr>
            <w:tcW w:w="1843" w:type="dxa"/>
            <w:noWrap w:val="0"/>
            <w:vAlign w:val="center"/>
          </w:tcPr>
          <w:p>
            <w:pPr>
              <w:jc w:val="center"/>
              <w:rPr>
                <w:color w:val="auto"/>
                <w:sz w:val="18"/>
                <w:szCs w:val="18"/>
              </w:rPr>
            </w:pPr>
            <w:r>
              <w:rPr>
                <w:color w:val="auto"/>
                <w:sz w:val="18"/>
                <w:szCs w:val="18"/>
              </w:rPr>
              <w:t>GB37822-2019</w:t>
            </w:r>
          </w:p>
        </w:tc>
        <w:tc>
          <w:tcPr>
            <w:tcW w:w="2224" w:type="dxa"/>
            <w:noWrap w:val="0"/>
            <w:vAlign w:val="center"/>
          </w:tcPr>
          <w:p>
            <w:pPr>
              <w:pStyle w:val="91"/>
              <w:spacing w:before="24" w:after="24"/>
              <w:rPr>
                <w:rFonts w:hint="eastAsia" w:ascii="Times New Roman"/>
                <w:color w:val="auto"/>
                <w:sz w:val="18"/>
                <w:szCs w:val="18"/>
                <w:lang w:eastAsia="zh-CN"/>
              </w:rPr>
            </w:pPr>
            <w:r>
              <w:rPr>
                <w:rFonts w:hint="eastAsia" w:ascii="Times New Roman"/>
                <w:color w:val="auto"/>
                <w:sz w:val="18"/>
                <w:szCs w:val="18"/>
                <w:lang w:eastAsia="zh-CN"/>
              </w:rPr>
              <w:t>6（1h平均）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blHeader/>
          <w:jc w:val="center"/>
        </w:trPr>
        <w:tc>
          <w:tcPr>
            <w:tcW w:w="823" w:type="dxa"/>
            <w:noWrap w:val="0"/>
            <w:vAlign w:val="center"/>
          </w:tcPr>
          <w:p>
            <w:pPr>
              <w:pStyle w:val="91"/>
              <w:spacing w:before="24" w:after="24"/>
              <w:rPr>
                <w:rFonts w:hint="eastAsia" w:ascii="Times New Roman"/>
                <w:color w:val="auto"/>
                <w:sz w:val="18"/>
                <w:szCs w:val="18"/>
                <w:lang w:eastAsia="zh-CN"/>
              </w:rPr>
            </w:pPr>
            <w:r>
              <w:rPr>
                <w:rFonts w:hint="eastAsia" w:ascii="Times New Roman"/>
                <w:color w:val="auto"/>
                <w:sz w:val="18"/>
                <w:szCs w:val="18"/>
                <w:lang w:eastAsia="zh-CN"/>
              </w:rPr>
              <w:t>4</w:t>
            </w:r>
          </w:p>
        </w:tc>
        <w:tc>
          <w:tcPr>
            <w:tcW w:w="1431" w:type="dxa"/>
            <w:noWrap w:val="0"/>
            <w:vAlign w:val="center"/>
          </w:tcPr>
          <w:p>
            <w:pPr>
              <w:jc w:val="center"/>
              <w:rPr>
                <w:color w:val="auto"/>
                <w:sz w:val="18"/>
                <w:szCs w:val="18"/>
              </w:rPr>
            </w:pPr>
            <w:r>
              <w:rPr>
                <w:rFonts w:hint="eastAsia"/>
                <w:color w:val="auto"/>
                <w:sz w:val="18"/>
                <w:szCs w:val="18"/>
              </w:rPr>
              <w:t>厂区内</w:t>
            </w:r>
          </w:p>
        </w:tc>
        <w:tc>
          <w:tcPr>
            <w:tcW w:w="1522" w:type="dxa"/>
            <w:noWrap w:val="0"/>
            <w:vAlign w:val="center"/>
          </w:tcPr>
          <w:p>
            <w:pPr>
              <w:pStyle w:val="91"/>
              <w:spacing w:before="24" w:after="24"/>
              <w:rPr>
                <w:rFonts w:hint="eastAsia" w:ascii="Times New Roman"/>
                <w:color w:val="auto"/>
                <w:sz w:val="18"/>
                <w:szCs w:val="18"/>
                <w:lang w:eastAsia="zh-CN"/>
              </w:rPr>
            </w:pPr>
            <w:r>
              <w:rPr>
                <w:rFonts w:hint="eastAsia" w:ascii="Times New Roman"/>
                <w:color w:val="auto"/>
                <w:sz w:val="18"/>
                <w:szCs w:val="18"/>
                <w:lang w:val="en-US" w:eastAsia="zh-CN"/>
              </w:rPr>
              <w:t>胶黏剂使用</w:t>
            </w:r>
          </w:p>
        </w:tc>
        <w:tc>
          <w:tcPr>
            <w:tcW w:w="1205" w:type="dxa"/>
            <w:noWrap w:val="0"/>
            <w:vAlign w:val="center"/>
          </w:tcPr>
          <w:p>
            <w:pPr>
              <w:pStyle w:val="91"/>
              <w:spacing w:before="24" w:after="24"/>
              <w:rPr>
                <w:rFonts w:ascii="Times New Roman"/>
                <w:color w:val="auto"/>
                <w:sz w:val="18"/>
                <w:szCs w:val="18"/>
              </w:rPr>
            </w:pPr>
            <w:r>
              <w:rPr>
                <w:rFonts w:hint="eastAsia"/>
                <w:color w:val="auto"/>
                <w:sz w:val="18"/>
                <w:szCs w:val="18"/>
              </w:rPr>
              <w:t>非甲烷总烃</w:t>
            </w:r>
          </w:p>
        </w:tc>
        <w:tc>
          <w:tcPr>
            <w:tcW w:w="4507" w:type="dxa"/>
            <w:noWrap w:val="0"/>
            <w:vAlign w:val="center"/>
          </w:tcPr>
          <w:p>
            <w:pPr>
              <w:pStyle w:val="91"/>
              <w:spacing w:before="24" w:after="24"/>
              <w:rPr>
                <w:rFonts w:hint="eastAsia" w:ascii="Times New Roman" w:eastAsia="宋体"/>
                <w:color w:val="auto"/>
                <w:sz w:val="18"/>
                <w:szCs w:val="18"/>
                <w:lang w:eastAsia="zh-CN"/>
              </w:rPr>
            </w:pPr>
            <w:r>
              <w:rPr>
                <w:rFonts w:hint="eastAsia" w:ascii="Times New Roman"/>
                <w:color w:val="auto"/>
                <w:sz w:val="18"/>
                <w:szCs w:val="18"/>
                <w:lang w:val="en-US" w:eastAsia="zh-CN"/>
              </w:rPr>
              <w:t>选用本体型低挥发胶黏剂</w:t>
            </w:r>
            <w:r>
              <w:rPr>
                <w:rFonts w:ascii="Times New Roman"/>
                <w:color w:val="auto"/>
                <w:sz w:val="18"/>
                <w:szCs w:val="18"/>
              </w:rPr>
              <w:t>，减少</w:t>
            </w:r>
            <w:r>
              <w:rPr>
                <w:rFonts w:hint="eastAsia" w:ascii="Times New Roman"/>
                <w:color w:val="auto"/>
                <w:sz w:val="18"/>
                <w:szCs w:val="18"/>
                <w:lang w:val="en-US" w:eastAsia="zh-CN"/>
              </w:rPr>
              <w:t>废气产生</w:t>
            </w:r>
          </w:p>
        </w:tc>
        <w:tc>
          <w:tcPr>
            <w:tcW w:w="1843" w:type="dxa"/>
            <w:noWrap w:val="0"/>
            <w:vAlign w:val="center"/>
          </w:tcPr>
          <w:p>
            <w:pPr>
              <w:jc w:val="center"/>
              <w:rPr>
                <w:color w:val="auto"/>
                <w:sz w:val="18"/>
                <w:szCs w:val="18"/>
              </w:rPr>
            </w:pPr>
            <w:r>
              <w:rPr>
                <w:color w:val="auto"/>
                <w:sz w:val="18"/>
                <w:szCs w:val="18"/>
              </w:rPr>
              <w:t>GB37822-2019</w:t>
            </w:r>
          </w:p>
        </w:tc>
        <w:tc>
          <w:tcPr>
            <w:tcW w:w="2224" w:type="dxa"/>
            <w:noWrap w:val="0"/>
            <w:vAlign w:val="center"/>
          </w:tcPr>
          <w:p>
            <w:pPr>
              <w:pStyle w:val="91"/>
              <w:spacing w:before="24" w:after="24"/>
              <w:rPr>
                <w:rFonts w:hint="eastAsia" w:ascii="Times New Roman"/>
                <w:color w:val="auto"/>
                <w:sz w:val="18"/>
                <w:szCs w:val="18"/>
                <w:lang w:eastAsia="zh-CN"/>
              </w:rPr>
            </w:pPr>
            <w:r>
              <w:rPr>
                <w:rFonts w:hint="eastAsia" w:ascii="Times New Roman"/>
                <w:color w:val="auto"/>
                <w:sz w:val="18"/>
                <w:szCs w:val="18"/>
                <w:lang w:eastAsia="zh-CN"/>
              </w:rPr>
              <w:t>20（任意一次）</w:t>
            </w:r>
          </w:p>
        </w:tc>
      </w:tr>
    </w:tbl>
    <w:p>
      <w:pPr>
        <w:pStyle w:val="149"/>
        <w:spacing w:line="300" w:lineRule="exact"/>
        <w:rPr>
          <w:rFonts w:hint="eastAsia"/>
          <w:color w:val="FF0000"/>
        </w:rPr>
      </w:pPr>
    </w:p>
    <w:p>
      <w:pPr>
        <w:pStyle w:val="149"/>
        <w:spacing w:line="300" w:lineRule="exact"/>
        <w:rPr>
          <w:rFonts w:hint="eastAsia"/>
          <w:color w:val="FF0000"/>
        </w:rPr>
      </w:pPr>
    </w:p>
    <w:p>
      <w:pPr>
        <w:pStyle w:val="149"/>
        <w:spacing w:line="300" w:lineRule="exact"/>
        <w:rPr>
          <w:rFonts w:hint="eastAsia"/>
          <w:color w:val="FF0000"/>
        </w:rPr>
      </w:pPr>
    </w:p>
    <w:p>
      <w:pPr>
        <w:pStyle w:val="149"/>
        <w:spacing w:line="300" w:lineRule="exact"/>
        <w:rPr>
          <w:rFonts w:hint="eastAsia"/>
          <w:color w:val="FF0000"/>
        </w:rPr>
      </w:pPr>
    </w:p>
    <w:p>
      <w:pPr>
        <w:pStyle w:val="149"/>
        <w:spacing w:line="300" w:lineRule="exact"/>
        <w:rPr>
          <w:rFonts w:hint="eastAsia"/>
          <w:color w:val="FF0000"/>
        </w:rPr>
      </w:pPr>
    </w:p>
    <w:p>
      <w:pPr>
        <w:pStyle w:val="149"/>
        <w:spacing w:line="300" w:lineRule="exact"/>
        <w:rPr>
          <w:rFonts w:hint="eastAsia"/>
          <w:color w:val="FF0000"/>
        </w:rPr>
      </w:pPr>
    </w:p>
    <w:p>
      <w:pPr>
        <w:pStyle w:val="149"/>
        <w:spacing w:line="300" w:lineRule="exact"/>
        <w:rPr>
          <w:color w:val="auto"/>
        </w:rPr>
      </w:pPr>
      <w:r>
        <w:rPr>
          <w:rFonts w:hint="eastAsia"/>
          <w:color w:val="auto"/>
        </w:rPr>
        <w:t>表</w:t>
      </w:r>
      <w:r>
        <w:rPr>
          <w:color w:val="auto"/>
        </w:rPr>
        <w:t>4-</w:t>
      </w:r>
      <w:r>
        <w:rPr>
          <w:rFonts w:hint="eastAsia"/>
          <w:color w:val="auto"/>
          <w:lang w:val="en-US" w:eastAsia="zh-CN"/>
        </w:rPr>
        <w:t>3</w:t>
      </w:r>
      <w:r>
        <w:rPr>
          <w:color w:val="auto"/>
        </w:rPr>
        <w:t xml:space="preserve"> </w:t>
      </w:r>
      <w:r>
        <w:rPr>
          <w:rFonts w:hint="eastAsia"/>
          <w:color w:val="auto"/>
          <w:lang w:val="en-US" w:eastAsia="zh-CN"/>
        </w:rPr>
        <w:t xml:space="preserve"> </w:t>
      </w:r>
      <w:r>
        <w:rPr>
          <w:rFonts w:hint="eastAsia"/>
          <w:color w:val="auto"/>
        </w:rPr>
        <w:t>大气污染源监测计划</w:t>
      </w:r>
    </w:p>
    <w:tbl>
      <w:tblPr>
        <w:tblStyle w:val="44"/>
        <w:tblW w:w="50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1267"/>
        <w:gridCol w:w="2186"/>
        <w:gridCol w:w="2066"/>
        <w:gridCol w:w="1448"/>
        <w:gridCol w:w="1449"/>
        <w:gridCol w:w="2897"/>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blHeader/>
          <w:jc w:val="center"/>
        </w:trPr>
        <w:tc>
          <w:tcPr>
            <w:tcW w:w="569" w:type="dxa"/>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序号</w:t>
            </w:r>
          </w:p>
        </w:tc>
        <w:tc>
          <w:tcPr>
            <w:tcW w:w="1266" w:type="dxa"/>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排放口编号/监测点位</w:t>
            </w:r>
          </w:p>
        </w:tc>
        <w:tc>
          <w:tcPr>
            <w:tcW w:w="2185" w:type="dxa"/>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排放口名称/监测点位名称</w:t>
            </w:r>
          </w:p>
        </w:tc>
        <w:tc>
          <w:tcPr>
            <w:tcW w:w="2065" w:type="dxa"/>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监测内容</w:t>
            </w:r>
          </w:p>
        </w:tc>
        <w:tc>
          <w:tcPr>
            <w:tcW w:w="1447" w:type="dxa"/>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污染物名称</w:t>
            </w:r>
          </w:p>
        </w:tc>
        <w:tc>
          <w:tcPr>
            <w:tcW w:w="1448" w:type="dxa"/>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监测频次</w:t>
            </w:r>
          </w:p>
        </w:tc>
        <w:tc>
          <w:tcPr>
            <w:tcW w:w="2895" w:type="dxa"/>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执行标准</w:t>
            </w:r>
          </w:p>
        </w:tc>
        <w:tc>
          <w:tcPr>
            <w:tcW w:w="1428" w:type="dxa"/>
            <w:noWrap w:val="0"/>
            <w:vAlign w:val="top"/>
          </w:tcPr>
          <w:p>
            <w:pPr>
              <w:pStyle w:val="91"/>
              <w:spacing w:before="24" w:after="24" w:line="240" w:lineRule="auto"/>
              <w:rPr>
                <w:rFonts w:ascii="Times New Roman"/>
                <w:color w:val="auto"/>
                <w:sz w:val="18"/>
                <w:szCs w:val="18"/>
              </w:rPr>
            </w:pPr>
            <w:r>
              <w:rPr>
                <w:rFonts w:ascii="Times New Roman"/>
                <w:color w:val="auto"/>
                <w:sz w:val="18"/>
                <w:szCs w:val="18"/>
              </w:rPr>
              <w:t>限值</w:t>
            </w:r>
          </w:p>
          <w:p>
            <w:pPr>
              <w:jc w:val="center"/>
              <w:rPr>
                <w:color w:val="auto"/>
                <w:sz w:val="18"/>
                <w:szCs w:val="18"/>
              </w:rPr>
            </w:pPr>
            <w:r>
              <w:rPr>
                <w:color w:val="auto"/>
                <w:sz w:val="18"/>
                <w:szCs w:val="18"/>
              </w:rPr>
              <w:t>（mg/m</w:t>
            </w:r>
            <w:r>
              <w:rPr>
                <w:color w:val="auto"/>
                <w:sz w:val="18"/>
                <w:szCs w:val="18"/>
                <w:vertAlign w:val="superscript"/>
              </w:rPr>
              <w:t>3</w:t>
            </w: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tblHeader/>
          <w:jc w:val="center"/>
        </w:trPr>
        <w:tc>
          <w:tcPr>
            <w:tcW w:w="569" w:type="dxa"/>
            <w:vMerge w:val="restart"/>
            <w:noWrap w:val="0"/>
            <w:vAlign w:val="center"/>
          </w:tcPr>
          <w:p>
            <w:pPr>
              <w:pStyle w:val="91"/>
              <w:spacing w:before="24" w:after="24" w:line="240" w:lineRule="auto"/>
              <w:rPr>
                <w:rFonts w:hint="eastAsia" w:ascii="Times New Roman"/>
                <w:color w:val="auto"/>
                <w:sz w:val="18"/>
                <w:szCs w:val="18"/>
                <w:lang w:eastAsia="zh-CN"/>
              </w:rPr>
            </w:pPr>
            <w:r>
              <w:rPr>
                <w:rFonts w:hint="eastAsia" w:ascii="Times New Roman"/>
                <w:color w:val="auto"/>
                <w:sz w:val="18"/>
                <w:szCs w:val="18"/>
                <w:lang w:val="en-US" w:eastAsia="zh-CN"/>
              </w:rPr>
              <w:t>1</w:t>
            </w:r>
          </w:p>
        </w:tc>
        <w:tc>
          <w:tcPr>
            <w:tcW w:w="1266" w:type="dxa"/>
            <w:vMerge w:val="restart"/>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厂界</w:t>
            </w:r>
          </w:p>
        </w:tc>
        <w:tc>
          <w:tcPr>
            <w:tcW w:w="2185" w:type="dxa"/>
            <w:vMerge w:val="restart"/>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w:t>
            </w:r>
          </w:p>
        </w:tc>
        <w:tc>
          <w:tcPr>
            <w:tcW w:w="2065" w:type="dxa"/>
            <w:vMerge w:val="restart"/>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温度</w:t>
            </w:r>
            <w:r>
              <w:rPr>
                <w:rFonts w:hint="eastAsia" w:ascii="Times New Roman"/>
                <w:color w:val="auto"/>
                <w:sz w:val="18"/>
                <w:szCs w:val="18"/>
                <w:lang w:eastAsia="zh-CN"/>
              </w:rPr>
              <w:t>，</w:t>
            </w:r>
            <w:r>
              <w:rPr>
                <w:rFonts w:ascii="Times New Roman"/>
                <w:color w:val="auto"/>
                <w:sz w:val="18"/>
                <w:szCs w:val="18"/>
              </w:rPr>
              <w:t>湿度</w:t>
            </w:r>
            <w:r>
              <w:rPr>
                <w:rFonts w:hint="eastAsia" w:ascii="Times New Roman"/>
                <w:color w:val="auto"/>
                <w:sz w:val="18"/>
                <w:szCs w:val="18"/>
                <w:lang w:eastAsia="zh-CN"/>
              </w:rPr>
              <w:t>，</w:t>
            </w:r>
            <w:r>
              <w:rPr>
                <w:rFonts w:ascii="Times New Roman"/>
                <w:color w:val="auto"/>
                <w:sz w:val="18"/>
                <w:szCs w:val="18"/>
              </w:rPr>
              <w:t>气压</w:t>
            </w:r>
            <w:r>
              <w:rPr>
                <w:rFonts w:hint="eastAsia" w:ascii="Times New Roman"/>
                <w:color w:val="auto"/>
                <w:sz w:val="18"/>
                <w:szCs w:val="18"/>
                <w:lang w:eastAsia="zh-CN"/>
              </w:rPr>
              <w:t>，</w:t>
            </w:r>
            <w:r>
              <w:rPr>
                <w:rFonts w:ascii="Times New Roman"/>
                <w:color w:val="auto"/>
                <w:sz w:val="18"/>
                <w:szCs w:val="18"/>
              </w:rPr>
              <w:t>风速</w:t>
            </w:r>
            <w:r>
              <w:rPr>
                <w:rFonts w:hint="eastAsia" w:ascii="Times New Roman"/>
                <w:color w:val="auto"/>
                <w:sz w:val="18"/>
                <w:szCs w:val="18"/>
                <w:lang w:eastAsia="zh-CN"/>
              </w:rPr>
              <w:t>，</w:t>
            </w:r>
            <w:r>
              <w:rPr>
                <w:rFonts w:ascii="Times New Roman"/>
                <w:color w:val="auto"/>
                <w:sz w:val="18"/>
                <w:szCs w:val="18"/>
              </w:rPr>
              <w:t>风向</w:t>
            </w:r>
          </w:p>
        </w:tc>
        <w:tc>
          <w:tcPr>
            <w:tcW w:w="1447" w:type="dxa"/>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颗粒物</w:t>
            </w:r>
          </w:p>
        </w:tc>
        <w:tc>
          <w:tcPr>
            <w:tcW w:w="1448" w:type="dxa"/>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1次/年</w:t>
            </w:r>
          </w:p>
        </w:tc>
        <w:tc>
          <w:tcPr>
            <w:tcW w:w="2895" w:type="dxa"/>
            <w:vMerge w:val="restart"/>
            <w:noWrap w:val="0"/>
            <w:vAlign w:val="center"/>
          </w:tcPr>
          <w:p>
            <w:pPr>
              <w:pStyle w:val="91"/>
              <w:spacing w:before="24" w:after="24" w:line="240" w:lineRule="auto"/>
              <w:rPr>
                <w:rFonts w:ascii="Times New Roman"/>
                <w:color w:val="auto"/>
                <w:sz w:val="18"/>
                <w:szCs w:val="18"/>
              </w:rPr>
            </w:pPr>
            <w:r>
              <w:rPr>
                <w:rFonts w:ascii="Times New Roman"/>
                <w:bCs/>
                <w:color w:val="auto"/>
                <w:sz w:val="18"/>
                <w:szCs w:val="18"/>
                <w:lang w:eastAsia="zh-CN" w:bidi="ar"/>
              </w:rPr>
              <w:t>《</w:t>
            </w:r>
            <w:r>
              <w:rPr>
                <w:rFonts w:hint="eastAsia" w:ascii="Times New Roman"/>
                <w:bCs/>
                <w:color w:val="auto"/>
                <w:sz w:val="18"/>
                <w:szCs w:val="18"/>
                <w:lang w:eastAsia="zh-CN" w:bidi="ar"/>
              </w:rPr>
              <w:t>大气污染物综合排放标准</w:t>
            </w:r>
            <w:r>
              <w:rPr>
                <w:rFonts w:ascii="Times New Roman"/>
                <w:bCs/>
                <w:color w:val="auto"/>
                <w:sz w:val="18"/>
                <w:szCs w:val="18"/>
                <w:lang w:eastAsia="zh-CN" w:bidi="ar"/>
              </w:rPr>
              <w:t>》（GB</w:t>
            </w:r>
            <w:r>
              <w:rPr>
                <w:rFonts w:hint="eastAsia" w:ascii="Times New Roman"/>
                <w:bCs/>
                <w:color w:val="auto"/>
                <w:sz w:val="18"/>
                <w:szCs w:val="18"/>
                <w:lang w:eastAsia="zh-CN" w:bidi="ar"/>
              </w:rPr>
              <w:t>16297-1996</w:t>
            </w:r>
            <w:r>
              <w:rPr>
                <w:rFonts w:ascii="Times New Roman"/>
                <w:bCs/>
                <w:color w:val="auto"/>
                <w:sz w:val="18"/>
                <w:szCs w:val="18"/>
                <w:lang w:eastAsia="zh-CN" w:bidi="ar"/>
              </w:rPr>
              <w:t>）表</w:t>
            </w:r>
            <w:r>
              <w:rPr>
                <w:rFonts w:hint="eastAsia" w:ascii="Times New Roman"/>
                <w:bCs/>
                <w:color w:val="auto"/>
                <w:sz w:val="18"/>
                <w:szCs w:val="18"/>
                <w:lang w:eastAsia="zh-CN" w:bidi="ar"/>
              </w:rPr>
              <w:t>2</w:t>
            </w:r>
          </w:p>
        </w:tc>
        <w:tc>
          <w:tcPr>
            <w:tcW w:w="1428" w:type="dxa"/>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blHeader/>
          <w:jc w:val="center"/>
        </w:trPr>
        <w:tc>
          <w:tcPr>
            <w:tcW w:w="569" w:type="dxa"/>
            <w:vMerge w:val="continue"/>
            <w:noWrap w:val="0"/>
            <w:vAlign w:val="center"/>
          </w:tcPr>
          <w:p>
            <w:pPr>
              <w:pStyle w:val="91"/>
              <w:spacing w:before="24" w:after="24" w:line="240" w:lineRule="auto"/>
              <w:rPr>
                <w:rFonts w:ascii="Times New Roman"/>
                <w:color w:val="auto"/>
                <w:sz w:val="18"/>
                <w:szCs w:val="18"/>
              </w:rPr>
            </w:pPr>
          </w:p>
        </w:tc>
        <w:tc>
          <w:tcPr>
            <w:tcW w:w="1266" w:type="dxa"/>
            <w:vMerge w:val="continue"/>
            <w:noWrap w:val="0"/>
            <w:vAlign w:val="center"/>
          </w:tcPr>
          <w:p>
            <w:pPr>
              <w:pStyle w:val="91"/>
              <w:spacing w:before="24" w:after="24" w:line="240" w:lineRule="auto"/>
              <w:rPr>
                <w:rFonts w:ascii="Times New Roman"/>
                <w:color w:val="auto"/>
                <w:sz w:val="18"/>
                <w:szCs w:val="18"/>
              </w:rPr>
            </w:pPr>
          </w:p>
        </w:tc>
        <w:tc>
          <w:tcPr>
            <w:tcW w:w="2185" w:type="dxa"/>
            <w:vMerge w:val="continue"/>
            <w:noWrap w:val="0"/>
            <w:vAlign w:val="center"/>
          </w:tcPr>
          <w:p>
            <w:pPr>
              <w:pStyle w:val="91"/>
              <w:spacing w:before="24" w:after="24" w:line="240" w:lineRule="auto"/>
              <w:rPr>
                <w:rFonts w:ascii="Times New Roman"/>
                <w:color w:val="auto"/>
                <w:sz w:val="18"/>
                <w:szCs w:val="18"/>
              </w:rPr>
            </w:pPr>
          </w:p>
        </w:tc>
        <w:tc>
          <w:tcPr>
            <w:tcW w:w="2065" w:type="dxa"/>
            <w:vMerge w:val="continue"/>
            <w:noWrap w:val="0"/>
            <w:vAlign w:val="center"/>
          </w:tcPr>
          <w:p>
            <w:pPr>
              <w:pStyle w:val="91"/>
              <w:spacing w:before="24" w:after="24" w:line="240" w:lineRule="auto"/>
              <w:rPr>
                <w:rFonts w:ascii="Times New Roman"/>
                <w:color w:val="auto"/>
                <w:sz w:val="18"/>
                <w:szCs w:val="18"/>
              </w:rPr>
            </w:pPr>
          </w:p>
        </w:tc>
        <w:tc>
          <w:tcPr>
            <w:tcW w:w="1447" w:type="dxa"/>
            <w:noWrap w:val="0"/>
            <w:vAlign w:val="center"/>
          </w:tcPr>
          <w:p>
            <w:pPr>
              <w:pStyle w:val="91"/>
              <w:spacing w:before="24" w:after="24" w:line="240" w:lineRule="auto"/>
              <w:rPr>
                <w:rFonts w:ascii="Times New Roman"/>
                <w:color w:val="auto"/>
                <w:sz w:val="18"/>
                <w:szCs w:val="18"/>
              </w:rPr>
            </w:pPr>
            <w:r>
              <w:rPr>
                <w:rFonts w:hint="eastAsia"/>
                <w:color w:val="auto"/>
                <w:sz w:val="18"/>
                <w:szCs w:val="18"/>
              </w:rPr>
              <w:t>非甲烷总烃</w:t>
            </w:r>
          </w:p>
        </w:tc>
        <w:tc>
          <w:tcPr>
            <w:tcW w:w="1448" w:type="dxa"/>
            <w:noWrap w:val="0"/>
            <w:vAlign w:val="center"/>
          </w:tcPr>
          <w:p>
            <w:pPr>
              <w:jc w:val="center"/>
              <w:rPr>
                <w:color w:val="auto"/>
                <w:sz w:val="18"/>
                <w:szCs w:val="18"/>
              </w:rPr>
            </w:pPr>
            <w:r>
              <w:rPr>
                <w:color w:val="auto"/>
                <w:sz w:val="18"/>
                <w:szCs w:val="18"/>
              </w:rPr>
              <w:t>1次/年</w:t>
            </w:r>
          </w:p>
        </w:tc>
        <w:tc>
          <w:tcPr>
            <w:tcW w:w="2895" w:type="dxa"/>
            <w:vMerge w:val="continue"/>
            <w:noWrap w:val="0"/>
            <w:vAlign w:val="center"/>
          </w:tcPr>
          <w:p>
            <w:pPr>
              <w:pStyle w:val="91"/>
              <w:spacing w:before="24" w:after="24" w:line="240" w:lineRule="auto"/>
              <w:rPr>
                <w:rFonts w:ascii="Times New Roman"/>
                <w:bCs/>
                <w:color w:val="auto"/>
                <w:sz w:val="18"/>
                <w:szCs w:val="18"/>
                <w:lang w:eastAsia="zh-CN" w:bidi="ar"/>
              </w:rPr>
            </w:pPr>
          </w:p>
        </w:tc>
        <w:tc>
          <w:tcPr>
            <w:tcW w:w="1428" w:type="dxa"/>
            <w:noWrap w:val="0"/>
            <w:vAlign w:val="center"/>
          </w:tcPr>
          <w:p>
            <w:pPr>
              <w:pStyle w:val="91"/>
              <w:spacing w:before="24" w:after="24" w:line="240" w:lineRule="auto"/>
              <w:rPr>
                <w:rFonts w:hint="eastAsia" w:ascii="Times New Roman"/>
                <w:color w:val="auto"/>
                <w:sz w:val="18"/>
                <w:szCs w:val="18"/>
                <w:lang w:eastAsia="zh-CN"/>
              </w:rPr>
            </w:pPr>
            <w:r>
              <w:rPr>
                <w:rFonts w:hint="eastAsia" w:ascii="Times New Roman"/>
                <w:color w:val="auto"/>
                <w:sz w:val="18"/>
                <w:szCs w:val="18"/>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blHeader/>
          <w:jc w:val="center"/>
        </w:trPr>
        <w:tc>
          <w:tcPr>
            <w:tcW w:w="569" w:type="dxa"/>
            <w:noWrap w:val="0"/>
            <w:vAlign w:val="center"/>
          </w:tcPr>
          <w:p>
            <w:pPr>
              <w:pStyle w:val="91"/>
              <w:spacing w:before="24" w:after="24" w:line="240" w:lineRule="auto"/>
              <w:rPr>
                <w:rFonts w:hint="eastAsia" w:ascii="Times New Roman"/>
                <w:color w:val="auto"/>
                <w:sz w:val="18"/>
                <w:szCs w:val="18"/>
                <w:lang w:eastAsia="zh-CN"/>
              </w:rPr>
            </w:pPr>
            <w:r>
              <w:rPr>
                <w:rFonts w:hint="eastAsia" w:ascii="Times New Roman"/>
                <w:color w:val="auto"/>
                <w:sz w:val="18"/>
                <w:szCs w:val="18"/>
                <w:lang w:val="en-US" w:eastAsia="zh-CN"/>
              </w:rPr>
              <w:t>2</w:t>
            </w:r>
          </w:p>
        </w:tc>
        <w:tc>
          <w:tcPr>
            <w:tcW w:w="1266" w:type="dxa"/>
            <w:noWrap w:val="0"/>
            <w:vAlign w:val="center"/>
          </w:tcPr>
          <w:p>
            <w:pPr>
              <w:pStyle w:val="91"/>
              <w:spacing w:before="24" w:after="24" w:line="240" w:lineRule="auto"/>
              <w:rPr>
                <w:rFonts w:hint="eastAsia" w:ascii="Times New Roman"/>
                <w:color w:val="auto"/>
                <w:sz w:val="18"/>
                <w:szCs w:val="18"/>
                <w:lang w:eastAsia="zh-CN"/>
              </w:rPr>
            </w:pPr>
            <w:r>
              <w:rPr>
                <w:rFonts w:hint="eastAsia" w:ascii="Times New Roman"/>
                <w:color w:val="auto"/>
                <w:sz w:val="18"/>
                <w:szCs w:val="18"/>
                <w:lang w:eastAsia="zh-CN"/>
              </w:rPr>
              <w:t>厂区内</w:t>
            </w:r>
          </w:p>
        </w:tc>
        <w:tc>
          <w:tcPr>
            <w:tcW w:w="2185" w:type="dxa"/>
            <w:noWrap w:val="0"/>
            <w:vAlign w:val="center"/>
          </w:tcPr>
          <w:p>
            <w:pPr>
              <w:pStyle w:val="91"/>
              <w:spacing w:before="24" w:after="24" w:line="240" w:lineRule="auto"/>
              <w:rPr>
                <w:rFonts w:hint="eastAsia" w:ascii="Times New Roman"/>
                <w:color w:val="auto"/>
                <w:sz w:val="18"/>
                <w:szCs w:val="18"/>
                <w:lang w:eastAsia="zh-CN"/>
              </w:rPr>
            </w:pPr>
            <w:r>
              <w:rPr>
                <w:rFonts w:hint="eastAsia" w:ascii="Times New Roman"/>
                <w:color w:val="auto"/>
                <w:sz w:val="18"/>
                <w:szCs w:val="18"/>
                <w:lang w:eastAsia="zh-CN"/>
              </w:rPr>
              <w:t>/</w:t>
            </w:r>
          </w:p>
        </w:tc>
        <w:tc>
          <w:tcPr>
            <w:tcW w:w="2065" w:type="dxa"/>
            <w:noWrap w:val="0"/>
            <w:vAlign w:val="center"/>
          </w:tcPr>
          <w:p>
            <w:pPr>
              <w:pStyle w:val="91"/>
              <w:spacing w:before="24" w:after="24" w:line="240" w:lineRule="auto"/>
              <w:rPr>
                <w:rFonts w:ascii="Times New Roman"/>
                <w:color w:val="auto"/>
                <w:sz w:val="18"/>
                <w:szCs w:val="18"/>
              </w:rPr>
            </w:pPr>
            <w:r>
              <w:rPr>
                <w:rFonts w:ascii="Times New Roman"/>
                <w:color w:val="auto"/>
                <w:sz w:val="18"/>
                <w:szCs w:val="18"/>
              </w:rPr>
              <w:t>温度</w:t>
            </w:r>
            <w:r>
              <w:rPr>
                <w:rFonts w:hint="eastAsia" w:ascii="Times New Roman"/>
                <w:color w:val="auto"/>
                <w:sz w:val="18"/>
                <w:szCs w:val="18"/>
                <w:lang w:eastAsia="zh-CN"/>
              </w:rPr>
              <w:t>，</w:t>
            </w:r>
            <w:r>
              <w:rPr>
                <w:rFonts w:ascii="Times New Roman"/>
                <w:color w:val="auto"/>
                <w:sz w:val="18"/>
                <w:szCs w:val="18"/>
              </w:rPr>
              <w:t>湿度</w:t>
            </w:r>
            <w:r>
              <w:rPr>
                <w:rFonts w:hint="eastAsia" w:ascii="Times New Roman"/>
                <w:color w:val="auto"/>
                <w:sz w:val="18"/>
                <w:szCs w:val="18"/>
                <w:lang w:eastAsia="zh-CN"/>
              </w:rPr>
              <w:t>，</w:t>
            </w:r>
            <w:r>
              <w:rPr>
                <w:rFonts w:ascii="Times New Roman"/>
                <w:color w:val="auto"/>
                <w:sz w:val="18"/>
                <w:szCs w:val="18"/>
              </w:rPr>
              <w:t>气压</w:t>
            </w:r>
            <w:r>
              <w:rPr>
                <w:rFonts w:hint="eastAsia" w:ascii="Times New Roman"/>
                <w:color w:val="auto"/>
                <w:sz w:val="18"/>
                <w:szCs w:val="18"/>
                <w:lang w:eastAsia="zh-CN"/>
              </w:rPr>
              <w:t>，</w:t>
            </w:r>
            <w:r>
              <w:rPr>
                <w:rFonts w:ascii="Times New Roman"/>
                <w:color w:val="auto"/>
                <w:sz w:val="18"/>
                <w:szCs w:val="18"/>
              </w:rPr>
              <w:t>风速</w:t>
            </w:r>
            <w:r>
              <w:rPr>
                <w:rFonts w:hint="eastAsia" w:ascii="Times New Roman"/>
                <w:color w:val="auto"/>
                <w:sz w:val="18"/>
                <w:szCs w:val="18"/>
                <w:lang w:eastAsia="zh-CN"/>
              </w:rPr>
              <w:t>，</w:t>
            </w:r>
            <w:r>
              <w:rPr>
                <w:rFonts w:ascii="Times New Roman"/>
                <w:color w:val="auto"/>
                <w:sz w:val="18"/>
                <w:szCs w:val="18"/>
              </w:rPr>
              <w:t>风向</w:t>
            </w:r>
          </w:p>
        </w:tc>
        <w:tc>
          <w:tcPr>
            <w:tcW w:w="1447" w:type="dxa"/>
            <w:noWrap w:val="0"/>
            <w:vAlign w:val="center"/>
          </w:tcPr>
          <w:p>
            <w:pPr>
              <w:pStyle w:val="91"/>
              <w:spacing w:before="24" w:after="24" w:line="240" w:lineRule="auto"/>
              <w:rPr>
                <w:rFonts w:hint="eastAsia"/>
                <w:color w:val="auto"/>
                <w:sz w:val="18"/>
                <w:szCs w:val="18"/>
              </w:rPr>
            </w:pPr>
            <w:r>
              <w:rPr>
                <w:rFonts w:hint="eastAsia"/>
                <w:color w:val="auto"/>
                <w:sz w:val="18"/>
                <w:szCs w:val="18"/>
              </w:rPr>
              <w:t>非甲烷总烃</w:t>
            </w:r>
          </w:p>
        </w:tc>
        <w:tc>
          <w:tcPr>
            <w:tcW w:w="1448" w:type="dxa"/>
            <w:noWrap w:val="0"/>
            <w:vAlign w:val="center"/>
          </w:tcPr>
          <w:p>
            <w:pPr>
              <w:jc w:val="center"/>
              <w:rPr>
                <w:color w:val="auto"/>
                <w:sz w:val="18"/>
                <w:szCs w:val="18"/>
              </w:rPr>
            </w:pPr>
            <w:r>
              <w:rPr>
                <w:color w:val="auto"/>
                <w:sz w:val="18"/>
                <w:szCs w:val="18"/>
              </w:rPr>
              <w:t>1次/年</w:t>
            </w:r>
          </w:p>
        </w:tc>
        <w:tc>
          <w:tcPr>
            <w:tcW w:w="2895" w:type="dxa"/>
            <w:noWrap w:val="0"/>
            <w:vAlign w:val="center"/>
          </w:tcPr>
          <w:p>
            <w:pPr>
              <w:pStyle w:val="91"/>
              <w:spacing w:before="24" w:after="24" w:line="240" w:lineRule="auto"/>
              <w:rPr>
                <w:rFonts w:ascii="Times New Roman"/>
                <w:bCs/>
                <w:color w:val="auto"/>
                <w:sz w:val="18"/>
                <w:szCs w:val="18"/>
                <w:lang w:eastAsia="zh-CN" w:bidi="ar"/>
              </w:rPr>
            </w:pPr>
            <w:r>
              <w:rPr>
                <w:rFonts w:ascii="Times New Roman"/>
                <w:color w:val="auto"/>
                <w:sz w:val="18"/>
                <w:szCs w:val="18"/>
              </w:rPr>
              <w:t>GB37822-2019</w:t>
            </w:r>
          </w:p>
        </w:tc>
        <w:tc>
          <w:tcPr>
            <w:tcW w:w="1428" w:type="dxa"/>
            <w:noWrap w:val="0"/>
            <w:vAlign w:val="center"/>
          </w:tcPr>
          <w:p>
            <w:pPr>
              <w:pStyle w:val="91"/>
              <w:spacing w:before="24" w:after="24"/>
              <w:rPr>
                <w:rFonts w:ascii="Times New Roman"/>
                <w:color w:val="auto"/>
                <w:sz w:val="18"/>
                <w:szCs w:val="18"/>
                <w:lang w:eastAsia="zh-CN"/>
              </w:rPr>
            </w:pPr>
            <w:r>
              <w:rPr>
                <w:rFonts w:ascii="Times New Roman"/>
                <w:color w:val="auto"/>
                <w:sz w:val="18"/>
                <w:szCs w:val="18"/>
                <w:lang w:eastAsia="zh-CN"/>
              </w:rPr>
              <w:t>6（1h平均）</w:t>
            </w:r>
            <w:r>
              <w:rPr>
                <w:rFonts w:hint="eastAsia" w:ascii="Times New Roman"/>
                <w:color w:val="auto"/>
                <w:sz w:val="18"/>
                <w:szCs w:val="18"/>
                <w:lang w:eastAsia="zh-CN"/>
              </w:rPr>
              <w:t>；</w:t>
            </w:r>
          </w:p>
          <w:p>
            <w:pPr>
              <w:pStyle w:val="91"/>
              <w:spacing w:before="24" w:after="24"/>
              <w:rPr>
                <w:rFonts w:ascii="Times New Roman"/>
                <w:color w:val="auto"/>
                <w:sz w:val="18"/>
                <w:szCs w:val="18"/>
                <w:lang w:eastAsia="zh-CN"/>
              </w:rPr>
            </w:pPr>
            <w:r>
              <w:rPr>
                <w:rFonts w:ascii="Times New Roman"/>
                <w:color w:val="auto"/>
                <w:sz w:val="18"/>
                <w:szCs w:val="18"/>
                <w:lang w:eastAsia="zh-CN"/>
              </w:rPr>
              <w:t>20（任意一次）</w:t>
            </w:r>
          </w:p>
        </w:tc>
      </w:tr>
    </w:tbl>
    <w:p>
      <w:pPr>
        <w:adjustRightInd w:val="0"/>
        <w:snapToGrid w:val="0"/>
        <w:spacing w:line="360" w:lineRule="auto"/>
        <w:ind w:firstLine="420" w:firstLineChars="200"/>
        <w:rPr>
          <w:rFonts w:hint="eastAsia"/>
          <w:color w:val="auto"/>
        </w:rPr>
      </w:pPr>
      <w:r>
        <w:rPr>
          <w:rFonts w:hint="eastAsia"/>
          <w:color w:val="auto"/>
          <w:kern w:val="0"/>
          <w:szCs w:val="21"/>
        </w:rPr>
        <w:t>*根据《固定污染源排污许可分类管理名录（2</w:t>
      </w:r>
      <w:r>
        <w:rPr>
          <w:color w:val="auto"/>
          <w:kern w:val="0"/>
          <w:szCs w:val="21"/>
        </w:rPr>
        <w:t>019</w:t>
      </w:r>
      <w:r>
        <w:rPr>
          <w:rFonts w:hint="eastAsia"/>
          <w:color w:val="auto"/>
          <w:kern w:val="0"/>
          <w:szCs w:val="21"/>
        </w:rPr>
        <w:t>版）》，本项目</w:t>
      </w:r>
      <w:r>
        <w:rPr>
          <w:rFonts w:hint="eastAsia"/>
          <w:color w:val="auto"/>
          <w:kern w:val="0"/>
          <w:szCs w:val="21"/>
          <w:lang w:val="en-US" w:eastAsia="zh-CN"/>
        </w:rPr>
        <w:t>不涉及通用工序，</w:t>
      </w:r>
      <w:r>
        <w:rPr>
          <w:rFonts w:hint="eastAsia"/>
          <w:color w:val="auto"/>
          <w:kern w:val="0"/>
          <w:szCs w:val="21"/>
        </w:rPr>
        <w:t>为登记管理。</w:t>
      </w:r>
    </w:p>
    <w:p>
      <w:pPr>
        <w:pStyle w:val="87"/>
        <w:rPr>
          <w:color w:val="auto"/>
        </w:rPr>
        <w:sectPr>
          <w:pgSz w:w="16840" w:h="11907" w:orient="landscape"/>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pPr>
        <w:rPr>
          <w:color w:val="FF0000"/>
        </w:rPr>
      </w:pPr>
    </w:p>
    <w:tbl>
      <w:tblPr>
        <w:tblStyle w:val="44"/>
        <w:tblW w:w="57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0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 w:type="pct"/>
            <w:noWrap w:val="0"/>
            <w:tcMar>
              <w:left w:w="28" w:type="dxa"/>
              <w:right w:w="28" w:type="dxa"/>
            </w:tcMar>
            <w:vAlign w:val="center"/>
          </w:tcPr>
          <w:p>
            <w:pPr>
              <w:adjustRightInd w:val="0"/>
              <w:snapToGrid w:val="0"/>
              <w:jc w:val="center"/>
              <w:rPr>
                <w:bCs/>
                <w:color w:val="auto"/>
                <w:szCs w:val="21"/>
              </w:rPr>
            </w:pPr>
            <w:r>
              <w:rPr>
                <w:bCs/>
                <w:color w:val="auto"/>
                <w:szCs w:val="21"/>
              </w:rPr>
              <w:t>运营</w:t>
            </w:r>
          </w:p>
          <w:p>
            <w:pPr>
              <w:adjustRightInd w:val="0"/>
              <w:snapToGrid w:val="0"/>
              <w:jc w:val="center"/>
              <w:rPr>
                <w:bCs/>
                <w:color w:val="auto"/>
                <w:szCs w:val="21"/>
              </w:rPr>
            </w:pPr>
            <w:r>
              <w:rPr>
                <w:bCs/>
                <w:color w:val="auto"/>
                <w:szCs w:val="21"/>
              </w:rPr>
              <w:t>期环</w:t>
            </w:r>
          </w:p>
          <w:p>
            <w:pPr>
              <w:adjustRightInd w:val="0"/>
              <w:snapToGrid w:val="0"/>
              <w:jc w:val="center"/>
              <w:rPr>
                <w:bCs/>
                <w:color w:val="auto"/>
                <w:szCs w:val="21"/>
              </w:rPr>
            </w:pPr>
            <w:r>
              <w:rPr>
                <w:bCs/>
                <w:color w:val="auto"/>
                <w:szCs w:val="21"/>
              </w:rPr>
              <w:t>境影</w:t>
            </w:r>
          </w:p>
          <w:p>
            <w:pPr>
              <w:adjustRightInd w:val="0"/>
              <w:snapToGrid w:val="0"/>
              <w:jc w:val="center"/>
              <w:rPr>
                <w:bCs/>
                <w:color w:val="auto"/>
                <w:szCs w:val="21"/>
              </w:rPr>
            </w:pPr>
            <w:r>
              <w:rPr>
                <w:bCs/>
                <w:color w:val="auto"/>
                <w:szCs w:val="21"/>
              </w:rPr>
              <w:t>响和</w:t>
            </w:r>
          </w:p>
          <w:p>
            <w:pPr>
              <w:adjustRightInd w:val="0"/>
              <w:snapToGrid w:val="0"/>
              <w:jc w:val="center"/>
              <w:rPr>
                <w:bCs/>
                <w:color w:val="auto"/>
                <w:szCs w:val="21"/>
              </w:rPr>
            </w:pPr>
            <w:r>
              <w:rPr>
                <w:bCs/>
                <w:color w:val="auto"/>
                <w:szCs w:val="21"/>
              </w:rPr>
              <w:t>保护</w:t>
            </w:r>
          </w:p>
          <w:p>
            <w:pPr>
              <w:adjustRightInd w:val="0"/>
              <w:snapToGrid w:val="0"/>
              <w:jc w:val="center"/>
              <w:rPr>
                <w:bCs/>
                <w:color w:val="FF0000"/>
                <w:szCs w:val="21"/>
              </w:rPr>
            </w:pPr>
            <w:r>
              <w:rPr>
                <w:bCs/>
                <w:color w:val="auto"/>
                <w:szCs w:val="21"/>
              </w:rPr>
              <w:t>措施</w:t>
            </w:r>
          </w:p>
        </w:tc>
        <w:tc>
          <w:tcPr>
            <w:tcW w:w="4682" w:type="pct"/>
            <w:noWrap w:val="0"/>
            <w:vAlign w:val="center"/>
          </w:tcPr>
          <w:p>
            <w:pPr>
              <w:pStyle w:val="147"/>
              <w:ind w:firstLineChars="0"/>
              <w:rPr>
                <w:b/>
                <w:bCs w:val="0"/>
                <w:color w:val="auto"/>
                <w:lang w:val="en-US" w:eastAsia="zh-CN"/>
              </w:rPr>
            </w:pPr>
            <w:r>
              <w:rPr>
                <w:rFonts w:hint="eastAsia"/>
                <w:b/>
                <w:bCs w:val="0"/>
                <w:color w:val="auto"/>
                <w:lang w:val="en-US" w:eastAsia="zh-CN"/>
              </w:rPr>
              <w:t>本项目废气主要有钢材切割下料过程产生G1粉尘、金属焊接产生焊接粉尘G2、塑料板材雕刻G3、PP胶带热熔焊接有机废气及食堂油烟，污染物源强核算过程如下：</w:t>
            </w:r>
          </w:p>
          <w:p>
            <w:pPr>
              <w:widowControl/>
              <w:spacing w:line="360" w:lineRule="auto"/>
              <w:ind w:firstLine="422" w:firstLineChars="200"/>
              <w:jc w:val="left"/>
              <w:rPr>
                <w:rFonts w:hint="eastAsia"/>
                <w:b/>
                <w:color w:val="auto"/>
                <w:szCs w:val="21"/>
              </w:rPr>
            </w:pPr>
            <w:r>
              <w:rPr>
                <w:rFonts w:hint="eastAsia"/>
                <w:b/>
                <w:color w:val="auto"/>
                <w:szCs w:val="21"/>
              </w:rPr>
              <w:t>1、</w:t>
            </w:r>
            <w:r>
              <w:rPr>
                <w:rFonts w:hint="eastAsia"/>
                <w:b/>
                <w:color w:val="auto"/>
                <w:szCs w:val="21"/>
                <w:lang w:val="en-US" w:eastAsia="zh-CN"/>
              </w:rPr>
              <w:t>颗粒物</w:t>
            </w:r>
          </w:p>
          <w:p>
            <w:pPr>
              <w:spacing w:line="360" w:lineRule="auto"/>
              <w:ind w:firstLine="422" w:firstLineChars="200"/>
              <w:jc w:val="left"/>
              <w:rPr>
                <w:b/>
                <w:color w:val="auto"/>
                <w:szCs w:val="21"/>
              </w:rPr>
            </w:pPr>
            <w:r>
              <w:rPr>
                <w:rFonts w:hint="eastAsia"/>
                <w:b/>
                <w:color w:val="auto"/>
                <w:szCs w:val="21"/>
              </w:rPr>
              <w:t>（1）</w:t>
            </w:r>
            <w:r>
              <w:rPr>
                <w:rFonts w:hint="eastAsia"/>
                <w:b/>
                <w:color w:val="auto"/>
                <w:szCs w:val="21"/>
                <w:lang w:val="en-US" w:eastAsia="zh-CN"/>
              </w:rPr>
              <w:t>钢材切割下料粉尘</w:t>
            </w:r>
            <w:r>
              <w:rPr>
                <w:rFonts w:hint="eastAsia"/>
                <w:b/>
                <w:color w:val="auto"/>
                <w:szCs w:val="21"/>
              </w:rPr>
              <w:t>G</w:t>
            </w:r>
            <w:r>
              <w:rPr>
                <w:rFonts w:hint="eastAsia"/>
                <w:b/>
                <w:color w:val="auto"/>
                <w:szCs w:val="21"/>
                <w:vertAlign w:val="subscript"/>
              </w:rPr>
              <w:t>1</w:t>
            </w:r>
          </w:p>
          <w:p>
            <w:pPr>
              <w:widowControl/>
              <w:spacing w:line="360" w:lineRule="auto"/>
              <w:ind w:firstLine="420" w:firstLineChars="200"/>
              <w:jc w:val="left"/>
              <w:rPr>
                <w:rFonts w:hint="default" w:ascii="Times New Roman" w:hAnsi="Times New Roman" w:cs="Times New Roman"/>
                <w:bCs/>
                <w:color w:val="auto"/>
                <w:szCs w:val="21"/>
                <w:shd w:val="clear" w:color="auto" w:fill="FFFFFF"/>
                <w:lang w:val="en-US" w:eastAsia="zh-CN"/>
              </w:rPr>
            </w:pPr>
            <w:r>
              <w:rPr>
                <w:rFonts w:hint="default" w:ascii="Times New Roman" w:hAnsi="Times New Roman" w:cs="Times New Roman"/>
                <w:bCs/>
                <w:color w:val="auto"/>
                <w:szCs w:val="21"/>
                <w:shd w:val="clear" w:color="auto" w:fill="FFFFFF"/>
                <w:lang w:val="en-US" w:eastAsia="zh-CN"/>
              </w:rPr>
              <w:t>本项目钢材切割</w:t>
            </w:r>
            <w:r>
              <w:rPr>
                <w:rFonts w:hint="default" w:ascii="Times New Roman" w:hAnsi="Times New Roman" w:cs="Times New Roman"/>
                <w:bCs/>
                <w:color w:val="auto"/>
                <w:szCs w:val="21"/>
                <w:shd w:val="clear" w:color="auto" w:fill="FFFFFF"/>
              </w:rPr>
              <w:t>下料</w:t>
            </w:r>
            <w:r>
              <w:rPr>
                <w:rFonts w:hint="default" w:ascii="Times New Roman" w:hAnsi="Times New Roman" w:cs="Times New Roman"/>
                <w:bCs/>
                <w:color w:val="auto"/>
                <w:szCs w:val="21"/>
                <w:shd w:val="clear" w:color="auto" w:fill="FFFFFF"/>
                <w:lang w:val="en-US" w:eastAsia="zh-CN"/>
              </w:rPr>
              <w:t>采用砂轮切割机、锯床等设备，根据《33-37，431-434机械行业系数手册》中04下料环节</w:t>
            </w:r>
            <w:r>
              <w:rPr>
                <w:rFonts w:hint="default" w:ascii="Times New Roman" w:hAnsi="Times New Roman" w:cs="Times New Roman"/>
                <w:bCs/>
                <w:color w:val="auto"/>
                <w:szCs w:val="21"/>
                <w:shd w:val="clear" w:color="auto" w:fill="FFFFFF"/>
              </w:rPr>
              <w:t>：钢板-锯床、砂轮切割机切割—颗粒物产污系数：5.3kg/t-原料，本项目共计使用钢材20t</w:t>
            </w:r>
            <w:r>
              <w:rPr>
                <w:rFonts w:hint="default" w:ascii="Times New Roman" w:hAnsi="Times New Roman" w:cs="Times New Roman"/>
                <w:bCs/>
                <w:color w:val="auto"/>
                <w:szCs w:val="21"/>
                <w:shd w:val="clear" w:color="auto" w:fill="FFFFFF"/>
                <w:lang w:eastAsia="zh-CN"/>
              </w:rPr>
              <w:t>，</w:t>
            </w:r>
            <w:r>
              <w:rPr>
                <w:rFonts w:hint="default" w:ascii="Times New Roman" w:hAnsi="Times New Roman" w:cs="Times New Roman"/>
                <w:bCs/>
                <w:color w:val="auto"/>
                <w:szCs w:val="21"/>
                <w:shd w:val="clear" w:color="auto" w:fill="FFFFFF"/>
              </w:rPr>
              <w:t>则下料环节颗粒物产生量为0.106t/a，</w:t>
            </w:r>
            <w:r>
              <w:rPr>
                <w:rFonts w:hint="default" w:ascii="Times New Roman" w:hAnsi="Times New Roman" w:cs="Times New Roman"/>
                <w:bCs/>
                <w:color w:val="auto"/>
                <w:szCs w:val="21"/>
                <w:shd w:val="clear" w:color="auto" w:fill="FFFFFF"/>
                <w:lang w:val="en-US" w:eastAsia="zh-CN"/>
              </w:rPr>
              <w:t>本项目钢材切割位于密闭车间，切割金属尘属于大颗粒沉，大部分位于切割工位周边沉降，</w:t>
            </w:r>
            <w:r>
              <w:rPr>
                <w:rFonts w:hint="eastAsia" w:ascii="Times New Roman" w:hAnsi="Times New Roman" w:cs="Times New Roman"/>
                <w:bCs/>
                <w:color w:val="auto"/>
                <w:szCs w:val="21"/>
                <w:shd w:val="clear" w:color="auto" w:fill="FFFFFF"/>
                <w:lang w:val="en-US" w:eastAsia="zh-CN"/>
              </w:rPr>
              <w:t>根据《固体物料堆存颗粒物产排污核算系数手册》，粉尘采取围挡等措施粉尘控制效率为60%，则无组织排放粉尘为0.042t/a。</w:t>
            </w:r>
            <w:r>
              <w:rPr>
                <w:rFonts w:hint="eastAsia" w:cs="Times New Roman"/>
                <w:bCs/>
                <w:color w:val="auto"/>
                <w:szCs w:val="21"/>
                <w:shd w:val="clear" w:color="auto" w:fill="FFFFFF"/>
                <w:lang w:val="en-US" w:eastAsia="zh-CN"/>
              </w:rPr>
              <w:t>工位周边采用除尘器人工干法清洁。</w:t>
            </w:r>
          </w:p>
          <w:p>
            <w:pPr>
              <w:spacing w:line="360" w:lineRule="auto"/>
              <w:ind w:firstLine="422" w:firstLineChars="200"/>
              <w:jc w:val="left"/>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（2）焊接烟尘</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项目钢件加工工艺中有部分板材，焊接工序污染物产排系数参考《排放源统计调查产排污核算方法和系数手册》中“33 金属制品业、34 通用设备制造业、35 专用设备制造业、36 汽车制造业、37 铁路、船舶、航空航天和其他运输设备制造业、431 金属制品修理、432 通用设备修理、433 专用设备修理、434 铁路、船舶、航空航天等运输设备修理（不包括电镀工艺）行业系数表”。</w:t>
            </w:r>
          </w:p>
          <w:p>
            <w:pPr>
              <w:pStyle w:val="243"/>
              <w:bidi w:val="0"/>
              <w:rPr>
                <w:rFonts w:hint="default" w:ascii="Times New Roman" w:hAnsi="Times New Roman" w:eastAsia="宋体" w:cs="Times New Roman"/>
                <w:b/>
                <w:bCs/>
                <w:color w:val="auto"/>
                <w:sz w:val="21"/>
              </w:rPr>
            </w:pPr>
            <w:r>
              <w:rPr>
                <w:rFonts w:hint="default" w:ascii="Times New Roman" w:hAnsi="Times New Roman" w:eastAsia="宋体" w:cs="Times New Roman"/>
                <w:b/>
                <w:bCs/>
                <w:color w:val="auto"/>
                <w:sz w:val="21"/>
              </w:rPr>
              <w:t>表</w:t>
            </w:r>
            <w:r>
              <w:rPr>
                <w:rFonts w:hint="default" w:ascii="Times New Roman" w:hAnsi="Times New Roman" w:eastAsia="宋体" w:cs="Times New Roman"/>
                <w:b/>
                <w:bCs/>
                <w:color w:val="auto"/>
                <w:sz w:val="21"/>
                <w:lang w:val="en-US" w:eastAsia="zh-CN"/>
              </w:rPr>
              <w:t>4-</w:t>
            </w:r>
            <w:r>
              <w:rPr>
                <w:rFonts w:hint="eastAsia" w:eastAsia="宋体" w:cs="Times New Roman"/>
                <w:b/>
                <w:bCs/>
                <w:color w:val="auto"/>
                <w:sz w:val="21"/>
                <w:lang w:val="en-US" w:eastAsia="zh-CN"/>
              </w:rPr>
              <w:t>4</w:t>
            </w:r>
            <w:r>
              <w:rPr>
                <w:rFonts w:hint="default" w:ascii="Times New Roman" w:hAnsi="Times New Roman" w:eastAsia="宋体" w:cs="Times New Roman"/>
                <w:b/>
                <w:bCs/>
                <w:color w:val="auto"/>
                <w:sz w:val="21"/>
              </w:rPr>
              <w:t xml:space="preserve"> </w:t>
            </w:r>
            <w:r>
              <w:rPr>
                <w:rFonts w:hint="eastAsia" w:eastAsia="宋体" w:cs="Times New Roman"/>
                <w:b/>
                <w:bCs/>
                <w:color w:val="auto"/>
                <w:sz w:val="21"/>
                <w:lang w:val="en-US" w:eastAsia="zh-CN"/>
              </w:rPr>
              <w:t xml:space="preserve"> </w:t>
            </w:r>
            <w:r>
              <w:rPr>
                <w:rFonts w:hint="eastAsia" w:ascii="Times New Roman" w:hAnsi="Times New Roman" w:eastAsia="宋体" w:cs="Times New Roman"/>
                <w:b/>
                <w:bCs/>
                <w:color w:val="auto"/>
                <w:sz w:val="21"/>
                <w:lang w:val="en-US" w:eastAsia="zh-CN"/>
              </w:rPr>
              <w:t>焊接工序污染物产排系数参照表</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9"/>
              <w:gridCol w:w="902"/>
              <w:gridCol w:w="883"/>
              <w:gridCol w:w="2236"/>
              <w:gridCol w:w="865"/>
              <w:gridCol w:w="451"/>
              <w:gridCol w:w="661"/>
              <w:gridCol w:w="110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04" w:type="dxa"/>
                  <w:tcBorders>
                    <w:tl2br w:val="nil"/>
                    <w:tr2bl w:val="nil"/>
                  </w:tcBorders>
                  <w:noWrap w:val="0"/>
                  <w:vAlign w:val="center"/>
                </w:tcPr>
                <w:p>
                  <w:pPr>
                    <w:pStyle w:val="244"/>
                    <w:bidi w:val="0"/>
                    <w:rPr>
                      <w:rFonts w:hint="default" w:ascii="Times New Roman" w:hAnsi="Times New Roman" w:eastAsia="宋体" w:cs="Times New Roman"/>
                      <w:color w:val="auto"/>
                      <w:lang w:val="en-US" w:eastAsia="zh-CN"/>
                    </w:rPr>
                  </w:pPr>
                  <w:r>
                    <w:rPr>
                      <w:rFonts w:hint="eastAsia" w:cs="Times New Roman"/>
                      <w:color w:val="auto"/>
                      <w:lang w:val="en-US" w:eastAsia="zh-CN"/>
                    </w:rPr>
                    <w:t>工段名称</w:t>
                  </w:r>
                </w:p>
              </w:tc>
              <w:tc>
                <w:tcPr>
                  <w:tcW w:w="834" w:type="dxa"/>
                  <w:tcBorders>
                    <w:tl2br w:val="nil"/>
                    <w:tr2bl w:val="nil"/>
                  </w:tcBorders>
                  <w:noWrap w:val="0"/>
                  <w:vAlign w:val="center"/>
                </w:tcPr>
                <w:p>
                  <w:pPr>
                    <w:pStyle w:val="244"/>
                    <w:bidi w:val="0"/>
                    <w:rPr>
                      <w:rFonts w:hint="default" w:ascii="Times New Roman" w:hAnsi="Times New Roman" w:eastAsia="宋体" w:cs="Times New Roman"/>
                      <w:color w:val="auto"/>
                      <w:lang w:val="en-US" w:eastAsia="zh-CN"/>
                    </w:rPr>
                  </w:pPr>
                  <w:r>
                    <w:rPr>
                      <w:rFonts w:hint="eastAsia" w:cs="Times New Roman"/>
                      <w:color w:val="auto"/>
                      <w:lang w:val="en-US" w:eastAsia="zh-CN"/>
                    </w:rPr>
                    <w:t>产品名称</w:t>
                  </w:r>
                </w:p>
              </w:tc>
              <w:tc>
                <w:tcPr>
                  <w:tcW w:w="816" w:type="dxa"/>
                  <w:tcBorders>
                    <w:tl2br w:val="nil"/>
                    <w:tr2bl w:val="nil"/>
                  </w:tcBorders>
                  <w:noWrap w:val="0"/>
                  <w:vAlign w:val="center"/>
                </w:tcPr>
                <w:p>
                  <w:pPr>
                    <w:pStyle w:val="244"/>
                    <w:bidi w:val="0"/>
                    <w:rPr>
                      <w:rFonts w:hint="default" w:ascii="Times New Roman" w:hAnsi="Times New Roman" w:cs="Times New Roman"/>
                      <w:color w:val="auto"/>
                      <w:lang w:val="en-US" w:eastAsia="zh-CN"/>
                    </w:rPr>
                  </w:pPr>
                  <w:r>
                    <w:rPr>
                      <w:rFonts w:hint="eastAsia" w:cs="Times New Roman"/>
                      <w:color w:val="auto"/>
                      <w:lang w:val="en-US" w:eastAsia="zh-CN"/>
                    </w:rPr>
                    <w:t>原来名称</w:t>
                  </w:r>
                </w:p>
              </w:tc>
              <w:tc>
                <w:tcPr>
                  <w:tcW w:w="2067" w:type="dxa"/>
                  <w:tcBorders>
                    <w:tl2br w:val="nil"/>
                    <w:tr2bl w:val="nil"/>
                  </w:tcBorders>
                  <w:noWrap w:val="0"/>
                  <w:vAlign w:val="center"/>
                </w:tcPr>
                <w:p>
                  <w:pPr>
                    <w:pStyle w:val="244"/>
                    <w:bidi w:val="0"/>
                    <w:rPr>
                      <w:rFonts w:hint="default" w:ascii="Times New Roman" w:hAnsi="Times New Roman" w:cs="Times New Roman"/>
                      <w:color w:val="auto"/>
                      <w:lang w:val="en-US" w:eastAsia="zh-CN"/>
                    </w:rPr>
                  </w:pPr>
                  <w:r>
                    <w:rPr>
                      <w:rFonts w:hint="eastAsia" w:cs="Times New Roman"/>
                      <w:color w:val="auto"/>
                      <w:lang w:val="en-US" w:eastAsia="zh-CN"/>
                    </w:rPr>
                    <w:t>工艺名称</w:t>
                  </w:r>
                </w:p>
              </w:tc>
              <w:tc>
                <w:tcPr>
                  <w:tcW w:w="800" w:type="dxa"/>
                  <w:tcBorders>
                    <w:tl2br w:val="nil"/>
                    <w:tr2bl w:val="nil"/>
                  </w:tcBorders>
                  <w:noWrap w:val="0"/>
                  <w:vAlign w:val="center"/>
                </w:tcPr>
                <w:p>
                  <w:pPr>
                    <w:pStyle w:val="244"/>
                    <w:bidi w:val="0"/>
                    <w:rPr>
                      <w:rFonts w:hint="default" w:ascii="Times New Roman" w:hAnsi="Times New Roman" w:cs="Times New Roman"/>
                      <w:color w:val="auto"/>
                      <w:lang w:val="en-US" w:eastAsia="zh-CN"/>
                    </w:rPr>
                  </w:pPr>
                  <w:r>
                    <w:rPr>
                      <w:rFonts w:hint="eastAsia" w:cs="Times New Roman"/>
                      <w:color w:val="auto"/>
                      <w:lang w:val="en-US" w:eastAsia="zh-CN"/>
                    </w:rPr>
                    <w:t>规模等级</w:t>
                  </w:r>
                </w:p>
              </w:tc>
              <w:tc>
                <w:tcPr>
                  <w:tcW w:w="1028" w:type="dxa"/>
                  <w:gridSpan w:val="2"/>
                  <w:tcBorders>
                    <w:tl2br w:val="nil"/>
                    <w:tr2bl w:val="nil"/>
                  </w:tcBorders>
                  <w:noWrap w:val="0"/>
                  <w:vAlign w:val="center"/>
                </w:tcPr>
                <w:p>
                  <w:pPr>
                    <w:pStyle w:val="244"/>
                    <w:bidi w:val="0"/>
                    <w:rPr>
                      <w:rFonts w:hint="default" w:ascii="Times New Roman" w:hAnsi="Times New Roman" w:cs="Times New Roman"/>
                      <w:color w:val="auto"/>
                    </w:rPr>
                  </w:pPr>
                  <w:r>
                    <w:rPr>
                      <w:rFonts w:hint="eastAsia" w:cs="Times New Roman"/>
                      <w:color w:val="auto"/>
                      <w:lang w:val="en-US" w:eastAsia="zh-CN"/>
                    </w:rPr>
                    <w:t>污染物指标</w:t>
                  </w:r>
                </w:p>
              </w:tc>
              <w:tc>
                <w:tcPr>
                  <w:tcW w:w="1022" w:type="dxa"/>
                  <w:tcBorders>
                    <w:tl2br w:val="nil"/>
                    <w:tr2bl w:val="nil"/>
                  </w:tcBorders>
                  <w:noWrap w:val="0"/>
                  <w:vAlign w:val="center"/>
                </w:tcPr>
                <w:p>
                  <w:pPr>
                    <w:pStyle w:val="244"/>
                    <w:bidi w:val="0"/>
                    <w:rPr>
                      <w:rFonts w:hint="eastAsia" w:ascii="Times New Roman" w:hAnsi="Times New Roman" w:eastAsia="宋体" w:cs="Times New Roman"/>
                      <w:color w:val="auto"/>
                      <w:lang w:val="en-US" w:eastAsia="zh-CN"/>
                    </w:rPr>
                  </w:pPr>
                  <w:r>
                    <w:rPr>
                      <w:rFonts w:hint="eastAsia" w:cs="Times New Roman"/>
                      <w:color w:val="auto"/>
                      <w:lang w:val="en-US" w:eastAsia="zh-CN"/>
                    </w:rPr>
                    <w:t>单位</w:t>
                  </w:r>
                </w:p>
              </w:tc>
              <w:tc>
                <w:tcPr>
                  <w:tcW w:w="796" w:type="dxa"/>
                  <w:tcBorders>
                    <w:tl2br w:val="nil"/>
                    <w:tr2bl w:val="nil"/>
                  </w:tcBorders>
                  <w:noWrap w:val="0"/>
                  <w:vAlign w:val="center"/>
                </w:tcPr>
                <w:p>
                  <w:pPr>
                    <w:pStyle w:val="244"/>
                    <w:bidi w:val="0"/>
                    <w:rPr>
                      <w:rFonts w:hint="default" w:ascii="Times New Roman" w:hAnsi="Times New Roman" w:eastAsia="宋体" w:cs="Times New Roman"/>
                      <w:color w:val="auto"/>
                      <w:lang w:val="en-US" w:eastAsia="zh-CN"/>
                    </w:rPr>
                  </w:pPr>
                  <w:r>
                    <w:rPr>
                      <w:rFonts w:hint="eastAsia" w:cs="Times New Roman"/>
                      <w:color w:val="auto"/>
                      <w:lang w:val="en-US" w:eastAsia="zh-CN"/>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04" w:type="dxa"/>
                  <w:tcBorders>
                    <w:tl2br w:val="nil"/>
                    <w:tr2bl w:val="nil"/>
                  </w:tcBorders>
                  <w:noWrap w:val="0"/>
                  <w:vAlign w:val="center"/>
                </w:tcPr>
                <w:p>
                  <w:pPr>
                    <w:pStyle w:val="244"/>
                    <w:ind w:firstLine="0" w:firstLineChars="0"/>
                    <w:rPr>
                      <w:rFonts w:hint="default" w:ascii="Times New Roman" w:hAnsi="Times New Roman" w:cs="Times New Roman"/>
                      <w:color w:val="auto"/>
                      <w:lang w:val="en-US" w:eastAsia="zh-CN"/>
                    </w:rPr>
                  </w:pPr>
                  <w:r>
                    <w:rPr>
                      <w:rFonts w:hint="eastAsia" w:cs="Times New Roman"/>
                      <w:color w:val="auto"/>
                      <w:lang w:val="en-US" w:eastAsia="zh-CN"/>
                    </w:rPr>
                    <w:t>焊接</w:t>
                  </w:r>
                </w:p>
              </w:tc>
              <w:tc>
                <w:tcPr>
                  <w:tcW w:w="834" w:type="dxa"/>
                  <w:tcBorders>
                    <w:tl2br w:val="nil"/>
                    <w:tr2bl w:val="nil"/>
                  </w:tcBorders>
                  <w:noWrap w:val="0"/>
                  <w:vAlign w:val="center"/>
                </w:tcPr>
                <w:p>
                  <w:pPr>
                    <w:pStyle w:val="244"/>
                    <w:ind w:firstLine="0" w:firstLineChars="0"/>
                    <w:rPr>
                      <w:rFonts w:hint="default" w:ascii="Times New Roman" w:hAnsi="Times New Roman" w:cs="Times New Roman"/>
                      <w:color w:val="auto"/>
                      <w:lang w:val="en-US" w:eastAsia="zh-CN"/>
                    </w:rPr>
                  </w:pPr>
                  <w:r>
                    <w:rPr>
                      <w:rFonts w:hint="eastAsia" w:cs="Times New Roman"/>
                      <w:color w:val="auto"/>
                      <w:lang w:val="en-US" w:eastAsia="zh-CN"/>
                    </w:rPr>
                    <w:t>焊接件</w:t>
                  </w:r>
                </w:p>
              </w:tc>
              <w:tc>
                <w:tcPr>
                  <w:tcW w:w="816" w:type="dxa"/>
                  <w:tcBorders>
                    <w:tl2br w:val="nil"/>
                    <w:tr2bl w:val="nil"/>
                  </w:tcBorders>
                  <w:noWrap w:val="0"/>
                  <w:vAlign w:val="center"/>
                </w:tcPr>
                <w:p>
                  <w:pPr>
                    <w:pStyle w:val="244"/>
                    <w:ind w:firstLine="0" w:firstLineChars="0"/>
                    <w:rPr>
                      <w:rFonts w:hint="default" w:ascii="Times New Roman" w:hAnsi="Times New Roman" w:cs="Times New Roman"/>
                      <w:color w:val="auto"/>
                      <w:lang w:val="en-US" w:eastAsia="zh-CN"/>
                    </w:rPr>
                  </w:pPr>
                  <w:r>
                    <w:rPr>
                      <w:rFonts w:hint="eastAsia" w:cs="Times New Roman"/>
                      <w:color w:val="auto"/>
                      <w:lang w:val="en-US" w:eastAsia="zh-CN"/>
                    </w:rPr>
                    <w:t>实芯焊接</w:t>
                  </w:r>
                </w:p>
              </w:tc>
              <w:tc>
                <w:tcPr>
                  <w:tcW w:w="2067" w:type="dxa"/>
                  <w:tcBorders>
                    <w:tl2br w:val="nil"/>
                    <w:tr2bl w:val="nil"/>
                  </w:tcBorders>
                  <w:noWrap w:val="0"/>
                  <w:vAlign w:val="center"/>
                </w:tcPr>
                <w:p>
                  <w:pPr>
                    <w:pStyle w:val="244"/>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二氧化碳保护焊、埋弧焊、氩弧焊</w:t>
                  </w:r>
                </w:p>
              </w:tc>
              <w:tc>
                <w:tcPr>
                  <w:tcW w:w="800" w:type="dxa"/>
                  <w:tcBorders>
                    <w:tl2br w:val="nil"/>
                    <w:tr2bl w:val="nil"/>
                  </w:tcBorders>
                  <w:noWrap w:val="0"/>
                  <w:vAlign w:val="center"/>
                </w:tcPr>
                <w:p>
                  <w:pPr>
                    <w:pStyle w:val="244"/>
                    <w:ind w:firstLine="0" w:firstLineChars="0"/>
                    <w:rPr>
                      <w:rFonts w:hint="default" w:ascii="Times New Roman" w:hAnsi="Times New Roman" w:cs="Times New Roman"/>
                      <w:color w:val="auto"/>
                      <w:lang w:val="en-US" w:eastAsia="zh-CN"/>
                    </w:rPr>
                  </w:pPr>
                  <w:r>
                    <w:rPr>
                      <w:rFonts w:hint="eastAsia" w:cs="Times New Roman"/>
                      <w:color w:val="auto"/>
                      <w:lang w:val="en-US" w:eastAsia="zh-CN"/>
                    </w:rPr>
                    <w:t>所有规模</w:t>
                  </w:r>
                </w:p>
              </w:tc>
              <w:tc>
                <w:tcPr>
                  <w:tcW w:w="417" w:type="dxa"/>
                  <w:tcBorders>
                    <w:tl2br w:val="nil"/>
                    <w:tr2bl w:val="nil"/>
                  </w:tcBorders>
                  <w:noWrap w:val="0"/>
                  <w:vAlign w:val="center"/>
                </w:tcPr>
                <w:p>
                  <w:pPr>
                    <w:pStyle w:val="244"/>
                    <w:ind w:firstLine="0" w:firstLineChars="0"/>
                    <w:rPr>
                      <w:rFonts w:hint="default" w:ascii="Times New Roman" w:hAnsi="Times New Roman" w:cs="Times New Roman"/>
                      <w:color w:val="auto"/>
                      <w:lang w:val="en-US" w:eastAsia="zh-CN"/>
                    </w:rPr>
                  </w:pPr>
                  <w:r>
                    <w:rPr>
                      <w:rFonts w:hint="eastAsia" w:cs="Times New Roman"/>
                      <w:color w:val="auto"/>
                      <w:lang w:val="en-US" w:eastAsia="zh-CN"/>
                    </w:rPr>
                    <w:t>废气</w:t>
                  </w:r>
                </w:p>
              </w:tc>
              <w:tc>
                <w:tcPr>
                  <w:tcW w:w="611" w:type="dxa"/>
                  <w:tcBorders>
                    <w:tl2br w:val="nil"/>
                    <w:tr2bl w:val="nil"/>
                  </w:tcBorders>
                  <w:noWrap w:val="0"/>
                  <w:vAlign w:val="center"/>
                </w:tcPr>
                <w:p>
                  <w:pPr>
                    <w:pStyle w:val="244"/>
                    <w:ind w:firstLine="0" w:firstLineChars="0"/>
                    <w:rPr>
                      <w:rFonts w:hint="default" w:ascii="Times New Roman" w:hAnsi="Times New Roman" w:eastAsia="宋体" w:cs="Times New Roman"/>
                      <w:color w:val="auto"/>
                      <w:lang w:val="en-US" w:eastAsia="zh-CN"/>
                    </w:rPr>
                  </w:pPr>
                  <w:r>
                    <w:rPr>
                      <w:rFonts w:hint="eastAsia" w:cs="Times New Roman"/>
                      <w:color w:val="auto"/>
                      <w:lang w:val="en-US" w:eastAsia="zh-CN"/>
                    </w:rPr>
                    <w:t>颗粒物</w:t>
                  </w:r>
                </w:p>
              </w:tc>
              <w:tc>
                <w:tcPr>
                  <w:tcW w:w="1022" w:type="dxa"/>
                  <w:tcBorders>
                    <w:tl2br w:val="nil"/>
                    <w:tr2bl w:val="nil"/>
                  </w:tcBorders>
                  <w:noWrap w:val="0"/>
                  <w:vAlign w:val="center"/>
                </w:tcPr>
                <w:p>
                  <w:pPr>
                    <w:pStyle w:val="244"/>
                    <w:ind w:firstLine="0" w:firstLineChars="0"/>
                    <w:rPr>
                      <w:rFonts w:hint="default" w:ascii="Times New Roman" w:hAnsi="Times New Roman" w:cs="Times New Roman"/>
                      <w:color w:val="auto"/>
                      <w:lang w:val="en-US" w:eastAsia="zh-CN"/>
                    </w:rPr>
                  </w:pPr>
                  <w:r>
                    <w:rPr>
                      <w:rFonts w:hint="eastAsia" w:cs="Times New Roman"/>
                      <w:color w:val="auto"/>
                      <w:lang w:val="en-US" w:eastAsia="zh-CN"/>
                    </w:rPr>
                    <w:t>千克/吨-原料</w:t>
                  </w:r>
                </w:p>
              </w:tc>
              <w:tc>
                <w:tcPr>
                  <w:tcW w:w="796" w:type="dxa"/>
                  <w:tcBorders>
                    <w:tl2br w:val="nil"/>
                    <w:tr2bl w:val="nil"/>
                  </w:tcBorders>
                  <w:noWrap w:val="0"/>
                  <w:vAlign w:val="center"/>
                </w:tcPr>
                <w:p>
                  <w:pPr>
                    <w:pStyle w:val="244"/>
                    <w:ind w:firstLine="0" w:firstLineChars="0"/>
                    <w:rPr>
                      <w:rFonts w:hint="default" w:ascii="Times New Roman" w:hAnsi="Times New Roman" w:cs="Times New Roman"/>
                      <w:color w:val="auto"/>
                      <w:lang w:val="en-US" w:eastAsia="zh-CN"/>
                    </w:rPr>
                  </w:pPr>
                  <w:r>
                    <w:rPr>
                      <w:rFonts w:hint="eastAsia" w:cs="Times New Roman"/>
                      <w:color w:val="auto"/>
                      <w:lang w:val="en-US" w:eastAsia="zh-CN"/>
                    </w:rPr>
                    <w:t>9.19</w:t>
                  </w:r>
                </w:p>
              </w:tc>
            </w:tr>
          </w:tbl>
          <w:p>
            <w:pPr>
              <w:pStyle w:val="13"/>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根据建设单位提供的资料，项目使用焊丝量为0.</w:t>
            </w: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t/a，由上表可知，焊接-颗粒物产生量约为0.00</w:t>
            </w: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t/a（年工作时间</w:t>
            </w: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00h）。项目焊接位于</w:t>
            </w:r>
            <w:r>
              <w:rPr>
                <w:rFonts w:hint="eastAsia" w:cs="Times New Roman"/>
                <w:color w:val="auto"/>
                <w:sz w:val="21"/>
                <w:szCs w:val="21"/>
                <w:lang w:val="en-US" w:eastAsia="zh-CN"/>
              </w:rPr>
              <w:t>生产</w:t>
            </w:r>
            <w:r>
              <w:rPr>
                <w:rFonts w:hint="eastAsia" w:ascii="Times New Roman" w:hAnsi="Times New Roman" w:eastAsia="宋体" w:cs="Times New Roman"/>
                <w:color w:val="auto"/>
                <w:sz w:val="21"/>
                <w:szCs w:val="21"/>
                <w:lang w:val="en-US" w:eastAsia="zh-CN"/>
              </w:rPr>
              <w:t>车间焊接固定工位，采用移动式焊接烟尘净化器对焊接工位焊接烟尘进行收集净化处理后在封闭车间内无组织排放，焊接烟尘净化器收集效率按80%计</w:t>
            </w:r>
            <w:r>
              <w:rPr>
                <w:rFonts w:hint="eastAsia" w:cs="Times New Roman"/>
                <w:color w:val="auto"/>
                <w:sz w:val="21"/>
                <w:szCs w:val="21"/>
                <w:lang w:val="en-US" w:eastAsia="zh-CN"/>
              </w:rPr>
              <w:t>，风机风量2500m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/h，</w:t>
            </w:r>
            <w:r>
              <w:rPr>
                <w:rFonts w:hint="eastAsia" w:ascii="Times New Roman" w:hAnsi="Times New Roman" w:eastAsia="宋体" w:cs="Times New Roman"/>
                <w:color w:val="auto"/>
                <w:sz w:val="21"/>
                <w:szCs w:val="21"/>
                <w:lang w:val="en-US" w:eastAsia="zh-CN"/>
              </w:rPr>
              <w:t>净化效率按90%，则焊接烟尘经焊烟净化器处理排放量为0.000</w:t>
            </w: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t/a，焊接净化器未收集的焊接烟尘为0.000</w:t>
            </w:r>
            <w:r>
              <w:rPr>
                <w:rFonts w:hint="eastAsia"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t/a，项目焊接烟尘合计车间无组织排放量为0.00</w:t>
            </w:r>
            <w:r>
              <w:rPr>
                <w:rFonts w:hint="eastAsia" w:cs="Times New Roman"/>
                <w:color w:val="auto"/>
                <w:sz w:val="21"/>
                <w:szCs w:val="21"/>
                <w:lang w:val="en-US" w:eastAsia="zh-CN"/>
              </w:rPr>
              <w:t>08</w:t>
            </w:r>
            <w:r>
              <w:rPr>
                <w:rFonts w:hint="eastAsia" w:ascii="Times New Roman" w:hAnsi="Times New Roman" w:eastAsia="宋体" w:cs="Times New Roman"/>
                <w:color w:val="auto"/>
                <w:sz w:val="21"/>
                <w:szCs w:val="21"/>
                <w:lang w:val="en-US" w:eastAsia="zh-CN"/>
              </w:rPr>
              <w:t>t/a。</w:t>
            </w:r>
          </w:p>
          <w:p>
            <w:pPr>
              <w:spacing w:line="360" w:lineRule="auto"/>
              <w:ind w:firstLine="422" w:firstLineChars="200"/>
              <w:jc w:val="left"/>
              <w:rPr>
                <w:b/>
                <w:color w:val="auto"/>
                <w:szCs w:val="21"/>
              </w:rPr>
            </w:pPr>
            <w:r>
              <w:rPr>
                <w:rFonts w:hint="eastAsia"/>
                <w:b/>
                <w:color w:val="auto"/>
                <w:szCs w:val="21"/>
              </w:rPr>
              <w:t>（</w:t>
            </w:r>
            <w:r>
              <w:rPr>
                <w:rFonts w:hint="eastAsia"/>
                <w:b/>
                <w:color w:val="auto"/>
                <w:szCs w:val="21"/>
                <w:lang w:val="en-US" w:eastAsia="zh-CN"/>
              </w:rPr>
              <w:t>3</w:t>
            </w:r>
            <w:r>
              <w:rPr>
                <w:rFonts w:hint="eastAsia"/>
                <w:b/>
                <w:color w:val="auto"/>
                <w:szCs w:val="21"/>
              </w:rPr>
              <w:t>）</w:t>
            </w:r>
            <w:r>
              <w:rPr>
                <w:rFonts w:hint="eastAsia"/>
                <w:b/>
                <w:color w:val="auto"/>
                <w:szCs w:val="21"/>
                <w:lang w:val="en-US" w:eastAsia="zh-CN"/>
              </w:rPr>
              <w:t>塑料板材雕刻粉尘</w:t>
            </w:r>
            <w:r>
              <w:rPr>
                <w:rFonts w:hint="eastAsia"/>
                <w:b/>
                <w:color w:val="auto"/>
                <w:szCs w:val="21"/>
              </w:rPr>
              <w:t>G</w:t>
            </w:r>
            <w:r>
              <w:rPr>
                <w:rFonts w:hint="eastAsia"/>
                <w:b/>
                <w:color w:val="auto"/>
                <w:szCs w:val="21"/>
                <w:vertAlign w:val="subscript"/>
              </w:rPr>
              <w:t>3</w:t>
            </w:r>
          </w:p>
          <w:p>
            <w:pPr>
              <w:widowControl/>
              <w:spacing w:line="360" w:lineRule="auto"/>
              <w:ind w:firstLine="420" w:firstLineChars="200"/>
              <w:jc w:val="left"/>
              <w:rPr>
                <w:rFonts w:hint="eastAsia" w:cs="Times New Roman"/>
                <w:bCs/>
                <w:color w:val="auto"/>
                <w:szCs w:val="21"/>
                <w:shd w:val="clear" w:color="auto" w:fill="FFFFFF"/>
                <w:lang w:val="en-US" w:eastAsia="zh-CN"/>
              </w:rPr>
            </w:pPr>
            <w:r>
              <w:rPr>
                <w:rFonts w:hint="default" w:ascii="Times New Roman" w:hAnsi="Times New Roman" w:cs="Times New Roman"/>
                <w:bCs/>
                <w:color w:val="auto"/>
                <w:szCs w:val="21"/>
                <w:shd w:val="clear" w:color="auto" w:fill="FFFFFF"/>
                <w:lang w:val="en-US" w:eastAsia="zh-CN"/>
              </w:rPr>
              <w:t>本项目</w:t>
            </w:r>
            <w:r>
              <w:rPr>
                <w:rFonts w:hint="eastAsia" w:cs="Times New Roman"/>
                <w:bCs/>
                <w:color w:val="auto"/>
                <w:szCs w:val="21"/>
                <w:shd w:val="clear" w:color="auto" w:fill="FFFFFF"/>
                <w:lang w:val="en-US" w:eastAsia="zh-CN"/>
              </w:rPr>
              <w:t>塑料板材使用环节进行切割、雕刻，</w:t>
            </w:r>
            <w:r>
              <w:rPr>
                <w:rFonts w:hint="default" w:ascii="Times New Roman" w:hAnsi="Times New Roman" w:cs="Times New Roman"/>
                <w:bCs/>
                <w:color w:val="auto"/>
                <w:szCs w:val="21"/>
                <w:shd w:val="clear" w:color="auto" w:fill="FFFFFF"/>
                <w:lang w:val="en-US" w:eastAsia="zh-CN"/>
              </w:rPr>
              <w:t>钢材切割</w:t>
            </w:r>
            <w:r>
              <w:rPr>
                <w:rFonts w:hint="default" w:ascii="Times New Roman" w:hAnsi="Times New Roman" w:cs="Times New Roman"/>
                <w:bCs/>
                <w:color w:val="auto"/>
                <w:szCs w:val="21"/>
                <w:shd w:val="clear" w:color="auto" w:fill="FFFFFF"/>
              </w:rPr>
              <w:t>下料</w:t>
            </w:r>
            <w:r>
              <w:rPr>
                <w:rFonts w:hint="default" w:ascii="Times New Roman" w:hAnsi="Times New Roman" w:cs="Times New Roman"/>
                <w:bCs/>
                <w:color w:val="auto"/>
                <w:szCs w:val="21"/>
                <w:shd w:val="clear" w:color="auto" w:fill="FFFFFF"/>
                <w:lang w:val="en-US" w:eastAsia="zh-CN"/>
              </w:rPr>
              <w:t>采用砂轮切割机、锯床等设备，</w:t>
            </w:r>
            <w:r>
              <w:rPr>
                <w:rFonts w:hint="eastAsia" w:cs="Times New Roman"/>
                <w:bCs/>
                <w:color w:val="auto"/>
                <w:szCs w:val="21"/>
                <w:shd w:val="clear" w:color="auto" w:fill="FFFFFF"/>
                <w:lang w:val="en-US" w:eastAsia="zh-CN"/>
              </w:rPr>
              <w:t>参照</w:t>
            </w:r>
            <w:r>
              <w:rPr>
                <w:rFonts w:hint="default" w:ascii="Times New Roman" w:hAnsi="Times New Roman" w:cs="Times New Roman"/>
                <w:bCs/>
                <w:color w:val="auto"/>
                <w:szCs w:val="21"/>
                <w:shd w:val="clear" w:color="auto" w:fill="FFFFFF"/>
                <w:lang w:val="en-US" w:eastAsia="zh-CN"/>
              </w:rPr>
              <w:t>《33-37，431-434机械行业系数手册》中04下料环节</w:t>
            </w:r>
            <w:r>
              <w:rPr>
                <w:rFonts w:hint="default" w:ascii="Times New Roman" w:hAnsi="Times New Roman" w:cs="Times New Roman"/>
                <w:bCs/>
                <w:color w:val="auto"/>
                <w:szCs w:val="21"/>
                <w:shd w:val="clear" w:color="auto" w:fill="FFFFFF"/>
              </w:rPr>
              <w:t>：其它非金属材料-锯床、砂轮切割机切割—颗粒物产污系数：5.3kg/t-原料，本项目共计使用钢材2</w:t>
            </w:r>
            <w:r>
              <w:rPr>
                <w:rFonts w:hint="eastAsia" w:cs="Times New Roman"/>
                <w:bCs/>
                <w:color w:val="auto"/>
                <w:szCs w:val="21"/>
                <w:shd w:val="clear" w:color="auto" w:fill="FFFFFF"/>
                <w:lang w:val="en-US" w:eastAsia="zh-CN"/>
              </w:rPr>
              <w:t>0</w:t>
            </w:r>
            <w:r>
              <w:rPr>
                <w:rFonts w:hint="default" w:ascii="Times New Roman" w:hAnsi="Times New Roman" w:cs="Times New Roman"/>
                <w:bCs/>
                <w:color w:val="auto"/>
                <w:szCs w:val="21"/>
                <w:shd w:val="clear" w:color="auto" w:fill="FFFFFF"/>
              </w:rPr>
              <w:t>0t</w:t>
            </w:r>
            <w:r>
              <w:rPr>
                <w:rFonts w:hint="default" w:ascii="Times New Roman" w:hAnsi="Times New Roman" w:cs="Times New Roman"/>
                <w:bCs/>
                <w:color w:val="auto"/>
                <w:szCs w:val="21"/>
                <w:shd w:val="clear" w:color="auto" w:fill="FFFFFF"/>
                <w:lang w:eastAsia="zh-CN"/>
              </w:rPr>
              <w:t>，</w:t>
            </w:r>
            <w:r>
              <w:rPr>
                <w:rFonts w:hint="default" w:ascii="Times New Roman" w:hAnsi="Times New Roman" w:cs="Times New Roman"/>
                <w:bCs/>
                <w:color w:val="auto"/>
                <w:szCs w:val="21"/>
                <w:shd w:val="clear" w:color="auto" w:fill="FFFFFF"/>
              </w:rPr>
              <w:t>则下料环节颗粒物产生量为1</w:t>
            </w:r>
            <w:r>
              <w:rPr>
                <w:rFonts w:hint="eastAsia" w:cs="Times New Roman"/>
                <w:bCs/>
                <w:color w:val="auto"/>
                <w:szCs w:val="21"/>
                <w:shd w:val="clear" w:color="auto" w:fill="FFFFFF"/>
                <w:lang w:val="en-US" w:eastAsia="zh-CN"/>
              </w:rPr>
              <w:t>.</w:t>
            </w:r>
            <w:r>
              <w:rPr>
                <w:rFonts w:hint="default" w:ascii="Times New Roman" w:hAnsi="Times New Roman" w:cs="Times New Roman"/>
                <w:bCs/>
                <w:color w:val="auto"/>
                <w:szCs w:val="21"/>
                <w:shd w:val="clear" w:color="auto" w:fill="FFFFFF"/>
              </w:rPr>
              <w:t>06t/a，</w:t>
            </w:r>
            <w:r>
              <w:rPr>
                <w:rFonts w:hint="default" w:ascii="Times New Roman" w:hAnsi="Times New Roman" w:cs="Times New Roman"/>
                <w:bCs/>
                <w:color w:val="auto"/>
                <w:szCs w:val="21"/>
                <w:shd w:val="clear" w:color="auto" w:fill="FFFFFF"/>
                <w:lang w:val="en-US" w:eastAsia="zh-CN"/>
              </w:rPr>
              <w:t>本项目</w:t>
            </w:r>
            <w:r>
              <w:rPr>
                <w:rFonts w:hint="eastAsia" w:cs="Times New Roman"/>
                <w:bCs/>
                <w:color w:val="auto"/>
                <w:szCs w:val="21"/>
                <w:shd w:val="clear" w:color="auto" w:fill="FFFFFF"/>
                <w:lang w:val="en-US" w:eastAsia="zh-CN"/>
              </w:rPr>
              <w:t>塑料板材雕刻</w:t>
            </w:r>
            <w:r>
              <w:rPr>
                <w:rFonts w:hint="default" w:ascii="Times New Roman" w:hAnsi="Times New Roman" w:cs="Times New Roman"/>
                <w:bCs/>
                <w:color w:val="auto"/>
                <w:szCs w:val="21"/>
                <w:shd w:val="clear" w:color="auto" w:fill="FFFFFF"/>
                <w:lang w:val="en-US" w:eastAsia="zh-CN"/>
              </w:rPr>
              <w:t>位于密闭车间，切割</w:t>
            </w:r>
            <w:r>
              <w:rPr>
                <w:rFonts w:hint="eastAsia" w:cs="Times New Roman"/>
                <w:bCs/>
                <w:color w:val="auto"/>
                <w:szCs w:val="21"/>
                <w:shd w:val="clear" w:color="auto" w:fill="FFFFFF"/>
                <w:lang w:val="en-US" w:eastAsia="zh-CN"/>
              </w:rPr>
              <w:t>粉尘</w:t>
            </w:r>
            <w:r>
              <w:rPr>
                <w:rFonts w:hint="default" w:ascii="Times New Roman" w:hAnsi="Times New Roman" w:cs="Times New Roman"/>
                <w:bCs/>
                <w:color w:val="auto"/>
                <w:szCs w:val="21"/>
                <w:shd w:val="clear" w:color="auto" w:fill="FFFFFF"/>
                <w:lang w:val="en-US" w:eastAsia="zh-CN"/>
              </w:rPr>
              <w:t>属于大颗粒沉（≥2mm），大部分位于切割工位周边沉降，</w:t>
            </w:r>
            <w:r>
              <w:rPr>
                <w:rFonts w:hint="eastAsia" w:ascii="Times New Roman" w:hAnsi="Times New Roman" w:cs="Times New Roman"/>
                <w:bCs/>
                <w:color w:val="auto"/>
                <w:szCs w:val="21"/>
                <w:shd w:val="clear" w:color="auto" w:fill="FFFFFF"/>
                <w:lang w:val="en-US" w:eastAsia="zh-CN"/>
              </w:rPr>
              <w:t>根据《固体物料堆存颗粒物产排污核算系数手册》，粉尘采取围挡等措施粉尘控制效率为60%，则无组织排放粉尘为0.</w:t>
            </w:r>
            <w:r>
              <w:rPr>
                <w:rFonts w:hint="eastAsia" w:cs="Times New Roman"/>
                <w:bCs/>
                <w:color w:val="auto"/>
                <w:szCs w:val="21"/>
                <w:shd w:val="clear" w:color="auto" w:fill="FFFFFF"/>
                <w:lang w:val="en-US" w:eastAsia="zh-CN"/>
              </w:rPr>
              <w:t>424</w:t>
            </w:r>
            <w:r>
              <w:rPr>
                <w:rFonts w:hint="eastAsia" w:ascii="Times New Roman" w:hAnsi="Times New Roman" w:cs="Times New Roman"/>
                <w:bCs/>
                <w:color w:val="auto"/>
                <w:szCs w:val="21"/>
                <w:shd w:val="clear" w:color="auto" w:fill="FFFFFF"/>
                <w:lang w:val="en-US" w:eastAsia="zh-CN"/>
              </w:rPr>
              <w:t>t/a。</w:t>
            </w:r>
            <w:r>
              <w:rPr>
                <w:rFonts w:hint="eastAsia" w:cs="Times New Roman"/>
                <w:bCs/>
                <w:color w:val="auto"/>
                <w:szCs w:val="21"/>
                <w:shd w:val="clear" w:color="auto" w:fill="FFFFFF"/>
                <w:lang w:val="en-US" w:eastAsia="zh-CN"/>
              </w:rPr>
              <w:t>工位周边采用除尘器人工干法清洁。</w:t>
            </w:r>
          </w:p>
          <w:p>
            <w:pPr>
              <w:spacing w:line="360" w:lineRule="auto"/>
              <w:ind w:firstLine="422" w:firstLineChars="200"/>
              <w:jc w:val="left"/>
              <w:rPr>
                <w:b/>
                <w:color w:val="auto"/>
                <w:szCs w:val="21"/>
              </w:rPr>
            </w:pPr>
            <w:r>
              <w:rPr>
                <w:rFonts w:hint="eastAsia"/>
                <w:b/>
                <w:color w:val="auto"/>
                <w:szCs w:val="21"/>
              </w:rPr>
              <w:t>（</w:t>
            </w:r>
            <w:r>
              <w:rPr>
                <w:rFonts w:hint="eastAsia"/>
                <w:b/>
                <w:color w:val="auto"/>
                <w:szCs w:val="21"/>
                <w:lang w:val="en-US" w:eastAsia="zh-CN"/>
              </w:rPr>
              <w:t>4</w:t>
            </w:r>
            <w:r>
              <w:rPr>
                <w:rFonts w:hint="eastAsia"/>
                <w:b/>
                <w:color w:val="auto"/>
                <w:szCs w:val="21"/>
              </w:rPr>
              <w:t>）</w:t>
            </w:r>
            <w:r>
              <w:rPr>
                <w:rFonts w:hint="eastAsia"/>
                <w:b/>
                <w:bCs w:val="0"/>
                <w:color w:val="auto"/>
                <w:lang w:val="en-US" w:eastAsia="zh-CN"/>
              </w:rPr>
              <w:t>PP胶带热熔焊接有机废气</w:t>
            </w:r>
          </w:p>
          <w:p>
            <w:pPr>
              <w:widowControl/>
              <w:spacing w:line="360" w:lineRule="auto"/>
              <w:ind w:firstLine="420" w:firstLineChars="200"/>
              <w:jc w:val="left"/>
              <w:rPr>
                <w:rFonts w:hint="default"/>
                <w:bCs/>
                <w:color w:val="FF0000"/>
                <w:szCs w:val="21"/>
                <w:shd w:val="clear" w:color="auto" w:fill="FFFFFF"/>
                <w:lang w:val="en-US"/>
              </w:rPr>
            </w:pPr>
            <w:r>
              <w:rPr>
                <w:rFonts w:hint="default" w:ascii="Times New Roman" w:hAnsi="Times New Roman" w:cs="Times New Roman"/>
                <w:bCs/>
                <w:color w:val="auto"/>
                <w:szCs w:val="21"/>
                <w:shd w:val="clear" w:color="auto" w:fill="FFFFFF"/>
                <w:lang w:val="en-US" w:eastAsia="zh-CN"/>
              </w:rPr>
              <w:t>本项目</w:t>
            </w:r>
            <w:r>
              <w:rPr>
                <w:rFonts w:hint="eastAsia" w:cs="Times New Roman"/>
                <w:bCs/>
                <w:color w:val="auto"/>
                <w:szCs w:val="21"/>
                <w:shd w:val="clear" w:color="auto" w:fill="FFFFFF"/>
                <w:lang w:val="en-US" w:eastAsia="zh-CN"/>
              </w:rPr>
              <w:t>塑料板材焊接过程采用PP塑料胶带经过热熔进行焊接，焊枪通过电加热PP塑料胶条使其发生熔化变形，与需要胶黏部件焊接在一起。熔化的胶条产生有机废气（按照非甲烷总烃计），产污系数参照《292 塑料制品行业系数手册》中“2929 塑料零件及其他塑料制品制造--塑料零件-挤出、注塑-2.7kg/t-产品”，本项目PP胶条使用量为5~10kg/台-产品，本项目最大产量为800台/年，则年PP塑料胶带年最大使用量为8t，经计算非甲烷总烃产生量为21.6kg/a（0.0216t/a），由于本项目塑料焊接过程分散，焊接过程作业点位置小且不固定，根据《重点行业挥发性有机物综合治理方案》的通知（环大气[2019]53号）：使用的原辅材料VOCs含量（质量比）低于10%的工序，可不要求采取无组织排放收集措施。因此本项目塑料焊接过程有机废气非甲烷总烃不进行收集处理，采取无组织排放形式。本环评要求企业不可随意更换PP塑料胶带，必须使用清洁新料PP塑料胶带作为焊接原料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Times New Roman" w:hAnsi="Times New Roman" w:cs="Times New Roman"/>
                <w:b/>
                <w:bCs w:val="0"/>
                <w:color w:val="auto"/>
                <w:szCs w:val="21"/>
                <w:lang w:val="en-US" w:eastAsia="zh-CN"/>
              </w:rPr>
            </w:pPr>
            <w:r>
              <w:rPr>
                <w:rFonts w:hint="eastAsia" w:cs="Times New Roman"/>
                <w:b/>
                <w:bCs w:val="0"/>
                <w:color w:val="auto"/>
                <w:szCs w:val="21"/>
                <w:lang w:val="en-US" w:eastAsia="zh-CN"/>
              </w:rPr>
              <w:t>（5）</w:t>
            </w:r>
            <w:r>
              <w:rPr>
                <w:rFonts w:hint="eastAsia" w:ascii="Times New Roman" w:hAnsi="Times New Roman" w:cs="Times New Roman"/>
                <w:b/>
                <w:bCs w:val="0"/>
                <w:color w:val="auto"/>
                <w:szCs w:val="21"/>
                <w:lang w:val="en-US" w:eastAsia="zh-CN"/>
              </w:rPr>
              <w:t>食堂油烟</w:t>
            </w:r>
          </w:p>
          <w:p>
            <w:pPr>
              <w:pageBreakBefore w:val="0"/>
              <w:kinsoku/>
              <w:wordWrap/>
              <w:overflowPunct/>
              <w:topLinePunct w:val="0"/>
              <w:bidi w:val="0"/>
              <w:adjustRightInd w:val="0"/>
              <w:snapToGrid w:val="0"/>
              <w:spacing w:line="360" w:lineRule="auto"/>
              <w:ind w:firstLine="420" w:firstLineChars="200"/>
              <w:jc w:val="left"/>
              <w:textAlignment w:val="auto"/>
              <w:rPr>
                <w:rFonts w:hint="eastAsia"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项目设计提供</w:t>
            </w:r>
            <w:r>
              <w:rPr>
                <w:rFonts w:hint="eastAsia" w:cs="Times New Roman"/>
                <w:bCs/>
                <w:color w:val="auto"/>
                <w:szCs w:val="21"/>
                <w:lang w:val="en-US" w:eastAsia="zh-CN"/>
              </w:rPr>
              <w:t>10</w:t>
            </w:r>
            <w:r>
              <w:rPr>
                <w:rFonts w:hint="eastAsia" w:ascii="Times New Roman" w:hAnsi="Times New Roman" w:cs="Times New Roman"/>
                <w:bCs/>
                <w:color w:val="auto"/>
                <w:szCs w:val="21"/>
                <w:lang w:val="en-US" w:eastAsia="zh-CN"/>
              </w:rPr>
              <w:t>0人/d的中餐，以3</w:t>
            </w:r>
            <w:r>
              <w:rPr>
                <w:rFonts w:hint="eastAsia" w:cs="Times New Roman"/>
                <w:bCs/>
                <w:color w:val="auto"/>
                <w:szCs w:val="21"/>
                <w:lang w:val="en-US" w:eastAsia="zh-CN"/>
              </w:rPr>
              <w:t>0</w:t>
            </w:r>
            <w:r>
              <w:rPr>
                <w:rFonts w:hint="eastAsia" w:ascii="Times New Roman" w:hAnsi="Times New Roman" w:cs="Times New Roman"/>
                <w:bCs/>
                <w:color w:val="auto"/>
                <w:szCs w:val="21"/>
                <w:lang w:val="en-US" w:eastAsia="zh-CN"/>
              </w:rPr>
              <w:t>0天计，本项目食用油消耗系数以0.8kg/（100人·天），每天耗油为0.</w:t>
            </w:r>
            <w:r>
              <w:rPr>
                <w:rFonts w:hint="eastAsia" w:cs="Times New Roman"/>
                <w:bCs/>
                <w:color w:val="auto"/>
                <w:szCs w:val="21"/>
                <w:lang w:val="en-US" w:eastAsia="zh-CN"/>
              </w:rPr>
              <w:t>8</w:t>
            </w:r>
            <w:r>
              <w:rPr>
                <w:rFonts w:hint="eastAsia" w:ascii="Times New Roman" w:hAnsi="Times New Roman" w:cs="Times New Roman"/>
                <w:bCs/>
                <w:color w:val="auto"/>
                <w:szCs w:val="21"/>
                <w:lang w:val="en-US" w:eastAsia="zh-CN"/>
              </w:rPr>
              <w:t>kg/d，烹饪过程中食用油的挥发量按3%计算，则食堂中每天产生油烟量为0.0</w:t>
            </w:r>
            <w:r>
              <w:rPr>
                <w:rFonts w:hint="eastAsia" w:cs="Times New Roman"/>
                <w:bCs/>
                <w:color w:val="auto"/>
                <w:szCs w:val="21"/>
                <w:lang w:val="en-US" w:eastAsia="zh-CN"/>
              </w:rPr>
              <w:t>24</w:t>
            </w:r>
            <w:r>
              <w:rPr>
                <w:rFonts w:hint="eastAsia" w:ascii="Times New Roman" w:hAnsi="Times New Roman" w:cs="Times New Roman"/>
                <w:bCs/>
                <w:color w:val="auto"/>
                <w:szCs w:val="21"/>
                <w:lang w:val="en-US" w:eastAsia="zh-CN"/>
              </w:rPr>
              <w:t>kg/d，即</w:t>
            </w:r>
            <w:r>
              <w:rPr>
                <w:rFonts w:hint="eastAsia" w:cs="Times New Roman"/>
                <w:bCs/>
                <w:color w:val="auto"/>
                <w:szCs w:val="21"/>
                <w:lang w:val="en-US" w:eastAsia="zh-CN"/>
              </w:rPr>
              <w:t>7.2</w:t>
            </w:r>
            <w:r>
              <w:rPr>
                <w:rFonts w:hint="eastAsia" w:ascii="Times New Roman" w:hAnsi="Times New Roman" w:cs="Times New Roman"/>
                <w:bCs/>
                <w:color w:val="auto"/>
                <w:szCs w:val="21"/>
                <w:lang w:val="en-US" w:eastAsia="zh-CN"/>
              </w:rPr>
              <w:t>kg/a。本项目食堂内配置2个灶头，配置风量为</w:t>
            </w:r>
            <w:r>
              <w:rPr>
                <w:rFonts w:hint="eastAsia" w:cs="Times New Roman"/>
                <w:bCs/>
                <w:color w:val="auto"/>
                <w:szCs w:val="21"/>
                <w:lang w:val="en-US" w:eastAsia="zh-CN"/>
              </w:rPr>
              <w:t>3</w:t>
            </w:r>
            <w:r>
              <w:rPr>
                <w:rFonts w:hint="eastAsia" w:ascii="Times New Roman" w:hAnsi="Times New Roman" w:cs="Times New Roman"/>
                <w:bCs/>
                <w:color w:val="auto"/>
                <w:szCs w:val="21"/>
                <w:lang w:val="en-US" w:eastAsia="zh-CN"/>
              </w:rPr>
              <w:t>000m</w:t>
            </w:r>
            <w:r>
              <w:rPr>
                <w:rFonts w:hint="eastAsia" w:ascii="Times New Roman" w:hAnsi="Times New Roman" w:cs="Times New Roman"/>
                <w:bCs/>
                <w:color w:val="auto"/>
                <w:szCs w:val="21"/>
                <w:vertAlign w:val="superscript"/>
                <w:lang w:val="en-US" w:eastAsia="zh-CN"/>
              </w:rPr>
              <w:t>3</w:t>
            </w:r>
            <w:r>
              <w:rPr>
                <w:rFonts w:hint="eastAsia" w:ascii="Times New Roman" w:hAnsi="Times New Roman" w:cs="Times New Roman"/>
                <w:bCs/>
                <w:color w:val="auto"/>
                <w:szCs w:val="21"/>
                <w:lang w:val="en-US" w:eastAsia="zh-CN"/>
              </w:rPr>
              <w:t>/h的排风机，按日高峰期2小时计，总风量为</w:t>
            </w:r>
            <w:r>
              <w:rPr>
                <w:rFonts w:hint="eastAsia" w:cs="Times New Roman"/>
                <w:bCs/>
                <w:color w:val="auto"/>
                <w:szCs w:val="21"/>
                <w:lang w:val="en-US" w:eastAsia="zh-CN"/>
              </w:rPr>
              <w:t>180</w:t>
            </w:r>
            <w:r>
              <w:rPr>
                <w:rFonts w:hint="eastAsia" w:ascii="Times New Roman" w:hAnsi="Times New Roman" w:cs="Times New Roman"/>
                <w:bCs/>
                <w:color w:val="auto"/>
                <w:szCs w:val="21"/>
                <w:lang w:val="en-US" w:eastAsia="zh-CN"/>
              </w:rPr>
              <w:t>万m</w:t>
            </w:r>
            <w:r>
              <w:rPr>
                <w:rFonts w:hint="eastAsia" w:ascii="Times New Roman" w:hAnsi="Times New Roman" w:cs="Times New Roman"/>
                <w:bCs/>
                <w:color w:val="auto"/>
                <w:szCs w:val="21"/>
                <w:vertAlign w:val="superscript"/>
                <w:lang w:val="en-US" w:eastAsia="zh-CN"/>
              </w:rPr>
              <w:t>3</w:t>
            </w:r>
            <w:r>
              <w:rPr>
                <w:rFonts w:hint="eastAsia" w:ascii="Times New Roman" w:hAnsi="Times New Roman" w:cs="Times New Roman"/>
                <w:bCs/>
                <w:color w:val="auto"/>
                <w:szCs w:val="21"/>
                <w:lang w:val="en-US" w:eastAsia="zh-CN"/>
              </w:rPr>
              <w:t>/a，则油烟产生浓度为</w:t>
            </w:r>
            <w:r>
              <w:rPr>
                <w:rFonts w:hint="eastAsia" w:cs="Times New Roman"/>
                <w:bCs/>
                <w:color w:val="auto"/>
                <w:szCs w:val="21"/>
                <w:lang w:val="en-US" w:eastAsia="zh-CN"/>
              </w:rPr>
              <w:t>4</w:t>
            </w:r>
            <w:r>
              <w:rPr>
                <w:rFonts w:hint="eastAsia" w:ascii="Times New Roman" w:hAnsi="Times New Roman" w:cs="Times New Roman"/>
                <w:bCs/>
                <w:color w:val="auto"/>
                <w:szCs w:val="21"/>
                <w:lang w:val="en-US" w:eastAsia="zh-CN"/>
              </w:rPr>
              <w:t>mg/m</w:t>
            </w:r>
            <w:r>
              <w:rPr>
                <w:rFonts w:hint="eastAsia" w:ascii="Times New Roman" w:hAnsi="Times New Roman" w:cs="Times New Roman"/>
                <w:bCs/>
                <w:color w:val="auto"/>
                <w:szCs w:val="21"/>
                <w:vertAlign w:val="superscript"/>
                <w:lang w:val="en-US" w:eastAsia="zh-CN"/>
              </w:rPr>
              <w:t>3</w:t>
            </w:r>
            <w:r>
              <w:rPr>
                <w:rFonts w:hint="eastAsia" w:ascii="Times New Roman" w:hAnsi="Times New Roman" w:cs="Times New Roman"/>
                <w:bCs/>
                <w:color w:val="auto"/>
                <w:szCs w:val="21"/>
                <w:lang w:val="en-US" w:eastAsia="zh-CN"/>
              </w:rPr>
              <w:t>，本项目拟采用油烟去除效率为</w:t>
            </w:r>
            <w:r>
              <w:rPr>
                <w:rFonts w:hint="eastAsia" w:cs="Times New Roman"/>
                <w:bCs/>
                <w:color w:val="auto"/>
                <w:szCs w:val="21"/>
                <w:lang w:val="en-US" w:eastAsia="zh-CN"/>
              </w:rPr>
              <w:t>7</w:t>
            </w:r>
            <w:r>
              <w:rPr>
                <w:rFonts w:hint="eastAsia" w:ascii="Times New Roman" w:hAnsi="Times New Roman" w:cs="Times New Roman"/>
                <w:bCs/>
                <w:color w:val="auto"/>
                <w:szCs w:val="21"/>
                <w:lang w:val="en-US" w:eastAsia="zh-CN"/>
              </w:rPr>
              <w:t>0%的油烟净化器净化，由排气筒接到屋顶排放，则油烟排放量为0.0</w:t>
            </w:r>
            <w:r>
              <w:rPr>
                <w:rFonts w:hint="eastAsia" w:cs="Times New Roman"/>
                <w:bCs/>
                <w:color w:val="auto"/>
                <w:szCs w:val="21"/>
                <w:lang w:val="en-US" w:eastAsia="zh-CN"/>
              </w:rPr>
              <w:t>072</w:t>
            </w:r>
            <w:r>
              <w:rPr>
                <w:rFonts w:hint="eastAsia" w:ascii="Times New Roman" w:hAnsi="Times New Roman" w:cs="Times New Roman"/>
                <w:bCs/>
                <w:color w:val="auto"/>
                <w:szCs w:val="21"/>
                <w:lang w:val="en-US" w:eastAsia="zh-CN"/>
              </w:rPr>
              <w:t>kg/d，即</w:t>
            </w:r>
            <w:r>
              <w:rPr>
                <w:rFonts w:hint="eastAsia" w:cs="Times New Roman"/>
                <w:bCs/>
                <w:color w:val="auto"/>
                <w:szCs w:val="21"/>
                <w:lang w:val="en-US" w:eastAsia="zh-CN"/>
              </w:rPr>
              <w:t>2.16</w:t>
            </w:r>
            <w:r>
              <w:rPr>
                <w:rFonts w:hint="eastAsia" w:ascii="Times New Roman" w:hAnsi="Times New Roman" w:cs="Times New Roman"/>
                <w:bCs/>
                <w:color w:val="auto"/>
                <w:szCs w:val="21"/>
                <w:lang w:val="en-US" w:eastAsia="zh-CN"/>
              </w:rPr>
              <w:t>kg/a，油烟排放浓度为</w:t>
            </w:r>
            <w:r>
              <w:rPr>
                <w:rFonts w:hint="eastAsia" w:cs="Times New Roman"/>
                <w:bCs/>
                <w:color w:val="auto"/>
                <w:szCs w:val="21"/>
                <w:lang w:val="en-US" w:eastAsia="zh-CN"/>
              </w:rPr>
              <w:t>1.2</w:t>
            </w:r>
            <w:r>
              <w:rPr>
                <w:rFonts w:hint="eastAsia" w:ascii="Times New Roman" w:hAnsi="Times New Roman" w:cs="Times New Roman"/>
                <w:bCs/>
                <w:color w:val="auto"/>
                <w:szCs w:val="21"/>
                <w:lang w:val="en-US" w:eastAsia="zh-CN"/>
              </w:rPr>
              <w:t>mg/m</w:t>
            </w:r>
            <w:r>
              <w:rPr>
                <w:rFonts w:hint="eastAsia" w:ascii="Times New Roman" w:hAnsi="Times New Roman" w:cs="Times New Roman"/>
                <w:bCs/>
                <w:color w:val="auto"/>
                <w:szCs w:val="21"/>
                <w:vertAlign w:val="superscript"/>
                <w:lang w:val="en-US" w:eastAsia="zh-CN"/>
              </w:rPr>
              <w:t>3</w:t>
            </w:r>
            <w:r>
              <w:rPr>
                <w:rFonts w:hint="eastAsia" w:ascii="Times New Roman" w:hAnsi="Times New Roman" w:cs="Times New Roman"/>
                <w:bCs/>
                <w:color w:val="auto"/>
                <w:szCs w:val="21"/>
                <w:lang w:val="en-US" w:eastAsia="zh-CN"/>
              </w:rPr>
              <w:t>。满足《饮食业油烟排放标准》（GB18483-2001）中油烟标准要求。</w:t>
            </w:r>
          </w:p>
          <w:p>
            <w:pPr>
              <w:pStyle w:val="40"/>
              <w:pageBreakBefore w:val="0"/>
              <w:kinsoku/>
              <w:wordWrap/>
              <w:overflowPunct/>
              <w:topLinePunct w:val="0"/>
              <w:bidi w:val="0"/>
              <w:spacing w:before="0" w:beforeAutospacing="0" w:after="0" w:afterAutospacing="0" w:line="360" w:lineRule="auto"/>
              <w:ind w:firstLine="422" w:firstLineChars="200"/>
              <w:jc w:val="left"/>
              <w:textAlignment w:val="auto"/>
              <w:rPr>
                <w:rFonts w:hint="default" w:ascii="Times New Roman" w:eastAsia="宋体"/>
                <w:b/>
                <w:color w:val="auto"/>
                <w:sz w:val="21"/>
                <w:szCs w:val="21"/>
                <w:lang w:val="en-US" w:eastAsia="zh-CN"/>
              </w:rPr>
            </w:pPr>
            <w:r>
              <w:rPr>
                <w:rFonts w:hint="eastAsia" w:ascii="Times New Roman"/>
                <w:b/>
                <w:color w:val="auto"/>
                <w:sz w:val="21"/>
                <w:szCs w:val="21"/>
                <w:lang w:eastAsia="zh-CN"/>
              </w:rPr>
              <w:t>2</w:t>
            </w:r>
            <w:r>
              <w:rPr>
                <w:rFonts w:hint="eastAsia" w:ascii="Times New Roman"/>
                <w:b/>
                <w:color w:val="auto"/>
                <w:sz w:val="21"/>
                <w:szCs w:val="21"/>
              </w:rPr>
              <w:t>、危废库有机废气</w:t>
            </w:r>
            <w:r>
              <w:rPr>
                <w:rFonts w:hint="eastAsia" w:ascii="Times New Roman"/>
                <w:b/>
                <w:color w:val="auto"/>
                <w:sz w:val="21"/>
                <w:szCs w:val="21"/>
                <w:lang w:val="en-US" w:eastAsia="zh-CN"/>
              </w:rPr>
              <w:t>G4</w:t>
            </w:r>
          </w:p>
          <w:p>
            <w:pPr>
              <w:pStyle w:val="40"/>
              <w:pageBreakBefore w:val="0"/>
              <w:kinsoku/>
              <w:wordWrap/>
              <w:overflowPunct/>
              <w:topLinePunct w:val="0"/>
              <w:bidi w:val="0"/>
              <w:spacing w:before="0" w:beforeAutospacing="0" w:after="0" w:afterAutospacing="0" w:line="360" w:lineRule="auto"/>
              <w:ind w:firstLine="420" w:firstLineChars="200"/>
              <w:jc w:val="left"/>
              <w:textAlignment w:val="auto"/>
              <w:rPr>
                <w:rFonts w:hint="eastAsia" w:ascii="Times New Roman"/>
                <w:color w:val="auto"/>
                <w:sz w:val="21"/>
                <w:szCs w:val="21"/>
                <w:lang w:eastAsia="zh-CN"/>
              </w:rPr>
            </w:pPr>
            <w:r>
              <w:rPr>
                <w:rFonts w:hint="eastAsia" w:ascii="Times New Roman"/>
                <w:color w:val="auto"/>
                <w:sz w:val="21"/>
                <w:szCs w:val="21"/>
                <w:lang w:eastAsia="zh-CN"/>
              </w:rPr>
              <w:t>车间内设置</w:t>
            </w:r>
            <w:r>
              <w:rPr>
                <w:rFonts w:hint="eastAsia" w:ascii="Times New Roman"/>
                <w:color w:val="auto"/>
                <w:sz w:val="21"/>
                <w:szCs w:val="21"/>
                <w:lang w:val="en-US" w:eastAsia="zh-CN"/>
              </w:rPr>
              <w:t>3</w:t>
            </w:r>
            <w:r>
              <w:rPr>
                <w:rFonts w:hint="eastAsia" w:ascii="Times New Roman"/>
                <w:color w:val="auto"/>
                <w:sz w:val="21"/>
                <w:szCs w:val="21"/>
                <w:lang w:eastAsia="zh-CN"/>
              </w:rPr>
              <w:t>5m</w:t>
            </w:r>
            <w:r>
              <w:rPr>
                <w:rFonts w:hint="eastAsia" w:ascii="Times New Roman"/>
                <w:color w:val="auto"/>
                <w:sz w:val="21"/>
                <w:szCs w:val="21"/>
                <w:vertAlign w:val="superscript"/>
                <w:lang w:eastAsia="zh-CN"/>
              </w:rPr>
              <w:t>2</w:t>
            </w:r>
            <w:r>
              <w:rPr>
                <w:rFonts w:hint="eastAsia" w:ascii="Times New Roman"/>
                <w:color w:val="auto"/>
                <w:sz w:val="21"/>
                <w:szCs w:val="21"/>
                <w:lang w:eastAsia="zh-CN"/>
              </w:rPr>
              <w:t>危废库一间，危废库内存储涉VOC废物为废</w:t>
            </w:r>
            <w:r>
              <w:rPr>
                <w:rFonts w:hint="eastAsia" w:ascii="Times New Roman"/>
                <w:color w:val="auto"/>
                <w:sz w:val="21"/>
                <w:szCs w:val="21"/>
                <w:lang w:val="en-US" w:eastAsia="zh-CN"/>
              </w:rPr>
              <w:t>切削液</w:t>
            </w:r>
            <w:r>
              <w:rPr>
                <w:rFonts w:hint="eastAsia" w:ascii="Times New Roman"/>
                <w:color w:val="auto"/>
                <w:sz w:val="21"/>
                <w:szCs w:val="21"/>
                <w:lang w:eastAsia="zh-CN"/>
              </w:rPr>
              <w:t>、废原料桶，废</w:t>
            </w:r>
            <w:r>
              <w:rPr>
                <w:rFonts w:hint="eastAsia" w:ascii="Times New Roman"/>
                <w:color w:val="auto"/>
                <w:sz w:val="21"/>
                <w:szCs w:val="21"/>
                <w:lang w:val="en-US" w:eastAsia="zh-CN"/>
              </w:rPr>
              <w:t>切削液</w:t>
            </w:r>
            <w:r>
              <w:rPr>
                <w:rFonts w:hint="eastAsia" w:ascii="Times New Roman"/>
                <w:color w:val="auto"/>
                <w:sz w:val="21"/>
                <w:szCs w:val="21"/>
                <w:lang w:eastAsia="zh-CN"/>
              </w:rPr>
              <w:t>在产生环节由专业人员更换后采用密闭桶装方式进行贮存，废原料桶加盖密闭，危险废物均采用密闭方式存储，在加大周转周期的基础上，危废库有机废气产生量极少。综上危废库在贮存过程均采取密闭措施，有机废气产生量极少，本次环评不予定量分析。</w:t>
            </w:r>
          </w:p>
          <w:p>
            <w:pPr>
              <w:pStyle w:val="147"/>
              <w:ind w:firstLine="422"/>
              <w:rPr>
                <w:b/>
                <w:bCs w:val="0"/>
                <w:color w:val="auto"/>
                <w:lang w:val="en-US" w:eastAsia="zh-CN"/>
              </w:rPr>
            </w:pPr>
            <w:r>
              <w:rPr>
                <w:rFonts w:hint="eastAsia"/>
                <w:b/>
                <w:bCs w:val="0"/>
                <w:color w:val="auto"/>
                <w:lang w:val="en-US" w:eastAsia="zh-CN"/>
              </w:rPr>
              <w:t>3、柴油发电机尾气</w:t>
            </w:r>
          </w:p>
          <w:p>
            <w:pPr>
              <w:pStyle w:val="147"/>
              <w:rPr>
                <w:rFonts w:hint="default" w:ascii="Times New Roman" w:hAnsi="Times New Roman" w:eastAsia="Times New Roman" w:cs="Times New Roman"/>
                <w:b w:val="0"/>
                <w:bCs w:val="0"/>
                <w:color w:val="000000"/>
                <w:sz w:val="21"/>
                <w:szCs w:val="21"/>
              </w:rPr>
            </w:pPr>
            <w:r>
              <w:rPr>
                <w:rFonts w:hint="default" w:ascii="Times New Roman" w:hAnsi="Times New Roman" w:eastAsia="宋体" w:cs="Times New Roman"/>
                <w:b w:val="0"/>
                <w:bCs w:val="0"/>
                <w:color w:val="000000"/>
                <w:sz w:val="21"/>
                <w:szCs w:val="21"/>
              </w:rPr>
              <w:t>本项目在</w:t>
            </w:r>
            <w:r>
              <w:rPr>
                <w:rFonts w:hint="eastAsia" w:ascii="Times New Roman" w:hAnsi="Times New Roman" w:eastAsia="宋体" w:cs="Times New Roman"/>
                <w:b w:val="0"/>
                <w:bCs w:val="0"/>
                <w:color w:val="000000"/>
                <w:sz w:val="21"/>
                <w:szCs w:val="21"/>
                <w:lang w:val="en-US" w:eastAsia="zh-CN"/>
              </w:rPr>
              <w:t>办公楼地下室</w:t>
            </w:r>
            <w:r>
              <w:rPr>
                <w:rFonts w:hint="default" w:ascii="Times New Roman" w:hAnsi="Times New Roman" w:eastAsia="宋体" w:cs="Times New Roman"/>
                <w:b w:val="0"/>
                <w:bCs w:val="0"/>
                <w:color w:val="000000"/>
                <w:sz w:val="21"/>
                <w:szCs w:val="21"/>
              </w:rPr>
              <w:t>设置备用柴油发电机房</w:t>
            </w:r>
            <w:r>
              <w:rPr>
                <w:rFonts w:hint="default" w:ascii="Times New Roman" w:hAnsi="Times New Roman" w:eastAsia="Times New Roman" w:cs="Times New Roman"/>
                <w:b w:val="0"/>
                <w:bCs w:val="0"/>
                <w:color w:val="000000"/>
                <w:sz w:val="21"/>
                <w:szCs w:val="21"/>
              </w:rPr>
              <w:t>1</w:t>
            </w:r>
            <w:r>
              <w:rPr>
                <w:rFonts w:hint="default" w:ascii="Times New Roman" w:hAnsi="Times New Roman" w:eastAsia="宋体" w:cs="Times New Roman"/>
                <w:b w:val="0"/>
                <w:bCs w:val="0"/>
                <w:color w:val="000000"/>
                <w:sz w:val="21"/>
                <w:szCs w:val="21"/>
              </w:rPr>
              <w:t>座，</w:t>
            </w:r>
            <w:r>
              <w:rPr>
                <w:rFonts w:hint="eastAsia" w:ascii="Times New Roman" w:hAnsi="Times New Roman" w:eastAsia="宋体" w:cs="Times New Roman"/>
                <w:b w:val="0"/>
                <w:bCs w:val="0"/>
                <w:color w:val="000000"/>
                <w:sz w:val="21"/>
                <w:szCs w:val="21"/>
                <w:lang w:val="en-US" w:eastAsia="zh-CN"/>
              </w:rPr>
              <w:t>根据企业核实，</w:t>
            </w:r>
            <w:r>
              <w:rPr>
                <w:rFonts w:hint="default" w:ascii="Times New Roman" w:hAnsi="Times New Roman" w:eastAsia="宋体" w:cs="Times New Roman"/>
                <w:b w:val="0"/>
                <w:bCs w:val="0"/>
                <w:color w:val="000000"/>
                <w:sz w:val="21"/>
                <w:szCs w:val="21"/>
                <w:lang w:val="en-US" w:eastAsia="zh-CN"/>
              </w:rPr>
              <w:t>所选用柴油机组满足《非道路柴油移动机械污染物排放控制技术要求》（HJ 1014—2020）</w:t>
            </w:r>
            <w:r>
              <w:rPr>
                <w:rFonts w:hint="eastAsia" w:ascii="Times New Roman" w:hAnsi="Times New Roman" w:eastAsia="宋体" w:cs="Times New Roman"/>
                <w:b w:val="0"/>
                <w:bCs w:val="0"/>
                <w:color w:val="000000"/>
                <w:sz w:val="21"/>
                <w:szCs w:val="21"/>
                <w:lang w:val="en-US" w:eastAsia="zh-CN"/>
              </w:rPr>
              <w:t>中“</w:t>
            </w:r>
            <w:r>
              <w:rPr>
                <w:rFonts w:hint="default" w:ascii="Times New Roman" w:hAnsi="Times New Roman" w:eastAsia="宋体" w:cs="Times New Roman"/>
                <w:b w:val="0"/>
                <w:bCs w:val="0"/>
                <w:color w:val="000000"/>
                <w:sz w:val="21"/>
                <w:szCs w:val="21"/>
                <w:lang w:val="en-US" w:eastAsia="zh-CN"/>
              </w:rPr>
              <w:t>环保生产一致性和在用符合性</w:t>
            </w:r>
            <w:r>
              <w:rPr>
                <w:rFonts w:hint="eastAsia" w:ascii="Times New Roman" w:hAnsi="Times New Roman" w:eastAsia="宋体" w:cs="Times New Roman"/>
                <w:b w:val="0"/>
                <w:bCs w:val="0"/>
                <w:color w:val="000000"/>
                <w:sz w:val="21"/>
                <w:szCs w:val="21"/>
                <w:lang w:val="en-US" w:eastAsia="zh-CN"/>
              </w:rPr>
              <w:t>”要求，能够确保柴油机排放达标。</w:t>
            </w:r>
            <w:r>
              <w:rPr>
                <w:rFonts w:hint="default" w:ascii="Times New Roman" w:hAnsi="Times New Roman" w:eastAsia="宋体" w:cs="Times New Roman"/>
                <w:b w:val="0"/>
                <w:bCs w:val="0"/>
                <w:color w:val="000000"/>
                <w:sz w:val="21"/>
                <w:szCs w:val="21"/>
              </w:rPr>
              <w:t>备用柴油发电机工作时将产生一定量的燃油废气，</w:t>
            </w:r>
            <w:r>
              <w:rPr>
                <w:rFonts w:hint="eastAsia" w:ascii="Times New Roman" w:hAnsi="Times New Roman" w:eastAsia="宋体" w:cs="Times New Roman"/>
                <w:b w:val="0"/>
                <w:bCs w:val="0"/>
                <w:color w:val="000000"/>
                <w:sz w:val="21"/>
                <w:szCs w:val="21"/>
                <w:lang w:val="en-US" w:eastAsia="zh-CN"/>
              </w:rPr>
              <w:t>由于</w:t>
            </w:r>
            <w:r>
              <w:rPr>
                <w:rFonts w:hint="default" w:ascii="Times New Roman" w:hAnsi="Times New Roman" w:eastAsia="宋体" w:cs="Times New Roman"/>
                <w:b w:val="0"/>
                <w:bCs w:val="0"/>
                <w:color w:val="000000"/>
                <w:sz w:val="21"/>
                <w:szCs w:val="21"/>
              </w:rPr>
              <w:t>该部分废气量较少</w:t>
            </w:r>
            <w:r>
              <w:rPr>
                <w:rFonts w:hint="eastAsia" w:ascii="Times New Roman" w:hAnsi="Times New Roman" w:eastAsia="宋体" w:cs="Times New Roman"/>
                <w:b w:val="0"/>
                <w:bCs w:val="0"/>
                <w:color w:val="000000"/>
                <w:sz w:val="21"/>
                <w:szCs w:val="21"/>
                <w:lang w:val="en-US" w:eastAsia="zh-CN"/>
              </w:rPr>
              <w:t>且发生频次低</w:t>
            </w:r>
            <w:r>
              <w:rPr>
                <w:rFonts w:hint="default" w:ascii="Times New Roman" w:hAnsi="Times New Roman" w:eastAsia="宋体" w:cs="Times New Roman"/>
                <w:b w:val="0"/>
                <w:bCs w:val="0"/>
                <w:color w:val="000000"/>
                <w:sz w:val="21"/>
                <w:szCs w:val="21"/>
              </w:rPr>
              <w:t>，通过专用烟道升至屋顶排</w:t>
            </w:r>
            <w:r>
              <w:rPr>
                <w:rFonts w:hint="default" w:ascii="Times New Roman" w:hAnsi="Times New Roman" w:eastAsia="宋体" w:cs="Times New Roman"/>
                <w:b w:val="0"/>
                <w:bCs w:val="0"/>
                <w:color w:val="000000"/>
                <w:sz w:val="21"/>
                <w:szCs w:val="21"/>
                <w:lang w:val="en-US" w:eastAsia="zh-CN"/>
              </w:rPr>
              <w:t>放</w:t>
            </w:r>
            <w:r>
              <w:rPr>
                <w:rFonts w:hint="eastAsia" w:ascii="Times New Roman" w:hAnsi="Times New Roman" w:eastAsia="宋体" w:cs="Times New Roman"/>
                <w:b w:val="0"/>
                <w:bCs w:val="0"/>
                <w:color w:val="000000"/>
                <w:sz w:val="21"/>
                <w:szCs w:val="21"/>
                <w:lang w:val="en-US" w:eastAsia="zh-CN"/>
              </w:rPr>
              <w:t>，本次不予核算其排放量</w:t>
            </w:r>
            <w:r>
              <w:rPr>
                <w:rFonts w:hint="default" w:ascii="Times New Roman" w:hAnsi="Times New Roman" w:eastAsia="宋体" w:cs="Times New Roman"/>
                <w:b w:val="0"/>
                <w:bCs w:val="0"/>
                <w:color w:val="000000"/>
                <w:sz w:val="21"/>
                <w:szCs w:val="21"/>
              </w:rPr>
              <w:t>。</w:t>
            </w:r>
            <w:r>
              <w:rPr>
                <w:rFonts w:hint="default" w:ascii="Times New Roman" w:hAnsi="Times New Roman" w:eastAsia="Times New Roman" w:cs="Times New Roman"/>
                <w:b w:val="0"/>
                <w:bCs w:val="0"/>
                <w:color w:val="000000"/>
                <w:sz w:val="21"/>
                <w:szCs w:val="21"/>
              </w:rPr>
              <w:t xml:space="preserve"> </w:t>
            </w:r>
          </w:p>
          <w:p>
            <w:pPr>
              <w:pageBreakBefore w:val="0"/>
              <w:kinsoku/>
              <w:wordWrap/>
              <w:overflowPunct/>
              <w:topLinePunct w:val="0"/>
              <w:bidi w:val="0"/>
              <w:adjustRightInd w:val="0"/>
              <w:snapToGrid w:val="0"/>
              <w:spacing w:line="360" w:lineRule="auto"/>
              <w:ind w:firstLine="422" w:firstLineChars="200"/>
              <w:jc w:val="left"/>
              <w:textAlignment w:val="auto"/>
              <w:rPr>
                <w:rFonts w:hint="eastAsia"/>
                <w:b/>
                <w:bCs/>
                <w:color w:val="auto"/>
                <w:kern w:val="0"/>
                <w:szCs w:val="21"/>
              </w:rPr>
            </w:pPr>
            <w:r>
              <w:rPr>
                <w:rFonts w:hint="eastAsia"/>
                <w:b/>
                <w:bCs/>
                <w:color w:val="auto"/>
                <w:kern w:val="0"/>
                <w:szCs w:val="21"/>
                <w:lang w:val="en-US" w:eastAsia="zh-CN"/>
              </w:rPr>
              <w:t>4</w:t>
            </w:r>
            <w:r>
              <w:rPr>
                <w:rFonts w:hint="eastAsia"/>
                <w:b/>
                <w:bCs/>
                <w:color w:val="auto"/>
                <w:kern w:val="0"/>
                <w:szCs w:val="21"/>
              </w:rPr>
              <w:t>、</w:t>
            </w:r>
            <w:r>
              <w:rPr>
                <w:b/>
                <w:bCs/>
                <w:color w:val="auto"/>
                <w:kern w:val="0"/>
                <w:szCs w:val="21"/>
              </w:rPr>
              <w:t>废气污染治理设施可行性分析</w:t>
            </w:r>
          </w:p>
          <w:p>
            <w:pPr>
              <w:pStyle w:val="85"/>
              <w:numPr>
                <w:ilvl w:val="0"/>
                <w:numId w:val="0"/>
              </w:numPr>
              <w:spacing w:line="360" w:lineRule="auto"/>
              <w:ind w:firstLine="200"/>
              <w:jc w:val="left"/>
              <w:rPr>
                <w:rFonts w:hint="eastAsia" w:cs="宋体"/>
                <w:color w:val="auto"/>
                <w:sz w:val="21"/>
                <w:szCs w:val="21"/>
                <w:lang w:val="en-US" w:eastAsia="zh-CN"/>
              </w:rPr>
            </w:pPr>
            <w:r>
              <w:rPr>
                <w:rFonts w:hint="eastAsia" w:cs="宋体"/>
                <w:color w:val="auto"/>
                <w:sz w:val="21"/>
                <w:szCs w:val="21"/>
                <w:lang w:val="en-US" w:eastAsia="zh-CN"/>
              </w:rPr>
              <w:t>（1）颗粒物治理设施</w:t>
            </w:r>
          </w:p>
          <w:p>
            <w:pPr>
              <w:spacing w:line="360" w:lineRule="auto"/>
              <w:ind w:firstLine="420" w:firstLineChars="200"/>
              <w:rPr>
                <w:rFonts w:hint="default" w:hAnsi="宋体"/>
                <w:color w:val="auto"/>
                <w:szCs w:val="21"/>
                <w:lang w:val="en-US" w:eastAsia="zh-CN"/>
              </w:rPr>
            </w:pPr>
            <w:r>
              <w:rPr>
                <w:rFonts w:hint="eastAsia" w:hAnsi="宋体"/>
                <w:color w:val="auto"/>
                <w:szCs w:val="21"/>
                <w:lang w:val="en-US" w:eastAsia="zh-CN"/>
              </w:rPr>
              <w:t>本项目钢材切割、塑料板材切割均位于密闭操作间内，钢材切割作业量较小且间断性进行，塑料板材切割雕刻作业面较大（1.5m×2.5m），顶设集气罩收集方式收集效果较差，金属粉尘属于重力粉尘，塑料板材粉尘属于大颗粒粉尘，因此采取操作间整体密闭措施，粉尘在密闭操作间内均能在小范围内沉降，作业完毕即采取吸尘器收集方式进行人工干法清洁。采取密闭措施确保厂界排放达标。</w:t>
            </w:r>
          </w:p>
          <w:p>
            <w:pPr>
              <w:spacing w:line="360" w:lineRule="auto"/>
              <w:ind w:firstLine="420" w:firstLineChars="200"/>
              <w:rPr>
                <w:rFonts w:hint="default" w:hAnsi="宋体"/>
                <w:color w:val="auto"/>
                <w:szCs w:val="21"/>
                <w:lang w:val="en-US" w:eastAsia="zh-CN"/>
              </w:rPr>
            </w:pPr>
            <w:r>
              <w:rPr>
                <w:rFonts w:hint="eastAsia" w:hAnsi="宋体"/>
                <w:color w:val="auto"/>
                <w:szCs w:val="21"/>
                <w:lang w:val="en-US" w:eastAsia="zh-CN"/>
              </w:rPr>
              <w:t>板材焊接烟尘采取移动式烟尘净化器收集处理后无组织排放，移动式烟尘净化器属于一项成熟焊接烟尘处理技术，其工作原理为：焊烟废气被风机负压吸入净化机内部，大颗粒飘尘被均流板和初滤网过滤而沉积下来；进入净化装置的微小级烟雾和废气通过装置内部高效过滤装置被过滤和分解后排出达标气体，净化效率达到90%以上。</w:t>
            </w:r>
            <w:r>
              <w:rPr>
                <w:rFonts w:hint="eastAsia" w:ascii="Times New Roman" w:hAnsi="Times New Roman" w:cs="Times New Roman"/>
                <w:b w:val="0"/>
                <w:bCs w:val="0"/>
                <w:color w:val="auto"/>
                <w:sz w:val="21"/>
                <w:szCs w:val="21"/>
                <w:lang w:val="en-US" w:eastAsia="zh-CN"/>
              </w:rPr>
              <w:t>根据《排放源统计调查产排污核算方法和系数手册》中“33金属制品业、34通用设备制造业、35专用设备制造业、36汽车制造业、37铁路、船舶、航空航天和其他运输设备制造业、431金属制品修理、432通用设备修理、433专用设备修理、434铁路、船舶、航空航天等运输设备修理（不包括电镀工艺）行业系数表”，项目</w:t>
            </w:r>
            <w:r>
              <w:rPr>
                <w:rFonts w:hint="eastAsia" w:cs="Times New Roman"/>
                <w:b w:val="0"/>
                <w:bCs w:val="0"/>
                <w:color w:val="auto"/>
                <w:sz w:val="21"/>
                <w:szCs w:val="21"/>
                <w:lang w:val="en-US" w:eastAsia="zh-CN"/>
              </w:rPr>
              <w:t>焊接</w:t>
            </w:r>
            <w:r>
              <w:rPr>
                <w:rFonts w:hint="eastAsia" w:ascii="Times New Roman" w:hAnsi="Times New Roman" w:cs="Times New Roman"/>
                <w:b w:val="0"/>
                <w:bCs w:val="0"/>
                <w:color w:val="auto"/>
                <w:sz w:val="21"/>
                <w:szCs w:val="21"/>
                <w:lang w:val="en-US" w:eastAsia="zh-CN"/>
              </w:rPr>
              <w:t>废气颗粒物采用</w:t>
            </w:r>
            <w:r>
              <w:rPr>
                <w:rFonts w:hint="eastAsia" w:cs="Times New Roman"/>
                <w:b w:val="0"/>
                <w:bCs w:val="0"/>
                <w:color w:val="auto"/>
                <w:sz w:val="21"/>
                <w:szCs w:val="21"/>
                <w:lang w:val="en-US" w:eastAsia="zh-CN"/>
              </w:rPr>
              <w:t>烟尘净化器</w:t>
            </w:r>
            <w:r>
              <w:rPr>
                <w:rFonts w:hint="eastAsia" w:ascii="Times New Roman" w:hAnsi="Times New Roman" w:cs="Times New Roman"/>
                <w:b w:val="0"/>
                <w:bCs w:val="0"/>
                <w:color w:val="auto"/>
                <w:sz w:val="21"/>
                <w:szCs w:val="21"/>
                <w:lang w:val="en-US" w:eastAsia="zh-CN"/>
              </w:rPr>
              <w:t>末端治理措施可行，</w:t>
            </w:r>
            <w:r>
              <w:rPr>
                <w:rFonts w:hint="eastAsia" w:hAnsi="宋体"/>
                <w:color w:val="auto"/>
                <w:szCs w:val="21"/>
                <w:lang w:val="en-US" w:eastAsia="zh-CN"/>
              </w:rPr>
              <w:t>采取净化措施后确保厂界排放达标。</w:t>
            </w:r>
          </w:p>
          <w:p>
            <w:pPr>
              <w:pStyle w:val="24"/>
              <w:spacing w:line="360" w:lineRule="auto"/>
              <w:ind w:firstLine="422"/>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（2）有机废气</w:t>
            </w:r>
          </w:p>
          <w:p>
            <w:pPr>
              <w:pStyle w:val="24"/>
              <w:spacing w:line="360" w:lineRule="auto"/>
              <w:ind w:firstLine="422"/>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本项目有机废气排放主要是PP胶带热熔产生有机废气，本项目采用新料PP胶带替代其他类型胶黏剂，热熔环节产生有机废气量较少，根据《挥发性有机物治理实用手册（第二版）》电子元件、电子终端产品等类型黏合工艺宜使用水基型、本体型等低VOCs含量胶粘剂</w:t>
            </w:r>
            <w:r>
              <w:rPr>
                <w:rFonts w:hint="eastAsia" w:ascii="Times New Roman" w:hAnsi="Times New Roman" w:cs="Times New Roman"/>
                <w:b w:val="0"/>
                <w:bCs/>
                <w:color w:val="auto"/>
                <w:sz w:val="21"/>
                <w:szCs w:val="21"/>
                <w:lang w:val="en-US" w:eastAsia="zh-CN"/>
              </w:rPr>
              <w:t>，胶粘剂VOCs含量应满足《胶粘剂挥发性有机化合物限量》（GB33372—2020）、VOCs排放应满足《大气污染物综合排放标准》（GB16297—1996）、《挥发性有机物无组织排放控制标准》（GB37822—2019），本项目所使用PP胶带满足上述要求，</w:t>
            </w:r>
            <w:r>
              <w:rPr>
                <w:rFonts w:hint="default" w:ascii="Times New Roman" w:hAnsi="Times New Roman" w:cs="Times New Roman"/>
                <w:b w:val="0"/>
                <w:bCs/>
                <w:color w:val="auto"/>
                <w:sz w:val="21"/>
                <w:szCs w:val="21"/>
                <w:lang w:val="en-US" w:eastAsia="zh-CN"/>
              </w:rPr>
              <w:t>属于源头替代</w:t>
            </w:r>
            <w:r>
              <w:rPr>
                <w:rFonts w:hint="eastAsia" w:ascii="Times New Roman" w:hAnsi="Times New Roman" w:cs="Times New Roman"/>
                <w:b w:val="0"/>
                <w:bCs/>
                <w:color w:val="auto"/>
                <w:sz w:val="21"/>
                <w:szCs w:val="21"/>
                <w:lang w:val="en-US" w:eastAsia="zh-CN"/>
              </w:rPr>
              <w:t>措施，属于可行技术。</w:t>
            </w:r>
          </w:p>
          <w:p>
            <w:pPr>
              <w:pStyle w:val="24"/>
              <w:spacing w:line="360" w:lineRule="auto"/>
              <w:ind w:firstLine="422"/>
              <w:rPr>
                <w:rFonts w:hint="eastAsia" w:ascii="宋体" w:hAnsi="宋体"/>
                <w:b w:val="0"/>
                <w:bCs/>
                <w:color w:val="auto"/>
                <w:sz w:val="21"/>
                <w:szCs w:val="21"/>
                <w:lang w:val="en-US" w:eastAsia="zh-CN"/>
              </w:rPr>
            </w:pPr>
            <w:r>
              <w:rPr>
                <w:rFonts w:ascii="宋体" w:hAnsi="宋体"/>
                <w:b w:val="0"/>
                <w:bCs/>
                <w:color w:val="auto"/>
                <w:sz w:val="21"/>
                <w:szCs w:val="21"/>
                <w:lang w:val="en-US" w:eastAsia="zh-CN"/>
              </w:rPr>
              <w:t>综上所述，本项目废气经过处理后均可达标排放，对周围环境影响可接受。</w:t>
            </w:r>
          </w:p>
          <w:p>
            <w:pPr>
              <w:spacing w:line="360" w:lineRule="auto"/>
              <w:ind w:firstLine="420" w:firstLineChars="200"/>
              <w:rPr>
                <w:rFonts w:hint="eastAsia"/>
                <w:bCs/>
                <w:snapToGrid w:val="0"/>
                <w:color w:val="auto"/>
                <w:szCs w:val="21"/>
              </w:rPr>
            </w:pPr>
            <w:r>
              <w:rPr>
                <w:rFonts w:hint="eastAsia"/>
                <w:bCs/>
                <w:snapToGrid w:val="0"/>
                <w:color w:val="auto"/>
                <w:szCs w:val="21"/>
              </w:rPr>
              <w:t>3）针对VOCs提出管控要求：</w:t>
            </w:r>
          </w:p>
          <w:p>
            <w:pPr>
              <w:spacing w:line="360" w:lineRule="auto"/>
              <w:ind w:firstLine="420" w:firstLineChars="200"/>
              <w:jc w:val="left"/>
              <w:rPr>
                <w:color w:val="auto"/>
              </w:rPr>
            </w:pPr>
            <w:r>
              <w:rPr>
                <w:color w:val="auto"/>
              </w:rPr>
              <w:t>本项目无组织挥发性有机废气须符合《挥发性有机物无组织排放控制标准》（GB37822—2019）中管控要求，</w:t>
            </w:r>
            <w:r>
              <w:rPr>
                <w:rFonts w:hint="eastAsia"/>
                <w:color w:val="auto"/>
              </w:rPr>
              <w:t>企业应建立台账，记录含VOCs原辅材料和含VOCs产品的名称、使用量、回收量、废弃量、去向以及VOCs含量等信息。台账保存期限不少于5年。</w:t>
            </w:r>
            <w:r>
              <w:rPr>
                <w:rFonts w:hint="eastAsia"/>
                <w:color w:val="auto"/>
                <w:lang w:val="en-US" w:eastAsia="zh-CN"/>
              </w:rPr>
              <w:t>企业后续不可随意更换胶黏剂，应按照环评要求，选用满足源头替代要求、VOC含量限值要求的本体型胶黏剂，确保无组织排放达标。</w:t>
            </w:r>
            <w:r>
              <w:rPr>
                <w:rFonts w:hint="eastAsia"/>
                <w:color w:val="auto"/>
              </w:rPr>
              <w:t>本项目通风设备、生产设备、操作工位、车间厂房等应在符合安全生产、职业卫生相关规定的前提下，根据行业作业规程与标准、工业建筑及洁净厂房通风设计规范等的要求，采用合理的通风量。</w:t>
            </w:r>
          </w:p>
          <w:p>
            <w:pPr>
              <w:adjustRightInd w:val="0"/>
              <w:snapToGrid w:val="0"/>
              <w:spacing w:line="360" w:lineRule="auto"/>
              <w:ind w:firstLine="422" w:firstLineChars="200"/>
              <w:rPr>
                <w:rFonts w:hint="eastAsia"/>
                <w:b/>
                <w:bCs/>
                <w:kern w:val="0"/>
                <w:szCs w:val="21"/>
              </w:rPr>
            </w:pPr>
            <w:r>
              <w:rPr>
                <w:rFonts w:hint="eastAsia"/>
                <w:b/>
                <w:bCs/>
                <w:kern w:val="0"/>
                <w:szCs w:val="21"/>
                <w:lang w:val="en-US" w:eastAsia="zh-CN"/>
              </w:rPr>
              <w:t>5</w:t>
            </w:r>
            <w:r>
              <w:rPr>
                <w:rFonts w:hint="eastAsia"/>
                <w:b/>
                <w:bCs/>
                <w:kern w:val="0"/>
                <w:szCs w:val="21"/>
              </w:rPr>
              <w:t>、大气环境防护距离</w:t>
            </w:r>
          </w:p>
          <w:p>
            <w:pPr>
              <w:widowControl/>
              <w:spacing w:line="360" w:lineRule="auto"/>
              <w:ind w:firstLine="420" w:firstLineChars="200"/>
              <w:jc w:val="left"/>
              <w:rPr>
                <w:rFonts w:hint="eastAsia"/>
                <w:kern w:val="0"/>
                <w:szCs w:val="21"/>
                <w:shd w:val="clear" w:color="auto" w:fill="FFFFFF"/>
              </w:rPr>
            </w:pPr>
            <w:r>
              <w:rPr>
                <w:rFonts w:hint="eastAsia"/>
                <w:kern w:val="0"/>
                <w:szCs w:val="21"/>
                <w:shd w:val="clear" w:color="auto" w:fill="FFFFFF"/>
              </w:rPr>
              <w:t>①本项目大气防护距离</w:t>
            </w:r>
          </w:p>
          <w:p>
            <w:pPr>
              <w:widowControl/>
              <w:spacing w:line="360" w:lineRule="auto"/>
              <w:ind w:firstLine="420" w:firstLineChars="200"/>
              <w:jc w:val="left"/>
              <w:rPr>
                <w:rFonts w:hint="eastAsia"/>
              </w:rPr>
            </w:pPr>
            <w:r>
              <w:rPr>
                <w:rFonts w:hint="eastAsia"/>
              </w:rPr>
              <w:t>本项目无需设置大气环境影响专题，未进行大气环境防护距离的计算。项目废气收集处理后均达标排放，对周边环境影响较小，无需设置大气环境防护距离。</w:t>
            </w:r>
          </w:p>
          <w:p>
            <w:pPr>
              <w:spacing w:line="400" w:lineRule="exact"/>
              <w:ind w:firstLine="420" w:firstLineChars="200"/>
              <w:rPr>
                <w:rFonts w:hint="eastAsia"/>
                <w:szCs w:val="21"/>
              </w:rPr>
            </w:pPr>
            <w:r>
              <w:rPr>
                <w:rFonts w:hint="eastAsia"/>
                <w:szCs w:val="21"/>
              </w:rPr>
              <w:t>②卫生防护距离</w:t>
            </w:r>
          </w:p>
          <w:p>
            <w:pPr>
              <w:spacing w:line="400" w:lineRule="exact"/>
              <w:ind w:firstLine="420" w:firstLineChars="200"/>
              <w:rPr>
                <w:szCs w:val="21"/>
              </w:rPr>
            </w:pPr>
            <w:r>
              <w:rPr>
                <w:szCs w:val="21"/>
              </w:rPr>
              <w:t>按照工程分析核算的有害气体无组织排放量，根据《大气有害物质无组织排放卫生防护距离推导技术导则》</w:t>
            </w:r>
            <w:r>
              <w:rPr>
                <w:rFonts w:hint="eastAsia"/>
                <w:szCs w:val="21"/>
                <w:lang w:eastAsia="zh-CN"/>
              </w:rPr>
              <w:t>（</w:t>
            </w:r>
            <w:r>
              <w:rPr>
                <w:szCs w:val="21"/>
              </w:rPr>
              <w:t>GB/T</w:t>
            </w:r>
            <w:r>
              <w:rPr>
                <w:rFonts w:hint="eastAsia"/>
                <w:szCs w:val="21"/>
              </w:rPr>
              <w:t>39499-2020</w:t>
            </w:r>
            <w:r>
              <w:rPr>
                <w:rFonts w:hint="eastAsia"/>
                <w:szCs w:val="21"/>
                <w:lang w:eastAsia="zh-CN"/>
              </w:rPr>
              <w:t>）</w:t>
            </w:r>
            <w:r>
              <w:rPr>
                <w:szCs w:val="21"/>
              </w:rPr>
              <w:t>的有关规定，卫生防护距离为：</w:t>
            </w:r>
            <w:r>
              <w:rPr>
                <w:rFonts w:hint="eastAsia"/>
                <w:szCs w:val="21"/>
              </w:rPr>
              <w:t>为了防控通过无组织排放的大气污染物的健康危害，产生大气有害物质的生产单元</w:t>
            </w:r>
            <w:r>
              <w:rPr>
                <w:rFonts w:hint="eastAsia"/>
                <w:szCs w:val="21"/>
                <w:lang w:eastAsia="zh-CN"/>
              </w:rPr>
              <w:t>（</w:t>
            </w:r>
            <w:r>
              <w:rPr>
                <w:rFonts w:hint="eastAsia"/>
                <w:szCs w:val="21"/>
              </w:rPr>
              <w:t>生产车间或作业场所</w:t>
            </w:r>
            <w:r>
              <w:rPr>
                <w:rFonts w:hint="eastAsia"/>
                <w:szCs w:val="21"/>
                <w:lang w:eastAsia="zh-CN"/>
              </w:rPr>
              <w:t>）</w:t>
            </w:r>
            <w:r>
              <w:rPr>
                <w:rFonts w:hint="eastAsia"/>
                <w:szCs w:val="21"/>
              </w:rPr>
              <w:t>的边界至敏感区边界的最小距离。本项目综合考虑，无组织排放设置卫生防护距离按照无组织粉尘、非甲烷总烃排放量进行计算。</w:t>
            </w:r>
          </w:p>
          <w:p>
            <w:pPr>
              <w:spacing w:line="400" w:lineRule="exact"/>
              <w:ind w:firstLine="420" w:firstLineChars="200"/>
              <w:rPr>
                <w:szCs w:val="21"/>
              </w:rPr>
            </w:pPr>
            <w:r>
              <w:rPr>
                <w:szCs w:val="21"/>
              </w:rPr>
              <w:t>确定本项目的卫生防护距离按下式计算：</w:t>
            </w:r>
          </w:p>
          <w:p>
            <w:pPr>
              <w:spacing w:line="360" w:lineRule="auto"/>
              <w:ind w:firstLine="480" w:firstLineChars="200"/>
              <w:jc w:val="center"/>
              <w:rPr>
                <w:bCs/>
                <w:sz w:val="24"/>
              </w:rPr>
            </w:pPr>
            <w:r>
              <w:rPr>
                <w:sz w:val="24"/>
              </w:rPr>
              <w:drawing>
                <wp:inline distT="0" distB="0" distL="114300" distR="114300">
                  <wp:extent cx="2423795" cy="542290"/>
                  <wp:effectExtent l="0" t="0" r="14605" b="10160"/>
                  <wp:docPr id="1" name="图片 6" descr="C:\Users\Administrator.2016-20161206AY\Desktop\b999a9014c086e063e38fc5504087bf40ad1cb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Administrator.2016-20161206AY\Desktop\b999a9014c086e063e38fc5504087bf40ad1cb18.jpg"/>
                          <pic:cNvPicPr>
                            <a:picLocks noChangeAspect="1"/>
                          </pic:cNvPicPr>
                        </pic:nvPicPr>
                        <pic:blipFill>
                          <a:blip r:embed="rId8"/>
                          <a:stretch>
                            <a:fillRect/>
                          </a:stretch>
                        </pic:blipFill>
                        <pic:spPr>
                          <a:xfrm>
                            <a:off x="0" y="0"/>
                            <a:ext cx="2423795" cy="542290"/>
                          </a:xfrm>
                          <a:prstGeom prst="rect">
                            <a:avLst/>
                          </a:prstGeom>
                          <a:noFill/>
                          <a:ln>
                            <a:noFill/>
                          </a:ln>
                        </pic:spPr>
                      </pic:pic>
                    </a:graphicData>
                  </a:graphic>
                </wp:inline>
              </w:drawing>
            </w:r>
          </w:p>
          <w:p>
            <w:pPr>
              <w:spacing w:line="360" w:lineRule="auto"/>
              <w:ind w:firstLine="420" w:firstLineChars="200"/>
              <w:rPr>
                <w:bCs/>
                <w:szCs w:val="21"/>
              </w:rPr>
            </w:pPr>
            <w:r>
              <w:rPr>
                <w:bCs/>
                <w:szCs w:val="21"/>
              </w:rPr>
              <w:t>式中：C</w:t>
            </w:r>
            <w:r>
              <w:rPr>
                <w:bCs/>
                <w:szCs w:val="21"/>
                <w:vertAlign w:val="subscript"/>
              </w:rPr>
              <w:t>m</w:t>
            </w:r>
            <w:r>
              <w:rPr>
                <w:bCs/>
                <w:szCs w:val="21"/>
              </w:rPr>
              <w:t>－标准浓度限值，mg/Nm</w:t>
            </w:r>
            <w:r>
              <w:rPr>
                <w:bCs/>
                <w:szCs w:val="21"/>
                <w:vertAlign w:val="superscript"/>
              </w:rPr>
              <w:t>3</w:t>
            </w:r>
            <w:r>
              <w:rPr>
                <w:bCs/>
                <w:szCs w:val="21"/>
              </w:rPr>
              <w:t>；</w:t>
            </w:r>
          </w:p>
          <w:p>
            <w:pPr>
              <w:spacing w:line="360" w:lineRule="auto"/>
              <w:ind w:firstLine="420" w:firstLineChars="200"/>
              <w:rPr>
                <w:bCs/>
                <w:szCs w:val="21"/>
              </w:rPr>
            </w:pPr>
            <w:r>
              <w:rPr>
                <w:szCs w:val="21"/>
              </w:rPr>
              <w:drawing>
                <wp:anchor distT="0" distB="0" distL="114300" distR="114300" simplePos="0" relativeHeight="251661312" behindDoc="0" locked="0" layoutInCell="1" allowOverlap="1">
                  <wp:simplePos x="0" y="0"/>
                  <wp:positionH relativeFrom="column">
                    <wp:posOffset>3747135</wp:posOffset>
                  </wp:positionH>
                  <wp:positionV relativeFrom="paragraph">
                    <wp:posOffset>204470</wp:posOffset>
                  </wp:positionV>
                  <wp:extent cx="765810" cy="243840"/>
                  <wp:effectExtent l="0" t="0" r="1524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rcRect r="15131"/>
                          <a:stretch>
                            <a:fillRect/>
                          </a:stretch>
                        </pic:blipFill>
                        <pic:spPr>
                          <a:xfrm>
                            <a:off x="0" y="0"/>
                            <a:ext cx="765810" cy="243840"/>
                          </a:xfrm>
                          <a:prstGeom prst="rect">
                            <a:avLst/>
                          </a:prstGeom>
                          <a:noFill/>
                          <a:ln>
                            <a:noFill/>
                          </a:ln>
                        </pic:spPr>
                      </pic:pic>
                    </a:graphicData>
                  </a:graphic>
                </wp:anchor>
              </w:drawing>
            </w:r>
            <w:r>
              <w:rPr>
                <w:bCs/>
                <w:szCs w:val="21"/>
              </w:rPr>
              <w:t>L－工业企业所需大气环境防护距离，m；</w:t>
            </w:r>
          </w:p>
          <w:p>
            <w:pPr>
              <w:spacing w:line="360" w:lineRule="auto"/>
              <w:ind w:firstLine="420" w:firstLineChars="200"/>
              <w:rPr>
                <w:bCs/>
                <w:szCs w:val="21"/>
              </w:rPr>
            </w:pPr>
            <w:r>
              <w:rPr>
                <w:bCs/>
                <w:szCs w:val="21"/>
              </w:rPr>
              <w:t>r－有害气体无组织排放源所在生产单元的等效半径</w:t>
            </w:r>
            <w:r>
              <w:rPr>
                <w:rFonts w:hint="eastAsia"/>
                <w:bCs/>
                <w:szCs w:val="21"/>
                <w:lang w:val="en-US" w:eastAsia="zh-CN"/>
              </w:rPr>
              <w:t>84</w:t>
            </w:r>
            <w:r>
              <w:rPr>
                <w:rFonts w:hint="eastAsia"/>
                <w:bCs/>
                <w:szCs w:val="21"/>
              </w:rPr>
              <w:t>m</w:t>
            </w:r>
            <w:r>
              <w:rPr>
                <w:bCs/>
                <w:szCs w:val="21"/>
              </w:rPr>
              <w:t>，</w:t>
            </w:r>
            <w:r>
              <w:rPr>
                <w:rFonts w:hint="eastAsia"/>
                <w:bCs/>
                <w:szCs w:val="21"/>
              </w:rPr>
              <w:t xml:space="preserve">         </w:t>
            </w:r>
            <w:r>
              <w:rPr>
                <w:bCs/>
                <w:szCs w:val="21"/>
              </w:rPr>
              <w:t xml:space="preserve">  ；</w:t>
            </w:r>
          </w:p>
          <w:p>
            <w:pPr>
              <w:spacing w:line="360" w:lineRule="auto"/>
              <w:ind w:firstLine="420" w:firstLineChars="200"/>
              <w:rPr>
                <w:bCs/>
                <w:szCs w:val="21"/>
              </w:rPr>
            </w:pPr>
            <w:r>
              <w:rPr>
                <w:bCs/>
                <w:szCs w:val="21"/>
              </w:rPr>
              <w:t>A、B、C、D－大气环境防护距离计算系数，无因次，根据所在地5年平均风速及工业企业大气污染源构成类别查取；</w:t>
            </w:r>
          </w:p>
          <w:p>
            <w:pPr>
              <w:spacing w:line="360" w:lineRule="auto"/>
              <w:ind w:firstLine="420" w:firstLineChars="200"/>
              <w:rPr>
                <w:bCs/>
                <w:szCs w:val="21"/>
              </w:rPr>
            </w:pPr>
            <w:r>
              <w:rPr>
                <w:bCs/>
                <w:szCs w:val="21"/>
              </w:rPr>
              <w:t>Q</w:t>
            </w:r>
            <w:r>
              <w:rPr>
                <w:bCs/>
                <w:szCs w:val="21"/>
                <w:vertAlign w:val="subscript"/>
              </w:rPr>
              <w:t>c</w:t>
            </w:r>
            <w:r>
              <w:rPr>
                <w:bCs/>
                <w:szCs w:val="21"/>
              </w:rPr>
              <w:t>－工业企业有害气体无组织排放量可达到的控制水平，kg/h。</w:t>
            </w:r>
          </w:p>
          <w:p>
            <w:pPr>
              <w:spacing w:line="360" w:lineRule="auto"/>
              <w:ind w:firstLine="420" w:firstLineChars="200"/>
              <w:rPr>
                <w:bCs/>
                <w:szCs w:val="21"/>
              </w:rPr>
            </w:pPr>
            <w:r>
              <w:rPr>
                <w:rFonts w:hint="eastAsia"/>
                <w:bCs/>
                <w:szCs w:val="21"/>
                <w:lang w:val="en-US" w:eastAsia="zh-CN"/>
              </w:rPr>
              <w:t>淮南</w:t>
            </w:r>
            <w:r>
              <w:rPr>
                <w:rFonts w:hint="eastAsia"/>
                <w:bCs/>
                <w:szCs w:val="21"/>
              </w:rPr>
              <w:t>市</w:t>
            </w:r>
            <w:r>
              <w:rPr>
                <w:bCs/>
                <w:szCs w:val="21"/>
              </w:rPr>
              <w:t>长期平均风速为</w:t>
            </w:r>
            <w:r>
              <w:rPr>
                <w:rFonts w:hint="eastAsia"/>
                <w:bCs/>
                <w:szCs w:val="21"/>
                <w:lang w:val="en-US" w:eastAsia="zh-CN"/>
              </w:rPr>
              <w:t>2.7</w:t>
            </w:r>
            <w:r>
              <w:rPr>
                <w:bCs/>
                <w:szCs w:val="21"/>
              </w:rPr>
              <w:t>m/s，A、B、C、D值的选取情况见表</w:t>
            </w:r>
            <w:r>
              <w:rPr>
                <w:rFonts w:hint="eastAsia"/>
                <w:bCs/>
                <w:szCs w:val="21"/>
              </w:rPr>
              <w:t>4-</w:t>
            </w:r>
            <w:r>
              <w:rPr>
                <w:rFonts w:hint="eastAsia"/>
                <w:bCs/>
                <w:szCs w:val="21"/>
                <w:lang w:val="en-US" w:eastAsia="zh-CN"/>
              </w:rPr>
              <w:t>5</w:t>
            </w:r>
            <w:r>
              <w:rPr>
                <w:bCs/>
                <w:szCs w:val="21"/>
              </w:rPr>
              <w:t>。</w:t>
            </w:r>
          </w:p>
          <w:p>
            <w:pPr>
              <w:pStyle w:val="14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lang w:val="en-US" w:eastAsia="zh-CN"/>
              </w:rPr>
            </w:pPr>
            <w:r>
              <w:rPr>
                <w:b/>
                <w:lang w:val="en-US" w:eastAsia="zh-CN"/>
              </w:rPr>
              <w:t>表</w:t>
            </w:r>
            <w:r>
              <w:rPr>
                <w:rFonts w:hint="eastAsia"/>
                <w:b/>
                <w:lang w:val="en-US" w:eastAsia="zh-CN"/>
              </w:rPr>
              <w:t>4-5</w:t>
            </w:r>
            <w:r>
              <w:rPr>
                <w:b/>
                <w:lang w:val="en-US" w:eastAsia="zh-CN"/>
              </w:rPr>
              <w:t xml:space="preserve"> </w:t>
            </w:r>
            <w:r>
              <w:rPr>
                <w:rFonts w:hint="eastAsia"/>
                <w:b/>
                <w:lang w:val="en-US" w:eastAsia="zh-CN"/>
              </w:rPr>
              <w:t xml:space="preserve"> </w:t>
            </w:r>
            <w:r>
              <w:rPr>
                <w:b/>
                <w:lang w:val="en-US" w:eastAsia="zh-CN"/>
              </w:rPr>
              <w:t>卫生防护距离初值计算系数</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495"/>
              <w:gridCol w:w="628"/>
              <w:gridCol w:w="752"/>
              <w:gridCol w:w="628"/>
              <w:gridCol w:w="633"/>
              <w:gridCol w:w="633"/>
              <w:gridCol w:w="633"/>
              <w:gridCol w:w="628"/>
              <w:gridCol w:w="628"/>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restart"/>
                  <w:noWrap w:val="0"/>
                  <w:vAlign w:val="center"/>
                </w:tcPr>
                <w:p>
                  <w:pPr>
                    <w:rPr>
                      <w:szCs w:val="21"/>
                    </w:rPr>
                  </w:pPr>
                  <w:r>
                    <w:rPr>
                      <w:szCs w:val="21"/>
                    </w:rPr>
                    <w:t>计算系数</w:t>
                  </w:r>
                </w:p>
              </w:tc>
              <w:tc>
                <w:tcPr>
                  <w:tcW w:w="1495" w:type="dxa"/>
                  <w:vMerge w:val="restart"/>
                  <w:noWrap w:val="0"/>
                  <w:vAlign w:val="center"/>
                </w:tcPr>
                <w:p>
                  <w:pPr>
                    <w:jc w:val="center"/>
                    <w:rPr>
                      <w:szCs w:val="21"/>
                    </w:rPr>
                  </w:pPr>
                  <w:r>
                    <w:rPr>
                      <w:szCs w:val="21"/>
                    </w:rPr>
                    <w:t>年平均风速</w:t>
                  </w:r>
                </w:p>
                <w:p>
                  <w:pPr>
                    <w:jc w:val="center"/>
                    <w:rPr>
                      <w:szCs w:val="21"/>
                    </w:rPr>
                  </w:pPr>
                  <w:r>
                    <w:rPr>
                      <w:szCs w:val="21"/>
                    </w:rPr>
                    <w:t>（m/s）</w:t>
                  </w:r>
                </w:p>
              </w:tc>
              <w:tc>
                <w:tcPr>
                  <w:tcW w:w="5787" w:type="dxa"/>
                  <w:gridSpan w:val="9"/>
                  <w:noWrap w:val="0"/>
                  <w:vAlign w:val="center"/>
                </w:tcPr>
                <w:p>
                  <w:pPr>
                    <w:jc w:val="center"/>
                    <w:rPr>
                      <w:szCs w:val="21"/>
                    </w:rPr>
                  </w:pPr>
                  <w:r>
                    <w:rPr>
                      <w:szCs w:val="21"/>
                    </w:rPr>
                    <w:t>卫生防护距离L（m）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continue"/>
                  <w:noWrap w:val="0"/>
                  <w:vAlign w:val="center"/>
                </w:tcPr>
                <w:p>
                  <w:pPr>
                    <w:jc w:val="center"/>
                    <w:rPr>
                      <w:szCs w:val="21"/>
                    </w:rPr>
                  </w:pPr>
                </w:p>
              </w:tc>
              <w:tc>
                <w:tcPr>
                  <w:tcW w:w="1495" w:type="dxa"/>
                  <w:vMerge w:val="continue"/>
                  <w:noWrap w:val="0"/>
                  <w:vAlign w:val="center"/>
                </w:tcPr>
                <w:p>
                  <w:pPr>
                    <w:jc w:val="center"/>
                    <w:rPr>
                      <w:szCs w:val="21"/>
                    </w:rPr>
                  </w:pPr>
                </w:p>
              </w:tc>
              <w:tc>
                <w:tcPr>
                  <w:tcW w:w="2008" w:type="dxa"/>
                  <w:gridSpan w:val="3"/>
                  <w:noWrap w:val="0"/>
                  <w:vAlign w:val="center"/>
                </w:tcPr>
                <w:p>
                  <w:pPr>
                    <w:jc w:val="center"/>
                    <w:rPr>
                      <w:szCs w:val="21"/>
                    </w:rPr>
                  </w:pPr>
                  <w:r>
                    <w:rPr>
                      <w:szCs w:val="21"/>
                    </w:rPr>
                    <w:t>L≤1000</w:t>
                  </w:r>
                </w:p>
              </w:tc>
              <w:tc>
                <w:tcPr>
                  <w:tcW w:w="1899" w:type="dxa"/>
                  <w:gridSpan w:val="3"/>
                  <w:noWrap w:val="0"/>
                  <w:vAlign w:val="center"/>
                </w:tcPr>
                <w:p>
                  <w:pPr>
                    <w:jc w:val="center"/>
                    <w:rPr>
                      <w:szCs w:val="21"/>
                    </w:rPr>
                  </w:pPr>
                  <w:r>
                    <w:rPr>
                      <w:szCs w:val="21"/>
                    </w:rPr>
                    <w:t>1000＜L≤2000</w:t>
                  </w:r>
                </w:p>
              </w:tc>
              <w:tc>
                <w:tcPr>
                  <w:tcW w:w="1880" w:type="dxa"/>
                  <w:gridSpan w:val="3"/>
                  <w:noWrap w:val="0"/>
                  <w:vAlign w:val="center"/>
                </w:tcPr>
                <w:p>
                  <w:pPr>
                    <w:jc w:val="center"/>
                    <w:rPr>
                      <w:szCs w:val="21"/>
                    </w:rPr>
                  </w:pPr>
                  <w:r>
                    <w:rPr>
                      <w:szCs w:val="21"/>
                    </w:rPr>
                    <w:t>L＞2000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continue"/>
                  <w:noWrap w:val="0"/>
                  <w:vAlign w:val="center"/>
                </w:tcPr>
                <w:p>
                  <w:pPr>
                    <w:jc w:val="center"/>
                    <w:rPr>
                      <w:szCs w:val="21"/>
                    </w:rPr>
                  </w:pPr>
                </w:p>
              </w:tc>
              <w:tc>
                <w:tcPr>
                  <w:tcW w:w="1495" w:type="dxa"/>
                  <w:vMerge w:val="continue"/>
                  <w:noWrap w:val="0"/>
                  <w:vAlign w:val="center"/>
                </w:tcPr>
                <w:p>
                  <w:pPr>
                    <w:jc w:val="center"/>
                    <w:rPr>
                      <w:szCs w:val="21"/>
                    </w:rPr>
                  </w:pPr>
                </w:p>
              </w:tc>
              <w:tc>
                <w:tcPr>
                  <w:tcW w:w="5787" w:type="dxa"/>
                  <w:gridSpan w:val="9"/>
                  <w:noWrap w:val="0"/>
                  <w:vAlign w:val="center"/>
                </w:tcPr>
                <w:p>
                  <w:pPr>
                    <w:jc w:val="center"/>
                    <w:rPr>
                      <w:szCs w:val="21"/>
                    </w:rPr>
                  </w:pPr>
                  <w:r>
                    <w:rPr>
                      <w:szCs w:val="21"/>
                    </w:rPr>
                    <w:t>工业污染源构成类别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continue"/>
                  <w:noWrap w:val="0"/>
                  <w:vAlign w:val="center"/>
                </w:tcPr>
                <w:p>
                  <w:pPr>
                    <w:jc w:val="center"/>
                    <w:rPr>
                      <w:szCs w:val="21"/>
                    </w:rPr>
                  </w:pPr>
                </w:p>
              </w:tc>
              <w:tc>
                <w:tcPr>
                  <w:tcW w:w="1495" w:type="dxa"/>
                  <w:vMerge w:val="continue"/>
                  <w:noWrap w:val="0"/>
                  <w:vAlign w:val="center"/>
                </w:tcPr>
                <w:p>
                  <w:pPr>
                    <w:jc w:val="center"/>
                    <w:rPr>
                      <w:szCs w:val="21"/>
                    </w:rPr>
                  </w:pPr>
                </w:p>
              </w:tc>
              <w:tc>
                <w:tcPr>
                  <w:tcW w:w="628" w:type="dxa"/>
                  <w:noWrap w:val="0"/>
                  <w:vAlign w:val="center"/>
                </w:tcPr>
                <w:p>
                  <w:pPr>
                    <w:jc w:val="center"/>
                    <w:rPr>
                      <w:szCs w:val="21"/>
                    </w:rPr>
                  </w:pPr>
                  <w:r>
                    <w:rPr>
                      <w:rFonts w:hint="eastAsia" w:ascii="宋体" w:hAnsi="宋体" w:cs="宋体"/>
                      <w:szCs w:val="21"/>
                    </w:rPr>
                    <w:t>Ⅰ</w:t>
                  </w:r>
                </w:p>
              </w:tc>
              <w:tc>
                <w:tcPr>
                  <w:tcW w:w="752" w:type="dxa"/>
                  <w:noWrap w:val="0"/>
                  <w:vAlign w:val="center"/>
                </w:tcPr>
                <w:p>
                  <w:pPr>
                    <w:jc w:val="center"/>
                    <w:rPr>
                      <w:szCs w:val="21"/>
                    </w:rPr>
                  </w:pPr>
                  <w:r>
                    <w:rPr>
                      <w:rFonts w:hint="eastAsia" w:ascii="宋体" w:hAnsi="宋体" w:cs="宋体"/>
                      <w:szCs w:val="21"/>
                    </w:rPr>
                    <w:t>Ⅱ</w:t>
                  </w:r>
                </w:p>
              </w:tc>
              <w:tc>
                <w:tcPr>
                  <w:tcW w:w="628" w:type="dxa"/>
                  <w:noWrap w:val="0"/>
                  <w:vAlign w:val="center"/>
                </w:tcPr>
                <w:p>
                  <w:pPr>
                    <w:jc w:val="center"/>
                    <w:rPr>
                      <w:szCs w:val="21"/>
                    </w:rPr>
                  </w:pPr>
                  <w:r>
                    <w:rPr>
                      <w:rFonts w:hint="eastAsia" w:ascii="宋体" w:hAnsi="宋体" w:cs="宋体"/>
                      <w:szCs w:val="21"/>
                    </w:rPr>
                    <w:t>Ⅲ</w:t>
                  </w:r>
                </w:p>
              </w:tc>
              <w:tc>
                <w:tcPr>
                  <w:tcW w:w="633" w:type="dxa"/>
                  <w:noWrap w:val="0"/>
                  <w:vAlign w:val="center"/>
                </w:tcPr>
                <w:p>
                  <w:pPr>
                    <w:jc w:val="center"/>
                    <w:rPr>
                      <w:szCs w:val="21"/>
                    </w:rPr>
                  </w:pPr>
                  <w:r>
                    <w:rPr>
                      <w:rFonts w:hint="eastAsia" w:ascii="宋体" w:hAnsi="宋体" w:cs="宋体"/>
                      <w:szCs w:val="21"/>
                    </w:rPr>
                    <w:t>Ⅰ</w:t>
                  </w:r>
                </w:p>
              </w:tc>
              <w:tc>
                <w:tcPr>
                  <w:tcW w:w="633" w:type="dxa"/>
                  <w:noWrap w:val="0"/>
                  <w:vAlign w:val="center"/>
                </w:tcPr>
                <w:p>
                  <w:pPr>
                    <w:jc w:val="center"/>
                    <w:rPr>
                      <w:szCs w:val="21"/>
                    </w:rPr>
                  </w:pPr>
                  <w:r>
                    <w:rPr>
                      <w:rFonts w:hint="eastAsia" w:ascii="宋体" w:hAnsi="宋体" w:cs="宋体"/>
                      <w:szCs w:val="21"/>
                    </w:rPr>
                    <w:t>Ⅱ</w:t>
                  </w:r>
                </w:p>
              </w:tc>
              <w:tc>
                <w:tcPr>
                  <w:tcW w:w="633" w:type="dxa"/>
                  <w:noWrap w:val="0"/>
                  <w:vAlign w:val="center"/>
                </w:tcPr>
                <w:p>
                  <w:pPr>
                    <w:jc w:val="center"/>
                    <w:rPr>
                      <w:szCs w:val="21"/>
                    </w:rPr>
                  </w:pPr>
                  <w:r>
                    <w:rPr>
                      <w:rFonts w:hint="eastAsia" w:ascii="宋体" w:hAnsi="宋体" w:cs="宋体"/>
                      <w:szCs w:val="21"/>
                    </w:rPr>
                    <w:t>Ⅲ</w:t>
                  </w:r>
                </w:p>
              </w:tc>
              <w:tc>
                <w:tcPr>
                  <w:tcW w:w="628" w:type="dxa"/>
                  <w:noWrap w:val="0"/>
                  <w:vAlign w:val="center"/>
                </w:tcPr>
                <w:p>
                  <w:pPr>
                    <w:jc w:val="center"/>
                    <w:rPr>
                      <w:szCs w:val="21"/>
                    </w:rPr>
                  </w:pPr>
                  <w:r>
                    <w:rPr>
                      <w:rFonts w:hint="eastAsia" w:ascii="宋体" w:hAnsi="宋体" w:cs="宋体"/>
                      <w:szCs w:val="21"/>
                    </w:rPr>
                    <w:t>Ⅰ</w:t>
                  </w:r>
                </w:p>
              </w:tc>
              <w:tc>
                <w:tcPr>
                  <w:tcW w:w="628" w:type="dxa"/>
                  <w:noWrap w:val="0"/>
                  <w:vAlign w:val="center"/>
                </w:tcPr>
                <w:p>
                  <w:pPr>
                    <w:jc w:val="center"/>
                    <w:rPr>
                      <w:szCs w:val="21"/>
                    </w:rPr>
                  </w:pPr>
                  <w:r>
                    <w:rPr>
                      <w:rFonts w:hint="eastAsia" w:ascii="宋体" w:hAnsi="宋体" w:cs="宋体"/>
                      <w:szCs w:val="21"/>
                    </w:rPr>
                    <w:t>Ⅱ</w:t>
                  </w:r>
                </w:p>
              </w:tc>
              <w:tc>
                <w:tcPr>
                  <w:tcW w:w="624" w:type="dxa"/>
                  <w:noWrap w:val="0"/>
                  <w:vAlign w:val="center"/>
                </w:tcPr>
                <w:p>
                  <w:pPr>
                    <w:jc w:val="center"/>
                    <w:rPr>
                      <w:szCs w:val="21"/>
                    </w:rPr>
                  </w:pPr>
                  <w:r>
                    <w:rPr>
                      <w:rFonts w:hint="eastAsia" w:ascii="宋体" w:hAnsi="宋体" w:cs="宋体"/>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restart"/>
                  <w:noWrap w:val="0"/>
                  <w:vAlign w:val="center"/>
                </w:tcPr>
                <w:p>
                  <w:pPr>
                    <w:jc w:val="center"/>
                    <w:rPr>
                      <w:szCs w:val="21"/>
                    </w:rPr>
                  </w:pPr>
                  <w:r>
                    <w:rPr>
                      <w:szCs w:val="21"/>
                    </w:rPr>
                    <w:t>A</w:t>
                  </w:r>
                </w:p>
              </w:tc>
              <w:tc>
                <w:tcPr>
                  <w:tcW w:w="1495" w:type="dxa"/>
                  <w:noWrap w:val="0"/>
                  <w:vAlign w:val="center"/>
                </w:tcPr>
                <w:p>
                  <w:pPr>
                    <w:jc w:val="center"/>
                    <w:rPr>
                      <w:szCs w:val="21"/>
                    </w:rPr>
                  </w:pPr>
                  <w:r>
                    <w:rPr>
                      <w:szCs w:val="21"/>
                    </w:rPr>
                    <w:t>＜2</w:t>
                  </w:r>
                </w:p>
              </w:tc>
              <w:tc>
                <w:tcPr>
                  <w:tcW w:w="628" w:type="dxa"/>
                  <w:noWrap w:val="0"/>
                  <w:vAlign w:val="center"/>
                </w:tcPr>
                <w:p>
                  <w:pPr>
                    <w:jc w:val="center"/>
                    <w:rPr>
                      <w:szCs w:val="21"/>
                    </w:rPr>
                  </w:pPr>
                  <w:r>
                    <w:rPr>
                      <w:szCs w:val="21"/>
                    </w:rPr>
                    <w:t>400</w:t>
                  </w:r>
                </w:p>
              </w:tc>
              <w:tc>
                <w:tcPr>
                  <w:tcW w:w="752" w:type="dxa"/>
                  <w:noWrap w:val="0"/>
                  <w:vAlign w:val="center"/>
                </w:tcPr>
                <w:p>
                  <w:pPr>
                    <w:jc w:val="center"/>
                    <w:rPr>
                      <w:szCs w:val="21"/>
                    </w:rPr>
                  </w:pPr>
                  <w:r>
                    <w:rPr>
                      <w:szCs w:val="21"/>
                    </w:rPr>
                    <w:t>400</w:t>
                  </w:r>
                </w:p>
              </w:tc>
              <w:tc>
                <w:tcPr>
                  <w:tcW w:w="628" w:type="dxa"/>
                  <w:noWrap w:val="0"/>
                  <w:vAlign w:val="center"/>
                </w:tcPr>
                <w:p>
                  <w:pPr>
                    <w:jc w:val="center"/>
                    <w:rPr>
                      <w:szCs w:val="21"/>
                    </w:rPr>
                  </w:pPr>
                  <w:r>
                    <w:rPr>
                      <w:szCs w:val="21"/>
                    </w:rPr>
                    <w:t>400</w:t>
                  </w:r>
                </w:p>
              </w:tc>
              <w:tc>
                <w:tcPr>
                  <w:tcW w:w="633" w:type="dxa"/>
                  <w:noWrap w:val="0"/>
                  <w:vAlign w:val="center"/>
                </w:tcPr>
                <w:p>
                  <w:pPr>
                    <w:jc w:val="center"/>
                    <w:rPr>
                      <w:szCs w:val="21"/>
                    </w:rPr>
                  </w:pPr>
                  <w:r>
                    <w:rPr>
                      <w:szCs w:val="21"/>
                    </w:rPr>
                    <w:t>400</w:t>
                  </w:r>
                </w:p>
              </w:tc>
              <w:tc>
                <w:tcPr>
                  <w:tcW w:w="633" w:type="dxa"/>
                  <w:noWrap w:val="0"/>
                  <w:vAlign w:val="center"/>
                </w:tcPr>
                <w:p>
                  <w:pPr>
                    <w:jc w:val="center"/>
                    <w:rPr>
                      <w:szCs w:val="21"/>
                    </w:rPr>
                  </w:pPr>
                  <w:r>
                    <w:rPr>
                      <w:szCs w:val="21"/>
                    </w:rPr>
                    <w:t>400</w:t>
                  </w:r>
                </w:p>
              </w:tc>
              <w:tc>
                <w:tcPr>
                  <w:tcW w:w="633" w:type="dxa"/>
                  <w:noWrap w:val="0"/>
                  <w:vAlign w:val="center"/>
                </w:tcPr>
                <w:p>
                  <w:pPr>
                    <w:jc w:val="center"/>
                    <w:rPr>
                      <w:szCs w:val="21"/>
                    </w:rPr>
                  </w:pPr>
                  <w:r>
                    <w:rPr>
                      <w:szCs w:val="21"/>
                    </w:rPr>
                    <w:t>400</w:t>
                  </w:r>
                </w:p>
              </w:tc>
              <w:tc>
                <w:tcPr>
                  <w:tcW w:w="628" w:type="dxa"/>
                  <w:noWrap w:val="0"/>
                  <w:vAlign w:val="center"/>
                </w:tcPr>
                <w:p>
                  <w:pPr>
                    <w:jc w:val="center"/>
                    <w:rPr>
                      <w:szCs w:val="21"/>
                    </w:rPr>
                  </w:pPr>
                  <w:r>
                    <w:rPr>
                      <w:szCs w:val="21"/>
                    </w:rPr>
                    <w:t>80</w:t>
                  </w:r>
                </w:p>
              </w:tc>
              <w:tc>
                <w:tcPr>
                  <w:tcW w:w="628" w:type="dxa"/>
                  <w:noWrap w:val="0"/>
                  <w:vAlign w:val="center"/>
                </w:tcPr>
                <w:p>
                  <w:pPr>
                    <w:jc w:val="center"/>
                    <w:rPr>
                      <w:szCs w:val="21"/>
                    </w:rPr>
                  </w:pPr>
                  <w:r>
                    <w:rPr>
                      <w:szCs w:val="21"/>
                    </w:rPr>
                    <w:t>80</w:t>
                  </w:r>
                </w:p>
              </w:tc>
              <w:tc>
                <w:tcPr>
                  <w:tcW w:w="624" w:type="dxa"/>
                  <w:noWrap w:val="0"/>
                  <w:vAlign w:val="center"/>
                </w:tcPr>
                <w:p>
                  <w:pPr>
                    <w:jc w:val="center"/>
                    <w:rPr>
                      <w:szCs w:val="21"/>
                    </w:rPr>
                  </w:pPr>
                  <w:r>
                    <w:rPr>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continue"/>
                  <w:noWrap w:val="0"/>
                  <w:vAlign w:val="center"/>
                </w:tcPr>
                <w:p>
                  <w:pPr>
                    <w:jc w:val="center"/>
                    <w:rPr>
                      <w:szCs w:val="21"/>
                    </w:rPr>
                  </w:pPr>
                </w:p>
              </w:tc>
              <w:tc>
                <w:tcPr>
                  <w:tcW w:w="1495" w:type="dxa"/>
                  <w:noWrap w:val="0"/>
                  <w:vAlign w:val="center"/>
                </w:tcPr>
                <w:p>
                  <w:pPr>
                    <w:jc w:val="center"/>
                    <w:rPr>
                      <w:szCs w:val="21"/>
                    </w:rPr>
                  </w:pPr>
                  <w:r>
                    <w:rPr>
                      <w:szCs w:val="21"/>
                    </w:rPr>
                    <w:t>2~4</w:t>
                  </w:r>
                </w:p>
              </w:tc>
              <w:tc>
                <w:tcPr>
                  <w:tcW w:w="628" w:type="dxa"/>
                  <w:noWrap w:val="0"/>
                  <w:vAlign w:val="center"/>
                </w:tcPr>
                <w:p>
                  <w:pPr>
                    <w:jc w:val="center"/>
                    <w:rPr>
                      <w:szCs w:val="21"/>
                    </w:rPr>
                  </w:pPr>
                  <w:r>
                    <w:rPr>
                      <w:szCs w:val="21"/>
                    </w:rPr>
                    <w:t>700</w:t>
                  </w:r>
                </w:p>
              </w:tc>
              <w:tc>
                <w:tcPr>
                  <w:tcW w:w="752" w:type="dxa"/>
                  <w:noWrap w:val="0"/>
                  <w:vAlign w:val="center"/>
                </w:tcPr>
                <w:p>
                  <w:pPr>
                    <w:jc w:val="center"/>
                    <w:rPr>
                      <w:szCs w:val="21"/>
                    </w:rPr>
                  </w:pPr>
                  <w:r>
                    <w:rPr>
                      <w:szCs w:val="21"/>
                    </w:rPr>
                    <w:t>470*</w:t>
                  </w:r>
                </w:p>
              </w:tc>
              <w:tc>
                <w:tcPr>
                  <w:tcW w:w="628" w:type="dxa"/>
                  <w:noWrap w:val="0"/>
                  <w:vAlign w:val="center"/>
                </w:tcPr>
                <w:p>
                  <w:pPr>
                    <w:jc w:val="center"/>
                    <w:rPr>
                      <w:szCs w:val="21"/>
                    </w:rPr>
                  </w:pPr>
                  <w:r>
                    <w:rPr>
                      <w:szCs w:val="21"/>
                    </w:rPr>
                    <w:t>350</w:t>
                  </w:r>
                </w:p>
              </w:tc>
              <w:tc>
                <w:tcPr>
                  <w:tcW w:w="633" w:type="dxa"/>
                  <w:noWrap w:val="0"/>
                  <w:vAlign w:val="center"/>
                </w:tcPr>
                <w:p>
                  <w:pPr>
                    <w:jc w:val="center"/>
                    <w:rPr>
                      <w:szCs w:val="21"/>
                    </w:rPr>
                  </w:pPr>
                  <w:r>
                    <w:rPr>
                      <w:szCs w:val="21"/>
                    </w:rPr>
                    <w:t>700</w:t>
                  </w:r>
                </w:p>
              </w:tc>
              <w:tc>
                <w:tcPr>
                  <w:tcW w:w="633" w:type="dxa"/>
                  <w:noWrap w:val="0"/>
                  <w:vAlign w:val="center"/>
                </w:tcPr>
                <w:p>
                  <w:pPr>
                    <w:jc w:val="center"/>
                    <w:rPr>
                      <w:szCs w:val="21"/>
                    </w:rPr>
                  </w:pPr>
                  <w:r>
                    <w:rPr>
                      <w:szCs w:val="21"/>
                    </w:rPr>
                    <w:t>470</w:t>
                  </w:r>
                </w:p>
              </w:tc>
              <w:tc>
                <w:tcPr>
                  <w:tcW w:w="633" w:type="dxa"/>
                  <w:noWrap w:val="0"/>
                  <w:vAlign w:val="center"/>
                </w:tcPr>
                <w:p>
                  <w:pPr>
                    <w:jc w:val="center"/>
                    <w:rPr>
                      <w:szCs w:val="21"/>
                    </w:rPr>
                  </w:pPr>
                  <w:r>
                    <w:rPr>
                      <w:szCs w:val="21"/>
                    </w:rPr>
                    <w:t>350</w:t>
                  </w:r>
                </w:p>
              </w:tc>
              <w:tc>
                <w:tcPr>
                  <w:tcW w:w="628" w:type="dxa"/>
                  <w:noWrap w:val="0"/>
                  <w:vAlign w:val="center"/>
                </w:tcPr>
                <w:p>
                  <w:pPr>
                    <w:jc w:val="center"/>
                    <w:rPr>
                      <w:szCs w:val="21"/>
                    </w:rPr>
                  </w:pPr>
                  <w:r>
                    <w:rPr>
                      <w:szCs w:val="21"/>
                    </w:rPr>
                    <w:t>380</w:t>
                  </w:r>
                </w:p>
              </w:tc>
              <w:tc>
                <w:tcPr>
                  <w:tcW w:w="628" w:type="dxa"/>
                  <w:noWrap w:val="0"/>
                  <w:vAlign w:val="center"/>
                </w:tcPr>
                <w:p>
                  <w:pPr>
                    <w:jc w:val="center"/>
                    <w:rPr>
                      <w:szCs w:val="21"/>
                    </w:rPr>
                  </w:pPr>
                  <w:r>
                    <w:rPr>
                      <w:szCs w:val="21"/>
                    </w:rPr>
                    <w:t>250</w:t>
                  </w:r>
                </w:p>
              </w:tc>
              <w:tc>
                <w:tcPr>
                  <w:tcW w:w="624" w:type="dxa"/>
                  <w:noWrap w:val="0"/>
                  <w:vAlign w:val="center"/>
                </w:tcPr>
                <w:p>
                  <w:pPr>
                    <w:jc w:val="center"/>
                    <w:rPr>
                      <w:szCs w:val="21"/>
                    </w:rPr>
                  </w:pPr>
                  <w:r>
                    <w:rPr>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continue"/>
                  <w:noWrap w:val="0"/>
                  <w:vAlign w:val="center"/>
                </w:tcPr>
                <w:p>
                  <w:pPr>
                    <w:jc w:val="center"/>
                    <w:rPr>
                      <w:szCs w:val="21"/>
                    </w:rPr>
                  </w:pPr>
                </w:p>
              </w:tc>
              <w:tc>
                <w:tcPr>
                  <w:tcW w:w="1495" w:type="dxa"/>
                  <w:noWrap w:val="0"/>
                  <w:vAlign w:val="center"/>
                </w:tcPr>
                <w:p>
                  <w:pPr>
                    <w:jc w:val="center"/>
                    <w:rPr>
                      <w:szCs w:val="21"/>
                    </w:rPr>
                  </w:pPr>
                  <w:r>
                    <w:rPr>
                      <w:szCs w:val="21"/>
                    </w:rPr>
                    <w:t>＞4</w:t>
                  </w:r>
                </w:p>
              </w:tc>
              <w:tc>
                <w:tcPr>
                  <w:tcW w:w="628" w:type="dxa"/>
                  <w:noWrap w:val="0"/>
                  <w:vAlign w:val="center"/>
                </w:tcPr>
                <w:p>
                  <w:pPr>
                    <w:jc w:val="center"/>
                    <w:rPr>
                      <w:szCs w:val="21"/>
                    </w:rPr>
                  </w:pPr>
                  <w:r>
                    <w:rPr>
                      <w:szCs w:val="21"/>
                    </w:rPr>
                    <w:t>530</w:t>
                  </w:r>
                </w:p>
              </w:tc>
              <w:tc>
                <w:tcPr>
                  <w:tcW w:w="752" w:type="dxa"/>
                  <w:noWrap w:val="0"/>
                  <w:vAlign w:val="center"/>
                </w:tcPr>
                <w:p>
                  <w:pPr>
                    <w:jc w:val="center"/>
                    <w:rPr>
                      <w:szCs w:val="21"/>
                    </w:rPr>
                  </w:pPr>
                  <w:r>
                    <w:rPr>
                      <w:szCs w:val="21"/>
                    </w:rPr>
                    <w:t>350</w:t>
                  </w:r>
                </w:p>
              </w:tc>
              <w:tc>
                <w:tcPr>
                  <w:tcW w:w="628" w:type="dxa"/>
                  <w:noWrap w:val="0"/>
                  <w:vAlign w:val="center"/>
                </w:tcPr>
                <w:p>
                  <w:pPr>
                    <w:jc w:val="center"/>
                    <w:rPr>
                      <w:szCs w:val="21"/>
                    </w:rPr>
                  </w:pPr>
                  <w:r>
                    <w:rPr>
                      <w:szCs w:val="21"/>
                    </w:rPr>
                    <w:t>260</w:t>
                  </w:r>
                </w:p>
              </w:tc>
              <w:tc>
                <w:tcPr>
                  <w:tcW w:w="633" w:type="dxa"/>
                  <w:noWrap w:val="0"/>
                  <w:vAlign w:val="center"/>
                </w:tcPr>
                <w:p>
                  <w:pPr>
                    <w:jc w:val="center"/>
                    <w:rPr>
                      <w:szCs w:val="21"/>
                    </w:rPr>
                  </w:pPr>
                  <w:r>
                    <w:rPr>
                      <w:szCs w:val="21"/>
                    </w:rPr>
                    <w:t>530</w:t>
                  </w:r>
                </w:p>
              </w:tc>
              <w:tc>
                <w:tcPr>
                  <w:tcW w:w="633" w:type="dxa"/>
                  <w:noWrap w:val="0"/>
                  <w:vAlign w:val="center"/>
                </w:tcPr>
                <w:p>
                  <w:pPr>
                    <w:jc w:val="center"/>
                    <w:rPr>
                      <w:szCs w:val="21"/>
                    </w:rPr>
                  </w:pPr>
                  <w:r>
                    <w:rPr>
                      <w:szCs w:val="21"/>
                    </w:rPr>
                    <w:t>350</w:t>
                  </w:r>
                </w:p>
              </w:tc>
              <w:tc>
                <w:tcPr>
                  <w:tcW w:w="633" w:type="dxa"/>
                  <w:noWrap w:val="0"/>
                  <w:vAlign w:val="center"/>
                </w:tcPr>
                <w:p>
                  <w:pPr>
                    <w:jc w:val="center"/>
                    <w:rPr>
                      <w:szCs w:val="21"/>
                    </w:rPr>
                  </w:pPr>
                  <w:r>
                    <w:rPr>
                      <w:szCs w:val="21"/>
                    </w:rPr>
                    <w:t>260</w:t>
                  </w:r>
                </w:p>
              </w:tc>
              <w:tc>
                <w:tcPr>
                  <w:tcW w:w="628" w:type="dxa"/>
                  <w:noWrap w:val="0"/>
                  <w:vAlign w:val="center"/>
                </w:tcPr>
                <w:p>
                  <w:pPr>
                    <w:jc w:val="center"/>
                    <w:rPr>
                      <w:szCs w:val="21"/>
                    </w:rPr>
                  </w:pPr>
                  <w:r>
                    <w:rPr>
                      <w:szCs w:val="21"/>
                    </w:rPr>
                    <w:t>290</w:t>
                  </w:r>
                </w:p>
              </w:tc>
              <w:tc>
                <w:tcPr>
                  <w:tcW w:w="628" w:type="dxa"/>
                  <w:noWrap w:val="0"/>
                  <w:vAlign w:val="center"/>
                </w:tcPr>
                <w:p>
                  <w:pPr>
                    <w:jc w:val="center"/>
                    <w:rPr>
                      <w:szCs w:val="21"/>
                    </w:rPr>
                  </w:pPr>
                  <w:r>
                    <w:rPr>
                      <w:szCs w:val="21"/>
                    </w:rPr>
                    <w:t>190</w:t>
                  </w:r>
                </w:p>
              </w:tc>
              <w:tc>
                <w:tcPr>
                  <w:tcW w:w="624" w:type="dxa"/>
                  <w:noWrap w:val="0"/>
                  <w:vAlign w:val="center"/>
                </w:tcPr>
                <w:p>
                  <w:pPr>
                    <w:jc w:val="center"/>
                    <w:rPr>
                      <w:szCs w:val="21"/>
                    </w:rPr>
                  </w:pPr>
                  <w:r>
                    <w:rPr>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restart"/>
                  <w:noWrap w:val="0"/>
                  <w:vAlign w:val="center"/>
                </w:tcPr>
                <w:p>
                  <w:pPr>
                    <w:jc w:val="center"/>
                    <w:rPr>
                      <w:szCs w:val="21"/>
                    </w:rPr>
                  </w:pPr>
                  <w:r>
                    <w:rPr>
                      <w:szCs w:val="21"/>
                    </w:rPr>
                    <w:t>B</w:t>
                  </w:r>
                </w:p>
              </w:tc>
              <w:tc>
                <w:tcPr>
                  <w:tcW w:w="1495" w:type="dxa"/>
                  <w:noWrap w:val="0"/>
                  <w:vAlign w:val="center"/>
                </w:tcPr>
                <w:p>
                  <w:pPr>
                    <w:jc w:val="center"/>
                    <w:rPr>
                      <w:szCs w:val="21"/>
                    </w:rPr>
                  </w:pPr>
                  <w:r>
                    <w:rPr>
                      <w:szCs w:val="21"/>
                    </w:rPr>
                    <w:t>＜2</w:t>
                  </w:r>
                </w:p>
              </w:tc>
              <w:tc>
                <w:tcPr>
                  <w:tcW w:w="2008" w:type="dxa"/>
                  <w:gridSpan w:val="3"/>
                  <w:noWrap w:val="0"/>
                  <w:vAlign w:val="center"/>
                </w:tcPr>
                <w:p>
                  <w:pPr>
                    <w:jc w:val="center"/>
                    <w:rPr>
                      <w:szCs w:val="21"/>
                    </w:rPr>
                  </w:pPr>
                  <w:r>
                    <w:rPr>
                      <w:szCs w:val="21"/>
                    </w:rPr>
                    <w:t>0.01</w:t>
                  </w:r>
                </w:p>
              </w:tc>
              <w:tc>
                <w:tcPr>
                  <w:tcW w:w="1899" w:type="dxa"/>
                  <w:gridSpan w:val="3"/>
                  <w:noWrap w:val="0"/>
                  <w:vAlign w:val="center"/>
                </w:tcPr>
                <w:p>
                  <w:pPr>
                    <w:jc w:val="center"/>
                    <w:rPr>
                      <w:szCs w:val="21"/>
                    </w:rPr>
                  </w:pPr>
                  <w:r>
                    <w:rPr>
                      <w:szCs w:val="21"/>
                    </w:rPr>
                    <w:t>0.015</w:t>
                  </w:r>
                </w:p>
              </w:tc>
              <w:tc>
                <w:tcPr>
                  <w:tcW w:w="1880" w:type="dxa"/>
                  <w:gridSpan w:val="3"/>
                  <w:noWrap w:val="0"/>
                  <w:vAlign w:val="center"/>
                </w:tcPr>
                <w:p>
                  <w:pPr>
                    <w:jc w:val="center"/>
                    <w:rPr>
                      <w:szCs w:val="21"/>
                    </w:rPr>
                  </w:pPr>
                  <w:r>
                    <w:rPr>
                      <w:szCs w:val="21"/>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continue"/>
                  <w:noWrap w:val="0"/>
                  <w:vAlign w:val="center"/>
                </w:tcPr>
                <w:p>
                  <w:pPr>
                    <w:jc w:val="center"/>
                    <w:rPr>
                      <w:szCs w:val="21"/>
                    </w:rPr>
                  </w:pPr>
                </w:p>
              </w:tc>
              <w:tc>
                <w:tcPr>
                  <w:tcW w:w="1495" w:type="dxa"/>
                  <w:noWrap w:val="0"/>
                  <w:vAlign w:val="center"/>
                </w:tcPr>
                <w:p>
                  <w:pPr>
                    <w:jc w:val="center"/>
                    <w:rPr>
                      <w:szCs w:val="21"/>
                    </w:rPr>
                  </w:pPr>
                  <w:r>
                    <w:rPr>
                      <w:szCs w:val="21"/>
                    </w:rPr>
                    <w:t>＞2</w:t>
                  </w:r>
                </w:p>
              </w:tc>
              <w:tc>
                <w:tcPr>
                  <w:tcW w:w="2008" w:type="dxa"/>
                  <w:gridSpan w:val="3"/>
                  <w:noWrap w:val="0"/>
                  <w:vAlign w:val="center"/>
                </w:tcPr>
                <w:p>
                  <w:pPr>
                    <w:jc w:val="center"/>
                    <w:rPr>
                      <w:szCs w:val="21"/>
                    </w:rPr>
                  </w:pPr>
                  <w:r>
                    <w:rPr>
                      <w:szCs w:val="21"/>
                    </w:rPr>
                    <w:t>0.021*</w:t>
                  </w:r>
                </w:p>
              </w:tc>
              <w:tc>
                <w:tcPr>
                  <w:tcW w:w="1899" w:type="dxa"/>
                  <w:gridSpan w:val="3"/>
                  <w:noWrap w:val="0"/>
                  <w:vAlign w:val="center"/>
                </w:tcPr>
                <w:p>
                  <w:pPr>
                    <w:jc w:val="center"/>
                    <w:rPr>
                      <w:szCs w:val="21"/>
                    </w:rPr>
                  </w:pPr>
                  <w:r>
                    <w:rPr>
                      <w:szCs w:val="21"/>
                    </w:rPr>
                    <w:t>0.036</w:t>
                  </w:r>
                </w:p>
              </w:tc>
              <w:tc>
                <w:tcPr>
                  <w:tcW w:w="1880" w:type="dxa"/>
                  <w:gridSpan w:val="3"/>
                  <w:noWrap w:val="0"/>
                  <w:vAlign w:val="center"/>
                </w:tcPr>
                <w:p>
                  <w:pPr>
                    <w:jc w:val="center"/>
                    <w:rPr>
                      <w:szCs w:val="21"/>
                    </w:rPr>
                  </w:pPr>
                  <w:r>
                    <w:rPr>
                      <w:szCs w:val="21"/>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restart"/>
                  <w:noWrap w:val="0"/>
                  <w:vAlign w:val="center"/>
                </w:tcPr>
                <w:p>
                  <w:pPr>
                    <w:jc w:val="center"/>
                    <w:rPr>
                      <w:szCs w:val="21"/>
                    </w:rPr>
                  </w:pPr>
                  <w:r>
                    <w:rPr>
                      <w:szCs w:val="21"/>
                    </w:rPr>
                    <w:t>C</w:t>
                  </w:r>
                </w:p>
              </w:tc>
              <w:tc>
                <w:tcPr>
                  <w:tcW w:w="1495" w:type="dxa"/>
                  <w:noWrap w:val="0"/>
                  <w:vAlign w:val="center"/>
                </w:tcPr>
                <w:p>
                  <w:pPr>
                    <w:jc w:val="center"/>
                    <w:rPr>
                      <w:szCs w:val="21"/>
                    </w:rPr>
                  </w:pPr>
                  <w:r>
                    <w:rPr>
                      <w:szCs w:val="21"/>
                    </w:rPr>
                    <w:t>＜2</w:t>
                  </w:r>
                </w:p>
              </w:tc>
              <w:tc>
                <w:tcPr>
                  <w:tcW w:w="2008" w:type="dxa"/>
                  <w:gridSpan w:val="3"/>
                  <w:noWrap w:val="0"/>
                  <w:vAlign w:val="center"/>
                </w:tcPr>
                <w:p>
                  <w:pPr>
                    <w:jc w:val="center"/>
                    <w:rPr>
                      <w:szCs w:val="21"/>
                    </w:rPr>
                  </w:pPr>
                  <w:r>
                    <w:rPr>
                      <w:szCs w:val="21"/>
                    </w:rPr>
                    <w:t>1.85</w:t>
                  </w:r>
                </w:p>
              </w:tc>
              <w:tc>
                <w:tcPr>
                  <w:tcW w:w="1899" w:type="dxa"/>
                  <w:gridSpan w:val="3"/>
                  <w:noWrap w:val="0"/>
                  <w:vAlign w:val="center"/>
                </w:tcPr>
                <w:p>
                  <w:pPr>
                    <w:jc w:val="center"/>
                    <w:rPr>
                      <w:szCs w:val="21"/>
                    </w:rPr>
                  </w:pPr>
                  <w:r>
                    <w:rPr>
                      <w:szCs w:val="21"/>
                    </w:rPr>
                    <w:t>1.79</w:t>
                  </w:r>
                </w:p>
              </w:tc>
              <w:tc>
                <w:tcPr>
                  <w:tcW w:w="1880" w:type="dxa"/>
                  <w:gridSpan w:val="3"/>
                  <w:noWrap w:val="0"/>
                  <w:vAlign w:val="center"/>
                </w:tcPr>
                <w:p>
                  <w:pPr>
                    <w:jc w:val="center"/>
                    <w:rPr>
                      <w:szCs w:val="21"/>
                    </w:rPr>
                  </w:pPr>
                  <w:r>
                    <w:rPr>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continue"/>
                  <w:noWrap w:val="0"/>
                  <w:vAlign w:val="center"/>
                </w:tcPr>
                <w:p>
                  <w:pPr>
                    <w:jc w:val="center"/>
                    <w:rPr>
                      <w:szCs w:val="21"/>
                    </w:rPr>
                  </w:pPr>
                </w:p>
              </w:tc>
              <w:tc>
                <w:tcPr>
                  <w:tcW w:w="1495" w:type="dxa"/>
                  <w:noWrap w:val="0"/>
                  <w:vAlign w:val="center"/>
                </w:tcPr>
                <w:p>
                  <w:pPr>
                    <w:jc w:val="center"/>
                    <w:rPr>
                      <w:szCs w:val="21"/>
                    </w:rPr>
                  </w:pPr>
                  <w:r>
                    <w:rPr>
                      <w:szCs w:val="21"/>
                    </w:rPr>
                    <w:t>＞2</w:t>
                  </w:r>
                </w:p>
              </w:tc>
              <w:tc>
                <w:tcPr>
                  <w:tcW w:w="2008" w:type="dxa"/>
                  <w:gridSpan w:val="3"/>
                  <w:noWrap w:val="0"/>
                  <w:vAlign w:val="center"/>
                </w:tcPr>
                <w:p>
                  <w:pPr>
                    <w:jc w:val="center"/>
                    <w:rPr>
                      <w:szCs w:val="21"/>
                    </w:rPr>
                  </w:pPr>
                  <w:r>
                    <w:rPr>
                      <w:szCs w:val="21"/>
                    </w:rPr>
                    <w:t>1.85*</w:t>
                  </w:r>
                </w:p>
              </w:tc>
              <w:tc>
                <w:tcPr>
                  <w:tcW w:w="1899" w:type="dxa"/>
                  <w:gridSpan w:val="3"/>
                  <w:noWrap w:val="0"/>
                  <w:vAlign w:val="center"/>
                </w:tcPr>
                <w:p>
                  <w:pPr>
                    <w:jc w:val="center"/>
                    <w:rPr>
                      <w:szCs w:val="21"/>
                    </w:rPr>
                  </w:pPr>
                  <w:r>
                    <w:rPr>
                      <w:szCs w:val="21"/>
                    </w:rPr>
                    <w:t>1.77</w:t>
                  </w:r>
                </w:p>
              </w:tc>
              <w:tc>
                <w:tcPr>
                  <w:tcW w:w="1880" w:type="dxa"/>
                  <w:gridSpan w:val="3"/>
                  <w:noWrap w:val="0"/>
                  <w:vAlign w:val="center"/>
                </w:tcPr>
                <w:p>
                  <w:pPr>
                    <w:jc w:val="center"/>
                    <w:rPr>
                      <w:szCs w:val="21"/>
                    </w:rPr>
                  </w:pPr>
                  <w:r>
                    <w:rPr>
                      <w:szCs w:val="21"/>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restart"/>
                  <w:noWrap w:val="0"/>
                  <w:vAlign w:val="center"/>
                </w:tcPr>
                <w:p>
                  <w:pPr>
                    <w:jc w:val="center"/>
                    <w:rPr>
                      <w:szCs w:val="21"/>
                    </w:rPr>
                  </w:pPr>
                  <w:r>
                    <w:rPr>
                      <w:szCs w:val="21"/>
                    </w:rPr>
                    <w:t>D</w:t>
                  </w:r>
                </w:p>
              </w:tc>
              <w:tc>
                <w:tcPr>
                  <w:tcW w:w="1495" w:type="dxa"/>
                  <w:noWrap w:val="0"/>
                  <w:vAlign w:val="center"/>
                </w:tcPr>
                <w:p>
                  <w:pPr>
                    <w:jc w:val="center"/>
                    <w:rPr>
                      <w:szCs w:val="21"/>
                    </w:rPr>
                  </w:pPr>
                  <w:r>
                    <w:rPr>
                      <w:szCs w:val="21"/>
                    </w:rPr>
                    <w:t>＜2</w:t>
                  </w:r>
                </w:p>
              </w:tc>
              <w:tc>
                <w:tcPr>
                  <w:tcW w:w="2008" w:type="dxa"/>
                  <w:gridSpan w:val="3"/>
                  <w:noWrap w:val="0"/>
                  <w:vAlign w:val="center"/>
                </w:tcPr>
                <w:p>
                  <w:pPr>
                    <w:jc w:val="center"/>
                    <w:rPr>
                      <w:szCs w:val="21"/>
                    </w:rPr>
                  </w:pPr>
                  <w:r>
                    <w:rPr>
                      <w:szCs w:val="21"/>
                    </w:rPr>
                    <w:t>0.78</w:t>
                  </w:r>
                </w:p>
              </w:tc>
              <w:tc>
                <w:tcPr>
                  <w:tcW w:w="1899" w:type="dxa"/>
                  <w:gridSpan w:val="3"/>
                  <w:noWrap w:val="0"/>
                  <w:vAlign w:val="center"/>
                </w:tcPr>
                <w:p>
                  <w:pPr>
                    <w:jc w:val="center"/>
                    <w:rPr>
                      <w:szCs w:val="21"/>
                    </w:rPr>
                  </w:pPr>
                  <w:r>
                    <w:rPr>
                      <w:szCs w:val="21"/>
                    </w:rPr>
                    <w:t>0.78</w:t>
                  </w:r>
                </w:p>
              </w:tc>
              <w:tc>
                <w:tcPr>
                  <w:tcW w:w="1880" w:type="dxa"/>
                  <w:gridSpan w:val="3"/>
                  <w:noWrap w:val="0"/>
                  <w:vAlign w:val="center"/>
                </w:tcPr>
                <w:p>
                  <w:pPr>
                    <w:jc w:val="center"/>
                    <w:rPr>
                      <w:szCs w:val="21"/>
                    </w:rPr>
                  </w:pPr>
                  <w:r>
                    <w:rPr>
                      <w:szCs w:val="21"/>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vMerge w:val="continue"/>
                  <w:noWrap w:val="0"/>
                  <w:vAlign w:val="center"/>
                </w:tcPr>
                <w:p>
                  <w:pPr>
                    <w:jc w:val="center"/>
                    <w:rPr>
                      <w:szCs w:val="21"/>
                    </w:rPr>
                  </w:pPr>
                </w:p>
              </w:tc>
              <w:tc>
                <w:tcPr>
                  <w:tcW w:w="1495" w:type="dxa"/>
                  <w:noWrap w:val="0"/>
                  <w:vAlign w:val="center"/>
                </w:tcPr>
                <w:p>
                  <w:pPr>
                    <w:jc w:val="center"/>
                    <w:rPr>
                      <w:szCs w:val="21"/>
                    </w:rPr>
                  </w:pPr>
                  <w:r>
                    <w:rPr>
                      <w:szCs w:val="21"/>
                    </w:rPr>
                    <w:t>＞2</w:t>
                  </w:r>
                </w:p>
              </w:tc>
              <w:tc>
                <w:tcPr>
                  <w:tcW w:w="2008" w:type="dxa"/>
                  <w:gridSpan w:val="3"/>
                  <w:noWrap w:val="0"/>
                  <w:vAlign w:val="center"/>
                </w:tcPr>
                <w:p>
                  <w:pPr>
                    <w:jc w:val="center"/>
                    <w:rPr>
                      <w:szCs w:val="21"/>
                    </w:rPr>
                  </w:pPr>
                  <w:r>
                    <w:rPr>
                      <w:szCs w:val="21"/>
                    </w:rPr>
                    <w:t>0.84*</w:t>
                  </w:r>
                </w:p>
              </w:tc>
              <w:tc>
                <w:tcPr>
                  <w:tcW w:w="1899" w:type="dxa"/>
                  <w:gridSpan w:val="3"/>
                  <w:noWrap w:val="0"/>
                  <w:vAlign w:val="center"/>
                </w:tcPr>
                <w:p>
                  <w:pPr>
                    <w:jc w:val="center"/>
                    <w:rPr>
                      <w:szCs w:val="21"/>
                    </w:rPr>
                  </w:pPr>
                  <w:r>
                    <w:rPr>
                      <w:szCs w:val="21"/>
                    </w:rPr>
                    <w:t>0.84</w:t>
                  </w:r>
                </w:p>
              </w:tc>
              <w:tc>
                <w:tcPr>
                  <w:tcW w:w="1880" w:type="dxa"/>
                  <w:gridSpan w:val="3"/>
                  <w:noWrap w:val="0"/>
                  <w:vAlign w:val="center"/>
                </w:tcPr>
                <w:p>
                  <w:pPr>
                    <w:jc w:val="center"/>
                    <w:rPr>
                      <w:szCs w:val="21"/>
                    </w:rPr>
                  </w:pPr>
                  <w:r>
                    <w:rPr>
                      <w:szCs w:val="21"/>
                    </w:rPr>
                    <w:t>0.76</w:t>
                  </w:r>
                </w:p>
              </w:tc>
            </w:tr>
          </w:tbl>
          <w:p>
            <w:pPr>
              <w:spacing w:line="360" w:lineRule="auto"/>
              <w:ind w:firstLine="480" w:firstLineChars="200"/>
              <w:rPr>
                <w:sz w:val="24"/>
                <w:szCs w:val="21"/>
              </w:rPr>
            </w:pPr>
            <w:r>
              <w:rPr>
                <w:sz w:val="24"/>
                <w:szCs w:val="21"/>
              </w:rPr>
              <w:t>注：“*”表示本项目选用参数。</w:t>
            </w:r>
          </w:p>
          <w:p>
            <w:pPr>
              <w:spacing w:line="360" w:lineRule="auto"/>
              <w:ind w:firstLine="420" w:firstLineChars="200"/>
              <w:rPr>
                <w:rFonts w:hint="eastAsia"/>
                <w:snapToGrid w:val="0"/>
                <w:szCs w:val="21"/>
              </w:rPr>
            </w:pPr>
            <w:r>
              <w:rPr>
                <w:snapToGrid w:val="0"/>
                <w:szCs w:val="21"/>
              </w:rPr>
              <w:t>根据项目废气污染物排放特征及其有害性，本评价选择粉尘、非甲烷总烃无组织排放的量进行计算。项目区长期平均风速为</w:t>
            </w:r>
            <w:r>
              <w:rPr>
                <w:rFonts w:hint="eastAsia"/>
                <w:szCs w:val="21"/>
                <w:lang w:val="en-US" w:eastAsia="zh-CN"/>
              </w:rPr>
              <w:t>2.7</w:t>
            </w:r>
            <w:r>
              <w:rPr>
                <w:snapToGrid w:val="0"/>
                <w:szCs w:val="21"/>
              </w:rPr>
              <w:t>m/s，A、B、C、D值的选取情况见表</w:t>
            </w:r>
            <w:r>
              <w:rPr>
                <w:rFonts w:hint="eastAsia"/>
                <w:snapToGrid w:val="0"/>
                <w:szCs w:val="21"/>
              </w:rPr>
              <w:t>4-</w:t>
            </w:r>
            <w:r>
              <w:rPr>
                <w:rFonts w:hint="eastAsia"/>
                <w:snapToGrid w:val="0"/>
                <w:szCs w:val="21"/>
                <w:lang w:val="en-US" w:eastAsia="zh-CN"/>
              </w:rPr>
              <w:t>6</w:t>
            </w:r>
            <w:r>
              <w:rPr>
                <w:snapToGrid w:val="0"/>
                <w:szCs w:val="21"/>
              </w:rPr>
              <w:t>。</w:t>
            </w:r>
          </w:p>
          <w:p>
            <w:pPr>
              <w:spacing w:line="360" w:lineRule="auto"/>
              <w:ind w:firstLine="422" w:firstLineChars="200"/>
              <w:jc w:val="center"/>
              <w:rPr>
                <w:b/>
              </w:rPr>
            </w:pPr>
            <w:r>
              <w:rPr>
                <w:b/>
              </w:rPr>
              <w:t>表</w:t>
            </w:r>
            <w:r>
              <w:rPr>
                <w:rFonts w:hint="eastAsia"/>
                <w:b/>
              </w:rPr>
              <w:t>4-</w:t>
            </w:r>
            <w:r>
              <w:rPr>
                <w:rFonts w:hint="eastAsia"/>
                <w:b/>
                <w:lang w:val="en-US" w:eastAsia="zh-CN"/>
              </w:rPr>
              <w:t>6</w:t>
            </w:r>
            <w:r>
              <w:rPr>
                <w:b/>
              </w:rPr>
              <w:t xml:space="preserve">  项目大气卫生防护距离的计算结果</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016"/>
              <w:gridCol w:w="1012"/>
              <w:gridCol w:w="819"/>
              <w:gridCol w:w="916"/>
              <w:gridCol w:w="835"/>
              <w:gridCol w:w="803"/>
              <w:gridCol w:w="83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1" w:type="pct"/>
                  <w:noWrap w:val="0"/>
                  <w:vAlign w:val="center"/>
                </w:tcPr>
                <w:p>
                  <w:pPr>
                    <w:spacing w:line="240" w:lineRule="exact"/>
                    <w:jc w:val="center"/>
                    <w:rPr>
                      <w:bCs/>
                      <w:szCs w:val="21"/>
                    </w:rPr>
                  </w:pPr>
                  <w:r>
                    <w:rPr>
                      <w:bCs/>
                      <w:szCs w:val="21"/>
                    </w:rPr>
                    <w:t>污染物</w:t>
                  </w:r>
                </w:p>
              </w:tc>
              <w:tc>
                <w:tcPr>
                  <w:tcW w:w="575" w:type="pct"/>
                  <w:noWrap w:val="0"/>
                  <w:vAlign w:val="center"/>
                </w:tcPr>
                <w:p>
                  <w:pPr>
                    <w:spacing w:line="240" w:lineRule="exact"/>
                    <w:jc w:val="center"/>
                    <w:rPr>
                      <w:szCs w:val="21"/>
                    </w:rPr>
                  </w:pPr>
                  <w:r>
                    <w:rPr>
                      <w:szCs w:val="21"/>
                    </w:rPr>
                    <w:t>Qc</w:t>
                  </w:r>
                </w:p>
                <w:p>
                  <w:pPr>
                    <w:spacing w:line="240" w:lineRule="exact"/>
                    <w:jc w:val="center"/>
                    <w:rPr>
                      <w:szCs w:val="21"/>
                    </w:rPr>
                  </w:pPr>
                  <w:r>
                    <w:rPr>
                      <w:bCs/>
                      <w:szCs w:val="21"/>
                    </w:rPr>
                    <w:t>(</w:t>
                  </w:r>
                  <w:r>
                    <w:rPr>
                      <w:szCs w:val="21"/>
                    </w:rPr>
                    <w:t>t/a</w:t>
                  </w:r>
                  <w:r>
                    <w:rPr>
                      <w:bCs/>
                      <w:szCs w:val="21"/>
                    </w:rPr>
                    <w:t>)</w:t>
                  </w:r>
                </w:p>
              </w:tc>
              <w:tc>
                <w:tcPr>
                  <w:tcW w:w="572" w:type="pct"/>
                  <w:noWrap w:val="0"/>
                  <w:vAlign w:val="center"/>
                </w:tcPr>
                <w:p>
                  <w:pPr>
                    <w:spacing w:line="240" w:lineRule="exact"/>
                    <w:jc w:val="center"/>
                    <w:rPr>
                      <w:bCs/>
                      <w:szCs w:val="21"/>
                      <w:vertAlign w:val="subscript"/>
                    </w:rPr>
                  </w:pPr>
                  <w:r>
                    <w:rPr>
                      <w:bCs/>
                      <w:szCs w:val="21"/>
                    </w:rPr>
                    <w:t>C</w:t>
                  </w:r>
                  <w:r>
                    <w:rPr>
                      <w:bCs/>
                      <w:szCs w:val="21"/>
                      <w:vertAlign w:val="subscript"/>
                    </w:rPr>
                    <w:t>m</w:t>
                  </w:r>
                </w:p>
                <w:p>
                  <w:pPr>
                    <w:spacing w:line="240" w:lineRule="exact"/>
                    <w:jc w:val="center"/>
                    <w:rPr>
                      <w:bCs/>
                      <w:szCs w:val="21"/>
                    </w:rPr>
                  </w:pPr>
                  <w:r>
                    <w:rPr>
                      <w:bCs/>
                      <w:szCs w:val="21"/>
                    </w:rPr>
                    <w:t>(mg/m</w:t>
                  </w:r>
                  <w:r>
                    <w:rPr>
                      <w:bCs/>
                      <w:szCs w:val="21"/>
                      <w:vertAlign w:val="superscript"/>
                    </w:rPr>
                    <w:t>3</w:t>
                  </w:r>
                  <w:r>
                    <w:rPr>
                      <w:bCs/>
                      <w:szCs w:val="21"/>
                    </w:rPr>
                    <w:t>)</w:t>
                  </w:r>
                </w:p>
              </w:tc>
              <w:tc>
                <w:tcPr>
                  <w:tcW w:w="463" w:type="pct"/>
                  <w:noWrap w:val="0"/>
                  <w:vAlign w:val="center"/>
                </w:tcPr>
                <w:p>
                  <w:pPr>
                    <w:spacing w:line="240" w:lineRule="exact"/>
                    <w:jc w:val="center"/>
                    <w:rPr>
                      <w:bCs/>
                      <w:szCs w:val="21"/>
                    </w:rPr>
                  </w:pPr>
                  <w:r>
                    <w:rPr>
                      <w:bCs/>
                      <w:szCs w:val="21"/>
                    </w:rPr>
                    <w:t>A</w:t>
                  </w:r>
                </w:p>
              </w:tc>
              <w:tc>
                <w:tcPr>
                  <w:tcW w:w="518" w:type="pct"/>
                  <w:noWrap w:val="0"/>
                  <w:vAlign w:val="center"/>
                </w:tcPr>
                <w:p>
                  <w:pPr>
                    <w:spacing w:line="240" w:lineRule="exact"/>
                    <w:jc w:val="center"/>
                    <w:rPr>
                      <w:bCs/>
                      <w:szCs w:val="21"/>
                    </w:rPr>
                  </w:pPr>
                  <w:r>
                    <w:rPr>
                      <w:bCs/>
                      <w:szCs w:val="21"/>
                    </w:rPr>
                    <w:t>B</w:t>
                  </w:r>
                </w:p>
              </w:tc>
              <w:tc>
                <w:tcPr>
                  <w:tcW w:w="472" w:type="pct"/>
                  <w:noWrap w:val="0"/>
                  <w:vAlign w:val="center"/>
                </w:tcPr>
                <w:p>
                  <w:pPr>
                    <w:spacing w:line="240" w:lineRule="exact"/>
                    <w:jc w:val="center"/>
                    <w:rPr>
                      <w:bCs/>
                      <w:szCs w:val="21"/>
                    </w:rPr>
                  </w:pPr>
                  <w:r>
                    <w:rPr>
                      <w:bCs/>
                      <w:szCs w:val="21"/>
                    </w:rPr>
                    <w:t>C</w:t>
                  </w:r>
                </w:p>
              </w:tc>
              <w:tc>
                <w:tcPr>
                  <w:tcW w:w="454" w:type="pct"/>
                  <w:noWrap w:val="0"/>
                  <w:vAlign w:val="center"/>
                </w:tcPr>
                <w:p>
                  <w:pPr>
                    <w:spacing w:line="240" w:lineRule="exact"/>
                    <w:jc w:val="center"/>
                    <w:rPr>
                      <w:bCs/>
                      <w:szCs w:val="21"/>
                    </w:rPr>
                  </w:pPr>
                  <w:r>
                    <w:rPr>
                      <w:bCs/>
                      <w:szCs w:val="21"/>
                    </w:rPr>
                    <w:t>D</w:t>
                  </w:r>
                </w:p>
              </w:tc>
              <w:tc>
                <w:tcPr>
                  <w:tcW w:w="472" w:type="pct"/>
                  <w:noWrap w:val="0"/>
                  <w:vAlign w:val="center"/>
                </w:tcPr>
                <w:p>
                  <w:pPr>
                    <w:spacing w:line="240" w:lineRule="exact"/>
                    <w:jc w:val="center"/>
                    <w:rPr>
                      <w:bCs/>
                      <w:szCs w:val="21"/>
                    </w:rPr>
                  </w:pPr>
                  <w:r>
                    <w:rPr>
                      <w:rFonts w:hint="eastAsia"/>
                      <w:bCs/>
                      <w:szCs w:val="21"/>
                    </w:rPr>
                    <w:t>L</w:t>
                  </w:r>
                  <w:r>
                    <w:rPr>
                      <w:bCs/>
                      <w:szCs w:val="21"/>
                    </w:rPr>
                    <w:t>(m)</w:t>
                  </w:r>
                </w:p>
              </w:tc>
              <w:tc>
                <w:tcPr>
                  <w:tcW w:w="648" w:type="pct"/>
                  <w:noWrap w:val="0"/>
                  <w:vAlign w:val="center"/>
                </w:tcPr>
                <w:p>
                  <w:pPr>
                    <w:spacing w:line="240" w:lineRule="exact"/>
                    <w:jc w:val="center"/>
                    <w:rPr>
                      <w:bCs/>
                      <w:szCs w:val="21"/>
                    </w:rPr>
                  </w:pPr>
                  <w:r>
                    <w:rPr>
                      <w:bCs/>
                      <w:szCs w:val="21"/>
                    </w:rPr>
                    <w:t>取值</w:t>
                  </w:r>
                </w:p>
                <w:p>
                  <w:pPr>
                    <w:spacing w:line="240" w:lineRule="exact"/>
                    <w:jc w:val="center"/>
                    <w:rPr>
                      <w:bCs/>
                      <w:szCs w:val="21"/>
                    </w:rPr>
                  </w:pPr>
                  <w:r>
                    <w:rPr>
                      <w:bCs/>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1" w:type="pct"/>
                  <w:noWrap w:val="0"/>
                  <w:vAlign w:val="center"/>
                </w:tcPr>
                <w:p>
                  <w:pPr>
                    <w:spacing w:line="240" w:lineRule="exact"/>
                    <w:jc w:val="center"/>
                    <w:rPr>
                      <w:szCs w:val="21"/>
                    </w:rPr>
                  </w:pPr>
                  <w:r>
                    <w:rPr>
                      <w:szCs w:val="21"/>
                    </w:rPr>
                    <w:t>粉尘</w:t>
                  </w:r>
                </w:p>
              </w:tc>
              <w:tc>
                <w:tcPr>
                  <w:tcW w:w="575" w:type="pct"/>
                  <w:noWrap w:val="0"/>
                  <w:vAlign w:val="center"/>
                </w:tcPr>
                <w:p>
                  <w:pPr>
                    <w:spacing w:line="240" w:lineRule="exact"/>
                    <w:jc w:val="center"/>
                    <w:rPr>
                      <w:rFonts w:hint="default" w:eastAsia="宋体"/>
                      <w:szCs w:val="21"/>
                      <w:lang w:val="en-US" w:eastAsia="zh-CN"/>
                    </w:rPr>
                  </w:pPr>
                  <w:r>
                    <w:rPr>
                      <w:rFonts w:hint="eastAsia"/>
                      <w:szCs w:val="21"/>
                      <w:lang w:val="en-US" w:eastAsia="zh-CN"/>
                    </w:rPr>
                    <w:t>0.4668</w:t>
                  </w:r>
                </w:p>
              </w:tc>
              <w:tc>
                <w:tcPr>
                  <w:tcW w:w="572" w:type="pct"/>
                  <w:noWrap w:val="0"/>
                  <w:vAlign w:val="center"/>
                </w:tcPr>
                <w:p>
                  <w:pPr>
                    <w:spacing w:line="240" w:lineRule="exact"/>
                    <w:jc w:val="center"/>
                    <w:rPr>
                      <w:szCs w:val="21"/>
                    </w:rPr>
                  </w:pPr>
                  <w:r>
                    <w:rPr>
                      <w:rFonts w:hint="eastAsia"/>
                      <w:szCs w:val="21"/>
                    </w:rPr>
                    <w:t>0.9</w:t>
                  </w:r>
                </w:p>
              </w:tc>
              <w:tc>
                <w:tcPr>
                  <w:tcW w:w="463" w:type="pct"/>
                  <w:noWrap w:val="0"/>
                  <w:vAlign w:val="center"/>
                </w:tcPr>
                <w:p>
                  <w:pPr>
                    <w:spacing w:line="240" w:lineRule="exact"/>
                    <w:jc w:val="center"/>
                  </w:pPr>
                  <w:r>
                    <w:t>470</w:t>
                  </w:r>
                </w:p>
              </w:tc>
              <w:tc>
                <w:tcPr>
                  <w:tcW w:w="518" w:type="pct"/>
                  <w:noWrap w:val="0"/>
                  <w:vAlign w:val="center"/>
                </w:tcPr>
                <w:p>
                  <w:pPr>
                    <w:spacing w:line="240" w:lineRule="exact"/>
                    <w:jc w:val="center"/>
                  </w:pPr>
                  <w:r>
                    <w:t>0.021</w:t>
                  </w:r>
                </w:p>
              </w:tc>
              <w:tc>
                <w:tcPr>
                  <w:tcW w:w="472" w:type="pct"/>
                  <w:noWrap w:val="0"/>
                  <w:vAlign w:val="center"/>
                </w:tcPr>
                <w:p>
                  <w:pPr>
                    <w:spacing w:line="240" w:lineRule="exact"/>
                    <w:jc w:val="center"/>
                  </w:pPr>
                  <w:r>
                    <w:t>1.85</w:t>
                  </w:r>
                </w:p>
              </w:tc>
              <w:tc>
                <w:tcPr>
                  <w:tcW w:w="454" w:type="pct"/>
                  <w:noWrap w:val="0"/>
                  <w:vAlign w:val="center"/>
                </w:tcPr>
                <w:p>
                  <w:pPr>
                    <w:spacing w:line="240" w:lineRule="exact"/>
                    <w:jc w:val="center"/>
                  </w:pPr>
                  <w:r>
                    <w:t>0.84</w:t>
                  </w:r>
                </w:p>
              </w:tc>
              <w:tc>
                <w:tcPr>
                  <w:tcW w:w="472" w:type="pct"/>
                  <w:noWrap w:val="0"/>
                  <w:vAlign w:val="center"/>
                </w:tcPr>
                <w:p>
                  <w:pPr>
                    <w:spacing w:line="240" w:lineRule="exact"/>
                    <w:jc w:val="center"/>
                    <w:rPr>
                      <w:rFonts w:hint="default" w:eastAsia="宋体"/>
                      <w:lang w:val="en-US" w:eastAsia="zh-CN"/>
                    </w:rPr>
                  </w:pPr>
                  <w:r>
                    <w:rPr>
                      <w:rFonts w:hint="eastAsia"/>
                      <w:lang w:val="en-US" w:eastAsia="zh-CN"/>
                    </w:rPr>
                    <w:t>0.273</w:t>
                  </w:r>
                </w:p>
              </w:tc>
              <w:tc>
                <w:tcPr>
                  <w:tcW w:w="648" w:type="pct"/>
                  <w:noWrap w:val="0"/>
                  <w:vAlign w:val="center"/>
                </w:tcPr>
                <w:p>
                  <w:pPr>
                    <w:spacing w:line="240" w:lineRule="exact"/>
                    <w:jc w:val="cente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1" w:type="pct"/>
                  <w:noWrap w:val="0"/>
                  <w:vAlign w:val="center"/>
                </w:tcPr>
                <w:p>
                  <w:pPr>
                    <w:spacing w:line="240" w:lineRule="exact"/>
                    <w:jc w:val="center"/>
                    <w:rPr>
                      <w:szCs w:val="21"/>
                    </w:rPr>
                  </w:pPr>
                  <w:r>
                    <w:rPr>
                      <w:szCs w:val="21"/>
                    </w:rPr>
                    <w:t>非甲烷总烃</w:t>
                  </w:r>
                </w:p>
              </w:tc>
              <w:tc>
                <w:tcPr>
                  <w:tcW w:w="575" w:type="pct"/>
                  <w:noWrap w:val="0"/>
                  <w:vAlign w:val="center"/>
                </w:tcPr>
                <w:p>
                  <w:pPr>
                    <w:spacing w:line="240" w:lineRule="exact"/>
                    <w:jc w:val="center"/>
                    <w:rPr>
                      <w:rFonts w:hint="default" w:eastAsia="宋体"/>
                      <w:szCs w:val="21"/>
                      <w:lang w:val="en-US" w:eastAsia="zh-CN"/>
                    </w:rPr>
                  </w:pPr>
                  <w:r>
                    <w:rPr>
                      <w:rFonts w:hint="eastAsia"/>
                      <w:szCs w:val="21"/>
                      <w:lang w:val="en-US" w:eastAsia="zh-CN"/>
                    </w:rPr>
                    <w:t>0.0216</w:t>
                  </w:r>
                </w:p>
              </w:tc>
              <w:tc>
                <w:tcPr>
                  <w:tcW w:w="572" w:type="pct"/>
                  <w:noWrap w:val="0"/>
                  <w:vAlign w:val="center"/>
                </w:tcPr>
                <w:p>
                  <w:pPr>
                    <w:spacing w:line="240" w:lineRule="exact"/>
                    <w:jc w:val="center"/>
                    <w:rPr>
                      <w:rFonts w:hint="eastAsia"/>
                      <w:szCs w:val="21"/>
                    </w:rPr>
                  </w:pPr>
                  <w:r>
                    <w:rPr>
                      <w:rFonts w:hint="eastAsia"/>
                      <w:szCs w:val="21"/>
                    </w:rPr>
                    <w:t>2</w:t>
                  </w:r>
                </w:p>
              </w:tc>
              <w:tc>
                <w:tcPr>
                  <w:tcW w:w="463" w:type="pct"/>
                  <w:noWrap w:val="0"/>
                  <w:vAlign w:val="center"/>
                </w:tcPr>
                <w:p>
                  <w:pPr>
                    <w:spacing w:line="240" w:lineRule="exact"/>
                    <w:jc w:val="center"/>
                  </w:pPr>
                  <w:r>
                    <w:t>470</w:t>
                  </w:r>
                </w:p>
              </w:tc>
              <w:tc>
                <w:tcPr>
                  <w:tcW w:w="518" w:type="pct"/>
                  <w:noWrap w:val="0"/>
                  <w:vAlign w:val="center"/>
                </w:tcPr>
                <w:p>
                  <w:pPr>
                    <w:spacing w:line="240" w:lineRule="exact"/>
                    <w:jc w:val="center"/>
                  </w:pPr>
                  <w:r>
                    <w:t>0.021</w:t>
                  </w:r>
                </w:p>
              </w:tc>
              <w:tc>
                <w:tcPr>
                  <w:tcW w:w="472" w:type="pct"/>
                  <w:noWrap w:val="0"/>
                  <w:vAlign w:val="center"/>
                </w:tcPr>
                <w:p>
                  <w:pPr>
                    <w:spacing w:line="240" w:lineRule="exact"/>
                    <w:jc w:val="center"/>
                  </w:pPr>
                  <w:r>
                    <w:t>1.85</w:t>
                  </w:r>
                </w:p>
              </w:tc>
              <w:tc>
                <w:tcPr>
                  <w:tcW w:w="454" w:type="pct"/>
                  <w:noWrap w:val="0"/>
                  <w:vAlign w:val="center"/>
                </w:tcPr>
                <w:p>
                  <w:pPr>
                    <w:spacing w:line="240" w:lineRule="exact"/>
                    <w:jc w:val="center"/>
                  </w:pPr>
                  <w:r>
                    <w:t>0.84</w:t>
                  </w:r>
                </w:p>
              </w:tc>
              <w:tc>
                <w:tcPr>
                  <w:tcW w:w="472" w:type="pct"/>
                  <w:noWrap w:val="0"/>
                  <w:vAlign w:val="center"/>
                </w:tcPr>
                <w:p>
                  <w:pPr>
                    <w:spacing w:line="240" w:lineRule="exact"/>
                    <w:jc w:val="center"/>
                    <w:rPr>
                      <w:rFonts w:hint="default" w:eastAsia="宋体"/>
                      <w:lang w:val="en-US" w:eastAsia="zh-CN"/>
                    </w:rPr>
                  </w:pPr>
                  <w:r>
                    <w:rPr>
                      <w:rFonts w:hint="eastAsia"/>
                      <w:lang w:val="en-US" w:eastAsia="zh-CN"/>
                    </w:rPr>
                    <w:t>0.089</w:t>
                  </w:r>
                </w:p>
              </w:tc>
              <w:tc>
                <w:tcPr>
                  <w:tcW w:w="648" w:type="pct"/>
                  <w:noWrap w:val="0"/>
                  <w:vAlign w:val="center"/>
                </w:tcPr>
                <w:p>
                  <w:pPr>
                    <w:spacing w:line="240" w:lineRule="exact"/>
                    <w:jc w:val="center"/>
                  </w:pPr>
                  <w:r>
                    <w:rPr>
                      <w:rFonts w:hint="eastAsia"/>
                    </w:rPr>
                    <w:t>50</w:t>
                  </w:r>
                </w:p>
              </w:tc>
            </w:tr>
          </w:tbl>
          <w:p>
            <w:pPr>
              <w:spacing w:line="360" w:lineRule="auto"/>
              <w:ind w:firstLine="420" w:firstLineChars="200"/>
              <w:rPr>
                <w:rFonts w:hint="eastAsia"/>
                <w:bCs/>
                <w:snapToGrid w:val="0"/>
                <w:szCs w:val="21"/>
              </w:rPr>
            </w:pPr>
            <w:r>
              <w:rPr>
                <w:rFonts w:hint="eastAsia"/>
                <w:bCs/>
                <w:snapToGrid w:val="0"/>
                <w:szCs w:val="21"/>
              </w:rPr>
              <w:t>当企业某生产单元的无组织排放存在多种特征大气有害物质时，如果分别推导出的卫生防护距离初值在同一级别时，则该企业的卫生防护距离终值应提高一级；卫生防护距离初值不在同一级别的，以卫生防护距离终值较大者为准。</w:t>
            </w:r>
          </w:p>
          <w:p>
            <w:pPr>
              <w:spacing w:line="360" w:lineRule="auto"/>
              <w:ind w:firstLine="420" w:firstLineChars="200"/>
              <w:rPr>
                <w:rFonts w:hint="default" w:eastAsia="宋体"/>
                <w:bCs/>
                <w:snapToGrid w:val="0"/>
                <w:szCs w:val="21"/>
                <w:lang w:val="en-US" w:eastAsia="zh-CN"/>
              </w:rPr>
            </w:pPr>
            <w:r>
              <w:rPr>
                <w:rFonts w:hint="eastAsia"/>
                <w:bCs/>
                <w:snapToGrid w:val="0"/>
                <w:szCs w:val="21"/>
              </w:rPr>
              <w:t>本项目卫生防护距离</w:t>
            </w:r>
            <w:r>
              <w:rPr>
                <w:bCs/>
                <w:snapToGrid w:val="0"/>
                <w:szCs w:val="21"/>
              </w:rPr>
              <w:t>取值</w:t>
            </w:r>
            <w:r>
              <w:rPr>
                <w:rFonts w:hint="eastAsia"/>
                <w:bCs/>
                <w:snapToGrid w:val="0"/>
                <w:szCs w:val="21"/>
              </w:rPr>
              <w:t>10</w:t>
            </w:r>
            <w:r>
              <w:rPr>
                <w:bCs/>
                <w:snapToGrid w:val="0"/>
                <w:szCs w:val="21"/>
              </w:rPr>
              <w:t>0m。</w:t>
            </w:r>
            <w:r>
              <w:rPr>
                <w:rFonts w:hint="eastAsia"/>
                <w:bCs/>
                <w:snapToGrid w:val="0"/>
                <w:szCs w:val="21"/>
              </w:rPr>
              <w:t>根据调查，该范围内无学校、医院、集中居民区等环境敏感目标，</w:t>
            </w:r>
            <w:r>
              <w:rPr>
                <w:szCs w:val="21"/>
              </w:rPr>
              <w:t>因此企业卫生防护距离设置符合要求。</w:t>
            </w:r>
            <w:r>
              <w:rPr>
                <w:rFonts w:hint="eastAsia"/>
                <w:bCs/>
                <w:snapToGrid w:val="0"/>
                <w:szCs w:val="21"/>
              </w:rPr>
              <w:t>且今后不得在该环境防护距离内新建学校、住宅、医院、食品生产单位等环境敏感点，环境防护距离包络线图见</w:t>
            </w:r>
            <w:r>
              <w:rPr>
                <w:rFonts w:hint="eastAsia"/>
                <w:bCs/>
                <w:snapToGrid w:val="0"/>
                <w:szCs w:val="21"/>
                <w:lang w:val="en-US" w:eastAsia="zh-CN"/>
              </w:rPr>
              <w:t>附图8。</w:t>
            </w:r>
          </w:p>
          <w:p>
            <w:pPr>
              <w:adjustRightInd w:val="0"/>
              <w:snapToGrid w:val="0"/>
              <w:spacing w:line="360" w:lineRule="auto"/>
              <w:ind w:firstLine="422" w:firstLineChars="200"/>
              <w:rPr>
                <w:b/>
                <w:bCs/>
                <w:color w:val="auto"/>
                <w:kern w:val="0"/>
                <w:szCs w:val="21"/>
              </w:rPr>
            </w:pPr>
            <w:r>
              <w:rPr>
                <w:rFonts w:hint="eastAsia"/>
                <w:b/>
                <w:bCs/>
                <w:color w:val="auto"/>
                <w:kern w:val="0"/>
                <w:szCs w:val="21"/>
                <w:lang w:val="en-US" w:eastAsia="zh-CN"/>
              </w:rPr>
              <w:t>6</w:t>
            </w:r>
            <w:r>
              <w:rPr>
                <w:rFonts w:hint="eastAsia"/>
                <w:b/>
                <w:bCs/>
                <w:color w:val="auto"/>
                <w:kern w:val="0"/>
                <w:szCs w:val="21"/>
              </w:rPr>
              <w:t>、</w:t>
            </w:r>
            <w:r>
              <w:rPr>
                <w:b/>
                <w:bCs/>
                <w:color w:val="auto"/>
                <w:kern w:val="0"/>
                <w:szCs w:val="21"/>
              </w:rPr>
              <w:t>大气环境影响分析结论</w:t>
            </w:r>
          </w:p>
          <w:p>
            <w:pPr>
              <w:spacing w:line="360" w:lineRule="auto"/>
              <w:ind w:firstLine="420" w:firstLineChars="200"/>
              <w:jc w:val="left"/>
              <w:rPr>
                <w:sz w:val="21"/>
                <w:szCs w:val="21"/>
              </w:rPr>
            </w:pPr>
            <w:r>
              <w:rPr>
                <w:rFonts w:hint="eastAsia"/>
                <w:bCs/>
                <w:sz w:val="21"/>
                <w:szCs w:val="21"/>
              </w:rPr>
              <w:t>根据大气环境现状分析，项目所在区域各基本污染物除</w:t>
            </w:r>
            <w:r>
              <w:rPr>
                <w:sz w:val="21"/>
                <w:szCs w:val="21"/>
              </w:rPr>
              <w:t>PM</w:t>
            </w:r>
            <w:r>
              <w:rPr>
                <w:sz w:val="21"/>
                <w:szCs w:val="21"/>
                <w:vertAlign w:val="subscript"/>
              </w:rPr>
              <w:t>2.5</w:t>
            </w:r>
            <w:r>
              <w:rPr>
                <w:sz w:val="21"/>
                <w:szCs w:val="21"/>
              </w:rPr>
              <w:t>年平均浓度</w:t>
            </w:r>
            <w:r>
              <w:rPr>
                <w:rFonts w:hint="eastAsia"/>
                <w:sz w:val="21"/>
                <w:szCs w:val="21"/>
              </w:rPr>
              <w:t>超标外，其他基本污染物</w:t>
            </w:r>
            <w:r>
              <w:rPr>
                <w:rFonts w:hint="eastAsia"/>
                <w:bCs/>
                <w:sz w:val="21"/>
                <w:szCs w:val="21"/>
              </w:rPr>
              <w:t>质量浓度均满足《环境空气质量标准》（GB3095-2012）中的二级标准要求。本项目</w:t>
            </w:r>
            <w:r>
              <w:rPr>
                <w:rFonts w:hint="eastAsia"/>
                <w:bCs/>
                <w:sz w:val="21"/>
                <w:szCs w:val="21"/>
                <w:lang w:val="en-US" w:eastAsia="zh-CN"/>
              </w:rPr>
              <w:t>塑料板材黏结选用低VOC含量本体型胶黏剂，从源头减少有机废气的产生，切割过程位于密闭车间内独立工位，粉尘经密闭车间内沉降。</w:t>
            </w:r>
            <w:r>
              <w:rPr>
                <w:rFonts w:hint="eastAsia"/>
                <w:bCs/>
                <w:sz w:val="21"/>
                <w:szCs w:val="21"/>
              </w:rPr>
              <w:t>根据现场调查，项目周边以工业企业为主，</w:t>
            </w:r>
            <w:r>
              <w:rPr>
                <w:kern w:val="0"/>
                <w:sz w:val="21"/>
                <w:szCs w:val="21"/>
              </w:rPr>
              <w:t>厂界外500米范围内</w:t>
            </w:r>
            <w:r>
              <w:rPr>
                <w:rFonts w:hint="eastAsia"/>
                <w:kern w:val="0"/>
                <w:sz w:val="21"/>
                <w:szCs w:val="21"/>
              </w:rPr>
              <w:t>侧风向存在</w:t>
            </w:r>
            <w:r>
              <w:rPr>
                <w:rFonts w:hint="eastAsia"/>
                <w:kern w:val="0"/>
                <w:sz w:val="21"/>
                <w:szCs w:val="21"/>
                <w:lang w:val="en-US" w:eastAsia="zh-CN"/>
              </w:rPr>
              <w:t>两处敏感目标</w:t>
            </w:r>
            <w:r>
              <w:rPr>
                <w:rFonts w:hint="eastAsia"/>
                <w:kern w:val="0"/>
                <w:sz w:val="21"/>
                <w:szCs w:val="21"/>
              </w:rPr>
              <w:t>，针对</w:t>
            </w:r>
            <w:r>
              <w:rPr>
                <w:rFonts w:hint="eastAsia"/>
                <w:kern w:val="0"/>
                <w:sz w:val="21"/>
                <w:szCs w:val="21"/>
                <w:lang w:val="en-US" w:eastAsia="zh-CN"/>
              </w:rPr>
              <w:t>无组织废气</w:t>
            </w:r>
            <w:r>
              <w:rPr>
                <w:rFonts w:hint="eastAsia"/>
                <w:sz w:val="21"/>
                <w:szCs w:val="21"/>
              </w:rPr>
              <w:t>排放，</w:t>
            </w:r>
            <w:r>
              <w:rPr>
                <w:rFonts w:hint="eastAsia"/>
                <w:kern w:val="0"/>
                <w:sz w:val="21"/>
                <w:szCs w:val="21"/>
              </w:rPr>
              <w:t>本项目</w:t>
            </w:r>
            <w:r>
              <w:rPr>
                <w:rFonts w:hint="eastAsia"/>
                <w:kern w:val="0"/>
                <w:sz w:val="21"/>
                <w:szCs w:val="21"/>
                <w:lang w:val="en-US" w:eastAsia="zh-CN"/>
              </w:rPr>
              <w:t>以</w:t>
            </w:r>
            <w:r>
              <w:rPr>
                <w:rFonts w:hint="eastAsia"/>
                <w:kern w:val="0"/>
                <w:sz w:val="21"/>
                <w:szCs w:val="21"/>
              </w:rPr>
              <w:t>厂界</w:t>
            </w:r>
            <w:r>
              <w:rPr>
                <w:rFonts w:hint="eastAsia"/>
                <w:kern w:val="0"/>
                <w:sz w:val="21"/>
                <w:szCs w:val="21"/>
                <w:lang w:val="en-US" w:eastAsia="zh-CN"/>
              </w:rPr>
              <w:t>100m设置环境防护距离</w:t>
            </w:r>
            <w:r>
              <w:rPr>
                <w:rFonts w:hint="eastAsia"/>
                <w:kern w:val="0"/>
                <w:sz w:val="21"/>
                <w:szCs w:val="21"/>
              </w:rPr>
              <w:t>，通过加强管理，本项目的建设对周边大气环境质量影响较小。</w:t>
            </w:r>
          </w:p>
          <w:p>
            <w:pPr>
              <w:pStyle w:val="147"/>
              <w:ind w:firstLine="480"/>
              <w:rPr>
                <w:sz w:val="21"/>
                <w:szCs w:val="21"/>
                <w:lang w:val="en-US" w:eastAsia="zh-CN"/>
              </w:rPr>
            </w:pPr>
            <w:r>
              <w:rPr>
                <w:rFonts w:hAnsi="宋体"/>
                <w:sz w:val="21"/>
                <w:szCs w:val="21"/>
                <w:lang w:val="en-US" w:eastAsia="zh-CN"/>
              </w:rPr>
              <w:t>综上分析，本项目运营期废气排放对区域环境空气质量以及周边敏感点的影响不大。</w:t>
            </w:r>
          </w:p>
          <w:p>
            <w:pPr>
              <w:adjustRightInd w:val="0"/>
              <w:snapToGrid w:val="0"/>
              <w:spacing w:line="360" w:lineRule="auto"/>
              <w:ind w:firstLine="422" w:firstLineChars="200"/>
              <w:rPr>
                <w:b/>
                <w:bCs/>
                <w:color w:val="auto"/>
                <w:szCs w:val="21"/>
              </w:rPr>
            </w:pPr>
            <w:r>
              <w:rPr>
                <w:rFonts w:hint="eastAsia"/>
                <w:b/>
                <w:bCs/>
                <w:color w:val="auto"/>
                <w:kern w:val="0"/>
                <w:szCs w:val="21"/>
              </w:rPr>
              <w:t>二、</w:t>
            </w:r>
            <w:r>
              <w:rPr>
                <w:b/>
                <w:bCs/>
                <w:color w:val="auto"/>
                <w:kern w:val="0"/>
                <w:szCs w:val="21"/>
              </w:rPr>
              <w:t>废水</w:t>
            </w:r>
            <w:r>
              <w:rPr>
                <w:b/>
                <w:bCs/>
                <w:color w:val="auto"/>
                <w:szCs w:val="21"/>
              </w:rPr>
              <w:t>环境影响和保护措施</w:t>
            </w:r>
          </w:p>
          <w:p>
            <w:pPr>
              <w:spacing w:line="360" w:lineRule="auto"/>
              <w:ind w:firstLine="561"/>
              <w:outlineLvl w:val="0"/>
              <w:rPr>
                <w:rFonts w:hint="eastAsia"/>
                <w:b/>
                <w:szCs w:val="21"/>
              </w:rPr>
            </w:pPr>
            <w:r>
              <w:rPr>
                <w:rFonts w:hint="eastAsia"/>
                <w:b/>
                <w:szCs w:val="21"/>
              </w:rPr>
              <w:t>1、废水源强</w:t>
            </w:r>
          </w:p>
          <w:p>
            <w:pPr>
              <w:spacing w:line="360" w:lineRule="auto"/>
              <w:ind w:firstLine="561"/>
              <w:outlineLvl w:val="0"/>
              <w:rPr>
                <w:szCs w:val="21"/>
              </w:rPr>
            </w:pPr>
            <w:r>
              <w:rPr>
                <w:rFonts w:hint="eastAsia"/>
                <w:szCs w:val="21"/>
              </w:rPr>
              <w:t>（1）废水污染源强</w:t>
            </w:r>
          </w:p>
          <w:p>
            <w:pPr>
              <w:spacing w:line="360" w:lineRule="auto"/>
              <w:ind w:firstLine="420" w:firstLineChars="200"/>
              <w:outlineLvl w:val="0"/>
              <w:rPr>
                <w:szCs w:val="21"/>
              </w:rPr>
            </w:pPr>
            <w:r>
              <w:rPr>
                <w:rFonts w:hint="eastAsia"/>
                <w:szCs w:val="21"/>
              </w:rPr>
              <w:t>本项目生产过程</w:t>
            </w:r>
            <w:r>
              <w:rPr>
                <w:rFonts w:hint="eastAsia"/>
                <w:szCs w:val="21"/>
                <w:lang w:val="en-US" w:eastAsia="zh-CN"/>
              </w:rPr>
              <w:t>外排废水主要为</w:t>
            </w:r>
            <w:r>
              <w:rPr>
                <w:rFonts w:hint="eastAsia"/>
                <w:szCs w:val="21"/>
              </w:rPr>
              <w:t>员工生活过程产生生活</w:t>
            </w:r>
            <w:r>
              <w:rPr>
                <w:rFonts w:hint="eastAsia"/>
                <w:szCs w:val="21"/>
                <w:lang w:val="en-US" w:eastAsia="zh-CN"/>
              </w:rPr>
              <w:t>污水及纯水制备浓水、反冲洗水、调试废水</w:t>
            </w:r>
            <w:r>
              <w:rPr>
                <w:rFonts w:hint="eastAsia"/>
                <w:szCs w:val="21"/>
              </w:rPr>
              <w:t>。</w:t>
            </w:r>
          </w:p>
          <w:p>
            <w:pPr>
              <w:adjustRightInd w:val="0"/>
              <w:snapToGrid w:val="0"/>
              <w:spacing w:line="360" w:lineRule="auto"/>
              <w:ind w:firstLine="420" w:firstLineChars="200"/>
              <w:jc w:val="left"/>
              <w:rPr>
                <w:rFonts w:hint="eastAsia"/>
                <w:color w:val="auto"/>
                <w:szCs w:val="21"/>
              </w:rPr>
            </w:pPr>
            <w:r>
              <w:rPr>
                <w:szCs w:val="21"/>
              </w:rPr>
              <w:t>本项目劳动定员为</w:t>
            </w:r>
            <w:r>
              <w:rPr>
                <w:rFonts w:hint="eastAsia"/>
                <w:szCs w:val="21"/>
              </w:rPr>
              <w:t>20</w:t>
            </w:r>
            <w:r>
              <w:rPr>
                <w:rFonts w:hint="eastAsia"/>
                <w:szCs w:val="21"/>
                <w:lang w:val="en-US" w:eastAsia="zh-CN"/>
              </w:rPr>
              <w:t>0</w:t>
            </w:r>
            <w:r>
              <w:rPr>
                <w:rFonts w:hint="eastAsia"/>
                <w:szCs w:val="21"/>
              </w:rPr>
              <w:t>名，根据《安徽省行业用水定额》（DB34/T679-2019）中的相关内容，办公用水定额取</w:t>
            </w:r>
            <w:r>
              <w:rPr>
                <w:rFonts w:hint="eastAsia"/>
                <w:szCs w:val="21"/>
                <w:lang w:val="en-US" w:eastAsia="zh-CN"/>
              </w:rPr>
              <w:t>11</w:t>
            </w:r>
            <w:r>
              <w:rPr>
                <w:rFonts w:hint="eastAsia"/>
                <w:szCs w:val="21"/>
              </w:rPr>
              <w:t>0L/人·d。则生活用水量为：生活总用水量大约为</w:t>
            </w:r>
            <w:r>
              <w:rPr>
                <w:rFonts w:hint="eastAsia"/>
                <w:szCs w:val="21"/>
                <w:lang w:val="en-US" w:eastAsia="zh-CN"/>
              </w:rPr>
              <w:t>33</w:t>
            </w:r>
            <w:r>
              <w:rPr>
                <w:rFonts w:hint="eastAsia"/>
                <w:szCs w:val="21"/>
              </w:rPr>
              <w:t>t/d，</w:t>
            </w:r>
            <w:r>
              <w:rPr>
                <w:rFonts w:hint="eastAsia"/>
                <w:szCs w:val="21"/>
                <w:lang w:val="en-US" w:eastAsia="zh-CN"/>
              </w:rPr>
              <w:t>6</w:t>
            </w:r>
            <w:r>
              <w:rPr>
                <w:rFonts w:hint="eastAsia"/>
                <w:szCs w:val="21"/>
              </w:rPr>
              <w:t>6</w:t>
            </w:r>
            <w:r>
              <w:rPr>
                <w:rFonts w:hint="eastAsia"/>
                <w:szCs w:val="21"/>
                <w:lang w:val="en-US" w:eastAsia="zh-CN"/>
              </w:rPr>
              <w:t>0</w:t>
            </w:r>
            <w:r>
              <w:rPr>
                <w:rFonts w:hint="eastAsia"/>
                <w:szCs w:val="21"/>
              </w:rPr>
              <w:t>0t/a；污水产生系数按照85%计，则生活污水产生量为</w:t>
            </w:r>
            <w:r>
              <w:rPr>
                <w:rFonts w:hint="eastAsia"/>
                <w:szCs w:val="21"/>
                <w:lang w:val="en-US" w:eastAsia="zh-CN"/>
              </w:rPr>
              <w:t>18.7</w:t>
            </w:r>
            <w:r>
              <w:rPr>
                <w:rFonts w:hint="eastAsia"/>
                <w:szCs w:val="21"/>
              </w:rPr>
              <w:t>t/d，</w:t>
            </w:r>
            <w:r>
              <w:rPr>
                <w:rFonts w:hint="eastAsia"/>
                <w:szCs w:val="21"/>
                <w:lang w:val="en-US" w:eastAsia="zh-CN"/>
              </w:rPr>
              <w:t>5610</w:t>
            </w:r>
            <w:r>
              <w:rPr>
                <w:rFonts w:hint="eastAsia"/>
                <w:szCs w:val="21"/>
              </w:rPr>
              <w:t>t/a。污水经管网排至</w:t>
            </w:r>
            <w:r>
              <w:rPr>
                <w:rFonts w:hint="eastAsia" w:cs="Times New Roman"/>
                <w:color w:val="auto"/>
                <w:lang w:val="en-US" w:eastAsia="zh-CN"/>
              </w:rPr>
              <w:t>淮南安成经济开发区污水处理厂</w:t>
            </w:r>
            <w:r>
              <w:rPr>
                <w:rFonts w:hint="eastAsia"/>
                <w:color w:val="auto"/>
                <w:szCs w:val="21"/>
              </w:rPr>
              <w:t>。</w:t>
            </w:r>
          </w:p>
          <w:p>
            <w:pPr>
              <w:adjustRightInd w:val="0"/>
              <w:snapToGrid w:val="0"/>
              <w:spacing w:line="360" w:lineRule="auto"/>
              <w:ind w:firstLine="420" w:firstLineChars="200"/>
              <w:jc w:val="left"/>
              <w:rPr>
                <w:rFonts w:hint="default"/>
                <w:color w:val="auto"/>
                <w:szCs w:val="21"/>
                <w:lang w:val="en-US" w:eastAsia="zh-CN"/>
              </w:rPr>
            </w:pPr>
            <w:r>
              <w:rPr>
                <w:rFonts w:hint="eastAsia"/>
                <w:color w:val="auto"/>
                <w:szCs w:val="21"/>
              </w:rPr>
              <w:t>本项目生产</w:t>
            </w:r>
            <w:r>
              <w:rPr>
                <w:rFonts w:hint="eastAsia"/>
                <w:color w:val="auto"/>
                <w:szCs w:val="21"/>
                <w:lang w:val="en-US" w:eastAsia="zh-CN"/>
              </w:rPr>
              <w:t>过程</w:t>
            </w:r>
            <w:r>
              <w:rPr>
                <w:rFonts w:hint="eastAsia"/>
                <w:color w:val="auto"/>
                <w:szCs w:val="21"/>
              </w:rPr>
              <w:t>涉及</w:t>
            </w:r>
            <w:r>
              <w:rPr>
                <w:rFonts w:hint="eastAsia"/>
                <w:color w:val="auto"/>
                <w:szCs w:val="21"/>
                <w:lang w:val="en-US" w:eastAsia="zh-CN"/>
              </w:rPr>
              <w:t>调试</w:t>
            </w:r>
            <w:r>
              <w:rPr>
                <w:rFonts w:hint="eastAsia"/>
                <w:color w:val="auto"/>
                <w:szCs w:val="21"/>
              </w:rPr>
              <w:t>用水</w:t>
            </w:r>
            <w:r>
              <w:rPr>
                <w:rFonts w:hint="eastAsia"/>
                <w:color w:val="auto"/>
                <w:szCs w:val="21"/>
                <w:lang w:eastAsia="zh-CN"/>
              </w:rPr>
              <w:t>，</w:t>
            </w:r>
            <w:r>
              <w:rPr>
                <w:rFonts w:hint="eastAsia"/>
                <w:color w:val="auto"/>
                <w:szCs w:val="21"/>
                <w:lang w:val="en-US" w:eastAsia="zh-CN"/>
              </w:rPr>
              <w:t>调试过程使用纯水，项目采用纯水制备系统制备纯水，工艺为自来水经过“石英砂+活性炭过滤+软化+精制过滤+RO反渗透”处理，纯水制备系统纯水收率75%，每日新鲜水用量为3t，则纯水2.25t/d，浓水0.75t/d，浓水直接接管园区污水管网</w:t>
            </w:r>
            <w:r>
              <w:rPr>
                <w:rFonts w:hint="eastAsia"/>
                <w:color w:val="auto"/>
                <w:szCs w:val="21"/>
              </w:rPr>
              <w:t>。</w:t>
            </w:r>
            <w:r>
              <w:rPr>
                <w:rFonts w:hint="eastAsia"/>
                <w:color w:val="auto"/>
                <w:szCs w:val="21"/>
                <w:lang w:val="en-US" w:eastAsia="zh-CN"/>
              </w:rPr>
              <w:t>纯水用于生产设备的调试，调试过程不添加任何试剂，调试过后直接排放。因此浓水、调试废水混合水质与自来水类似。</w:t>
            </w:r>
          </w:p>
          <w:p>
            <w:pPr>
              <w:adjustRightInd w:val="0"/>
              <w:snapToGrid w:val="0"/>
              <w:spacing w:line="360" w:lineRule="auto"/>
              <w:ind w:firstLine="420" w:firstLineChars="200"/>
              <w:jc w:val="left"/>
              <w:rPr>
                <w:rFonts w:hint="default"/>
                <w:color w:val="auto"/>
                <w:szCs w:val="21"/>
                <w:lang w:val="en-US" w:eastAsia="zh-CN"/>
              </w:rPr>
            </w:pPr>
            <w:r>
              <w:rPr>
                <w:rFonts w:hint="eastAsia"/>
                <w:color w:val="auto"/>
                <w:szCs w:val="21"/>
                <w:lang w:val="en-US" w:eastAsia="zh-CN"/>
              </w:rPr>
              <w:t>本项目反冲洗主要为反冲洗石英砂、活性炭等，反冲洗废水产生量约0.1</w:t>
            </w:r>
            <w:r>
              <w:rPr>
                <w:rFonts w:hint="default"/>
                <w:color w:val="auto"/>
                <w:szCs w:val="21"/>
                <w:lang w:val="en-US" w:eastAsia="zh-CN"/>
              </w:rPr>
              <w:t>t/</w:t>
            </w:r>
            <w:r>
              <w:rPr>
                <w:rFonts w:hint="eastAsia"/>
                <w:color w:val="auto"/>
                <w:szCs w:val="21"/>
                <w:lang w:val="en-US" w:eastAsia="zh-CN"/>
              </w:rPr>
              <w:t>d（30t/a），其主要污染物为COD、SS。</w:t>
            </w:r>
          </w:p>
          <w:p>
            <w:pPr>
              <w:adjustRightInd w:val="0"/>
              <w:snapToGrid w:val="0"/>
              <w:spacing w:line="360" w:lineRule="auto"/>
              <w:ind w:firstLine="420" w:firstLineChars="200"/>
              <w:jc w:val="left"/>
              <w:rPr>
                <w:rFonts w:hint="eastAsia"/>
                <w:kern w:val="0"/>
                <w:szCs w:val="21"/>
              </w:rPr>
            </w:pPr>
            <w:r>
              <w:rPr>
                <w:kern w:val="0"/>
                <w:szCs w:val="21"/>
              </w:rPr>
              <w:t>（2）废水污染源强核算结果及相关参数一览</w:t>
            </w:r>
          </w:p>
          <w:p>
            <w:pPr>
              <w:adjustRightInd w:val="0"/>
              <w:snapToGrid w:val="0"/>
              <w:spacing w:line="360" w:lineRule="auto"/>
              <w:ind w:firstLine="420" w:firstLineChars="200"/>
              <w:jc w:val="left"/>
              <w:rPr>
                <w:szCs w:val="21"/>
              </w:rPr>
            </w:pPr>
            <w:r>
              <w:rPr>
                <w:szCs w:val="21"/>
              </w:rPr>
              <w:t>生活污水水质指标参照《</w:t>
            </w:r>
            <w:r>
              <w:rPr>
                <w:rFonts w:hint="eastAsia"/>
                <w:szCs w:val="21"/>
              </w:rPr>
              <w:t>生活污染源产排污系数手册</w:t>
            </w:r>
            <w:r>
              <w:rPr>
                <w:szCs w:val="21"/>
              </w:rPr>
              <w:t>》中“表 1-1 城镇生活源水污染物产生系数”中四区产污系数，</w:t>
            </w:r>
            <w:r>
              <w:rPr>
                <w:rFonts w:hint="eastAsia"/>
                <w:szCs w:val="21"/>
                <w:lang w:val="en-US" w:eastAsia="zh-CN"/>
              </w:rPr>
              <w:t>调试废水各类污染物浓度较低，本次不予核算，纯水制备浓水、反冲洗废水水质参照同类型纯水制备设备反冲洗水质，</w:t>
            </w:r>
            <w:r>
              <w:rPr>
                <w:szCs w:val="21"/>
              </w:rPr>
              <w:t>废水污染源强核算结果及相关参数一览见表</w:t>
            </w:r>
            <w:r>
              <w:rPr>
                <w:rFonts w:hint="eastAsia"/>
                <w:szCs w:val="21"/>
              </w:rPr>
              <w:t>4-</w:t>
            </w:r>
            <w:r>
              <w:rPr>
                <w:rFonts w:hint="eastAsia"/>
                <w:szCs w:val="21"/>
                <w:lang w:val="en-US" w:eastAsia="zh-CN"/>
              </w:rPr>
              <w:t>7</w:t>
            </w:r>
            <w:r>
              <w:rPr>
                <w:szCs w:val="21"/>
              </w:rPr>
              <w:t>。</w:t>
            </w:r>
          </w:p>
          <w:p>
            <w:pPr>
              <w:adjustRightInd w:val="0"/>
              <w:snapToGrid w:val="0"/>
              <w:jc w:val="center"/>
              <w:rPr>
                <w:rFonts w:hint="eastAsia" w:eastAsia="宋体"/>
                <w:b/>
                <w:szCs w:val="21"/>
                <w:lang w:eastAsia="zh-CN"/>
              </w:rPr>
            </w:pPr>
            <w:r>
              <w:rPr>
                <w:b/>
                <w:szCs w:val="21"/>
              </w:rPr>
              <w:t>表</w:t>
            </w:r>
            <w:r>
              <w:rPr>
                <w:rFonts w:hint="eastAsia"/>
                <w:b/>
                <w:szCs w:val="21"/>
              </w:rPr>
              <w:t>4-</w:t>
            </w:r>
            <w:r>
              <w:rPr>
                <w:rFonts w:hint="eastAsia"/>
                <w:b/>
                <w:szCs w:val="21"/>
                <w:lang w:val="en-US" w:eastAsia="zh-CN"/>
              </w:rPr>
              <w:t>7</w:t>
            </w:r>
            <w:r>
              <w:rPr>
                <w:rFonts w:hint="eastAsia"/>
                <w:b/>
                <w:szCs w:val="21"/>
              </w:rPr>
              <w:t xml:space="preserve"> </w:t>
            </w:r>
            <w:r>
              <w:rPr>
                <w:rFonts w:hint="eastAsia"/>
                <w:b/>
                <w:szCs w:val="21"/>
                <w:lang w:val="en-US" w:eastAsia="zh-CN"/>
              </w:rPr>
              <w:t xml:space="preserve"> </w:t>
            </w:r>
            <w:r>
              <w:rPr>
                <w:rFonts w:hint="eastAsia"/>
                <w:b/>
                <w:szCs w:val="21"/>
              </w:rPr>
              <w:t>项目废水污染物产生与排放情况</w:t>
            </w:r>
            <w:r>
              <w:rPr>
                <w:rFonts w:hint="eastAsia"/>
                <w:b/>
                <w:szCs w:val="21"/>
                <w:lang w:eastAsia="zh-CN"/>
              </w:rPr>
              <w:t>（</w:t>
            </w:r>
            <w:r>
              <w:rPr>
                <w:b/>
                <w:szCs w:val="21"/>
              </w:rPr>
              <w:t>单位</w:t>
            </w:r>
            <w:r>
              <w:rPr>
                <w:rFonts w:hint="eastAsia"/>
                <w:b/>
                <w:szCs w:val="21"/>
              </w:rPr>
              <w:t>t</w:t>
            </w:r>
            <w:r>
              <w:rPr>
                <w:b/>
                <w:szCs w:val="21"/>
              </w:rPr>
              <w:t>/</w:t>
            </w:r>
            <w:r>
              <w:rPr>
                <w:rFonts w:hint="eastAsia"/>
                <w:b/>
                <w:szCs w:val="21"/>
              </w:rPr>
              <w:t>a</w:t>
            </w:r>
            <w:r>
              <w:rPr>
                <w:rFonts w:hint="eastAsia"/>
                <w:b/>
                <w:szCs w:val="21"/>
                <w:lang w:eastAsia="zh-CN"/>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40"/>
              <w:gridCol w:w="716"/>
              <w:gridCol w:w="816"/>
              <w:gridCol w:w="908"/>
              <w:gridCol w:w="848"/>
              <w:gridCol w:w="884"/>
              <w:gridCol w:w="779"/>
              <w:gridCol w:w="105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dxa"/>
                  <w:vMerge w:val="restart"/>
                  <w:noWrap w:val="0"/>
                  <w:vAlign w:val="center"/>
                </w:tcPr>
                <w:p>
                  <w:pPr>
                    <w:jc w:val="center"/>
                    <w:rPr>
                      <w:rFonts w:hint="eastAsia"/>
                      <w:b/>
                      <w:bCs/>
                      <w:sz w:val="18"/>
                      <w:szCs w:val="18"/>
                    </w:rPr>
                  </w:pPr>
                  <w:r>
                    <w:rPr>
                      <w:rFonts w:hint="eastAsia"/>
                      <w:b/>
                      <w:bCs/>
                      <w:sz w:val="18"/>
                      <w:szCs w:val="18"/>
                    </w:rPr>
                    <w:t>时期</w:t>
                  </w:r>
                </w:p>
              </w:tc>
              <w:tc>
                <w:tcPr>
                  <w:tcW w:w="940" w:type="dxa"/>
                  <w:vMerge w:val="restart"/>
                  <w:noWrap w:val="0"/>
                  <w:vAlign w:val="center"/>
                </w:tcPr>
                <w:p>
                  <w:pPr>
                    <w:jc w:val="center"/>
                    <w:rPr>
                      <w:rFonts w:hint="eastAsia"/>
                      <w:b/>
                      <w:bCs/>
                      <w:sz w:val="18"/>
                      <w:szCs w:val="18"/>
                    </w:rPr>
                  </w:pPr>
                  <w:r>
                    <w:rPr>
                      <w:rFonts w:hint="eastAsia"/>
                      <w:b/>
                      <w:bCs/>
                      <w:sz w:val="18"/>
                      <w:szCs w:val="18"/>
                    </w:rPr>
                    <w:t>污染源</w:t>
                  </w:r>
                </w:p>
              </w:tc>
              <w:tc>
                <w:tcPr>
                  <w:tcW w:w="716" w:type="dxa"/>
                  <w:vMerge w:val="restart"/>
                  <w:noWrap w:val="0"/>
                  <w:vAlign w:val="center"/>
                </w:tcPr>
                <w:p>
                  <w:pPr>
                    <w:jc w:val="center"/>
                    <w:rPr>
                      <w:rFonts w:hint="eastAsia"/>
                      <w:b/>
                      <w:bCs/>
                      <w:sz w:val="18"/>
                      <w:szCs w:val="18"/>
                    </w:rPr>
                  </w:pPr>
                  <w:r>
                    <w:rPr>
                      <w:rFonts w:hint="eastAsia"/>
                      <w:b/>
                      <w:bCs/>
                      <w:sz w:val="18"/>
                      <w:szCs w:val="18"/>
                    </w:rPr>
                    <w:t>废水量t/a</w:t>
                  </w:r>
                </w:p>
              </w:tc>
              <w:tc>
                <w:tcPr>
                  <w:tcW w:w="816" w:type="dxa"/>
                  <w:vMerge w:val="restart"/>
                  <w:noWrap w:val="0"/>
                  <w:vAlign w:val="center"/>
                </w:tcPr>
                <w:p>
                  <w:pPr>
                    <w:jc w:val="center"/>
                    <w:rPr>
                      <w:rFonts w:hint="eastAsia"/>
                      <w:b/>
                      <w:bCs/>
                      <w:sz w:val="18"/>
                      <w:szCs w:val="18"/>
                    </w:rPr>
                  </w:pPr>
                  <w:r>
                    <w:rPr>
                      <w:rFonts w:hint="eastAsia"/>
                      <w:b/>
                      <w:bCs/>
                      <w:sz w:val="18"/>
                      <w:szCs w:val="18"/>
                    </w:rPr>
                    <w:t>污染物</w:t>
                  </w:r>
                </w:p>
              </w:tc>
              <w:tc>
                <w:tcPr>
                  <w:tcW w:w="1756" w:type="dxa"/>
                  <w:gridSpan w:val="2"/>
                  <w:noWrap w:val="0"/>
                  <w:vAlign w:val="center"/>
                </w:tcPr>
                <w:p>
                  <w:pPr>
                    <w:jc w:val="center"/>
                    <w:rPr>
                      <w:rFonts w:hint="eastAsia"/>
                      <w:b/>
                      <w:bCs/>
                      <w:sz w:val="18"/>
                      <w:szCs w:val="18"/>
                    </w:rPr>
                  </w:pPr>
                  <w:r>
                    <w:rPr>
                      <w:rFonts w:hint="eastAsia"/>
                      <w:b/>
                      <w:bCs/>
                      <w:sz w:val="18"/>
                      <w:szCs w:val="18"/>
                    </w:rPr>
                    <w:t>产生情况</w:t>
                  </w:r>
                </w:p>
              </w:tc>
              <w:tc>
                <w:tcPr>
                  <w:tcW w:w="884" w:type="dxa"/>
                  <w:vMerge w:val="restart"/>
                  <w:noWrap w:val="0"/>
                  <w:vAlign w:val="center"/>
                </w:tcPr>
                <w:p>
                  <w:pPr>
                    <w:jc w:val="center"/>
                    <w:rPr>
                      <w:rFonts w:hint="eastAsia"/>
                      <w:b/>
                      <w:bCs/>
                      <w:sz w:val="18"/>
                      <w:szCs w:val="18"/>
                    </w:rPr>
                  </w:pPr>
                  <w:r>
                    <w:rPr>
                      <w:rFonts w:hint="eastAsia"/>
                      <w:b/>
                      <w:bCs/>
                      <w:sz w:val="18"/>
                      <w:szCs w:val="18"/>
                    </w:rPr>
                    <w:t>拟采取的处理措施</w:t>
                  </w:r>
                </w:p>
              </w:tc>
              <w:tc>
                <w:tcPr>
                  <w:tcW w:w="1838" w:type="dxa"/>
                  <w:gridSpan w:val="2"/>
                  <w:noWrap w:val="0"/>
                  <w:vAlign w:val="center"/>
                </w:tcPr>
                <w:p>
                  <w:pPr>
                    <w:jc w:val="center"/>
                    <w:rPr>
                      <w:rFonts w:hint="eastAsia"/>
                      <w:b/>
                      <w:bCs/>
                      <w:sz w:val="18"/>
                      <w:szCs w:val="18"/>
                    </w:rPr>
                  </w:pPr>
                  <w:r>
                    <w:rPr>
                      <w:rFonts w:hint="eastAsia"/>
                      <w:b/>
                      <w:bCs/>
                      <w:sz w:val="18"/>
                      <w:szCs w:val="18"/>
                    </w:rPr>
                    <w:t>接管排放情况</w:t>
                  </w:r>
                </w:p>
              </w:tc>
              <w:tc>
                <w:tcPr>
                  <w:tcW w:w="1313" w:type="dxa"/>
                  <w:vMerge w:val="restart"/>
                  <w:noWrap w:val="0"/>
                  <w:vAlign w:val="center"/>
                </w:tcPr>
                <w:p>
                  <w:pPr>
                    <w:jc w:val="center"/>
                    <w:rPr>
                      <w:rFonts w:hint="eastAsia"/>
                      <w:b/>
                      <w:bCs/>
                      <w:sz w:val="18"/>
                      <w:szCs w:val="18"/>
                    </w:rPr>
                  </w:pPr>
                  <w:r>
                    <w:rPr>
                      <w:rFonts w:hint="eastAsia"/>
                      <w:b/>
                      <w:bCs/>
                      <w:sz w:val="18"/>
                      <w:szCs w:val="18"/>
                    </w:rPr>
                    <w:t>排放方式及去向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dxa"/>
                  <w:vMerge w:val="continue"/>
                  <w:noWrap w:val="0"/>
                  <w:vAlign w:val="center"/>
                </w:tcPr>
                <w:p>
                  <w:pPr>
                    <w:jc w:val="center"/>
                    <w:rPr>
                      <w:rFonts w:hint="eastAsia"/>
                      <w:b/>
                      <w:bCs/>
                      <w:sz w:val="18"/>
                      <w:szCs w:val="18"/>
                    </w:rPr>
                  </w:pPr>
                </w:p>
              </w:tc>
              <w:tc>
                <w:tcPr>
                  <w:tcW w:w="940" w:type="dxa"/>
                  <w:vMerge w:val="continue"/>
                  <w:noWrap w:val="0"/>
                  <w:vAlign w:val="center"/>
                </w:tcPr>
                <w:p>
                  <w:pPr>
                    <w:jc w:val="center"/>
                    <w:rPr>
                      <w:rFonts w:hint="eastAsia"/>
                      <w:b/>
                      <w:bCs/>
                      <w:sz w:val="18"/>
                      <w:szCs w:val="18"/>
                    </w:rPr>
                  </w:pPr>
                </w:p>
              </w:tc>
              <w:tc>
                <w:tcPr>
                  <w:tcW w:w="716" w:type="dxa"/>
                  <w:vMerge w:val="continue"/>
                  <w:noWrap w:val="0"/>
                  <w:vAlign w:val="center"/>
                </w:tcPr>
                <w:p>
                  <w:pPr>
                    <w:jc w:val="center"/>
                    <w:rPr>
                      <w:rFonts w:hint="eastAsia"/>
                      <w:b/>
                      <w:bCs/>
                      <w:sz w:val="18"/>
                      <w:szCs w:val="18"/>
                    </w:rPr>
                  </w:pPr>
                </w:p>
              </w:tc>
              <w:tc>
                <w:tcPr>
                  <w:tcW w:w="816" w:type="dxa"/>
                  <w:vMerge w:val="continue"/>
                  <w:noWrap w:val="0"/>
                  <w:vAlign w:val="center"/>
                </w:tcPr>
                <w:p>
                  <w:pPr>
                    <w:jc w:val="center"/>
                    <w:rPr>
                      <w:rFonts w:hint="eastAsia"/>
                      <w:b/>
                      <w:bCs/>
                      <w:sz w:val="18"/>
                      <w:szCs w:val="18"/>
                    </w:rPr>
                  </w:pPr>
                </w:p>
              </w:tc>
              <w:tc>
                <w:tcPr>
                  <w:tcW w:w="908" w:type="dxa"/>
                  <w:noWrap w:val="0"/>
                  <w:vAlign w:val="center"/>
                </w:tcPr>
                <w:p>
                  <w:pPr>
                    <w:jc w:val="center"/>
                    <w:rPr>
                      <w:rFonts w:hint="eastAsia"/>
                      <w:b/>
                      <w:bCs/>
                      <w:sz w:val="18"/>
                      <w:szCs w:val="18"/>
                    </w:rPr>
                  </w:pPr>
                  <w:r>
                    <w:rPr>
                      <w:rFonts w:hint="eastAsia"/>
                      <w:b/>
                      <w:bCs/>
                      <w:sz w:val="18"/>
                      <w:szCs w:val="18"/>
                    </w:rPr>
                    <w:t>浓度mg/L</w:t>
                  </w:r>
                </w:p>
              </w:tc>
              <w:tc>
                <w:tcPr>
                  <w:tcW w:w="848" w:type="dxa"/>
                  <w:noWrap w:val="0"/>
                  <w:vAlign w:val="center"/>
                </w:tcPr>
                <w:p>
                  <w:pPr>
                    <w:jc w:val="center"/>
                    <w:rPr>
                      <w:rFonts w:hint="eastAsia"/>
                      <w:b/>
                      <w:bCs/>
                      <w:sz w:val="18"/>
                      <w:szCs w:val="18"/>
                    </w:rPr>
                  </w:pPr>
                  <w:r>
                    <w:rPr>
                      <w:rFonts w:hint="eastAsia"/>
                      <w:b/>
                      <w:bCs/>
                      <w:sz w:val="18"/>
                      <w:szCs w:val="18"/>
                    </w:rPr>
                    <w:t>产生量t/a</w:t>
                  </w:r>
                </w:p>
              </w:tc>
              <w:tc>
                <w:tcPr>
                  <w:tcW w:w="884" w:type="dxa"/>
                  <w:vMerge w:val="continue"/>
                  <w:noWrap w:val="0"/>
                  <w:vAlign w:val="center"/>
                </w:tcPr>
                <w:p>
                  <w:pPr>
                    <w:jc w:val="center"/>
                    <w:rPr>
                      <w:rFonts w:hint="eastAsia"/>
                      <w:b/>
                      <w:bCs/>
                      <w:sz w:val="18"/>
                      <w:szCs w:val="18"/>
                    </w:rPr>
                  </w:pPr>
                </w:p>
              </w:tc>
              <w:tc>
                <w:tcPr>
                  <w:tcW w:w="779" w:type="dxa"/>
                  <w:noWrap w:val="0"/>
                  <w:vAlign w:val="center"/>
                </w:tcPr>
                <w:p>
                  <w:pPr>
                    <w:jc w:val="center"/>
                    <w:rPr>
                      <w:rFonts w:hint="eastAsia"/>
                      <w:b/>
                      <w:bCs/>
                      <w:sz w:val="18"/>
                      <w:szCs w:val="18"/>
                    </w:rPr>
                  </w:pPr>
                  <w:r>
                    <w:rPr>
                      <w:rFonts w:hint="eastAsia"/>
                      <w:b/>
                      <w:bCs/>
                      <w:sz w:val="18"/>
                      <w:szCs w:val="18"/>
                    </w:rPr>
                    <w:t>浓度mg/L</w:t>
                  </w:r>
                </w:p>
              </w:tc>
              <w:tc>
                <w:tcPr>
                  <w:tcW w:w="1059" w:type="dxa"/>
                  <w:noWrap w:val="0"/>
                  <w:vAlign w:val="center"/>
                </w:tcPr>
                <w:p>
                  <w:pPr>
                    <w:jc w:val="center"/>
                    <w:rPr>
                      <w:rFonts w:hint="eastAsia"/>
                      <w:b/>
                      <w:bCs/>
                      <w:sz w:val="18"/>
                      <w:szCs w:val="18"/>
                    </w:rPr>
                  </w:pPr>
                  <w:r>
                    <w:rPr>
                      <w:rFonts w:hint="eastAsia"/>
                      <w:b/>
                      <w:bCs/>
                      <w:sz w:val="18"/>
                      <w:szCs w:val="18"/>
                    </w:rPr>
                    <w:t>排放量t/a</w:t>
                  </w:r>
                </w:p>
              </w:tc>
              <w:tc>
                <w:tcPr>
                  <w:tcW w:w="1313" w:type="dxa"/>
                  <w:vMerge w:val="continue"/>
                  <w:noWrap w:val="0"/>
                  <w:vAlign w:val="center"/>
                </w:tcPr>
                <w:p>
                  <w:pPr>
                    <w:jc w:val="center"/>
                    <w:rPr>
                      <w:rFonts w:hint="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96" w:type="dxa"/>
                  <w:vMerge w:val="restart"/>
                  <w:noWrap w:val="0"/>
                  <w:vAlign w:val="center"/>
                </w:tcPr>
                <w:p>
                  <w:pPr>
                    <w:jc w:val="center"/>
                    <w:rPr>
                      <w:rFonts w:hint="eastAsia"/>
                      <w:sz w:val="18"/>
                      <w:szCs w:val="18"/>
                    </w:rPr>
                  </w:pPr>
                  <w:r>
                    <w:rPr>
                      <w:rFonts w:hint="eastAsia"/>
                      <w:sz w:val="18"/>
                      <w:szCs w:val="18"/>
                    </w:rPr>
                    <w:t>营运期</w:t>
                  </w:r>
                </w:p>
              </w:tc>
              <w:tc>
                <w:tcPr>
                  <w:tcW w:w="940" w:type="dxa"/>
                  <w:vMerge w:val="restart"/>
                  <w:noWrap w:val="0"/>
                  <w:vAlign w:val="center"/>
                </w:tcPr>
                <w:p>
                  <w:pPr>
                    <w:jc w:val="center"/>
                    <w:rPr>
                      <w:rFonts w:hint="eastAsia"/>
                      <w:sz w:val="18"/>
                      <w:szCs w:val="18"/>
                    </w:rPr>
                  </w:pPr>
                  <w:r>
                    <w:rPr>
                      <w:rFonts w:hint="eastAsia"/>
                      <w:sz w:val="18"/>
                      <w:szCs w:val="18"/>
                    </w:rPr>
                    <w:t>生活</w:t>
                  </w:r>
                </w:p>
                <w:p>
                  <w:pPr>
                    <w:jc w:val="center"/>
                    <w:rPr>
                      <w:rFonts w:hint="eastAsia"/>
                      <w:sz w:val="18"/>
                      <w:szCs w:val="18"/>
                    </w:rPr>
                  </w:pPr>
                  <w:r>
                    <w:rPr>
                      <w:rFonts w:hint="eastAsia"/>
                      <w:sz w:val="18"/>
                      <w:szCs w:val="18"/>
                    </w:rPr>
                    <w:t>污水</w:t>
                  </w:r>
                </w:p>
              </w:tc>
              <w:tc>
                <w:tcPr>
                  <w:tcW w:w="716" w:type="dxa"/>
                  <w:vMerge w:val="restart"/>
                  <w:noWrap w:val="0"/>
                  <w:vAlign w:val="center"/>
                </w:tcPr>
                <w:p>
                  <w:pPr>
                    <w:jc w:val="center"/>
                    <w:rPr>
                      <w:rFonts w:hint="default" w:eastAsia="宋体"/>
                      <w:sz w:val="18"/>
                      <w:szCs w:val="18"/>
                      <w:lang w:val="en-US" w:eastAsia="zh-CN"/>
                    </w:rPr>
                  </w:pPr>
                  <w:r>
                    <w:rPr>
                      <w:rFonts w:hint="eastAsia"/>
                      <w:sz w:val="18"/>
                      <w:szCs w:val="18"/>
                      <w:lang w:val="en-US" w:eastAsia="zh-CN"/>
                    </w:rPr>
                    <w:t>5610</w:t>
                  </w:r>
                </w:p>
              </w:tc>
              <w:tc>
                <w:tcPr>
                  <w:tcW w:w="816" w:type="dxa"/>
                  <w:noWrap w:val="0"/>
                  <w:vAlign w:val="center"/>
                </w:tcPr>
                <w:p>
                  <w:pPr>
                    <w:jc w:val="center"/>
                    <w:rPr>
                      <w:rFonts w:hint="eastAsia"/>
                      <w:sz w:val="18"/>
                      <w:szCs w:val="18"/>
                    </w:rPr>
                  </w:pPr>
                  <w:r>
                    <w:rPr>
                      <w:rFonts w:hint="eastAsia"/>
                      <w:sz w:val="18"/>
                      <w:szCs w:val="18"/>
                    </w:rPr>
                    <w:t>pH</w:t>
                  </w:r>
                </w:p>
              </w:tc>
              <w:tc>
                <w:tcPr>
                  <w:tcW w:w="908" w:type="dxa"/>
                  <w:noWrap w:val="0"/>
                  <w:vAlign w:val="center"/>
                </w:tcPr>
                <w:p>
                  <w:pPr>
                    <w:spacing w:line="240" w:lineRule="atLeast"/>
                    <w:jc w:val="center"/>
                    <w:rPr>
                      <w:rFonts w:hint="eastAsia"/>
                      <w:sz w:val="18"/>
                      <w:szCs w:val="18"/>
                    </w:rPr>
                  </w:pPr>
                  <w:r>
                    <w:rPr>
                      <w:rFonts w:hint="eastAsia"/>
                      <w:sz w:val="18"/>
                      <w:szCs w:val="18"/>
                    </w:rPr>
                    <w:t>/</w:t>
                  </w:r>
                </w:p>
              </w:tc>
              <w:tc>
                <w:tcPr>
                  <w:tcW w:w="848" w:type="dxa"/>
                  <w:noWrap w:val="0"/>
                  <w:vAlign w:val="center"/>
                </w:tcPr>
                <w:p>
                  <w:pPr>
                    <w:jc w:val="center"/>
                    <w:rPr>
                      <w:sz w:val="18"/>
                      <w:szCs w:val="18"/>
                    </w:rPr>
                  </w:pPr>
                  <w:r>
                    <w:rPr>
                      <w:rFonts w:hint="eastAsia"/>
                      <w:sz w:val="18"/>
                      <w:szCs w:val="18"/>
                    </w:rPr>
                    <w:t>/</w:t>
                  </w:r>
                </w:p>
              </w:tc>
              <w:tc>
                <w:tcPr>
                  <w:tcW w:w="884" w:type="dxa"/>
                  <w:vMerge w:val="restart"/>
                  <w:noWrap w:val="0"/>
                  <w:vAlign w:val="center"/>
                </w:tcPr>
                <w:p>
                  <w:pPr>
                    <w:jc w:val="center"/>
                    <w:rPr>
                      <w:rFonts w:hint="eastAsia"/>
                      <w:sz w:val="18"/>
                      <w:szCs w:val="18"/>
                    </w:rPr>
                  </w:pPr>
                  <w:r>
                    <w:rPr>
                      <w:rFonts w:hint="eastAsia"/>
                      <w:sz w:val="18"/>
                      <w:szCs w:val="18"/>
                    </w:rPr>
                    <w:t>化粪池预处理</w:t>
                  </w:r>
                </w:p>
              </w:tc>
              <w:tc>
                <w:tcPr>
                  <w:tcW w:w="779" w:type="dxa"/>
                  <w:noWrap w:val="0"/>
                  <w:vAlign w:val="center"/>
                </w:tcPr>
                <w:p>
                  <w:pPr>
                    <w:jc w:val="center"/>
                    <w:rPr>
                      <w:sz w:val="18"/>
                      <w:szCs w:val="18"/>
                    </w:rPr>
                  </w:pPr>
                  <w:r>
                    <w:rPr>
                      <w:rFonts w:hint="eastAsia"/>
                      <w:sz w:val="18"/>
                      <w:szCs w:val="18"/>
                    </w:rPr>
                    <w:t>/</w:t>
                  </w:r>
                </w:p>
              </w:tc>
              <w:tc>
                <w:tcPr>
                  <w:tcW w:w="1059" w:type="dxa"/>
                  <w:noWrap w:val="0"/>
                  <w:vAlign w:val="center"/>
                </w:tcPr>
                <w:p>
                  <w:pPr>
                    <w:jc w:val="center"/>
                    <w:rPr>
                      <w:sz w:val="18"/>
                      <w:szCs w:val="18"/>
                    </w:rPr>
                  </w:pPr>
                  <w:r>
                    <w:rPr>
                      <w:rFonts w:hint="eastAsia"/>
                      <w:sz w:val="18"/>
                      <w:szCs w:val="18"/>
                    </w:rPr>
                    <w:t>/</w:t>
                  </w:r>
                </w:p>
              </w:tc>
              <w:tc>
                <w:tcPr>
                  <w:tcW w:w="1313" w:type="dxa"/>
                  <w:vMerge w:val="restart"/>
                  <w:noWrap w:val="0"/>
                  <w:vAlign w:val="center"/>
                </w:tcPr>
                <w:p>
                  <w:pPr>
                    <w:jc w:val="center"/>
                    <w:rPr>
                      <w:sz w:val="18"/>
                      <w:szCs w:val="18"/>
                    </w:rPr>
                  </w:pPr>
                  <w:r>
                    <w:rPr>
                      <w:rFonts w:hint="eastAsia"/>
                      <w:sz w:val="18"/>
                      <w:szCs w:val="18"/>
                    </w:rPr>
                    <w:t>接管</w:t>
                  </w:r>
                  <w:r>
                    <w:rPr>
                      <w:rFonts w:hint="eastAsia" w:cs="Times New Roman"/>
                      <w:color w:val="auto"/>
                      <w:sz w:val="18"/>
                      <w:szCs w:val="18"/>
                      <w:lang w:val="en-US" w:eastAsia="zh-CN"/>
                    </w:rPr>
                    <w:t>淮南安成经济开发区污水处理厂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96" w:type="dxa"/>
                  <w:vMerge w:val="continue"/>
                  <w:noWrap w:val="0"/>
                  <w:vAlign w:val="center"/>
                </w:tcPr>
                <w:p>
                  <w:pPr>
                    <w:jc w:val="center"/>
                    <w:rPr>
                      <w:rFonts w:hint="eastAsia"/>
                      <w:sz w:val="18"/>
                      <w:szCs w:val="18"/>
                    </w:rPr>
                  </w:pPr>
                </w:p>
              </w:tc>
              <w:tc>
                <w:tcPr>
                  <w:tcW w:w="940" w:type="dxa"/>
                  <w:vMerge w:val="continue"/>
                  <w:noWrap w:val="0"/>
                  <w:vAlign w:val="center"/>
                </w:tcPr>
                <w:p>
                  <w:pPr>
                    <w:jc w:val="center"/>
                    <w:rPr>
                      <w:rFonts w:hint="eastAsia"/>
                      <w:sz w:val="18"/>
                      <w:szCs w:val="18"/>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eastAsia"/>
                      <w:sz w:val="18"/>
                      <w:szCs w:val="18"/>
                    </w:rPr>
                  </w:pPr>
                  <w:r>
                    <w:rPr>
                      <w:rFonts w:hint="eastAsia"/>
                      <w:sz w:val="18"/>
                      <w:szCs w:val="18"/>
                    </w:rPr>
                    <w:t>COD</w:t>
                  </w:r>
                </w:p>
              </w:tc>
              <w:tc>
                <w:tcPr>
                  <w:tcW w:w="908" w:type="dxa"/>
                  <w:noWrap w:val="0"/>
                  <w:vAlign w:val="center"/>
                </w:tcPr>
                <w:p>
                  <w:pPr>
                    <w:spacing w:line="240" w:lineRule="atLeast"/>
                    <w:jc w:val="center"/>
                    <w:rPr>
                      <w:rFonts w:hint="eastAsia"/>
                      <w:sz w:val="18"/>
                      <w:szCs w:val="18"/>
                    </w:rPr>
                  </w:pPr>
                  <w:r>
                    <w:rPr>
                      <w:rFonts w:hint="eastAsia"/>
                      <w:sz w:val="18"/>
                      <w:szCs w:val="18"/>
                    </w:rPr>
                    <w:t>340</w:t>
                  </w:r>
                </w:p>
              </w:tc>
              <w:tc>
                <w:tcPr>
                  <w:tcW w:w="848" w:type="dxa"/>
                  <w:noWrap w:val="0"/>
                  <w:vAlign w:val="center"/>
                </w:tcPr>
                <w:p>
                  <w:pPr>
                    <w:jc w:val="center"/>
                    <w:rPr>
                      <w:rFonts w:hint="default" w:eastAsia="宋体"/>
                      <w:sz w:val="18"/>
                      <w:szCs w:val="18"/>
                      <w:lang w:val="en-US" w:eastAsia="zh-CN"/>
                    </w:rPr>
                  </w:pPr>
                  <w:r>
                    <w:rPr>
                      <w:rFonts w:hint="eastAsia"/>
                      <w:sz w:val="18"/>
                      <w:szCs w:val="18"/>
                      <w:lang w:val="en-US" w:eastAsia="zh-CN"/>
                    </w:rPr>
                    <w:t>1.9074</w:t>
                  </w:r>
                </w:p>
              </w:tc>
              <w:tc>
                <w:tcPr>
                  <w:tcW w:w="884" w:type="dxa"/>
                  <w:vMerge w:val="continue"/>
                  <w:noWrap w:val="0"/>
                  <w:vAlign w:val="center"/>
                </w:tcPr>
                <w:p>
                  <w:pPr>
                    <w:jc w:val="center"/>
                    <w:rPr>
                      <w:rFonts w:hint="eastAsia"/>
                      <w:sz w:val="18"/>
                      <w:szCs w:val="18"/>
                    </w:rPr>
                  </w:pPr>
                </w:p>
              </w:tc>
              <w:tc>
                <w:tcPr>
                  <w:tcW w:w="779" w:type="dxa"/>
                  <w:noWrap w:val="0"/>
                  <w:vAlign w:val="center"/>
                </w:tcPr>
                <w:p>
                  <w:pPr>
                    <w:jc w:val="center"/>
                    <w:rPr>
                      <w:sz w:val="18"/>
                      <w:szCs w:val="18"/>
                    </w:rPr>
                  </w:pPr>
                  <w:r>
                    <w:rPr>
                      <w:rFonts w:hint="eastAsia"/>
                      <w:sz w:val="18"/>
                      <w:szCs w:val="18"/>
                    </w:rPr>
                    <w:t>300</w:t>
                  </w:r>
                </w:p>
              </w:tc>
              <w:tc>
                <w:tcPr>
                  <w:tcW w:w="1059" w:type="dxa"/>
                  <w:noWrap w:val="0"/>
                  <w:vAlign w:val="center"/>
                </w:tcPr>
                <w:p>
                  <w:pPr>
                    <w:jc w:val="center"/>
                    <w:rPr>
                      <w:rFonts w:hint="default" w:eastAsia="宋体"/>
                      <w:sz w:val="18"/>
                      <w:szCs w:val="18"/>
                      <w:lang w:val="en-US" w:eastAsia="zh-CN"/>
                    </w:rPr>
                  </w:pPr>
                  <w:r>
                    <w:rPr>
                      <w:rFonts w:hint="eastAsia"/>
                      <w:sz w:val="18"/>
                      <w:szCs w:val="18"/>
                      <w:lang w:val="en-US" w:eastAsia="zh-CN"/>
                    </w:rPr>
                    <w:t>1.683</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96" w:type="dxa"/>
                  <w:vMerge w:val="continue"/>
                  <w:noWrap w:val="0"/>
                  <w:vAlign w:val="center"/>
                </w:tcPr>
                <w:p>
                  <w:pPr>
                    <w:jc w:val="center"/>
                    <w:rPr>
                      <w:rFonts w:hint="eastAsia"/>
                      <w:sz w:val="18"/>
                      <w:szCs w:val="18"/>
                    </w:rPr>
                  </w:pPr>
                </w:p>
              </w:tc>
              <w:tc>
                <w:tcPr>
                  <w:tcW w:w="940" w:type="dxa"/>
                  <w:vMerge w:val="continue"/>
                  <w:noWrap w:val="0"/>
                  <w:vAlign w:val="center"/>
                </w:tcPr>
                <w:p>
                  <w:pPr>
                    <w:jc w:val="center"/>
                    <w:rPr>
                      <w:rFonts w:hint="eastAsia"/>
                      <w:sz w:val="18"/>
                      <w:szCs w:val="18"/>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eastAsia"/>
                      <w:sz w:val="18"/>
                      <w:szCs w:val="18"/>
                    </w:rPr>
                  </w:pPr>
                  <w:r>
                    <w:rPr>
                      <w:rFonts w:hint="eastAsia"/>
                      <w:sz w:val="18"/>
                      <w:szCs w:val="18"/>
                    </w:rPr>
                    <w:t>BOD</w:t>
                  </w:r>
                  <w:r>
                    <w:rPr>
                      <w:rFonts w:hint="eastAsia"/>
                      <w:sz w:val="18"/>
                      <w:szCs w:val="18"/>
                      <w:vertAlign w:val="subscript"/>
                    </w:rPr>
                    <w:t>5</w:t>
                  </w:r>
                </w:p>
              </w:tc>
              <w:tc>
                <w:tcPr>
                  <w:tcW w:w="908" w:type="dxa"/>
                  <w:noWrap w:val="0"/>
                  <w:vAlign w:val="center"/>
                </w:tcPr>
                <w:p>
                  <w:pPr>
                    <w:spacing w:line="240" w:lineRule="atLeast"/>
                    <w:jc w:val="center"/>
                    <w:rPr>
                      <w:rFonts w:hint="eastAsia"/>
                      <w:sz w:val="18"/>
                      <w:szCs w:val="18"/>
                    </w:rPr>
                  </w:pPr>
                  <w:r>
                    <w:rPr>
                      <w:rFonts w:hint="eastAsia"/>
                      <w:sz w:val="18"/>
                      <w:szCs w:val="18"/>
                    </w:rPr>
                    <w:t>160</w:t>
                  </w:r>
                </w:p>
              </w:tc>
              <w:tc>
                <w:tcPr>
                  <w:tcW w:w="848" w:type="dxa"/>
                  <w:noWrap w:val="0"/>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.8976</w:t>
                  </w:r>
                </w:p>
              </w:tc>
              <w:tc>
                <w:tcPr>
                  <w:tcW w:w="884" w:type="dxa"/>
                  <w:vMerge w:val="continue"/>
                  <w:noWrap w:val="0"/>
                  <w:vAlign w:val="center"/>
                </w:tcPr>
                <w:p>
                  <w:pPr>
                    <w:jc w:val="center"/>
                    <w:rPr>
                      <w:rFonts w:hint="eastAsia"/>
                      <w:sz w:val="18"/>
                      <w:szCs w:val="18"/>
                    </w:rPr>
                  </w:pPr>
                </w:p>
              </w:tc>
              <w:tc>
                <w:tcPr>
                  <w:tcW w:w="779" w:type="dxa"/>
                  <w:noWrap w:val="0"/>
                  <w:vAlign w:val="center"/>
                </w:tcPr>
                <w:p>
                  <w:pPr>
                    <w:jc w:val="center"/>
                    <w:rPr>
                      <w:sz w:val="18"/>
                      <w:szCs w:val="18"/>
                    </w:rPr>
                  </w:pPr>
                  <w:r>
                    <w:rPr>
                      <w:rFonts w:hint="eastAsia"/>
                      <w:sz w:val="18"/>
                      <w:szCs w:val="18"/>
                    </w:rPr>
                    <w:t>150</w:t>
                  </w:r>
                </w:p>
              </w:tc>
              <w:tc>
                <w:tcPr>
                  <w:tcW w:w="1059" w:type="dxa"/>
                  <w:noWrap w:val="0"/>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8415</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96" w:type="dxa"/>
                  <w:vMerge w:val="continue"/>
                  <w:noWrap w:val="0"/>
                  <w:vAlign w:val="center"/>
                </w:tcPr>
                <w:p>
                  <w:pPr>
                    <w:jc w:val="center"/>
                    <w:rPr>
                      <w:rFonts w:hint="eastAsia"/>
                      <w:sz w:val="18"/>
                      <w:szCs w:val="18"/>
                    </w:rPr>
                  </w:pPr>
                </w:p>
              </w:tc>
              <w:tc>
                <w:tcPr>
                  <w:tcW w:w="940" w:type="dxa"/>
                  <w:vMerge w:val="continue"/>
                  <w:noWrap w:val="0"/>
                  <w:vAlign w:val="center"/>
                </w:tcPr>
                <w:p>
                  <w:pPr>
                    <w:jc w:val="center"/>
                    <w:rPr>
                      <w:rFonts w:hint="eastAsia"/>
                      <w:sz w:val="18"/>
                      <w:szCs w:val="18"/>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eastAsia"/>
                      <w:sz w:val="18"/>
                      <w:szCs w:val="18"/>
                    </w:rPr>
                  </w:pPr>
                  <w:r>
                    <w:rPr>
                      <w:rFonts w:hint="eastAsia"/>
                      <w:sz w:val="18"/>
                      <w:szCs w:val="18"/>
                    </w:rPr>
                    <w:t>氨氮</w:t>
                  </w:r>
                </w:p>
              </w:tc>
              <w:tc>
                <w:tcPr>
                  <w:tcW w:w="908" w:type="dxa"/>
                  <w:noWrap w:val="0"/>
                  <w:vAlign w:val="center"/>
                </w:tcPr>
                <w:p>
                  <w:pPr>
                    <w:spacing w:line="240" w:lineRule="atLeast"/>
                    <w:jc w:val="center"/>
                    <w:rPr>
                      <w:rFonts w:hint="eastAsia"/>
                      <w:sz w:val="18"/>
                      <w:szCs w:val="18"/>
                    </w:rPr>
                  </w:pPr>
                  <w:r>
                    <w:rPr>
                      <w:rFonts w:hint="eastAsia"/>
                      <w:sz w:val="18"/>
                      <w:szCs w:val="18"/>
                    </w:rPr>
                    <w:t>32.6</w:t>
                  </w:r>
                </w:p>
              </w:tc>
              <w:tc>
                <w:tcPr>
                  <w:tcW w:w="848" w:type="dxa"/>
                  <w:noWrap w:val="0"/>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1829</w:t>
                  </w:r>
                </w:p>
              </w:tc>
              <w:tc>
                <w:tcPr>
                  <w:tcW w:w="884" w:type="dxa"/>
                  <w:vMerge w:val="continue"/>
                  <w:noWrap w:val="0"/>
                  <w:vAlign w:val="center"/>
                </w:tcPr>
                <w:p>
                  <w:pPr>
                    <w:jc w:val="center"/>
                    <w:rPr>
                      <w:rFonts w:hint="eastAsia"/>
                      <w:sz w:val="18"/>
                      <w:szCs w:val="18"/>
                    </w:rPr>
                  </w:pPr>
                </w:p>
              </w:tc>
              <w:tc>
                <w:tcPr>
                  <w:tcW w:w="779" w:type="dxa"/>
                  <w:noWrap w:val="0"/>
                  <w:vAlign w:val="center"/>
                </w:tcPr>
                <w:p>
                  <w:pPr>
                    <w:jc w:val="center"/>
                    <w:rPr>
                      <w:rFonts w:hint="eastAsia"/>
                      <w:sz w:val="18"/>
                      <w:szCs w:val="18"/>
                    </w:rPr>
                  </w:pPr>
                  <w:r>
                    <w:rPr>
                      <w:rFonts w:hint="eastAsia"/>
                      <w:sz w:val="18"/>
                      <w:szCs w:val="18"/>
                    </w:rPr>
                    <w:t>25</w:t>
                  </w:r>
                </w:p>
              </w:tc>
              <w:tc>
                <w:tcPr>
                  <w:tcW w:w="1059" w:type="dxa"/>
                  <w:noWrap w:val="0"/>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1403</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6" w:type="dxa"/>
                  <w:vMerge w:val="continue"/>
                  <w:noWrap w:val="0"/>
                  <w:vAlign w:val="center"/>
                </w:tcPr>
                <w:p>
                  <w:pPr>
                    <w:jc w:val="center"/>
                    <w:rPr>
                      <w:rFonts w:hint="eastAsia"/>
                      <w:sz w:val="18"/>
                      <w:szCs w:val="18"/>
                    </w:rPr>
                  </w:pPr>
                </w:p>
              </w:tc>
              <w:tc>
                <w:tcPr>
                  <w:tcW w:w="940" w:type="dxa"/>
                  <w:vMerge w:val="continue"/>
                  <w:noWrap w:val="0"/>
                  <w:vAlign w:val="center"/>
                </w:tcPr>
                <w:p>
                  <w:pPr>
                    <w:jc w:val="center"/>
                    <w:rPr>
                      <w:rFonts w:hint="eastAsia"/>
                      <w:sz w:val="18"/>
                      <w:szCs w:val="18"/>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eastAsia"/>
                      <w:sz w:val="18"/>
                      <w:szCs w:val="18"/>
                    </w:rPr>
                  </w:pPr>
                  <w:r>
                    <w:rPr>
                      <w:rFonts w:hint="eastAsia"/>
                      <w:sz w:val="18"/>
                      <w:szCs w:val="18"/>
                    </w:rPr>
                    <w:t>SS</w:t>
                  </w:r>
                </w:p>
              </w:tc>
              <w:tc>
                <w:tcPr>
                  <w:tcW w:w="908" w:type="dxa"/>
                  <w:noWrap w:val="0"/>
                  <w:vAlign w:val="center"/>
                </w:tcPr>
                <w:p>
                  <w:pPr>
                    <w:spacing w:line="240" w:lineRule="atLeast"/>
                    <w:jc w:val="center"/>
                    <w:rPr>
                      <w:rFonts w:hint="eastAsia"/>
                      <w:sz w:val="18"/>
                      <w:szCs w:val="18"/>
                    </w:rPr>
                  </w:pPr>
                  <w:r>
                    <w:rPr>
                      <w:rFonts w:hint="eastAsia"/>
                      <w:sz w:val="18"/>
                      <w:szCs w:val="18"/>
                    </w:rPr>
                    <w:t>200</w:t>
                  </w:r>
                </w:p>
              </w:tc>
              <w:tc>
                <w:tcPr>
                  <w:tcW w:w="848" w:type="dxa"/>
                  <w:noWrap w:val="0"/>
                  <w:vAlign w:val="center"/>
                </w:tcPr>
                <w:p>
                  <w:pPr>
                    <w:jc w:val="center"/>
                    <w:rPr>
                      <w:rFonts w:hint="default" w:eastAsia="宋体"/>
                      <w:sz w:val="18"/>
                      <w:szCs w:val="18"/>
                      <w:lang w:val="en-US" w:eastAsia="zh-CN"/>
                    </w:rPr>
                  </w:pPr>
                  <w:r>
                    <w:rPr>
                      <w:rFonts w:hint="eastAsia"/>
                      <w:sz w:val="18"/>
                      <w:szCs w:val="18"/>
                      <w:lang w:val="en-US" w:eastAsia="zh-CN"/>
                    </w:rPr>
                    <w:t>1.122</w:t>
                  </w:r>
                </w:p>
              </w:tc>
              <w:tc>
                <w:tcPr>
                  <w:tcW w:w="884" w:type="dxa"/>
                  <w:vMerge w:val="continue"/>
                  <w:noWrap w:val="0"/>
                  <w:vAlign w:val="center"/>
                </w:tcPr>
                <w:p>
                  <w:pPr>
                    <w:jc w:val="center"/>
                    <w:rPr>
                      <w:rFonts w:hint="eastAsia"/>
                      <w:sz w:val="18"/>
                      <w:szCs w:val="18"/>
                    </w:rPr>
                  </w:pPr>
                </w:p>
              </w:tc>
              <w:tc>
                <w:tcPr>
                  <w:tcW w:w="779" w:type="dxa"/>
                  <w:noWrap w:val="0"/>
                  <w:vAlign w:val="center"/>
                </w:tcPr>
                <w:p>
                  <w:pPr>
                    <w:jc w:val="center"/>
                    <w:rPr>
                      <w:sz w:val="18"/>
                      <w:szCs w:val="18"/>
                    </w:rPr>
                  </w:pPr>
                  <w:r>
                    <w:rPr>
                      <w:rFonts w:hint="eastAsia"/>
                      <w:sz w:val="18"/>
                      <w:szCs w:val="18"/>
                    </w:rPr>
                    <w:t>150</w:t>
                  </w:r>
                </w:p>
              </w:tc>
              <w:tc>
                <w:tcPr>
                  <w:tcW w:w="1059" w:type="dxa"/>
                  <w:noWrap w:val="0"/>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8415</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6" w:type="dxa"/>
                  <w:vMerge w:val="continue"/>
                  <w:noWrap w:val="0"/>
                  <w:vAlign w:val="center"/>
                </w:tcPr>
                <w:p>
                  <w:pPr>
                    <w:jc w:val="center"/>
                    <w:rPr>
                      <w:rFonts w:hint="eastAsia"/>
                      <w:sz w:val="18"/>
                      <w:szCs w:val="18"/>
                    </w:rPr>
                  </w:pPr>
                </w:p>
              </w:tc>
              <w:tc>
                <w:tcPr>
                  <w:tcW w:w="940" w:type="dxa"/>
                  <w:vMerge w:val="continue"/>
                  <w:noWrap w:val="0"/>
                  <w:vAlign w:val="center"/>
                </w:tcPr>
                <w:p>
                  <w:pPr>
                    <w:jc w:val="center"/>
                    <w:rPr>
                      <w:rFonts w:hint="eastAsia"/>
                      <w:sz w:val="18"/>
                      <w:szCs w:val="18"/>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default" w:eastAsia="宋体"/>
                      <w:sz w:val="18"/>
                      <w:szCs w:val="18"/>
                      <w:lang w:val="en-US" w:eastAsia="zh-CN"/>
                    </w:rPr>
                  </w:pPr>
                  <w:r>
                    <w:rPr>
                      <w:rFonts w:hint="eastAsia"/>
                      <w:sz w:val="18"/>
                      <w:szCs w:val="18"/>
                      <w:lang w:val="en-US" w:eastAsia="zh-CN"/>
                    </w:rPr>
                    <w:t>TN</w:t>
                  </w:r>
                </w:p>
              </w:tc>
              <w:tc>
                <w:tcPr>
                  <w:tcW w:w="908" w:type="dxa"/>
                  <w:noWrap w:val="0"/>
                  <w:vAlign w:val="center"/>
                </w:tcPr>
                <w:p>
                  <w:pPr>
                    <w:spacing w:line="240" w:lineRule="atLeast"/>
                    <w:jc w:val="center"/>
                    <w:rPr>
                      <w:rFonts w:hint="default" w:eastAsia="宋体"/>
                      <w:sz w:val="18"/>
                      <w:szCs w:val="18"/>
                      <w:lang w:val="en-US" w:eastAsia="zh-CN"/>
                    </w:rPr>
                  </w:pPr>
                  <w:r>
                    <w:rPr>
                      <w:rFonts w:hint="eastAsia"/>
                      <w:sz w:val="18"/>
                      <w:szCs w:val="18"/>
                      <w:lang w:val="en-US" w:eastAsia="zh-CN"/>
                    </w:rPr>
                    <w:t>44.8</w:t>
                  </w:r>
                </w:p>
              </w:tc>
              <w:tc>
                <w:tcPr>
                  <w:tcW w:w="848" w:type="dxa"/>
                  <w:noWrap w:val="0"/>
                  <w:vAlign w:val="center"/>
                </w:tcPr>
                <w:p>
                  <w:pPr>
                    <w:jc w:val="center"/>
                    <w:rPr>
                      <w:rFonts w:hint="default"/>
                      <w:sz w:val="18"/>
                      <w:szCs w:val="18"/>
                      <w:lang w:val="en-US" w:eastAsia="zh-CN"/>
                    </w:rPr>
                  </w:pPr>
                  <w:r>
                    <w:rPr>
                      <w:rFonts w:hint="eastAsia"/>
                      <w:sz w:val="18"/>
                      <w:szCs w:val="18"/>
                      <w:lang w:val="en-US" w:eastAsia="zh-CN"/>
                    </w:rPr>
                    <w:t>0.251</w:t>
                  </w:r>
                </w:p>
              </w:tc>
              <w:tc>
                <w:tcPr>
                  <w:tcW w:w="884" w:type="dxa"/>
                  <w:vMerge w:val="continue"/>
                  <w:noWrap w:val="0"/>
                  <w:vAlign w:val="center"/>
                </w:tcPr>
                <w:p>
                  <w:pPr>
                    <w:jc w:val="center"/>
                    <w:rPr>
                      <w:rFonts w:hint="eastAsia"/>
                      <w:sz w:val="18"/>
                      <w:szCs w:val="18"/>
                    </w:rPr>
                  </w:pPr>
                </w:p>
              </w:tc>
              <w:tc>
                <w:tcPr>
                  <w:tcW w:w="779" w:type="dxa"/>
                  <w:noWrap w:val="0"/>
                  <w:vAlign w:val="center"/>
                </w:tcPr>
                <w:p>
                  <w:pPr>
                    <w:jc w:val="center"/>
                    <w:rPr>
                      <w:rFonts w:hint="default" w:eastAsia="宋体"/>
                      <w:sz w:val="18"/>
                      <w:szCs w:val="18"/>
                      <w:lang w:val="en-US" w:eastAsia="zh-CN"/>
                    </w:rPr>
                  </w:pPr>
                  <w:r>
                    <w:rPr>
                      <w:rFonts w:hint="eastAsia"/>
                      <w:sz w:val="18"/>
                      <w:szCs w:val="18"/>
                      <w:lang w:val="en-US" w:eastAsia="zh-CN"/>
                    </w:rPr>
                    <w:t>40</w:t>
                  </w:r>
                </w:p>
              </w:tc>
              <w:tc>
                <w:tcPr>
                  <w:tcW w:w="1059" w:type="dxa"/>
                  <w:noWrap w:val="0"/>
                  <w:vAlign w:val="center"/>
                </w:tcPr>
                <w:p>
                  <w:pPr>
                    <w:jc w:val="center"/>
                    <w:rPr>
                      <w:rFonts w:hint="default" w:eastAsia="宋体"/>
                      <w:sz w:val="18"/>
                      <w:szCs w:val="18"/>
                      <w:lang w:val="en-US" w:eastAsia="zh-CN"/>
                    </w:rPr>
                  </w:pPr>
                  <w:r>
                    <w:rPr>
                      <w:rFonts w:hint="eastAsia"/>
                      <w:sz w:val="18"/>
                      <w:szCs w:val="18"/>
                      <w:lang w:val="en-US" w:eastAsia="zh-CN"/>
                    </w:rPr>
                    <w:t>0.224</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dxa"/>
                  <w:vMerge w:val="continue"/>
                  <w:noWrap w:val="0"/>
                  <w:vAlign w:val="center"/>
                </w:tcPr>
                <w:p>
                  <w:pPr>
                    <w:jc w:val="center"/>
                    <w:rPr>
                      <w:rFonts w:hint="eastAsia"/>
                      <w:sz w:val="18"/>
                      <w:szCs w:val="18"/>
                    </w:rPr>
                  </w:pPr>
                </w:p>
              </w:tc>
              <w:tc>
                <w:tcPr>
                  <w:tcW w:w="940" w:type="dxa"/>
                  <w:vMerge w:val="continue"/>
                  <w:noWrap w:val="0"/>
                  <w:vAlign w:val="center"/>
                </w:tcPr>
                <w:p>
                  <w:pPr>
                    <w:jc w:val="center"/>
                    <w:rPr>
                      <w:rFonts w:hint="eastAsia"/>
                      <w:sz w:val="18"/>
                      <w:szCs w:val="18"/>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eastAsia"/>
                      <w:sz w:val="18"/>
                      <w:szCs w:val="18"/>
                    </w:rPr>
                  </w:pPr>
                  <w:r>
                    <w:rPr>
                      <w:rFonts w:hint="eastAsia"/>
                      <w:sz w:val="18"/>
                      <w:szCs w:val="18"/>
                    </w:rPr>
                    <w:t>TP</w:t>
                  </w:r>
                </w:p>
              </w:tc>
              <w:tc>
                <w:tcPr>
                  <w:tcW w:w="908" w:type="dxa"/>
                  <w:noWrap w:val="0"/>
                  <w:vAlign w:val="center"/>
                </w:tcPr>
                <w:p>
                  <w:pPr>
                    <w:spacing w:line="240" w:lineRule="atLeast"/>
                    <w:jc w:val="center"/>
                    <w:rPr>
                      <w:rFonts w:hint="eastAsia"/>
                      <w:sz w:val="18"/>
                      <w:szCs w:val="18"/>
                    </w:rPr>
                  </w:pPr>
                  <w:r>
                    <w:rPr>
                      <w:rFonts w:hint="eastAsia"/>
                      <w:sz w:val="18"/>
                      <w:szCs w:val="18"/>
                    </w:rPr>
                    <w:t>4.27</w:t>
                  </w:r>
                </w:p>
              </w:tc>
              <w:tc>
                <w:tcPr>
                  <w:tcW w:w="848" w:type="dxa"/>
                  <w:noWrap w:val="0"/>
                  <w:vAlign w:val="center"/>
                </w:tcPr>
                <w:p>
                  <w:pPr>
                    <w:jc w:val="center"/>
                    <w:rPr>
                      <w:rFonts w:hint="default" w:eastAsia="宋体"/>
                      <w:sz w:val="18"/>
                      <w:szCs w:val="18"/>
                      <w:lang w:val="en-US" w:eastAsia="zh-CN"/>
                    </w:rPr>
                  </w:pPr>
                  <w:r>
                    <w:rPr>
                      <w:rFonts w:hint="eastAsia"/>
                      <w:sz w:val="18"/>
                      <w:szCs w:val="18"/>
                    </w:rPr>
                    <w:t>0.0</w:t>
                  </w:r>
                  <w:r>
                    <w:rPr>
                      <w:rFonts w:hint="eastAsia"/>
                      <w:sz w:val="18"/>
                      <w:szCs w:val="18"/>
                      <w:lang w:val="en-US" w:eastAsia="zh-CN"/>
                    </w:rPr>
                    <w:t>24</w:t>
                  </w:r>
                </w:p>
              </w:tc>
              <w:tc>
                <w:tcPr>
                  <w:tcW w:w="884" w:type="dxa"/>
                  <w:vMerge w:val="continue"/>
                  <w:noWrap w:val="0"/>
                  <w:vAlign w:val="center"/>
                </w:tcPr>
                <w:p>
                  <w:pPr>
                    <w:jc w:val="center"/>
                    <w:rPr>
                      <w:rFonts w:hint="eastAsia"/>
                      <w:sz w:val="18"/>
                      <w:szCs w:val="18"/>
                    </w:rPr>
                  </w:pPr>
                </w:p>
              </w:tc>
              <w:tc>
                <w:tcPr>
                  <w:tcW w:w="779" w:type="dxa"/>
                  <w:noWrap w:val="0"/>
                  <w:vAlign w:val="center"/>
                </w:tcPr>
                <w:p>
                  <w:pPr>
                    <w:jc w:val="center"/>
                    <w:rPr>
                      <w:rFonts w:hint="eastAsia"/>
                      <w:sz w:val="18"/>
                      <w:szCs w:val="18"/>
                    </w:rPr>
                  </w:pPr>
                  <w:r>
                    <w:rPr>
                      <w:rFonts w:hint="eastAsia"/>
                      <w:sz w:val="18"/>
                      <w:szCs w:val="18"/>
                    </w:rPr>
                    <w:t>4</w:t>
                  </w:r>
                </w:p>
              </w:tc>
              <w:tc>
                <w:tcPr>
                  <w:tcW w:w="1059" w:type="dxa"/>
                  <w:noWrap w:val="0"/>
                  <w:vAlign w:val="center"/>
                </w:tcPr>
                <w:p>
                  <w:pPr>
                    <w:jc w:val="center"/>
                    <w:rPr>
                      <w:rFonts w:hint="default" w:eastAsia="宋体"/>
                      <w:sz w:val="18"/>
                      <w:szCs w:val="18"/>
                      <w:lang w:val="en-US" w:eastAsia="zh-CN"/>
                    </w:rPr>
                  </w:pPr>
                  <w:r>
                    <w:rPr>
                      <w:rFonts w:hint="eastAsia"/>
                      <w:sz w:val="18"/>
                      <w:szCs w:val="18"/>
                    </w:rPr>
                    <w:t>0.0</w:t>
                  </w:r>
                  <w:r>
                    <w:rPr>
                      <w:rFonts w:hint="eastAsia"/>
                      <w:sz w:val="18"/>
                      <w:szCs w:val="18"/>
                      <w:lang w:val="en-US" w:eastAsia="zh-CN"/>
                    </w:rPr>
                    <w:t>224</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dxa"/>
                  <w:vMerge w:val="continue"/>
                  <w:noWrap w:val="0"/>
                  <w:vAlign w:val="center"/>
                </w:tcPr>
                <w:p>
                  <w:pPr>
                    <w:jc w:val="center"/>
                    <w:rPr>
                      <w:rFonts w:hint="eastAsia"/>
                      <w:sz w:val="18"/>
                      <w:szCs w:val="18"/>
                    </w:rPr>
                  </w:pPr>
                </w:p>
              </w:tc>
              <w:tc>
                <w:tcPr>
                  <w:tcW w:w="940" w:type="dxa"/>
                  <w:vMerge w:val="restart"/>
                  <w:noWrap w:val="0"/>
                  <w:vAlign w:val="center"/>
                </w:tcPr>
                <w:p>
                  <w:pPr>
                    <w:jc w:val="center"/>
                    <w:rPr>
                      <w:rFonts w:hint="default" w:eastAsia="宋体"/>
                      <w:sz w:val="18"/>
                      <w:szCs w:val="18"/>
                      <w:lang w:val="en-US" w:eastAsia="zh-CN"/>
                    </w:rPr>
                  </w:pPr>
                  <w:r>
                    <w:rPr>
                      <w:rFonts w:hint="eastAsia"/>
                      <w:sz w:val="18"/>
                      <w:szCs w:val="18"/>
                      <w:lang w:val="en-US" w:eastAsia="zh-CN"/>
                    </w:rPr>
                    <w:t>浓水</w:t>
                  </w:r>
                </w:p>
              </w:tc>
              <w:tc>
                <w:tcPr>
                  <w:tcW w:w="716" w:type="dxa"/>
                  <w:vMerge w:val="restart"/>
                  <w:noWrap w:val="0"/>
                  <w:vAlign w:val="center"/>
                </w:tcPr>
                <w:p>
                  <w:pPr>
                    <w:jc w:val="center"/>
                    <w:rPr>
                      <w:rFonts w:hint="default" w:eastAsia="宋体"/>
                      <w:sz w:val="18"/>
                      <w:szCs w:val="18"/>
                      <w:lang w:val="en-US" w:eastAsia="zh-CN"/>
                    </w:rPr>
                  </w:pPr>
                  <w:r>
                    <w:rPr>
                      <w:rFonts w:hint="eastAsia"/>
                      <w:sz w:val="18"/>
                      <w:szCs w:val="18"/>
                      <w:lang w:val="en-US" w:eastAsia="zh-CN"/>
                    </w:rPr>
                    <w:t>225</w:t>
                  </w:r>
                </w:p>
              </w:tc>
              <w:tc>
                <w:tcPr>
                  <w:tcW w:w="816" w:type="dxa"/>
                  <w:noWrap w:val="0"/>
                  <w:vAlign w:val="center"/>
                </w:tcPr>
                <w:p>
                  <w:pPr>
                    <w:jc w:val="center"/>
                    <w:rPr>
                      <w:rFonts w:hint="eastAsia"/>
                      <w:sz w:val="18"/>
                      <w:szCs w:val="18"/>
                    </w:rPr>
                  </w:pPr>
                  <w:r>
                    <w:rPr>
                      <w:rFonts w:hint="eastAsia"/>
                      <w:sz w:val="18"/>
                      <w:szCs w:val="18"/>
                    </w:rPr>
                    <w:t>COD</w:t>
                  </w:r>
                </w:p>
              </w:tc>
              <w:tc>
                <w:tcPr>
                  <w:tcW w:w="908" w:type="dxa"/>
                  <w:noWrap w:val="0"/>
                  <w:vAlign w:val="center"/>
                </w:tcPr>
                <w:p>
                  <w:pPr>
                    <w:spacing w:line="240" w:lineRule="atLeast"/>
                    <w:jc w:val="center"/>
                    <w:rPr>
                      <w:rFonts w:hint="default" w:eastAsia="宋体"/>
                      <w:sz w:val="18"/>
                      <w:szCs w:val="18"/>
                      <w:lang w:val="en-US" w:eastAsia="zh-CN"/>
                    </w:rPr>
                  </w:pPr>
                  <w:r>
                    <w:rPr>
                      <w:rFonts w:hint="eastAsia"/>
                      <w:sz w:val="18"/>
                      <w:szCs w:val="18"/>
                      <w:lang w:val="en-US" w:eastAsia="zh-CN"/>
                    </w:rPr>
                    <w:t>30</w:t>
                  </w:r>
                </w:p>
              </w:tc>
              <w:tc>
                <w:tcPr>
                  <w:tcW w:w="848" w:type="dxa"/>
                  <w:noWrap w:val="0"/>
                  <w:vAlign w:val="center"/>
                </w:tcPr>
                <w:p>
                  <w:pPr>
                    <w:jc w:val="center"/>
                    <w:rPr>
                      <w:rFonts w:hint="default" w:eastAsia="宋体"/>
                      <w:sz w:val="18"/>
                      <w:szCs w:val="18"/>
                      <w:lang w:val="en-US" w:eastAsia="zh-CN"/>
                    </w:rPr>
                  </w:pPr>
                  <w:r>
                    <w:rPr>
                      <w:rFonts w:hint="eastAsia"/>
                      <w:sz w:val="18"/>
                      <w:szCs w:val="18"/>
                      <w:lang w:val="en-US" w:eastAsia="zh-CN"/>
                    </w:rPr>
                    <w:t>0.0068</w:t>
                  </w:r>
                </w:p>
              </w:tc>
              <w:tc>
                <w:tcPr>
                  <w:tcW w:w="884" w:type="dxa"/>
                  <w:vMerge w:val="restart"/>
                  <w:noWrap w:val="0"/>
                  <w:vAlign w:val="center"/>
                </w:tcPr>
                <w:p>
                  <w:pPr>
                    <w:jc w:val="center"/>
                    <w:rPr>
                      <w:rFonts w:hint="eastAsia" w:eastAsia="宋体"/>
                      <w:sz w:val="18"/>
                      <w:szCs w:val="18"/>
                      <w:lang w:val="en-US" w:eastAsia="zh-CN"/>
                    </w:rPr>
                  </w:pPr>
                  <w:r>
                    <w:rPr>
                      <w:rFonts w:hint="eastAsia"/>
                      <w:sz w:val="18"/>
                      <w:szCs w:val="18"/>
                      <w:lang w:val="en-US" w:eastAsia="zh-CN"/>
                    </w:rPr>
                    <w:t>直排</w:t>
                  </w:r>
                </w:p>
              </w:tc>
              <w:tc>
                <w:tcPr>
                  <w:tcW w:w="779" w:type="dxa"/>
                  <w:noWrap w:val="0"/>
                  <w:vAlign w:val="center"/>
                </w:tcPr>
                <w:p>
                  <w:pPr>
                    <w:spacing w:line="240" w:lineRule="atLeast"/>
                    <w:jc w:val="center"/>
                    <w:rPr>
                      <w:rFonts w:hint="eastAsia"/>
                      <w:sz w:val="18"/>
                      <w:szCs w:val="18"/>
                    </w:rPr>
                  </w:pPr>
                  <w:r>
                    <w:rPr>
                      <w:rFonts w:hint="eastAsia"/>
                      <w:sz w:val="18"/>
                      <w:szCs w:val="18"/>
                      <w:lang w:val="en-US" w:eastAsia="zh-CN"/>
                    </w:rPr>
                    <w:t>30</w:t>
                  </w:r>
                </w:p>
              </w:tc>
              <w:tc>
                <w:tcPr>
                  <w:tcW w:w="1059" w:type="dxa"/>
                  <w:noWrap w:val="0"/>
                  <w:vAlign w:val="center"/>
                </w:tcPr>
                <w:p>
                  <w:pPr>
                    <w:jc w:val="center"/>
                    <w:rPr>
                      <w:rFonts w:hint="eastAsia"/>
                      <w:sz w:val="18"/>
                      <w:szCs w:val="18"/>
                    </w:rPr>
                  </w:pPr>
                  <w:r>
                    <w:rPr>
                      <w:rFonts w:hint="eastAsia"/>
                      <w:sz w:val="18"/>
                      <w:szCs w:val="18"/>
                      <w:lang w:val="en-US" w:eastAsia="zh-CN"/>
                    </w:rPr>
                    <w:t>0.0068</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dxa"/>
                  <w:vMerge w:val="continue"/>
                  <w:noWrap w:val="0"/>
                  <w:vAlign w:val="center"/>
                </w:tcPr>
                <w:p>
                  <w:pPr>
                    <w:jc w:val="center"/>
                    <w:rPr>
                      <w:rFonts w:hint="eastAsia"/>
                      <w:sz w:val="18"/>
                      <w:szCs w:val="18"/>
                    </w:rPr>
                  </w:pPr>
                </w:p>
              </w:tc>
              <w:tc>
                <w:tcPr>
                  <w:tcW w:w="940" w:type="dxa"/>
                  <w:vMerge w:val="continue"/>
                  <w:noWrap w:val="0"/>
                  <w:vAlign w:val="center"/>
                </w:tcPr>
                <w:p>
                  <w:pPr>
                    <w:jc w:val="center"/>
                    <w:rPr>
                      <w:rFonts w:hint="eastAsia"/>
                      <w:sz w:val="18"/>
                      <w:szCs w:val="18"/>
                      <w:lang w:val="en-US" w:eastAsia="zh-CN"/>
                    </w:rPr>
                  </w:pPr>
                </w:p>
              </w:tc>
              <w:tc>
                <w:tcPr>
                  <w:tcW w:w="716" w:type="dxa"/>
                  <w:vMerge w:val="continue"/>
                  <w:noWrap w:val="0"/>
                  <w:vAlign w:val="center"/>
                </w:tcPr>
                <w:p>
                  <w:pPr>
                    <w:jc w:val="center"/>
                    <w:rPr>
                      <w:rFonts w:hint="eastAsia"/>
                      <w:sz w:val="18"/>
                      <w:szCs w:val="18"/>
                      <w:lang w:val="en-US" w:eastAsia="zh-CN"/>
                    </w:rPr>
                  </w:pPr>
                </w:p>
              </w:tc>
              <w:tc>
                <w:tcPr>
                  <w:tcW w:w="816" w:type="dxa"/>
                  <w:noWrap w:val="0"/>
                  <w:vAlign w:val="center"/>
                </w:tcPr>
                <w:p>
                  <w:pPr>
                    <w:jc w:val="center"/>
                    <w:rPr>
                      <w:rFonts w:hint="eastAsia"/>
                      <w:sz w:val="18"/>
                      <w:szCs w:val="18"/>
                    </w:rPr>
                  </w:pPr>
                  <w:r>
                    <w:rPr>
                      <w:rFonts w:hint="eastAsia"/>
                      <w:sz w:val="18"/>
                      <w:szCs w:val="18"/>
                      <w:lang w:val="en-US" w:eastAsia="zh-CN"/>
                    </w:rPr>
                    <w:t>SS</w:t>
                  </w:r>
                </w:p>
              </w:tc>
              <w:tc>
                <w:tcPr>
                  <w:tcW w:w="908" w:type="dxa"/>
                  <w:noWrap w:val="0"/>
                  <w:vAlign w:val="center"/>
                </w:tcPr>
                <w:p>
                  <w:pPr>
                    <w:spacing w:line="240" w:lineRule="atLeast"/>
                    <w:jc w:val="center"/>
                    <w:rPr>
                      <w:rFonts w:hint="default" w:eastAsia="宋体"/>
                      <w:sz w:val="18"/>
                      <w:szCs w:val="18"/>
                      <w:lang w:val="en-US" w:eastAsia="zh-CN"/>
                    </w:rPr>
                  </w:pPr>
                  <w:r>
                    <w:rPr>
                      <w:rFonts w:hint="eastAsia"/>
                      <w:sz w:val="18"/>
                      <w:szCs w:val="18"/>
                      <w:lang w:val="en-US" w:eastAsia="zh-CN"/>
                    </w:rPr>
                    <w:t>20</w:t>
                  </w:r>
                </w:p>
              </w:tc>
              <w:tc>
                <w:tcPr>
                  <w:tcW w:w="848" w:type="dxa"/>
                  <w:noWrap w:val="0"/>
                  <w:vAlign w:val="center"/>
                </w:tcPr>
                <w:p>
                  <w:pPr>
                    <w:jc w:val="center"/>
                    <w:rPr>
                      <w:rFonts w:hint="default" w:eastAsia="宋体"/>
                      <w:sz w:val="18"/>
                      <w:szCs w:val="18"/>
                      <w:lang w:val="en-US" w:eastAsia="zh-CN"/>
                    </w:rPr>
                  </w:pPr>
                  <w:r>
                    <w:rPr>
                      <w:rFonts w:hint="eastAsia"/>
                      <w:sz w:val="18"/>
                      <w:szCs w:val="18"/>
                      <w:lang w:val="en-US" w:eastAsia="zh-CN"/>
                    </w:rPr>
                    <w:t>0.0045</w:t>
                  </w:r>
                </w:p>
              </w:tc>
              <w:tc>
                <w:tcPr>
                  <w:tcW w:w="884" w:type="dxa"/>
                  <w:vMerge w:val="continue"/>
                  <w:noWrap w:val="0"/>
                  <w:vAlign w:val="center"/>
                </w:tcPr>
                <w:p>
                  <w:pPr>
                    <w:jc w:val="center"/>
                    <w:rPr>
                      <w:rFonts w:hint="eastAsia"/>
                      <w:sz w:val="18"/>
                      <w:szCs w:val="18"/>
                    </w:rPr>
                  </w:pPr>
                </w:p>
              </w:tc>
              <w:tc>
                <w:tcPr>
                  <w:tcW w:w="779" w:type="dxa"/>
                  <w:noWrap w:val="0"/>
                  <w:vAlign w:val="center"/>
                </w:tcPr>
                <w:p>
                  <w:pPr>
                    <w:spacing w:line="240" w:lineRule="atLeast"/>
                    <w:jc w:val="center"/>
                    <w:rPr>
                      <w:rFonts w:hint="eastAsia"/>
                      <w:sz w:val="18"/>
                      <w:szCs w:val="18"/>
                    </w:rPr>
                  </w:pPr>
                  <w:r>
                    <w:rPr>
                      <w:rFonts w:hint="eastAsia"/>
                      <w:sz w:val="18"/>
                      <w:szCs w:val="18"/>
                      <w:lang w:val="en-US" w:eastAsia="zh-CN"/>
                    </w:rPr>
                    <w:t>20</w:t>
                  </w:r>
                </w:p>
              </w:tc>
              <w:tc>
                <w:tcPr>
                  <w:tcW w:w="1059" w:type="dxa"/>
                  <w:noWrap w:val="0"/>
                  <w:vAlign w:val="center"/>
                </w:tcPr>
                <w:p>
                  <w:pPr>
                    <w:jc w:val="center"/>
                    <w:rPr>
                      <w:rFonts w:hint="eastAsia"/>
                      <w:sz w:val="18"/>
                      <w:szCs w:val="18"/>
                    </w:rPr>
                  </w:pPr>
                  <w:r>
                    <w:rPr>
                      <w:rFonts w:hint="eastAsia"/>
                      <w:sz w:val="18"/>
                      <w:szCs w:val="18"/>
                      <w:lang w:val="en-US" w:eastAsia="zh-CN"/>
                    </w:rPr>
                    <w:t>0.0045</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dxa"/>
                  <w:vMerge w:val="continue"/>
                  <w:noWrap w:val="0"/>
                  <w:vAlign w:val="center"/>
                </w:tcPr>
                <w:p>
                  <w:pPr>
                    <w:jc w:val="center"/>
                    <w:rPr>
                      <w:rFonts w:hint="eastAsia"/>
                      <w:sz w:val="18"/>
                      <w:szCs w:val="18"/>
                    </w:rPr>
                  </w:pPr>
                </w:p>
              </w:tc>
              <w:tc>
                <w:tcPr>
                  <w:tcW w:w="940" w:type="dxa"/>
                  <w:noWrap w:val="0"/>
                  <w:vAlign w:val="center"/>
                </w:tcPr>
                <w:p>
                  <w:pPr>
                    <w:jc w:val="center"/>
                    <w:rPr>
                      <w:rFonts w:hint="eastAsia"/>
                      <w:sz w:val="18"/>
                      <w:szCs w:val="18"/>
                      <w:lang w:val="en-US" w:eastAsia="zh-CN"/>
                    </w:rPr>
                  </w:pPr>
                  <w:r>
                    <w:rPr>
                      <w:rFonts w:hint="eastAsia"/>
                      <w:sz w:val="18"/>
                      <w:szCs w:val="18"/>
                      <w:lang w:val="en-US" w:eastAsia="zh-CN"/>
                    </w:rPr>
                    <w:t>调试废水</w:t>
                  </w:r>
                </w:p>
              </w:tc>
              <w:tc>
                <w:tcPr>
                  <w:tcW w:w="716" w:type="dxa"/>
                  <w:noWrap w:val="0"/>
                  <w:vAlign w:val="center"/>
                </w:tcPr>
                <w:p>
                  <w:pPr>
                    <w:jc w:val="center"/>
                    <w:rPr>
                      <w:rFonts w:hint="default"/>
                      <w:sz w:val="18"/>
                      <w:szCs w:val="18"/>
                      <w:lang w:val="en-US" w:eastAsia="zh-CN"/>
                    </w:rPr>
                  </w:pPr>
                  <w:r>
                    <w:rPr>
                      <w:rFonts w:hint="eastAsia"/>
                      <w:sz w:val="18"/>
                      <w:szCs w:val="18"/>
                      <w:lang w:val="en-US" w:eastAsia="zh-CN"/>
                    </w:rPr>
                    <w:t>607.5</w:t>
                  </w:r>
                </w:p>
              </w:tc>
              <w:tc>
                <w:tcPr>
                  <w:tcW w:w="816" w:type="dxa"/>
                  <w:noWrap w:val="0"/>
                  <w:vAlign w:val="center"/>
                </w:tcPr>
                <w:p>
                  <w:pPr>
                    <w:jc w:val="center"/>
                    <w:rPr>
                      <w:rFonts w:hint="eastAsia"/>
                      <w:sz w:val="18"/>
                      <w:szCs w:val="18"/>
                    </w:rPr>
                  </w:pPr>
                  <w:r>
                    <w:rPr>
                      <w:rFonts w:hint="eastAsia"/>
                      <w:sz w:val="18"/>
                      <w:szCs w:val="18"/>
                    </w:rPr>
                    <w:t>COD</w:t>
                  </w:r>
                </w:p>
              </w:tc>
              <w:tc>
                <w:tcPr>
                  <w:tcW w:w="908" w:type="dxa"/>
                  <w:noWrap w:val="0"/>
                  <w:vAlign w:val="center"/>
                </w:tcPr>
                <w:p>
                  <w:pPr>
                    <w:spacing w:line="240" w:lineRule="atLeast"/>
                    <w:jc w:val="center"/>
                    <w:rPr>
                      <w:rFonts w:hint="eastAsia" w:eastAsia="宋体"/>
                      <w:sz w:val="18"/>
                      <w:szCs w:val="18"/>
                      <w:lang w:val="en-US" w:eastAsia="zh-CN"/>
                    </w:rPr>
                  </w:pPr>
                  <w:r>
                    <w:rPr>
                      <w:rFonts w:hint="eastAsia"/>
                      <w:sz w:val="18"/>
                      <w:szCs w:val="18"/>
                      <w:lang w:val="en-US" w:eastAsia="zh-CN"/>
                    </w:rPr>
                    <w:t>/</w:t>
                  </w:r>
                </w:p>
              </w:tc>
              <w:tc>
                <w:tcPr>
                  <w:tcW w:w="848" w:type="dxa"/>
                  <w:noWrap w:val="0"/>
                  <w:vAlign w:val="center"/>
                </w:tcPr>
                <w:p>
                  <w:pPr>
                    <w:jc w:val="center"/>
                    <w:rPr>
                      <w:rFonts w:hint="eastAsia" w:eastAsia="宋体"/>
                      <w:sz w:val="18"/>
                      <w:szCs w:val="18"/>
                      <w:lang w:val="en-US" w:eastAsia="zh-CN"/>
                    </w:rPr>
                  </w:pPr>
                  <w:r>
                    <w:rPr>
                      <w:rFonts w:hint="eastAsia"/>
                      <w:sz w:val="18"/>
                      <w:szCs w:val="18"/>
                      <w:lang w:val="en-US" w:eastAsia="zh-CN"/>
                    </w:rPr>
                    <w:t>/</w:t>
                  </w:r>
                </w:p>
              </w:tc>
              <w:tc>
                <w:tcPr>
                  <w:tcW w:w="884" w:type="dxa"/>
                  <w:vMerge w:val="continue"/>
                  <w:noWrap w:val="0"/>
                  <w:vAlign w:val="center"/>
                </w:tcPr>
                <w:p>
                  <w:pPr>
                    <w:jc w:val="center"/>
                    <w:rPr>
                      <w:rFonts w:hint="eastAsia" w:eastAsia="宋体"/>
                      <w:sz w:val="18"/>
                      <w:szCs w:val="18"/>
                      <w:lang w:val="en-US" w:eastAsia="zh-CN"/>
                    </w:rPr>
                  </w:pPr>
                </w:p>
              </w:tc>
              <w:tc>
                <w:tcPr>
                  <w:tcW w:w="779" w:type="dxa"/>
                  <w:noWrap w:val="0"/>
                  <w:vAlign w:val="center"/>
                </w:tcPr>
                <w:p>
                  <w:pPr>
                    <w:jc w:val="center"/>
                    <w:rPr>
                      <w:rFonts w:hint="eastAsia" w:eastAsia="宋体"/>
                      <w:sz w:val="18"/>
                      <w:szCs w:val="18"/>
                      <w:lang w:val="en-US" w:eastAsia="zh-CN"/>
                    </w:rPr>
                  </w:pPr>
                  <w:r>
                    <w:rPr>
                      <w:rFonts w:hint="eastAsia"/>
                      <w:sz w:val="18"/>
                      <w:szCs w:val="18"/>
                      <w:lang w:val="en-US" w:eastAsia="zh-CN"/>
                    </w:rPr>
                    <w:t>/</w:t>
                  </w:r>
                </w:p>
              </w:tc>
              <w:tc>
                <w:tcPr>
                  <w:tcW w:w="1059" w:type="dxa"/>
                  <w:noWrap w:val="0"/>
                  <w:vAlign w:val="center"/>
                </w:tcPr>
                <w:p>
                  <w:pPr>
                    <w:jc w:val="center"/>
                    <w:rPr>
                      <w:rFonts w:hint="eastAsia" w:eastAsia="宋体"/>
                      <w:sz w:val="18"/>
                      <w:szCs w:val="18"/>
                      <w:lang w:val="en-US" w:eastAsia="zh-CN"/>
                    </w:rPr>
                  </w:pPr>
                  <w:r>
                    <w:rPr>
                      <w:rFonts w:hint="eastAsia"/>
                      <w:sz w:val="18"/>
                      <w:szCs w:val="18"/>
                      <w:lang w:val="en-US" w:eastAsia="zh-CN"/>
                    </w:rPr>
                    <w:t>/</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dxa"/>
                  <w:vMerge w:val="continue"/>
                  <w:noWrap w:val="0"/>
                  <w:vAlign w:val="center"/>
                </w:tcPr>
                <w:p>
                  <w:pPr>
                    <w:jc w:val="center"/>
                    <w:rPr>
                      <w:rFonts w:hint="eastAsia"/>
                      <w:sz w:val="18"/>
                      <w:szCs w:val="18"/>
                    </w:rPr>
                  </w:pPr>
                </w:p>
              </w:tc>
              <w:tc>
                <w:tcPr>
                  <w:tcW w:w="940" w:type="dxa"/>
                  <w:vMerge w:val="restart"/>
                  <w:noWrap w:val="0"/>
                  <w:vAlign w:val="center"/>
                </w:tcPr>
                <w:p>
                  <w:pPr>
                    <w:jc w:val="center"/>
                    <w:rPr>
                      <w:rFonts w:hint="default" w:eastAsia="宋体"/>
                      <w:sz w:val="18"/>
                      <w:szCs w:val="18"/>
                      <w:lang w:val="en-US" w:eastAsia="zh-CN"/>
                    </w:rPr>
                  </w:pPr>
                  <w:r>
                    <w:rPr>
                      <w:rFonts w:hint="eastAsia"/>
                      <w:sz w:val="18"/>
                      <w:szCs w:val="18"/>
                      <w:lang w:val="en-US" w:eastAsia="zh-CN"/>
                    </w:rPr>
                    <w:t>反冲洗废水</w:t>
                  </w:r>
                </w:p>
              </w:tc>
              <w:tc>
                <w:tcPr>
                  <w:tcW w:w="716" w:type="dxa"/>
                  <w:vMerge w:val="restart"/>
                  <w:noWrap w:val="0"/>
                  <w:vAlign w:val="center"/>
                </w:tcPr>
                <w:p>
                  <w:pPr>
                    <w:jc w:val="center"/>
                    <w:rPr>
                      <w:rFonts w:hint="default" w:eastAsia="宋体"/>
                      <w:sz w:val="18"/>
                      <w:szCs w:val="18"/>
                      <w:lang w:val="en-US" w:eastAsia="zh-CN"/>
                    </w:rPr>
                  </w:pPr>
                  <w:r>
                    <w:rPr>
                      <w:rFonts w:hint="eastAsia"/>
                      <w:sz w:val="18"/>
                      <w:szCs w:val="18"/>
                      <w:lang w:val="en-US" w:eastAsia="zh-CN"/>
                    </w:rPr>
                    <w:t>30</w:t>
                  </w:r>
                </w:p>
              </w:tc>
              <w:tc>
                <w:tcPr>
                  <w:tcW w:w="816" w:type="dxa"/>
                  <w:noWrap w:val="0"/>
                  <w:vAlign w:val="center"/>
                </w:tcPr>
                <w:p>
                  <w:pPr>
                    <w:jc w:val="center"/>
                    <w:rPr>
                      <w:rFonts w:hint="eastAsia"/>
                      <w:sz w:val="18"/>
                      <w:szCs w:val="18"/>
                    </w:rPr>
                  </w:pPr>
                  <w:r>
                    <w:rPr>
                      <w:rFonts w:hint="eastAsia"/>
                      <w:sz w:val="18"/>
                      <w:szCs w:val="18"/>
                    </w:rPr>
                    <w:t>COD</w:t>
                  </w:r>
                </w:p>
              </w:tc>
              <w:tc>
                <w:tcPr>
                  <w:tcW w:w="908" w:type="dxa"/>
                  <w:noWrap w:val="0"/>
                  <w:vAlign w:val="center"/>
                </w:tcPr>
                <w:p>
                  <w:pPr>
                    <w:spacing w:line="240" w:lineRule="atLeast"/>
                    <w:jc w:val="center"/>
                    <w:rPr>
                      <w:rFonts w:hint="default" w:eastAsia="宋体"/>
                      <w:sz w:val="18"/>
                      <w:szCs w:val="18"/>
                      <w:lang w:val="en-US" w:eastAsia="zh-CN"/>
                    </w:rPr>
                  </w:pPr>
                  <w:r>
                    <w:rPr>
                      <w:rFonts w:hint="eastAsia"/>
                      <w:sz w:val="18"/>
                      <w:szCs w:val="18"/>
                      <w:lang w:val="en-US" w:eastAsia="zh-CN"/>
                    </w:rPr>
                    <w:t>80</w:t>
                  </w:r>
                </w:p>
              </w:tc>
              <w:tc>
                <w:tcPr>
                  <w:tcW w:w="848" w:type="dxa"/>
                  <w:noWrap w:val="0"/>
                  <w:vAlign w:val="center"/>
                </w:tcPr>
                <w:p>
                  <w:pPr>
                    <w:jc w:val="center"/>
                    <w:rPr>
                      <w:rFonts w:hint="default" w:eastAsia="宋体"/>
                      <w:sz w:val="18"/>
                      <w:szCs w:val="18"/>
                      <w:lang w:val="en-US" w:eastAsia="zh-CN"/>
                    </w:rPr>
                  </w:pPr>
                  <w:r>
                    <w:rPr>
                      <w:rFonts w:hint="eastAsia"/>
                      <w:sz w:val="18"/>
                      <w:szCs w:val="18"/>
                      <w:lang w:val="en-US" w:eastAsia="zh-CN"/>
                    </w:rPr>
                    <w:t>0.0024</w:t>
                  </w:r>
                </w:p>
              </w:tc>
              <w:tc>
                <w:tcPr>
                  <w:tcW w:w="884" w:type="dxa"/>
                  <w:vMerge w:val="continue"/>
                  <w:noWrap w:val="0"/>
                  <w:vAlign w:val="center"/>
                </w:tcPr>
                <w:p>
                  <w:pPr>
                    <w:jc w:val="center"/>
                    <w:rPr>
                      <w:rFonts w:hint="eastAsia"/>
                      <w:sz w:val="18"/>
                      <w:szCs w:val="18"/>
                    </w:rPr>
                  </w:pPr>
                </w:p>
              </w:tc>
              <w:tc>
                <w:tcPr>
                  <w:tcW w:w="779" w:type="dxa"/>
                  <w:noWrap w:val="0"/>
                  <w:vAlign w:val="center"/>
                </w:tcPr>
                <w:p>
                  <w:pPr>
                    <w:spacing w:line="240" w:lineRule="atLeast"/>
                    <w:jc w:val="center"/>
                    <w:rPr>
                      <w:rFonts w:hint="eastAsia"/>
                      <w:sz w:val="18"/>
                      <w:szCs w:val="18"/>
                    </w:rPr>
                  </w:pPr>
                  <w:r>
                    <w:rPr>
                      <w:rFonts w:hint="eastAsia"/>
                      <w:sz w:val="18"/>
                      <w:szCs w:val="18"/>
                      <w:lang w:val="en-US" w:eastAsia="zh-CN"/>
                    </w:rPr>
                    <w:t>80</w:t>
                  </w:r>
                </w:p>
              </w:tc>
              <w:tc>
                <w:tcPr>
                  <w:tcW w:w="1059" w:type="dxa"/>
                  <w:noWrap w:val="0"/>
                  <w:vAlign w:val="center"/>
                </w:tcPr>
                <w:p>
                  <w:pPr>
                    <w:jc w:val="center"/>
                    <w:rPr>
                      <w:rFonts w:hint="eastAsia"/>
                      <w:sz w:val="18"/>
                      <w:szCs w:val="18"/>
                    </w:rPr>
                  </w:pPr>
                  <w:r>
                    <w:rPr>
                      <w:rFonts w:hint="eastAsia"/>
                      <w:sz w:val="18"/>
                      <w:szCs w:val="18"/>
                      <w:lang w:val="en-US" w:eastAsia="zh-CN"/>
                    </w:rPr>
                    <w:t>0.0024</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dxa"/>
                  <w:vMerge w:val="continue"/>
                  <w:noWrap w:val="0"/>
                  <w:vAlign w:val="center"/>
                </w:tcPr>
                <w:p>
                  <w:pPr>
                    <w:jc w:val="center"/>
                    <w:rPr>
                      <w:rFonts w:hint="eastAsia"/>
                      <w:sz w:val="18"/>
                      <w:szCs w:val="18"/>
                    </w:rPr>
                  </w:pPr>
                </w:p>
              </w:tc>
              <w:tc>
                <w:tcPr>
                  <w:tcW w:w="940" w:type="dxa"/>
                  <w:vMerge w:val="continue"/>
                  <w:noWrap w:val="0"/>
                  <w:vAlign w:val="center"/>
                </w:tcPr>
                <w:p>
                  <w:pPr>
                    <w:jc w:val="center"/>
                    <w:rPr>
                      <w:rFonts w:hint="eastAsia"/>
                      <w:sz w:val="18"/>
                      <w:szCs w:val="18"/>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default" w:eastAsia="宋体"/>
                      <w:sz w:val="18"/>
                      <w:szCs w:val="18"/>
                      <w:lang w:val="en-US" w:eastAsia="zh-CN"/>
                    </w:rPr>
                  </w:pPr>
                  <w:r>
                    <w:rPr>
                      <w:rFonts w:hint="eastAsia"/>
                      <w:sz w:val="18"/>
                      <w:szCs w:val="18"/>
                      <w:lang w:val="en-US" w:eastAsia="zh-CN"/>
                    </w:rPr>
                    <w:t>SS</w:t>
                  </w:r>
                </w:p>
              </w:tc>
              <w:tc>
                <w:tcPr>
                  <w:tcW w:w="908" w:type="dxa"/>
                  <w:noWrap w:val="0"/>
                  <w:vAlign w:val="center"/>
                </w:tcPr>
                <w:p>
                  <w:pPr>
                    <w:spacing w:line="240" w:lineRule="atLeast"/>
                    <w:jc w:val="center"/>
                    <w:rPr>
                      <w:rFonts w:hint="default" w:eastAsia="宋体"/>
                      <w:sz w:val="18"/>
                      <w:szCs w:val="18"/>
                      <w:lang w:val="en-US" w:eastAsia="zh-CN"/>
                    </w:rPr>
                  </w:pPr>
                  <w:r>
                    <w:rPr>
                      <w:rFonts w:hint="eastAsia"/>
                      <w:sz w:val="18"/>
                      <w:szCs w:val="18"/>
                      <w:lang w:val="en-US" w:eastAsia="zh-CN"/>
                    </w:rPr>
                    <w:t>30</w:t>
                  </w:r>
                </w:p>
              </w:tc>
              <w:tc>
                <w:tcPr>
                  <w:tcW w:w="848" w:type="dxa"/>
                  <w:noWrap w:val="0"/>
                  <w:vAlign w:val="center"/>
                </w:tcPr>
                <w:p>
                  <w:pPr>
                    <w:jc w:val="center"/>
                    <w:rPr>
                      <w:rFonts w:hint="default" w:eastAsia="宋体"/>
                      <w:sz w:val="18"/>
                      <w:szCs w:val="18"/>
                      <w:lang w:val="en-US" w:eastAsia="zh-CN"/>
                    </w:rPr>
                  </w:pPr>
                  <w:r>
                    <w:rPr>
                      <w:rFonts w:hint="eastAsia"/>
                      <w:sz w:val="18"/>
                      <w:szCs w:val="18"/>
                      <w:lang w:val="en-US" w:eastAsia="zh-CN"/>
                    </w:rPr>
                    <w:t>0.0009</w:t>
                  </w:r>
                </w:p>
              </w:tc>
              <w:tc>
                <w:tcPr>
                  <w:tcW w:w="884" w:type="dxa"/>
                  <w:vMerge w:val="continue"/>
                  <w:noWrap w:val="0"/>
                  <w:vAlign w:val="center"/>
                </w:tcPr>
                <w:p>
                  <w:pPr>
                    <w:jc w:val="center"/>
                    <w:rPr>
                      <w:rFonts w:hint="eastAsia"/>
                      <w:sz w:val="18"/>
                      <w:szCs w:val="18"/>
                    </w:rPr>
                  </w:pPr>
                </w:p>
              </w:tc>
              <w:tc>
                <w:tcPr>
                  <w:tcW w:w="779" w:type="dxa"/>
                  <w:noWrap w:val="0"/>
                  <w:vAlign w:val="center"/>
                </w:tcPr>
                <w:p>
                  <w:pPr>
                    <w:spacing w:line="240" w:lineRule="atLeast"/>
                    <w:jc w:val="center"/>
                    <w:rPr>
                      <w:rFonts w:hint="eastAsia"/>
                      <w:sz w:val="18"/>
                      <w:szCs w:val="18"/>
                    </w:rPr>
                  </w:pPr>
                  <w:r>
                    <w:rPr>
                      <w:rFonts w:hint="eastAsia"/>
                      <w:sz w:val="18"/>
                      <w:szCs w:val="18"/>
                      <w:lang w:val="en-US" w:eastAsia="zh-CN"/>
                    </w:rPr>
                    <w:t>30</w:t>
                  </w:r>
                </w:p>
              </w:tc>
              <w:tc>
                <w:tcPr>
                  <w:tcW w:w="1059" w:type="dxa"/>
                  <w:noWrap w:val="0"/>
                  <w:vAlign w:val="center"/>
                </w:tcPr>
                <w:p>
                  <w:pPr>
                    <w:jc w:val="center"/>
                    <w:rPr>
                      <w:rFonts w:hint="eastAsia"/>
                      <w:sz w:val="18"/>
                      <w:szCs w:val="18"/>
                    </w:rPr>
                  </w:pPr>
                  <w:r>
                    <w:rPr>
                      <w:rFonts w:hint="eastAsia"/>
                      <w:sz w:val="18"/>
                      <w:szCs w:val="18"/>
                      <w:lang w:val="en-US" w:eastAsia="zh-CN"/>
                    </w:rPr>
                    <w:t>0.0009</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gridSpan w:val="2"/>
                  <w:vMerge w:val="restart"/>
                  <w:noWrap w:val="0"/>
                  <w:vAlign w:val="center"/>
                </w:tcPr>
                <w:p>
                  <w:pPr>
                    <w:jc w:val="center"/>
                    <w:rPr>
                      <w:rFonts w:hint="default" w:eastAsia="宋体"/>
                      <w:sz w:val="18"/>
                      <w:szCs w:val="18"/>
                      <w:lang w:val="en-US" w:eastAsia="zh-CN"/>
                    </w:rPr>
                  </w:pPr>
                  <w:r>
                    <w:rPr>
                      <w:rFonts w:hint="eastAsia"/>
                      <w:sz w:val="18"/>
                      <w:szCs w:val="18"/>
                      <w:lang w:val="en-US" w:eastAsia="zh-CN"/>
                    </w:rPr>
                    <w:t>混合废水</w:t>
                  </w:r>
                </w:p>
              </w:tc>
              <w:tc>
                <w:tcPr>
                  <w:tcW w:w="716" w:type="dxa"/>
                  <w:vMerge w:val="restart"/>
                  <w:noWrap w:val="0"/>
                  <w:vAlign w:val="center"/>
                </w:tcPr>
                <w:p>
                  <w:pPr>
                    <w:jc w:val="center"/>
                    <w:rPr>
                      <w:rFonts w:hint="default" w:eastAsia="宋体"/>
                      <w:sz w:val="18"/>
                      <w:szCs w:val="18"/>
                      <w:lang w:val="en-US" w:eastAsia="zh-CN"/>
                    </w:rPr>
                  </w:pPr>
                  <w:r>
                    <w:rPr>
                      <w:rFonts w:hint="eastAsia"/>
                      <w:sz w:val="18"/>
                      <w:szCs w:val="18"/>
                      <w:lang w:val="en-US" w:eastAsia="zh-CN"/>
                    </w:rPr>
                    <w:t>6472.5</w:t>
                  </w:r>
                </w:p>
              </w:tc>
              <w:tc>
                <w:tcPr>
                  <w:tcW w:w="816" w:type="dxa"/>
                  <w:noWrap w:val="0"/>
                  <w:vAlign w:val="center"/>
                </w:tcPr>
                <w:p>
                  <w:pPr>
                    <w:jc w:val="center"/>
                    <w:rPr>
                      <w:rFonts w:hint="eastAsia"/>
                      <w:sz w:val="18"/>
                      <w:szCs w:val="18"/>
                    </w:rPr>
                  </w:pPr>
                  <w:r>
                    <w:rPr>
                      <w:rFonts w:hint="eastAsia"/>
                      <w:sz w:val="18"/>
                      <w:szCs w:val="18"/>
                    </w:rPr>
                    <w:t>pH</w:t>
                  </w:r>
                </w:p>
              </w:tc>
              <w:tc>
                <w:tcPr>
                  <w:tcW w:w="908" w:type="dxa"/>
                  <w:noWrap w:val="0"/>
                  <w:vAlign w:val="center"/>
                </w:tcPr>
                <w:p>
                  <w:pPr>
                    <w:spacing w:line="240" w:lineRule="atLeast"/>
                    <w:jc w:val="center"/>
                    <w:rPr>
                      <w:rFonts w:hint="eastAsia"/>
                      <w:sz w:val="18"/>
                      <w:szCs w:val="18"/>
                    </w:rPr>
                  </w:pPr>
                  <w:r>
                    <w:rPr>
                      <w:rFonts w:hint="eastAsia"/>
                      <w:sz w:val="18"/>
                      <w:szCs w:val="18"/>
                    </w:rPr>
                    <w:t>/</w:t>
                  </w:r>
                </w:p>
              </w:tc>
              <w:tc>
                <w:tcPr>
                  <w:tcW w:w="848" w:type="dxa"/>
                  <w:noWrap w:val="0"/>
                  <w:vAlign w:val="center"/>
                </w:tcPr>
                <w:p>
                  <w:pPr>
                    <w:jc w:val="center"/>
                    <w:rPr>
                      <w:rFonts w:hint="eastAsia"/>
                      <w:sz w:val="18"/>
                      <w:szCs w:val="18"/>
                    </w:rPr>
                  </w:pPr>
                  <w:r>
                    <w:rPr>
                      <w:rFonts w:hint="eastAsia"/>
                      <w:sz w:val="18"/>
                      <w:szCs w:val="18"/>
                    </w:rPr>
                    <w:t>/</w:t>
                  </w:r>
                </w:p>
              </w:tc>
              <w:tc>
                <w:tcPr>
                  <w:tcW w:w="884" w:type="dxa"/>
                  <w:vMerge w:val="restart"/>
                  <w:noWrap w:val="0"/>
                  <w:vAlign w:val="center"/>
                </w:tcPr>
                <w:p>
                  <w:pPr>
                    <w:jc w:val="center"/>
                    <w:rPr>
                      <w:rFonts w:hint="default" w:eastAsia="宋体"/>
                      <w:sz w:val="18"/>
                      <w:szCs w:val="18"/>
                      <w:lang w:val="en-US" w:eastAsia="zh-CN"/>
                    </w:rPr>
                  </w:pPr>
                  <w:r>
                    <w:rPr>
                      <w:rFonts w:hint="eastAsia"/>
                      <w:sz w:val="18"/>
                      <w:szCs w:val="18"/>
                      <w:lang w:val="en-US" w:eastAsia="zh-CN"/>
                    </w:rPr>
                    <w:t>生活污水经化粪池预处理</w:t>
                  </w:r>
                </w:p>
              </w:tc>
              <w:tc>
                <w:tcPr>
                  <w:tcW w:w="779" w:type="dxa"/>
                  <w:noWrap w:val="0"/>
                  <w:vAlign w:val="center"/>
                </w:tcPr>
                <w:p>
                  <w:pPr>
                    <w:spacing w:line="240" w:lineRule="atLeast"/>
                    <w:jc w:val="center"/>
                    <w:rPr>
                      <w:rFonts w:hint="eastAsia"/>
                      <w:sz w:val="18"/>
                      <w:szCs w:val="18"/>
                    </w:rPr>
                  </w:pPr>
                  <w:r>
                    <w:rPr>
                      <w:rFonts w:hint="eastAsia"/>
                      <w:sz w:val="18"/>
                      <w:szCs w:val="18"/>
                    </w:rPr>
                    <w:t>/</w:t>
                  </w:r>
                </w:p>
              </w:tc>
              <w:tc>
                <w:tcPr>
                  <w:tcW w:w="1059" w:type="dxa"/>
                  <w:noWrap w:val="0"/>
                  <w:vAlign w:val="center"/>
                </w:tcPr>
                <w:p>
                  <w:pPr>
                    <w:jc w:val="center"/>
                    <w:rPr>
                      <w:rFonts w:hint="eastAsia"/>
                      <w:sz w:val="18"/>
                      <w:szCs w:val="18"/>
                    </w:rPr>
                  </w:pPr>
                  <w:r>
                    <w:rPr>
                      <w:rFonts w:hint="eastAsia"/>
                      <w:sz w:val="18"/>
                      <w:szCs w:val="18"/>
                    </w:rPr>
                    <w:t>/</w:t>
                  </w:r>
                </w:p>
              </w:tc>
              <w:tc>
                <w:tcPr>
                  <w:tcW w:w="1313" w:type="dxa"/>
                  <w:vMerge w:val="restart"/>
                  <w:noWrap w:val="0"/>
                  <w:vAlign w:val="center"/>
                </w:tcPr>
                <w:p>
                  <w:pPr>
                    <w:jc w:val="center"/>
                    <w:rPr>
                      <w:rFonts w:hint="eastAsia"/>
                      <w:sz w:val="18"/>
                      <w:szCs w:val="18"/>
                    </w:rPr>
                  </w:pPr>
                  <w:r>
                    <w:rPr>
                      <w:rFonts w:hint="eastAsia"/>
                      <w:sz w:val="18"/>
                      <w:szCs w:val="18"/>
                    </w:rPr>
                    <w:t>接管</w:t>
                  </w:r>
                  <w:r>
                    <w:rPr>
                      <w:rFonts w:hint="eastAsia" w:cs="Times New Roman"/>
                      <w:color w:val="auto"/>
                      <w:sz w:val="18"/>
                      <w:szCs w:val="18"/>
                      <w:lang w:val="en-US" w:eastAsia="zh-CN"/>
                    </w:rPr>
                    <w:t>淮南安成经济开发区污水处理厂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gridSpan w:val="2"/>
                  <w:vMerge w:val="continue"/>
                  <w:noWrap w:val="0"/>
                  <w:vAlign w:val="center"/>
                </w:tcPr>
                <w:p>
                  <w:pPr>
                    <w:jc w:val="center"/>
                    <w:rPr>
                      <w:rFonts w:hint="eastAsia"/>
                      <w:sz w:val="18"/>
                      <w:szCs w:val="18"/>
                      <w:lang w:val="en-US" w:eastAsia="zh-CN"/>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eastAsia"/>
                      <w:sz w:val="18"/>
                      <w:szCs w:val="18"/>
                    </w:rPr>
                  </w:pPr>
                  <w:r>
                    <w:rPr>
                      <w:rFonts w:hint="eastAsia"/>
                      <w:sz w:val="18"/>
                      <w:szCs w:val="18"/>
                    </w:rPr>
                    <w:t>COD</w:t>
                  </w:r>
                </w:p>
              </w:tc>
              <w:tc>
                <w:tcPr>
                  <w:tcW w:w="908" w:type="dxa"/>
                  <w:noWrap w:val="0"/>
                  <w:vAlign w:val="center"/>
                </w:tcPr>
                <w:p>
                  <w:pPr>
                    <w:spacing w:line="240" w:lineRule="atLeast"/>
                    <w:jc w:val="center"/>
                    <w:rPr>
                      <w:rFonts w:hint="default" w:eastAsia="宋体"/>
                      <w:sz w:val="18"/>
                      <w:szCs w:val="18"/>
                      <w:lang w:val="en-US" w:eastAsia="zh-CN"/>
                    </w:rPr>
                  </w:pPr>
                  <w:r>
                    <w:rPr>
                      <w:rFonts w:hint="eastAsia"/>
                      <w:sz w:val="18"/>
                      <w:szCs w:val="18"/>
                      <w:lang w:val="en-US" w:eastAsia="zh-CN"/>
                    </w:rPr>
                    <w:t>296.1</w:t>
                  </w:r>
                </w:p>
              </w:tc>
              <w:tc>
                <w:tcPr>
                  <w:tcW w:w="848" w:type="dxa"/>
                  <w:noWrap w:val="0"/>
                  <w:vAlign w:val="center"/>
                </w:tcPr>
                <w:p>
                  <w:pPr>
                    <w:jc w:val="center"/>
                    <w:rPr>
                      <w:rFonts w:hint="default" w:eastAsia="宋体"/>
                      <w:sz w:val="18"/>
                      <w:szCs w:val="18"/>
                      <w:lang w:val="en-US" w:eastAsia="zh-CN"/>
                    </w:rPr>
                  </w:pPr>
                  <w:r>
                    <w:rPr>
                      <w:rFonts w:hint="eastAsia"/>
                      <w:sz w:val="18"/>
                      <w:szCs w:val="18"/>
                      <w:lang w:val="en-US" w:eastAsia="zh-CN"/>
                    </w:rPr>
                    <w:t>1.9166</w:t>
                  </w:r>
                </w:p>
              </w:tc>
              <w:tc>
                <w:tcPr>
                  <w:tcW w:w="884" w:type="dxa"/>
                  <w:vMerge w:val="continue"/>
                  <w:noWrap w:val="0"/>
                  <w:vAlign w:val="center"/>
                </w:tcPr>
                <w:p>
                  <w:pPr>
                    <w:jc w:val="center"/>
                    <w:rPr>
                      <w:rFonts w:hint="eastAsia"/>
                      <w:sz w:val="18"/>
                      <w:szCs w:val="18"/>
                    </w:rPr>
                  </w:pPr>
                </w:p>
              </w:tc>
              <w:tc>
                <w:tcPr>
                  <w:tcW w:w="779" w:type="dxa"/>
                  <w:noWrap w:val="0"/>
                  <w:vAlign w:val="center"/>
                </w:tcPr>
                <w:p>
                  <w:pPr>
                    <w:jc w:val="center"/>
                    <w:rPr>
                      <w:rFonts w:hint="default" w:eastAsia="宋体"/>
                      <w:sz w:val="18"/>
                      <w:szCs w:val="18"/>
                      <w:lang w:val="en-US" w:eastAsia="zh-CN"/>
                    </w:rPr>
                  </w:pPr>
                  <w:r>
                    <w:rPr>
                      <w:rFonts w:hint="eastAsia"/>
                      <w:sz w:val="18"/>
                      <w:szCs w:val="18"/>
                      <w:lang w:val="en-US" w:eastAsia="zh-CN"/>
                    </w:rPr>
                    <w:t>261.4</w:t>
                  </w:r>
                </w:p>
              </w:tc>
              <w:tc>
                <w:tcPr>
                  <w:tcW w:w="1059" w:type="dxa"/>
                  <w:noWrap w:val="0"/>
                  <w:vAlign w:val="center"/>
                </w:tcPr>
                <w:p>
                  <w:pPr>
                    <w:jc w:val="center"/>
                    <w:rPr>
                      <w:rFonts w:hint="default" w:eastAsia="宋体"/>
                      <w:sz w:val="18"/>
                      <w:szCs w:val="18"/>
                      <w:lang w:val="en-US" w:eastAsia="zh-CN"/>
                    </w:rPr>
                  </w:pPr>
                  <w:r>
                    <w:rPr>
                      <w:rFonts w:hint="eastAsia"/>
                      <w:sz w:val="18"/>
                      <w:szCs w:val="18"/>
                      <w:lang w:val="en-US" w:eastAsia="zh-CN"/>
                    </w:rPr>
                    <w:t>1.6922</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gridSpan w:val="2"/>
                  <w:vMerge w:val="continue"/>
                  <w:noWrap w:val="0"/>
                  <w:vAlign w:val="center"/>
                </w:tcPr>
                <w:p>
                  <w:pPr>
                    <w:jc w:val="center"/>
                    <w:rPr>
                      <w:rFonts w:hint="eastAsia"/>
                      <w:sz w:val="18"/>
                      <w:szCs w:val="18"/>
                      <w:lang w:val="en-US" w:eastAsia="zh-CN"/>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eastAsia"/>
                      <w:sz w:val="18"/>
                      <w:szCs w:val="18"/>
                    </w:rPr>
                  </w:pPr>
                  <w:r>
                    <w:rPr>
                      <w:rFonts w:hint="eastAsia"/>
                      <w:sz w:val="18"/>
                      <w:szCs w:val="18"/>
                    </w:rPr>
                    <w:t>BOD</w:t>
                  </w:r>
                  <w:r>
                    <w:rPr>
                      <w:rFonts w:hint="eastAsia"/>
                      <w:sz w:val="18"/>
                      <w:szCs w:val="18"/>
                      <w:vertAlign w:val="subscript"/>
                    </w:rPr>
                    <w:t>5</w:t>
                  </w:r>
                </w:p>
              </w:tc>
              <w:tc>
                <w:tcPr>
                  <w:tcW w:w="908" w:type="dxa"/>
                  <w:noWrap w:val="0"/>
                  <w:vAlign w:val="center"/>
                </w:tcPr>
                <w:p>
                  <w:pPr>
                    <w:spacing w:line="240" w:lineRule="atLeast"/>
                    <w:jc w:val="center"/>
                    <w:rPr>
                      <w:rFonts w:hint="default" w:eastAsia="宋体"/>
                      <w:sz w:val="18"/>
                      <w:szCs w:val="18"/>
                      <w:lang w:val="en-US" w:eastAsia="zh-CN"/>
                    </w:rPr>
                  </w:pPr>
                  <w:r>
                    <w:rPr>
                      <w:rFonts w:hint="eastAsia"/>
                      <w:sz w:val="18"/>
                      <w:szCs w:val="18"/>
                      <w:lang w:val="en-US" w:eastAsia="zh-CN"/>
                    </w:rPr>
                    <w:t>138.7</w:t>
                  </w:r>
                </w:p>
              </w:tc>
              <w:tc>
                <w:tcPr>
                  <w:tcW w:w="848" w:type="dxa"/>
                  <w:noWrap w:val="0"/>
                  <w:vAlign w:val="center"/>
                </w:tcPr>
                <w:p>
                  <w:pPr>
                    <w:jc w:val="center"/>
                    <w:rPr>
                      <w:rFonts w:hint="default" w:eastAsia="宋体"/>
                      <w:sz w:val="18"/>
                      <w:szCs w:val="18"/>
                      <w:lang w:val="en-US" w:eastAsia="zh-CN"/>
                    </w:rPr>
                  </w:pPr>
                  <w:r>
                    <w:rPr>
                      <w:rFonts w:hint="eastAsia"/>
                      <w:sz w:val="18"/>
                      <w:szCs w:val="18"/>
                      <w:lang w:val="en-US" w:eastAsia="zh-CN"/>
                    </w:rPr>
                    <w:t>0.8976</w:t>
                  </w:r>
                </w:p>
              </w:tc>
              <w:tc>
                <w:tcPr>
                  <w:tcW w:w="884" w:type="dxa"/>
                  <w:vMerge w:val="continue"/>
                  <w:noWrap w:val="0"/>
                  <w:vAlign w:val="center"/>
                </w:tcPr>
                <w:p>
                  <w:pPr>
                    <w:jc w:val="center"/>
                    <w:rPr>
                      <w:rFonts w:hint="eastAsia"/>
                      <w:sz w:val="18"/>
                      <w:szCs w:val="18"/>
                    </w:rPr>
                  </w:pPr>
                </w:p>
              </w:tc>
              <w:tc>
                <w:tcPr>
                  <w:tcW w:w="779" w:type="dxa"/>
                  <w:noWrap w:val="0"/>
                  <w:vAlign w:val="center"/>
                </w:tcPr>
                <w:p>
                  <w:pPr>
                    <w:jc w:val="center"/>
                    <w:rPr>
                      <w:rFonts w:hint="default" w:eastAsia="宋体"/>
                      <w:sz w:val="18"/>
                      <w:szCs w:val="18"/>
                      <w:lang w:val="en-US" w:eastAsia="zh-CN"/>
                    </w:rPr>
                  </w:pPr>
                  <w:r>
                    <w:rPr>
                      <w:rFonts w:hint="eastAsia"/>
                      <w:sz w:val="18"/>
                      <w:szCs w:val="18"/>
                      <w:lang w:val="en-US" w:eastAsia="zh-CN"/>
                    </w:rPr>
                    <w:t>130</w:t>
                  </w:r>
                </w:p>
              </w:tc>
              <w:tc>
                <w:tcPr>
                  <w:tcW w:w="1059" w:type="dxa"/>
                  <w:noWrap w:val="0"/>
                  <w:vAlign w:val="center"/>
                </w:tcPr>
                <w:p>
                  <w:pPr>
                    <w:jc w:val="center"/>
                    <w:rPr>
                      <w:rFonts w:hint="default" w:eastAsia="宋体"/>
                      <w:sz w:val="18"/>
                      <w:szCs w:val="18"/>
                      <w:lang w:val="en-US" w:eastAsia="zh-CN"/>
                    </w:rPr>
                  </w:pPr>
                  <w:r>
                    <w:rPr>
                      <w:rFonts w:hint="eastAsia"/>
                      <w:sz w:val="18"/>
                      <w:szCs w:val="18"/>
                      <w:lang w:val="en-US" w:eastAsia="zh-CN"/>
                    </w:rPr>
                    <w:t>0.8415</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gridSpan w:val="2"/>
                  <w:vMerge w:val="continue"/>
                  <w:noWrap w:val="0"/>
                  <w:vAlign w:val="center"/>
                </w:tcPr>
                <w:p>
                  <w:pPr>
                    <w:jc w:val="center"/>
                    <w:rPr>
                      <w:rFonts w:hint="eastAsia"/>
                      <w:sz w:val="18"/>
                      <w:szCs w:val="18"/>
                      <w:lang w:val="en-US" w:eastAsia="zh-CN"/>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eastAsia"/>
                      <w:sz w:val="18"/>
                      <w:szCs w:val="18"/>
                    </w:rPr>
                  </w:pPr>
                  <w:r>
                    <w:rPr>
                      <w:rFonts w:hint="eastAsia"/>
                      <w:sz w:val="18"/>
                      <w:szCs w:val="18"/>
                    </w:rPr>
                    <w:t>氨氮</w:t>
                  </w:r>
                </w:p>
              </w:tc>
              <w:tc>
                <w:tcPr>
                  <w:tcW w:w="908" w:type="dxa"/>
                  <w:noWrap w:val="0"/>
                  <w:vAlign w:val="center"/>
                </w:tcPr>
                <w:p>
                  <w:pPr>
                    <w:spacing w:line="240" w:lineRule="atLeast"/>
                    <w:jc w:val="center"/>
                    <w:rPr>
                      <w:rFonts w:hint="default" w:eastAsia="宋体"/>
                      <w:sz w:val="18"/>
                      <w:szCs w:val="18"/>
                      <w:lang w:val="en-US" w:eastAsia="zh-CN"/>
                    </w:rPr>
                  </w:pPr>
                  <w:r>
                    <w:rPr>
                      <w:rFonts w:hint="eastAsia"/>
                      <w:sz w:val="18"/>
                      <w:szCs w:val="18"/>
                      <w:lang w:val="en-US" w:eastAsia="zh-CN"/>
                    </w:rPr>
                    <w:t>29.2</w:t>
                  </w:r>
                </w:p>
              </w:tc>
              <w:tc>
                <w:tcPr>
                  <w:tcW w:w="848" w:type="dxa"/>
                  <w:noWrap w:val="0"/>
                  <w:vAlign w:val="center"/>
                </w:tcPr>
                <w:p>
                  <w:pPr>
                    <w:jc w:val="center"/>
                    <w:rPr>
                      <w:rFonts w:hint="default" w:eastAsia="宋体"/>
                      <w:sz w:val="18"/>
                      <w:szCs w:val="18"/>
                      <w:lang w:val="en-US" w:eastAsia="zh-CN"/>
                    </w:rPr>
                  </w:pPr>
                  <w:r>
                    <w:rPr>
                      <w:rFonts w:hint="eastAsia"/>
                      <w:sz w:val="18"/>
                      <w:szCs w:val="18"/>
                      <w:lang w:val="en-US" w:eastAsia="zh-CN"/>
                    </w:rPr>
                    <w:t>0.1829</w:t>
                  </w:r>
                </w:p>
              </w:tc>
              <w:tc>
                <w:tcPr>
                  <w:tcW w:w="884" w:type="dxa"/>
                  <w:vMerge w:val="continue"/>
                  <w:noWrap w:val="0"/>
                  <w:vAlign w:val="center"/>
                </w:tcPr>
                <w:p>
                  <w:pPr>
                    <w:jc w:val="center"/>
                    <w:rPr>
                      <w:rFonts w:hint="eastAsia"/>
                      <w:sz w:val="18"/>
                      <w:szCs w:val="18"/>
                    </w:rPr>
                  </w:pPr>
                </w:p>
              </w:tc>
              <w:tc>
                <w:tcPr>
                  <w:tcW w:w="779" w:type="dxa"/>
                  <w:noWrap w:val="0"/>
                  <w:vAlign w:val="center"/>
                </w:tcPr>
                <w:p>
                  <w:pPr>
                    <w:jc w:val="center"/>
                    <w:rPr>
                      <w:rFonts w:hint="default" w:eastAsia="宋体"/>
                      <w:sz w:val="18"/>
                      <w:szCs w:val="18"/>
                      <w:lang w:val="en-US" w:eastAsia="zh-CN"/>
                    </w:rPr>
                  </w:pPr>
                  <w:r>
                    <w:rPr>
                      <w:rFonts w:hint="eastAsia"/>
                      <w:sz w:val="18"/>
                      <w:szCs w:val="18"/>
                      <w:lang w:val="en-US" w:eastAsia="zh-CN"/>
                    </w:rPr>
                    <w:t>21.7</w:t>
                  </w:r>
                </w:p>
              </w:tc>
              <w:tc>
                <w:tcPr>
                  <w:tcW w:w="1059" w:type="dxa"/>
                  <w:noWrap w:val="0"/>
                  <w:vAlign w:val="center"/>
                </w:tcPr>
                <w:p>
                  <w:pPr>
                    <w:jc w:val="center"/>
                    <w:rPr>
                      <w:rFonts w:hint="default" w:eastAsia="宋体"/>
                      <w:sz w:val="18"/>
                      <w:szCs w:val="18"/>
                      <w:lang w:val="en-US" w:eastAsia="zh-CN"/>
                    </w:rPr>
                  </w:pPr>
                  <w:r>
                    <w:rPr>
                      <w:rFonts w:hint="eastAsia"/>
                      <w:sz w:val="18"/>
                      <w:szCs w:val="18"/>
                      <w:lang w:val="en-US" w:eastAsia="zh-CN"/>
                    </w:rPr>
                    <w:t>0.1403</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gridSpan w:val="2"/>
                  <w:vMerge w:val="continue"/>
                  <w:noWrap w:val="0"/>
                  <w:vAlign w:val="center"/>
                </w:tcPr>
                <w:p>
                  <w:pPr>
                    <w:jc w:val="center"/>
                    <w:rPr>
                      <w:rFonts w:hint="eastAsia"/>
                      <w:sz w:val="18"/>
                      <w:szCs w:val="18"/>
                      <w:lang w:val="en-US" w:eastAsia="zh-CN"/>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eastAsia"/>
                      <w:sz w:val="18"/>
                      <w:szCs w:val="18"/>
                    </w:rPr>
                  </w:pPr>
                  <w:r>
                    <w:rPr>
                      <w:rFonts w:hint="eastAsia"/>
                      <w:sz w:val="18"/>
                      <w:szCs w:val="18"/>
                    </w:rPr>
                    <w:t>SS</w:t>
                  </w:r>
                </w:p>
              </w:tc>
              <w:tc>
                <w:tcPr>
                  <w:tcW w:w="908" w:type="dxa"/>
                  <w:noWrap w:val="0"/>
                  <w:vAlign w:val="center"/>
                </w:tcPr>
                <w:p>
                  <w:pPr>
                    <w:spacing w:line="240" w:lineRule="atLeast"/>
                    <w:jc w:val="center"/>
                    <w:rPr>
                      <w:rFonts w:hint="default" w:eastAsia="宋体"/>
                      <w:sz w:val="18"/>
                      <w:szCs w:val="18"/>
                      <w:lang w:val="en-US" w:eastAsia="zh-CN"/>
                    </w:rPr>
                  </w:pPr>
                  <w:r>
                    <w:rPr>
                      <w:rFonts w:hint="eastAsia"/>
                      <w:sz w:val="18"/>
                      <w:szCs w:val="18"/>
                      <w:lang w:val="en-US" w:eastAsia="zh-CN"/>
                    </w:rPr>
                    <w:t>174.2</w:t>
                  </w:r>
                </w:p>
              </w:tc>
              <w:tc>
                <w:tcPr>
                  <w:tcW w:w="848" w:type="dxa"/>
                  <w:noWrap w:val="0"/>
                  <w:vAlign w:val="center"/>
                </w:tcPr>
                <w:p>
                  <w:pPr>
                    <w:jc w:val="center"/>
                    <w:rPr>
                      <w:rFonts w:hint="default" w:eastAsia="宋体"/>
                      <w:sz w:val="18"/>
                      <w:szCs w:val="18"/>
                      <w:lang w:val="en-US" w:eastAsia="zh-CN"/>
                    </w:rPr>
                  </w:pPr>
                  <w:r>
                    <w:rPr>
                      <w:rFonts w:hint="eastAsia"/>
                      <w:sz w:val="18"/>
                      <w:szCs w:val="18"/>
                      <w:lang w:val="en-US" w:eastAsia="zh-CN"/>
                    </w:rPr>
                    <w:t>1.1274</w:t>
                  </w:r>
                </w:p>
              </w:tc>
              <w:tc>
                <w:tcPr>
                  <w:tcW w:w="884" w:type="dxa"/>
                  <w:vMerge w:val="continue"/>
                  <w:noWrap w:val="0"/>
                  <w:vAlign w:val="center"/>
                </w:tcPr>
                <w:p>
                  <w:pPr>
                    <w:jc w:val="center"/>
                    <w:rPr>
                      <w:rFonts w:hint="eastAsia"/>
                      <w:sz w:val="18"/>
                      <w:szCs w:val="18"/>
                    </w:rPr>
                  </w:pPr>
                </w:p>
              </w:tc>
              <w:tc>
                <w:tcPr>
                  <w:tcW w:w="779" w:type="dxa"/>
                  <w:noWrap w:val="0"/>
                  <w:vAlign w:val="center"/>
                </w:tcPr>
                <w:p>
                  <w:pPr>
                    <w:jc w:val="center"/>
                    <w:rPr>
                      <w:rFonts w:hint="default" w:eastAsia="宋体"/>
                      <w:sz w:val="18"/>
                      <w:szCs w:val="18"/>
                      <w:lang w:val="en-US" w:eastAsia="zh-CN"/>
                    </w:rPr>
                  </w:pPr>
                  <w:r>
                    <w:rPr>
                      <w:rFonts w:hint="eastAsia"/>
                      <w:sz w:val="18"/>
                      <w:szCs w:val="18"/>
                      <w:lang w:val="en-US" w:eastAsia="zh-CN"/>
                    </w:rPr>
                    <w:t>130.8</w:t>
                  </w:r>
                </w:p>
              </w:tc>
              <w:tc>
                <w:tcPr>
                  <w:tcW w:w="1059" w:type="dxa"/>
                  <w:noWrap w:val="0"/>
                  <w:vAlign w:val="center"/>
                </w:tcPr>
                <w:p>
                  <w:pPr>
                    <w:jc w:val="center"/>
                    <w:rPr>
                      <w:rFonts w:hint="default" w:eastAsia="宋体"/>
                      <w:sz w:val="18"/>
                      <w:szCs w:val="18"/>
                      <w:lang w:val="en-US" w:eastAsia="zh-CN"/>
                    </w:rPr>
                  </w:pPr>
                  <w:r>
                    <w:rPr>
                      <w:rFonts w:hint="eastAsia"/>
                      <w:sz w:val="18"/>
                      <w:szCs w:val="18"/>
                      <w:lang w:val="en-US" w:eastAsia="zh-CN"/>
                    </w:rPr>
                    <w:t>0.8469</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gridSpan w:val="2"/>
                  <w:vMerge w:val="continue"/>
                  <w:noWrap w:val="0"/>
                  <w:vAlign w:val="center"/>
                </w:tcPr>
                <w:p>
                  <w:pPr>
                    <w:jc w:val="center"/>
                    <w:rPr>
                      <w:rFonts w:hint="eastAsia"/>
                      <w:sz w:val="18"/>
                      <w:szCs w:val="18"/>
                      <w:lang w:val="en-US" w:eastAsia="zh-CN"/>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eastAsia"/>
                      <w:sz w:val="18"/>
                      <w:szCs w:val="18"/>
                    </w:rPr>
                  </w:pPr>
                  <w:r>
                    <w:rPr>
                      <w:rFonts w:hint="eastAsia"/>
                      <w:sz w:val="18"/>
                      <w:szCs w:val="18"/>
                      <w:lang w:val="en-US" w:eastAsia="zh-CN"/>
                    </w:rPr>
                    <w:t>TN</w:t>
                  </w:r>
                </w:p>
              </w:tc>
              <w:tc>
                <w:tcPr>
                  <w:tcW w:w="908" w:type="dxa"/>
                  <w:noWrap w:val="0"/>
                  <w:vAlign w:val="center"/>
                </w:tcPr>
                <w:p>
                  <w:pPr>
                    <w:spacing w:line="240" w:lineRule="atLeast"/>
                    <w:jc w:val="center"/>
                    <w:rPr>
                      <w:rFonts w:hint="default"/>
                      <w:sz w:val="18"/>
                      <w:szCs w:val="18"/>
                      <w:lang w:val="en-US" w:eastAsia="zh-CN"/>
                    </w:rPr>
                  </w:pPr>
                  <w:r>
                    <w:rPr>
                      <w:rFonts w:hint="eastAsia"/>
                      <w:sz w:val="18"/>
                      <w:szCs w:val="18"/>
                      <w:lang w:val="en-US" w:eastAsia="zh-CN"/>
                    </w:rPr>
                    <w:t>38.8</w:t>
                  </w:r>
                </w:p>
              </w:tc>
              <w:tc>
                <w:tcPr>
                  <w:tcW w:w="848" w:type="dxa"/>
                  <w:noWrap w:val="0"/>
                  <w:vAlign w:val="center"/>
                </w:tcPr>
                <w:p>
                  <w:pPr>
                    <w:jc w:val="center"/>
                    <w:rPr>
                      <w:rFonts w:hint="eastAsia"/>
                      <w:sz w:val="18"/>
                      <w:szCs w:val="18"/>
                      <w:lang w:val="en-US" w:eastAsia="zh-CN"/>
                    </w:rPr>
                  </w:pPr>
                  <w:r>
                    <w:rPr>
                      <w:rFonts w:hint="eastAsia"/>
                      <w:sz w:val="18"/>
                      <w:szCs w:val="18"/>
                      <w:lang w:val="en-US" w:eastAsia="zh-CN"/>
                    </w:rPr>
                    <w:t>0.251</w:t>
                  </w:r>
                </w:p>
              </w:tc>
              <w:tc>
                <w:tcPr>
                  <w:tcW w:w="884" w:type="dxa"/>
                  <w:vMerge w:val="continue"/>
                  <w:noWrap w:val="0"/>
                  <w:vAlign w:val="center"/>
                </w:tcPr>
                <w:p>
                  <w:pPr>
                    <w:jc w:val="center"/>
                    <w:rPr>
                      <w:rFonts w:hint="eastAsia"/>
                      <w:sz w:val="18"/>
                      <w:szCs w:val="18"/>
                    </w:rPr>
                  </w:pPr>
                </w:p>
              </w:tc>
              <w:tc>
                <w:tcPr>
                  <w:tcW w:w="779" w:type="dxa"/>
                  <w:noWrap w:val="0"/>
                  <w:vAlign w:val="center"/>
                </w:tcPr>
                <w:p>
                  <w:pPr>
                    <w:jc w:val="center"/>
                    <w:rPr>
                      <w:rFonts w:hint="default"/>
                      <w:sz w:val="18"/>
                      <w:szCs w:val="18"/>
                      <w:lang w:val="en-US" w:eastAsia="zh-CN"/>
                    </w:rPr>
                  </w:pPr>
                  <w:r>
                    <w:rPr>
                      <w:rFonts w:hint="eastAsia"/>
                      <w:sz w:val="18"/>
                      <w:szCs w:val="18"/>
                      <w:lang w:val="en-US" w:eastAsia="zh-CN"/>
                    </w:rPr>
                    <w:t>34.7</w:t>
                  </w:r>
                </w:p>
              </w:tc>
              <w:tc>
                <w:tcPr>
                  <w:tcW w:w="1059" w:type="dxa"/>
                  <w:noWrap w:val="0"/>
                  <w:vAlign w:val="center"/>
                </w:tcPr>
                <w:p>
                  <w:pPr>
                    <w:jc w:val="center"/>
                    <w:rPr>
                      <w:rFonts w:hint="default"/>
                      <w:sz w:val="18"/>
                      <w:szCs w:val="18"/>
                      <w:lang w:val="en-US" w:eastAsia="zh-CN"/>
                    </w:rPr>
                  </w:pPr>
                  <w:r>
                    <w:rPr>
                      <w:rFonts w:hint="eastAsia"/>
                      <w:sz w:val="18"/>
                      <w:szCs w:val="18"/>
                      <w:lang w:val="en-US" w:eastAsia="zh-CN"/>
                    </w:rPr>
                    <w:t>0.224</w:t>
                  </w:r>
                </w:p>
              </w:tc>
              <w:tc>
                <w:tcPr>
                  <w:tcW w:w="1313"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gridSpan w:val="2"/>
                  <w:vMerge w:val="continue"/>
                  <w:noWrap w:val="0"/>
                  <w:vAlign w:val="center"/>
                </w:tcPr>
                <w:p>
                  <w:pPr>
                    <w:jc w:val="center"/>
                    <w:rPr>
                      <w:rFonts w:hint="eastAsia"/>
                      <w:sz w:val="18"/>
                      <w:szCs w:val="18"/>
                      <w:lang w:val="en-US" w:eastAsia="zh-CN"/>
                    </w:rPr>
                  </w:pPr>
                </w:p>
              </w:tc>
              <w:tc>
                <w:tcPr>
                  <w:tcW w:w="716" w:type="dxa"/>
                  <w:vMerge w:val="continue"/>
                  <w:noWrap w:val="0"/>
                  <w:vAlign w:val="center"/>
                </w:tcPr>
                <w:p>
                  <w:pPr>
                    <w:jc w:val="center"/>
                    <w:rPr>
                      <w:rFonts w:hint="eastAsia"/>
                      <w:sz w:val="18"/>
                      <w:szCs w:val="18"/>
                    </w:rPr>
                  </w:pPr>
                </w:p>
              </w:tc>
              <w:tc>
                <w:tcPr>
                  <w:tcW w:w="816" w:type="dxa"/>
                  <w:noWrap w:val="0"/>
                  <w:vAlign w:val="center"/>
                </w:tcPr>
                <w:p>
                  <w:pPr>
                    <w:jc w:val="center"/>
                    <w:rPr>
                      <w:rFonts w:hint="eastAsia"/>
                      <w:sz w:val="18"/>
                      <w:szCs w:val="18"/>
                    </w:rPr>
                  </w:pPr>
                  <w:r>
                    <w:rPr>
                      <w:rFonts w:hint="eastAsia"/>
                      <w:sz w:val="18"/>
                      <w:szCs w:val="18"/>
                    </w:rPr>
                    <w:t>TP</w:t>
                  </w:r>
                </w:p>
              </w:tc>
              <w:tc>
                <w:tcPr>
                  <w:tcW w:w="908" w:type="dxa"/>
                  <w:noWrap w:val="0"/>
                  <w:vAlign w:val="center"/>
                </w:tcPr>
                <w:p>
                  <w:pPr>
                    <w:spacing w:line="240" w:lineRule="atLeast"/>
                    <w:jc w:val="center"/>
                    <w:rPr>
                      <w:rFonts w:hint="default" w:eastAsia="宋体"/>
                      <w:sz w:val="18"/>
                      <w:szCs w:val="18"/>
                      <w:lang w:val="en-US" w:eastAsia="zh-CN"/>
                    </w:rPr>
                  </w:pPr>
                  <w:r>
                    <w:rPr>
                      <w:rFonts w:hint="eastAsia"/>
                      <w:sz w:val="18"/>
                      <w:szCs w:val="18"/>
                      <w:lang w:val="en-US" w:eastAsia="zh-CN"/>
                    </w:rPr>
                    <w:t>3.71</w:t>
                  </w:r>
                </w:p>
              </w:tc>
              <w:tc>
                <w:tcPr>
                  <w:tcW w:w="848" w:type="dxa"/>
                  <w:noWrap w:val="0"/>
                  <w:vAlign w:val="center"/>
                </w:tcPr>
                <w:p>
                  <w:pPr>
                    <w:jc w:val="center"/>
                    <w:rPr>
                      <w:rFonts w:hint="default" w:eastAsia="宋体"/>
                      <w:sz w:val="18"/>
                      <w:szCs w:val="18"/>
                      <w:lang w:val="en-US" w:eastAsia="zh-CN"/>
                    </w:rPr>
                  </w:pPr>
                  <w:r>
                    <w:rPr>
                      <w:rFonts w:hint="eastAsia"/>
                      <w:sz w:val="18"/>
                      <w:szCs w:val="18"/>
                      <w:lang w:val="en-US" w:eastAsia="zh-CN"/>
                    </w:rPr>
                    <w:t>0.024</w:t>
                  </w:r>
                </w:p>
              </w:tc>
              <w:tc>
                <w:tcPr>
                  <w:tcW w:w="884" w:type="dxa"/>
                  <w:vMerge w:val="continue"/>
                  <w:noWrap w:val="0"/>
                  <w:vAlign w:val="center"/>
                </w:tcPr>
                <w:p>
                  <w:pPr>
                    <w:jc w:val="center"/>
                    <w:rPr>
                      <w:rFonts w:hint="eastAsia"/>
                      <w:sz w:val="18"/>
                      <w:szCs w:val="18"/>
                    </w:rPr>
                  </w:pPr>
                </w:p>
              </w:tc>
              <w:tc>
                <w:tcPr>
                  <w:tcW w:w="779" w:type="dxa"/>
                  <w:noWrap w:val="0"/>
                  <w:vAlign w:val="center"/>
                </w:tcPr>
                <w:p>
                  <w:pPr>
                    <w:jc w:val="center"/>
                    <w:rPr>
                      <w:rFonts w:hint="default" w:eastAsia="宋体"/>
                      <w:sz w:val="18"/>
                      <w:szCs w:val="18"/>
                      <w:lang w:val="en-US" w:eastAsia="zh-CN"/>
                    </w:rPr>
                  </w:pPr>
                  <w:r>
                    <w:rPr>
                      <w:rFonts w:hint="eastAsia"/>
                      <w:sz w:val="18"/>
                      <w:szCs w:val="18"/>
                      <w:lang w:val="en-US" w:eastAsia="zh-CN"/>
                    </w:rPr>
                    <w:t>3.46</w:t>
                  </w:r>
                </w:p>
              </w:tc>
              <w:tc>
                <w:tcPr>
                  <w:tcW w:w="1059" w:type="dxa"/>
                  <w:noWrap w:val="0"/>
                  <w:vAlign w:val="center"/>
                </w:tcPr>
                <w:p>
                  <w:pPr>
                    <w:jc w:val="center"/>
                    <w:rPr>
                      <w:rFonts w:hint="default" w:eastAsia="宋体"/>
                      <w:sz w:val="18"/>
                      <w:szCs w:val="18"/>
                      <w:lang w:val="en-US" w:eastAsia="zh-CN"/>
                    </w:rPr>
                  </w:pPr>
                  <w:r>
                    <w:rPr>
                      <w:rFonts w:hint="eastAsia"/>
                      <w:sz w:val="18"/>
                      <w:szCs w:val="18"/>
                      <w:lang w:val="en-US" w:eastAsia="zh-CN"/>
                    </w:rPr>
                    <w:t>0.0224</w:t>
                  </w:r>
                </w:p>
              </w:tc>
              <w:tc>
                <w:tcPr>
                  <w:tcW w:w="1313" w:type="dxa"/>
                  <w:vMerge w:val="continue"/>
                  <w:noWrap w:val="0"/>
                  <w:vAlign w:val="center"/>
                </w:tcPr>
                <w:p>
                  <w:pPr>
                    <w:jc w:val="center"/>
                    <w:rPr>
                      <w:rFonts w:hint="eastAsia"/>
                      <w:sz w:val="18"/>
                      <w:szCs w:val="18"/>
                    </w:rPr>
                  </w:pPr>
                </w:p>
              </w:tc>
            </w:tr>
          </w:tbl>
          <w:p>
            <w:pPr>
              <w:spacing w:line="360" w:lineRule="auto"/>
              <w:ind w:firstLine="420" w:firstLineChars="200"/>
              <w:rPr>
                <w:rFonts w:hint="eastAsia"/>
                <w:szCs w:val="21"/>
              </w:rPr>
            </w:pPr>
            <w:r>
              <w:rPr>
                <w:rFonts w:hint="eastAsia"/>
                <w:szCs w:val="21"/>
              </w:rPr>
              <w:t>本项目产生的废水为生活污水，接管</w:t>
            </w:r>
            <w:r>
              <w:rPr>
                <w:rFonts w:hint="eastAsia"/>
                <w:szCs w:val="21"/>
                <w:lang w:val="en-US" w:eastAsia="zh-CN"/>
              </w:rPr>
              <w:t>淮南安成经济开发区</w:t>
            </w:r>
            <w:r>
              <w:rPr>
                <w:szCs w:val="21"/>
              </w:rPr>
              <w:t>污水处理厂</w:t>
            </w:r>
            <w:r>
              <w:rPr>
                <w:rFonts w:hint="eastAsia"/>
                <w:szCs w:val="21"/>
              </w:rPr>
              <w:t>，生活污水</w:t>
            </w:r>
            <w:r>
              <w:rPr>
                <w:rFonts w:hint="eastAsia"/>
                <w:szCs w:val="21"/>
                <w:lang w:val="en-US" w:eastAsia="zh-CN"/>
              </w:rPr>
              <w:t>执行</w:t>
            </w:r>
            <w:r>
              <w:rPr>
                <w:rFonts w:hint="eastAsia" w:ascii="Times New Roman" w:hAnsi="Times New Roman" w:cs="Times New Roman"/>
                <w:color w:val="auto"/>
                <w:kern w:val="0"/>
                <w:szCs w:val="21"/>
                <w:lang w:val="en-US" w:eastAsia="zh-CN"/>
              </w:rPr>
              <w:t>安成经济开发区污水接管标准</w:t>
            </w:r>
            <w:r>
              <w:rPr>
                <w:rFonts w:hint="default" w:ascii="Times New Roman" w:hAnsi="Times New Roman" w:eastAsia="宋体" w:cs="Times New Roman"/>
                <w:color w:val="auto"/>
                <w:sz w:val="21"/>
                <w:szCs w:val="21"/>
                <w:lang w:val="en-US" w:eastAsia="zh-CN"/>
              </w:rPr>
              <w:t>（接管标准中未包含的污染物执行《污水排入城镇下水道水质标准》（GB/T31962-2015）中B等级排放标准</w:t>
            </w:r>
            <w:r>
              <w:rPr>
                <w:rFonts w:hint="eastAsia" w:cs="Times New Roman"/>
                <w:color w:val="auto"/>
                <w:kern w:val="0"/>
                <w:sz w:val="21"/>
                <w:szCs w:val="21"/>
                <w:lang w:val="en-US" w:eastAsia="zh-CN"/>
              </w:rPr>
              <w:t>）</w:t>
            </w:r>
            <w:r>
              <w:rPr>
                <w:rFonts w:hint="eastAsia"/>
                <w:szCs w:val="21"/>
              </w:rPr>
              <w:t>。</w:t>
            </w:r>
          </w:p>
          <w:p>
            <w:pPr>
              <w:adjustRightInd w:val="0"/>
              <w:snapToGrid w:val="0"/>
              <w:spacing w:line="360" w:lineRule="auto"/>
              <w:ind w:firstLine="420" w:firstLineChars="200"/>
              <w:jc w:val="left"/>
              <w:rPr>
                <w:kern w:val="0"/>
                <w:szCs w:val="21"/>
              </w:rPr>
            </w:pPr>
            <w:r>
              <w:rPr>
                <w:kern w:val="0"/>
                <w:szCs w:val="21"/>
              </w:rPr>
              <w:t>（3）废水类别、污染物及污染治理设施信息</w:t>
            </w:r>
          </w:p>
          <w:p>
            <w:pPr>
              <w:adjustRightInd w:val="0"/>
              <w:snapToGrid w:val="0"/>
              <w:spacing w:line="360" w:lineRule="auto"/>
              <w:ind w:firstLine="420" w:firstLineChars="200"/>
              <w:rPr>
                <w:rFonts w:eastAsia="黑体"/>
                <w:kern w:val="0"/>
                <w:szCs w:val="21"/>
              </w:rPr>
            </w:pPr>
            <w:r>
              <w:rPr>
                <w:kern w:val="0"/>
                <w:szCs w:val="21"/>
              </w:rPr>
              <w:t>废水类别、污染物及污染治理设施信息表见表</w:t>
            </w:r>
            <w:r>
              <w:rPr>
                <w:rFonts w:hint="eastAsia"/>
                <w:kern w:val="0"/>
                <w:szCs w:val="21"/>
              </w:rPr>
              <w:t>4-</w:t>
            </w:r>
            <w:r>
              <w:rPr>
                <w:rFonts w:hint="eastAsia"/>
                <w:kern w:val="0"/>
                <w:szCs w:val="21"/>
                <w:lang w:val="en-US" w:eastAsia="zh-CN"/>
              </w:rPr>
              <w:t>8</w:t>
            </w:r>
            <w:r>
              <w:rPr>
                <w:snapToGrid w:val="0"/>
                <w:kern w:val="0"/>
                <w:szCs w:val="21"/>
              </w:rPr>
              <w:t>。</w:t>
            </w:r>
          </w:p>
          <w:p>
            <w:pPr>
              <w:pStyle w:val="40"/>
              <w:spacing w:before="0" w:beforeAutospacing="0" w:after="0" w:afterAutospacing="0" w:line="240" w:lineRule="atLeast"/>
              <w:jc w:val="center"/>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 xml:space="preserve">表4-8  </w:t>
            </w:r>
            <w:r>
              <w:rPr>
                <w:rFonts w:hint="eastAsia" w:ascii="Times New Roman" w:hAnsi="Times New Roman"/>
                <w:b/>
                <w:bCs/>
                <w:snapToGrid w:val="0"/>
                <w:sz w:val="21"/>
                <w:szCs w:val="21"/>
                <w:lang w:val="en-US" w:eastAsia="zh-CN"/>
              </w:rPr>
              <w:t>废水排放口基本情况表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90"/>
              <w:gridCol w:w="1232"/>
              <w:gridCol w:w="845"/>
              <w:gridCol w:w="845"/>
              <w:gridCol w:w="893"/>
              <w:gridCol w:w="743"/>
              <w:gridCol w:w="855"/>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98" w:type="pct"/>
                  <w:noWrap w:val="0"/>
                  <w:vAlign w:val="center"/>
                </w:tcPr>
                <w:p>
                  <w:pPr>
                    <w:pStyle w:val="40"/>
                    <w:snapToGrid w:val="0"/>
                    <w:spacing w:before="0" w:beforeAutospacing="0" w:after="0" w:afterAutospacing="0"/>
                    <w:jc w:val="center"/>
                    <w:rPr>
                      <w:rFonts w:ascii="Times New Roman" w:hAnsi="Times New Roman"/>
                      <w:b/>
                      <w:bCs/>
                      <w:snapToGrid w:val="0"/>
                      <w:sz w:val="18"/>
                      <w:szCs w:val="18"/>
                      <w:lang w:val="en-US" w:eastAsia="zh-CN"/>
                    </w:rPr>
                  </w:pPr>
                  <w:r>
                    <w:rPr>
                      <w:rFonts w:hint="eastAsia" w:ascii="Times New Roman" w:hAnsi="Times New Roman"/>
                      <w:b/>
                      <w:bCs/>
                      <w:snapToGrid w:val="0"/>
                      <w:sz w:val="18"/>
                      <w:szCs w:val="18"/>
                      <w:lang w:val="en-US" w:eastAsia="zh-CN"/>
                    </w:rPr>
                    <w:t>排放口编号</w:t>
                  </w:r>
                </w:p>
              </w:tc>
              <w:tc>
                <w:tcPr>
                  <w:tcW w:w="447" w:type="pct"/>
                  <w:noWrap w:val="0"/>
                  <w:vAlign w:val="center"/>
                </w:tcPr>
                <w:p>
                  <w:pPr>
                    <w:pStyle w:val="40"/>
                    <w:snapToGrid w:val="0"/>
                    <w:spacing w:before="0" w:beforeAutospacing="0" w:after="0" w:afterAutospacing="0"/>
                    <w:jc w:val="center"/>
                    <w:rPr>
                      <w:rFonts w:ascii="Times New Roman" w:hAnsi="Times New Roman"/>
                      <w:b/>
                      <w:bCs/>
                      <w:snapToGrid w:val="0"/>
                      <w:sz w:val="18"/>
                      <w:szCs w:val="18"/>
                      <w:lang w:val="en-US" w:eastAsia="zh-CN"/>
                    </w:rPr>
                  </w:pPr>
                  <w:r>
                    <w:rPr>
                      <w:rFonts w:hint="eastAsia" w:ascii="Times New Roman" w:hAnsi="Times New Roman"/>
                      <w:b/>
                      <w:bCs/>
                      <w:snapToGrid w:val="0"/>
                      <w:sz w:val="18"/>
                      <w:szCs w:val="18"/>
                      <w:lang w:val="en-US" w:eastAsia="zh-CN"/>
                    </w:rPr>
                    <w:t>排放口名称</w:t>
                  </w:r>
                </w:p>
              </w:tc>
              <w:tc>
                <w:tcPr>
                  <w:tcW w:w="697" w:type="pct"/>
                  <w:noWrap w:val="0"/>
                  <w:vAlign w:val="center"/>
                </w:tcPr>
                <w:p>
                  <w:pPr>
                    <w:pStyle w:val="40"/>
                    <w:snapToGrid w:val="0"/>
                    <w:spacing w:before="0" w:beforeAutospacing="0" w:after="0" w:afterAutospacing="0"/>
                    <w:jc w:val="center"/>
                    <w:rPr>
                      <w:rFonts w:ascii="Times New Roman" w:hAnsi="Times New Roman"/>
                      <w:b/>
                      <w:bCs/>
                      <w:snapToGrid w:val="0"/>
                      <w:sz w:val="18"/>
                      <w:szCs w:val="18"/>
                      <w:lang w:val="en-US" w:eastAsia="zh-CN"/>
                    </w:rPr>
                  </w:pPr>
                  <w:r>
                    <w:rPr>
                      <w:rFonts w:hint="eastAsia" w:ascii="Times New Roman" w:hAnsi="Times New Roman"/>
                      <w:b/>
                      <w:bCs/>
                      <w:snapToGrid w:val="0"/>
                      <w:sz w:val="18"/>
                      <w:szCs w:val="18"/>
                      <w:lang w:val="en-US" w:eastAsia="zh-CN"/>
                    </w:rPr>
                    <w:t>排放口地理坐标</w:t>
                  </w:r>
                </w:p>
              </w:tc>
              <w:tc>
                <w:tcPr>
                  <w:tcW w:w="478" w:type="pct"/>
                  <w:noWrap w:val="0"/>
                  <w:vAlign w:val="center"/>
                </w:tcPr>
                <w:p>
                  <w:pPr>
                    <w:pStyle w:val="40"/>
                    <w:snapToGrid w:val="0"/>
                    <w:spacing w:before="0" w:beforeAutospacing="0" w:after="0" w:afterAutospacing="0"/>
                    <w:jc w:val="center"/>
                    <w:rPr>
                      <w:rFonts w:ascii="Times New Roman" w:hAnsi="Times New Roman"/>
                      <w:b/>
                      <w:bCs/>
                      <w:snapToGrid w:val="0"/>
                      <w:sz w:val="18"/>
                      <w:szCs w:val="18"/>
                      <w:lang w:val="en-US" w:eastAsia="zh-CN"/>
                    </w:rPr>
                  </w:pPr>
                  <w:r>
                    <w:rPr>
                      <w:rFonts w:hint="eastAsia" w:ascii="Times New Roman" w:hAnsi="Times New Roman"/>
                      <w:b/>
                      <w:bCs/>
                      <w:snapToGrid w:val="0"/>
                      <w:sz w:val="18"/>
                      <w:szCs w:val="18"/>
                      <w:lang w:val="en-US" w:eastAsia="zh-CN"/>
                    </w:rPr>
                    <w:t>污染物</w:t>
                  </w:r>
                </w:p>
              </w:tc>
              <w:tc>
                <w:tcPr>
                  <w:tcW w:w="478" w:type="pct"/>
                  <w:noWrap w:val="0"/>
                  <w:vAlign w:val="center"/>
                </w:tcPr>
                <w:p>
                  <w:pPr>
                    <w:pStyle w:val="40"/>
                    <w:snapToGrid w:val="0"/>
                    <w:spacing w:before="0" w:beforeAutospacing="0" w:after="0" w:afterAutospacing="0"/>
                    <w:jc w:val="center"/>
                    <w:rPr>
                      <w:rFonts w:ascii="Times New Roman" w:hAnsi="Times New Roman"/>
                      <w:b/>
                      <w:bCs/>
                      <w:snapToGrid w:val="0"/>
                      <w:sz w:val="18"/>
                      <w:szCs w:val="18"/>
                      <w:lang w:val="en-US" w:eastAsia="zh-CN"/>
                    </w:rPr>
                  </w:pPr>
                  <w:r>
                    <w:rPr>
                      <w:rFonts w:hint="eastAsia" w:ascii="Times New Roman" w:hAnsi="Times New Roman"/>
                      <w:b/>
                      <w:bCs/>
                      <w:snapToGrid w:val="0"/>
                      <w:sz w:val="18"/>
                      <w:szCs w:val="18"/>
                      <w:lang w:val="en-US" w:eastAsia="zh-CN"/>
                    </w:rPr>
                    <w:t>排放方式</w:t>
                  </w:r>
                </w:p>
              </w:tc>
              <w:tc>
                <w:tcPr>
                  <w:tcW w:w="505" w:type="pct"/>
                  <w:noWrap w:val="0"/>
                  <w:vAlign w:val="center"/>
                </w:tcPr>
                <w:p>
                  <w:pPr>
                    <w:pStyle w:val="40"/>
                    <w:snapToGrid w:val="0"/>
                    <w:spacing w:before="0" w:beforeAutospacing="0" w:after="0" w:afterAutospacing="0"/>
                    <w:jc w:val="center"/>
                    <w:rPr>
                      <w:rFonts w:ascii="Times New Roman" w:hAnsi="Times New Roman"/>
                      <w:b/>
                      <w:bCs/>
                      <w:snapToGrid w:val="0"/>
                      <w:sz w:val="18"/>
                      <w:szCs w:val="18"/>
                      <w:lang w:val="en-US" w:eastAsia="zh-CN"/>
                    </w:rPr>
                  </w:pPr>
                  <w:r>
                    <w:rPr>
                      <w:rFonts w:hint="eastAsia" w:ascii="Times New Roman" w:hAnsi="Times New Roman"/>
                      <w:b/>
                      <w:bCs/>
                      <w:snapToGrid w:val="0"/>
                      <w:sz w:val="18"/>
                      <w:szCs w:val="18"/>
                      <w:lang w:val="en-US" w:eastAsia="zh-CN"/>
                    </w:rPr>
                    <w:t>排放去向</w:t>
                  </w:r>
                </w:p>
              </w:tc>
              <w:tc>
                <w:tcPr>
                  <w:tcW w:w="420" w:type="pct"/>
                  <w:noWrap w:val="0"/>
                  <w:vAlign w:val="center"/>
                </w:tcPr>
                <w:p>
                  <w:pPr>
                    <w:pStyle w:val="40"/>
                    <w:snapToGrid w:val="0"/>
                    <w:spacing w:before="0" w:beforeAutospacing="0" w:after="0" w:afterAutospacing="0"/>
                    <w:jc w:val="center"/>
                    <w:rPr>
                      <w:rFonts w:ascii="Times New Roman" w:hAnsi="Times New Roman"/>
                      <w:b/>
                      <w:bCs/>
                      <w:snapToGrid w:val="0"/>
                      <w:sz w:val="18"/>
                      <w:szCs w:val="18"/>
                      <w:lang w:val="en-US" w:eastAsia="zh-CN"/>
                    </w:rPr>
                  </w:pPr>
                  <w:r>
                    <w:rPr>
                      <w:rFonts w:hint="eastAsia" w:ascii="Times New Roman" w:hAnsi="Times New Roman"/>
                      <w:b/>
                      <w:bCs/>
                      <w:snapToGrid w:val="0"/>
                      <w:sz w:val="18"/>
                      <w:szCs w:val="18"/>
                      <w:lang w:val="en-US" w:eastAsia="zh-CN"/>
                    </w:rPr>
                    <w:t>排放规律</w:t>
                  </w:r>
                </w:p>
              </w:tc>
              <w:tc>
                <w:tcPr>
                  <w:tcW w:w="483" w:type="pct"/>
                  <w:noWrap w:val="0"/>
                  <w:vAlign w:val="center"/>
                </w:tcPr>
                <w:p>
                  <w:pPr>
                    <w:pStyle w:val="40"/>
                    <w:snapToGrid w:val="0"/>
                    <w:spacing w:before="0" w:beforeAutospacing="0" w:after="0" w:afterAutospacing="0"/>
                    <w:jc w:val="center"/>
                    <w:rPr>
                      <w:rFonts w:ascii="Times New Roman" w:hAnsi="Times New Roman"/>
                      <w:b/>
                      <w:bCs/>
                      <w:snapToGrid w:val="0"/>
                      <w:sz w:val="18"/>
                      <w:szCs w:val="18"/>
                      <w:lang w:val="en-US" w:eastAsia="zh-CN"/>
                    </w:rPr>
                  </w:pPr>
                  <w:r>
                    <w:rPr>
                      <w:rFonts w:hint="eastAsia" w:ascii="Times New Roman" w:hAnsi="Times New Roman"/>
                      <w:b/>
                      <w:bCs/>
                      <w:snapToGrid w:val="0"/>
                      <w:sz w:val="18"/>
                      <w:szCs w:val="18"/>
                      <w:lang w:val="en-US" w:eastAsia="zh-CN"/>
                    </w:rPr>
                    <w:t>排放口类型</w:t>
                  </w:r>
                </w:p>
              </w:tc>
              <w:tc>
                <w:tcPr>
                  <w:tcW w:w="990" w:type="pct"/>
                  <w:noWrap w:val="0"/>
                  <w:vAlign w:val="center"/>
                </w:tcPr>
                <w:p>
                  <w:pPr>
                    <w:pStyle w:val="40"/>
                    <w:snapToGrid w:val="0"/>
                    <w:spacing w:before="0" w:beforeAutospacing="0" w:after="0" w:afterAutospacing="0"/>
                    <w:jc w:val="center"/>
                    <w:rPr>
                      <w:rFonts w:ascii="Times New Roman" w:hAnsi="Times New Roman"/>
                      <w:b/>
                      <w:bCs/>
                      <w:snapToGrid w:val="0"/>
                      <w:sz w:val="18"/>
                      <w:szCs w:val="18"/>
                      <w:lang w:val="en-US" w:eastAsia="zh-CN"/>
                    </w:rPr>
                  </w:pPr>
                  <w:r>
                    <w:rPr>
                      <w:rFonts w:hint="eastAsia" w:ascii="Times New Roman" w:hAnsi="Times New Roman"/>
                      <w:b/>
                      <w:bCs/>
                      <w:snapToGrid w:val="0"/>
                      <w:sz w:val="18"/>
                      <w:szCs w:val="18"/>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498" w:type="pct"/>
                  <w:noWrap w:val="0"/>
                  <w:vAlign w:val="center"/>
                </w:tcPr>
                <w:p>
                  <w:pPr>
                    <w:pStyle w:val="40"/>
                    <w:snapToGrid w:val="0"/>
                    <w:spacing w:before="0" w:beforeAutospacing="0" w:after="0" w:afterAutospacing="0"/>
                    <w:jc w:val="center"/>
                    <w:rPr>
                      <w:rFonts w:ascii="Times New Roman" w:hAnsi="Times New Roman"/>
                      <w:snapToGrid w:val="0"/>
                      <w:sz w:val="18"/>
                      <w:szCs w:val="18"/>
                      <w:lang w:val="en-US" w:eastAsia="zh-CN"/>
                    </w:rPr>
                  </w:pPr>
                  <w:r>
                    <w:rPr>
                      <w:rFonts w:ascii="Times New Roman" w:hAnsi="Times New Roman"/>
                      <w:sz w:val="18"/>
                      <w:szCs w:val="18"/>
                      <w:lang w:val="en-US" w:eastAsia="zh-CN"/>
                    </w:rPr>
                    <w:t>DW001</w:t>
                  </w:r>
                </w:p>
              </w:tc>
              <w:tc>
                <w:tcPr>
                  <w:tcW w:w="447" w:type="pct"/>
                  <w:noWrap w:val="0"/>
                  <w:vAlign w:val="center"/>
                </w:tcPr>
                <w:p>
                  <w:pPr>
                    <w:pStyle w:val="40"/>
                    <w:snapToGrid w:val="0"/>
                    <w:spacing w:before="0" w:beforeAutospacing="0" w:after="0" w:afterAutospacing="0"/>
                    <w:jc w:val="center"/>
                    <w:rPr>
                      <w:rFonts w:ascii="Times New Roman" w:hAnsi="Times New Roman"/>
                      <w:snapToGrid w:val="0"/>
                      <w:sz w:val="18"/>
                      <w:szCs w:val="18"/>
                      <w:lang w:val="en-US" w:eastAsia="zh-CN"/>
                    </w:rPr>
                  </w:pPr>
                  <w:r>
                    <w:rPr>
                      <w:rFonts w:ascii="Times New Roman" w:hAnsi="Times New Roman"/>
                      <w:snapToGrid w:val="0"/>
                      <w:sz w:val="18"/>
                      <w:szCs w:val="18"/>
                      <w:lang w:val="en-US" w:eastAsia="zh-CN"/>
                    </w:rPr>
                    <w:t>废水总排口</w:t>
                  </w:r>
                </w:p>
              </w:tc>
              <w:tc>
                <w:tcPr>
                  <w:tcW w:w="697" w:type="pct"/>
                  <w:noWrap w:val="0"/>
                  <w:vAlign w:val="center"/>
                </w:tcPr>
                <w:p>
                  <w:pPr>
                    <w:pStyle w:val="40"/>
                    <w:spacing w:before="0" w:beforeAutospacing="0" w:after="0" w:afterAutospacing="0"/>
                    <w:jc w:val="center"/>
                    <w:rPr>
                      <w:rFonts w:hint="eastAsia" w:ascii="Times New Roman" w:hAnsi="Times New Roman"/>
                      <w:snapToGrid w:val="0"/>
                      <w:sz w:val="18"/>
                      <w:szCs w:val="18"/>
                      <w:lang w:val="en-US" w:eastAsia="zh-CN"/>
                    </w:rPr>
                  </w:pPr>
                  <w:r>
                    <w:rPr>
                      <w:rFonts w:hint="eastAsia" w:ascii="Times New Roman" w:hAnsi="Times New Roman"/>
                      <w:snapToGrid w:val="0"/>
                      <w:sz w:val="18"/>
                      <w:szCs w:val="18"/>
                      <w:lang w:val="en-US" w:eastAsia="zh-CN"/>
                    </w:rPr>
                    <w:t>116.970049</w:t>
                  </w:r>
                </w:p>
                <w:p>
                  <w:pPr>
                    <w:pStyle w:val="40"/>
                    <w:spacing w:before="0" w:beforeAutospacing="0" w:after="0" w:afterAutospacing="0"/>
                    <w:jc w:val="center"/>
                    <w:rPr>
                      <w:rFonts w:hint="default" w:ascii="Times New Roman" w:hAnsi="Times New Roman"/>
                      <w:snapToGrid w:val="0"/>
                      <w:sz w:val="18"/>
                      <w:szCs w:val="18"/>
                      <w:lang w:val="en-US" w:eastAsia="zh-CN"/>
                    </w:rPr>
                  </w:pPr>
                  <w:r>
                    <w:rPr>
                      <w:rFonts w:hint="eastAsia" w:ascii="Times New Roman" w:hAnsi="Times New Roman"/>
                      <w:snapToGrid w:val="0"/>
                      <w:sz w:val="18"/>
                      <w:szCs w:val="18"/>
                      <w:lang w:val="en-US" w:eastAsia="zh-CN"/>
                    </w:rPr>
                    <w:t>32.644075</w:t>
                  </w:r>
                </w:p>
              </w:tc>
              <w:tc>
                <w:tcPr>
                  <w:tcW w:w="478" w:type="pct"/>
                  <w:noWrap w:val="0"/>
                  <w:vAlign w:val="center"/>
                </w:tcPr>
                <w:p>
                  <w:pPr>
                    <w:pStyle w:val="40"/>
                    <w:spacing w:before="0" w:beforeAutospacing="0" w:after="0" w:afterAutospacing="0"/>
                    <w:jc w:val="center"/>
                    <w:rPr>
                      <w:rFonts w:hint="eastAsia" w:ascii="Times New Roman" w:hAnsi="Times New Roman"/>
                      <w:snapToGrid w:val="0"/>
                      <w:sz w:val="18"/>
                      <w:szCs w:val="18"/>
                      <w:lang w:val="en-US" w:eastAsia="zh-CN"/>
                    </w:rPr>
                  </w:pPr>
                  <w:r>
                    <w:rPr>
                      <w:rFonts w:ascii="Times New Roman" w:hAnsi="Times New Roman"/>
                      <w:bCs/>
                      <w:snapToGrid w:val="0"/>
                      <w:sz w:val="18"/>
                      <w:szCs w:val="18"/>
                      <w:lang w:val="en-US" w:eastAsia="zh-CN"/>
                    </w:rPr>
                    <w:t>pH</w:t>
                  </w:r>
                  <w:r>
                    <w:rPr>
                      <w:rFonts w:hint="eastAsia" w:ascii="Times New Roman" w:hAnsi="Times New Roman"/>
                      <w:bCs/>
                      <w:snapToGrid w:val="0"/>
                      <w:sz w:val="18"/>
                      <w:szCs w:val="18"/>
                      <w:lang w:val="en-US" w:eastAsia="zh-CN"/>
                    </w:rPr>
                    <w:t>、</w:t>
                  </w:r>
                  <w:r>
                    <w:rPr>
                      <w:rFonts w:ascii="Times New Roman" w:hAnsi="Times New Roman"/>
                      <w:bCs/>
                      <w:snapToGrid w:val="0"/>
                      <w:sz w:val="18"/>
                      <w:szCs w:val="18"/>
                      <w:lang w:val="en-US" w:eastAsia="zh-CN"/>
                    </w:rPr>
                    <w:t>COD、氨氮</w:t>
                  </w:r>
                  <w:r>
                    <w:rPr>
                      <w:rFonts w:hint="eastAsia" w:ascii="Times New Roman" w:hAnsi="Times New Roman"/>
                      <w:bCs/>
                      <w:snapToGrid w:val="0"/>
                      <w:sz w:val="18"/>
                      <w:szCs w:val="18"/>
                      <w:lang w:val="en-US" w:eastAsia="zh-CN"/>
                    </w:rPr>
                    <w:t>、TN、TP、</w:t>
                  </w:r>
                  <w:r>
                    <w:rPr>
                      <w:rFonts w:ascii="Times New Roman" w:hAnsi="Times New Roman"/>
                      <w:bCs/>
                      <w:snapToGrid w:val="0"/>
                      <w:sz w:val="18"/>
                      <w:szCs w:val="18"/>
                      <w:lang w:val="en-US" w:eastAsia="zh-CN"/>
                    </w:rPr>
                    <w:t>SS</w:t>
                  </w:r>
                  <w:r>
                    <w:rPr>
                      <w:rFonts w:hint="eastAsia" w:ascii="Times New Roman" w:hAnsi="Times New Roman"/>
                      <w:bCs/>
                      <w:snapToGrid w:val="0"/>
                      <w:sz w:val="18"/>
                      <w:szCs w:val="18"/>
                      <w:lang w:val="en-US" w:eastAsia="zh-CN"/>
                    </w:rPr>
                    <w:t>、</w:t>
                  </w:r>
                  <w:r>
                    <w:rPr>
                      <w:rFonts w:ascii="Times New Roman" w:hAnsi="Times New Roman"/>
                      <w:bCs/>
                      <w:snapToGrid w:val="0"/>
                      <w:sz w:val="18"/>
                      <w:szCs w:val="18"/>
                      <w:lang w:val="en-US" w:eastAsia="zh-CN"/>
                    </w:rPr>
                    <w:t>BOD</w:t>
                  </w:r>
                  <w:r>
                    <w:rPr>
                      <w:rFonts w:ascii="Times New Roman" w:hAnsi="Times New Roman"/>
                      <w:bCs/>
                      <w:snapToGrid w:val="0"/>
                      <w:sz w:val="18"/>
                      <w:szCs w:val="18"/>
                      <w:vertAlign w:val="subscript"/>
                      <w:lang w:val="en-US" w:eastAsia="zh-CN"/>
                    </w:rPr>
                    <w:t>5</w:t>
                  </w:r>
                </w:p>
              </w:tc>
              <w:tc>
                <w:tcPr>
                  <w:tcW w:w="478" w:type="pct"/>
                  <w:noWrap w:val="0"/>
                  <w:vAlign w:val="center"/>
                </w:tcPr>
                <w:p>
                  <w:pPr>
                    <w:pStyle w:val="40"/>
                    <w:snapToGrid w:val="0"/>
                    <w:spacing w:before="0" w:beforeAutospacing="0" w:after="0" w:afterAutospacing="0"/>
                    <w:jc w:val="center"/>
                    <w:rPr>
                      <w:rFonts w:ascii="Times New Roman" w:hAnsi="Times New Roman"/>
                      <w:snapToGrid w:val="0"/>
                      <w:sz w:val="18"/>
                      <w:szCs w:val="18"/>
                      <w:lang w:val="en-US" w:eastAsia="zh-CN"/>
                    </w:rPr>
                  </w:pPr>
                  <w:r>
                    <w:rPr>
                      <w:rFonts w:ascii="Times New Roman" w:hAnsi="Times New Roman"/>
                      <w:snapToGrid w:val="0"/>
                      <w:sz w:val="18"/>
                      <w:szCs w:val="18"/>
                      <w:lang w:val="en-US" w:eastAsia="zh-CN"/>
                    </w:rPr>
                    <w:t>间接排放</w:t>
                  </w:r>
                </w:p>
              </w:tc>
              <w:tc>
                <w:tcPr>
                  <w:tcW w:w="505" w:type="pct"/>
                  <w:noWrap w:val="0"/>
                  <w:vAlign w:val="center"/>
                </w:tcPr>
                <w:p>
                  <w:pPr>
                    <w:pStyle w:val="40"/>
                    <w:snapToGrid w:val="0"/>
                    <w:spacing w:before="0" w:beforeAutospacing="0" w:after="0" w:afterAutospacing="0"/>
                    <w:jc w:val="center"/>
                    <w:rPr>
                      <w:rFonts w:ascii="Times New Roman" w:hAnsi="Times New Roman"/>
                      <w:snapToGrid w:val="0"/>
                      <w:sz w:val="18"/>
                      <w:szCs w:val="18"/>
                      <w:lang w:val="en-US" w:eastAsia="zh-CN"/>
                    </w:rPr>
                  </w:pPr>
                  <w:r>
                    <w:rPr>
                      <w:rFonts w:hint="eastAsia" w:cs="Times New Roman"/>
                      <w:color w:val="auto"/>
                      <w:sz w:val="18"/>
                      <w:szCs w:val="18"/>
                      <w:lang w:val="en-US" w:eastAsia="zh-CN"/>
                    </w:rPr>
                    <w:t>淮南安成经济开发区污水处理厂</w:t>
                  </w:r>
                </w:p>
              </w:tc>
              <w:tc>
                <w:tcPr>
                  <w:tcW w:w="420" w:type="pct"/>
                  <w:noWrap w:val="0"/>
                  <w:vAlign w:val="center"/>
                </w:tcPr>
                <w:p>
                  <w:pPr>
                    <w:pStyle w:val="40"/>
                    <w:snapToGrid w:val="0"/>
                    <w:spacing w:before="0" w:beforeAutospacing="0" w:after="0" w:afterAutospacing="0"/>
                    <w:jc w:val="center"/>
                    <w:rPr>
                      <w:rFonts w:ascii="Times New Roman" w:hAnsi="Times New Roman"/>
                      <w:snapToGrid w:val="0"/>
                      <w:sz w:val="18"/>
                      <w:szCs w:val="18"/>
                      <w:lang w:val="en-US" w:eastAsia="zh-CN"/>
                    </w:rPr>
                  </w:pPr>
                  <w:r>
                    <w:rPr>
                      <w:rFonts w:hint="eastAsia" w:ascii="Times New Roman" w:hAnsi="Times New Roman"/>
                      <w:snapToGrid w:val="0"/>
                      <w:sz w:val="18"/>
                      <w:szCs w:val="18"/>
                      <w:lang w:val="en-US" w:eastAsia="zh-CN"/>
                    </w:rPr>
                    <w:t>间断排放</w:t>
                  </w:r>
                </w:p>
              </w:tc>
              <w:tc>
                <w:tcPr>
                  <w:tcW w:w="483" w:type="pct"/>
                  <w:noWrap w:val="0"/>
                  <w:vAlign w:val="center"/>
                </w:tcPr>
                <w:p>
                  <w:pPr>
                    <w:pStyle w:val="40"/>
                    <w:snapToGrid w:val="0"/>
                    <w:spacing w:before="0" w:beforeAutospacing="0" w:after="0" w:afterAutospacing="0"/>
                    <w:jc w:val="center"/>
                    <w:rPr>
                      <w:rFonts w:ascii="Times New Roman" w:hAnsi="Times New Roman"/>
                      <w:snapToGrid w:val="0"/>
                      <w:sz w:val="18"/>
                      <w:szCs w:val="18"/>
                      <w:lang w:val="en-US" w:eastAsia="zh-CN"/>
                    </w:rPr>
                  </w:pPr>
                  <w:r>
                    <w:rPr>
                      <w:rFonts w:hint="eastAsia"/>
                      <w:sz w:val="18"/>
                      <w:szCs w:val="18"/>
                      <w:lang w:val="en-US" w:eastAsia="zh-CN"/>
                    </w:rPr>
                    <w:t>一般排放口</w:t>
                  </w:r>
                </w:p>
              </w:tc>
              <w:tc>
                <w:tcPr>
                  <w:tcW w:w="990" w:type="pct"/>
                  <w:noWrap w:val="0"/>
                  <w:vAlign w:val="center"/>
                </w:tcPr>
                <w:p>
                  <w:pPr>
                    <w:pStyle w:val="40"/>
                    <w:snapToGrid w:val="0"/>
                    <w:spacing w:before="0" w:beforeAutospacing="0" w:after="0" w:afterAutospacing="0"/>
                    <w:jc w:val="center"/>
                    <w:rPr>
                      <w:rFonts w:ascii="Times New Roman" w:hAnsi="Times New Roman"/>
                      <w:sz w:val="18"/>
                      <w:szCs w:val="18"/>
                    </w:rPr>
                  </w:pPr>
                  <w:r>
                    <w:rPr>
                      <w:rFonts w:hint="eastAsia" w:cs="Times New Roman"/>
                      <w:color w:val="auto"/>
                      <w:sz w:val="18"/>
                      <w:szCs w:val="18"/>
                      <w:lang w:val="en-US" w:eastAsia="zh-CN"/>
                    </w:rPr>
                    <w:t>淮南安成经济开发区污水处理厂</w:t>
                  </w:r>
                  <w:r>
                    <w:rPr>
                      <w:rFonts w:ascii="Times New Roman"/>
                      <w:sz w:val="18"/>
                      <w:szCs w:val="18"/>
                      <w:lang w:val="en-US" w:eastAsia="zh-CN"/>
                    </w:rPr>
                    <w:t>接管标准</w:t>
                  </w:r>
                  <w:r>
                    <w:rPr>
                      <w:rFonts w:hint="default" w:ascii="Times New Roman" w:hAnsi="Times New Roman" w:eastAsia="宋体" w:cs="Times New Roman"/>
                      <w:color w:val="auto"/>
                      <w:sz w:val="18"/>
                      <w:szCs w:val="18"/>
                      <w:lang w:val="en-US" w:eastAsia="zh-CN"/>
                    </w:rPr>
                    <w:t>（接管标准中未包含的污染物执行《污水排入城镇下水道水质标准》（GB/T31962-2015）中B等级排放标准）</w:t>
                  </w:r>
                </w:p>
              </w:tc>
            </w:tr>
          </w:tbl>
          <w:p>
            <w:pPr>
              <w:widowControl/>
              <w:spacing w:line="360" w:lineRule="auto"/>
              <w:ind w:firstLine="422" w:firstLineChars="200"/>
              <w:rPr>
                <w:b/>
                <w:bCs/>
                <w:szCs w:val="21"/>
              </w:rPr>
            </w:pPr>
            <w:r>
              <w:rPr>
                <w:b/>
                <w:bCs/>
                <w:szCs w:val="21"/>
              </w:rPr>
              <w:t>2、废水处理达标可行性分析</w:t>
            </w:r>
          </w:p>
          <w:p>
            <w:pPr>
              <w:widowControl/>
              <w:spacing w:line="360" w:lineRule="auto"/>
              <w:ind w:firstLine="420" w:firstLineChars="200"/>
              <w:rPr>
                <w:bCs/>
                <w:szCs w:val="21"/>
              </w:rPr>
            </w:pPr>
            <w:r>
              <w:rPr>
                <w:rFonts w:hint="eastAsia"/>
                <w:bCs/>
                <w:szCs w:val="21"/>
              </w:rPr>
              <w:t>（1）</w:t>
            </w:r>
            <w:r>
              <w:rPr>
                <w:bCs/>
                <w:szCs w:val="21"/>
              </w:rPr>
              <w:t>雨、污分流排水</w:t>
            </w:r>
            <w:r>
              <w:rPr>
                <w:rFonts w:hint="eastAsia"/>
                <w:bCs/>
                <w:szCs w:val="21"/>
              </w:rPr>
              <w:t>系统</w:t>
            </w:r>
          </w:p>
          <w:p>
            <w:pPr>
              <w:spacing w:line="360" w:lineRule="auto"/>
              <w:ind w:firstLine="420" w:firstLineChars="200"/>
              <w:rPr>
                <w:szCs w:val="21"/>
                <w:lang w:eastAsia="zh-Hans"/>
              </w:rPr>
            </w:pPr>
            <w:r>
              <w:rPr>
                <w:szCs w:val="21"/>
                <w:lang w:eastAsia="zh-Hans"/>
              </w:rPr>
              <w:t>本项目采用雨污分流，雨水经厂区雨水管道收集后排入市政雨水管网；生活污水经化粪池处理后在满足</w:t>
            </w:r>
            <w:r>
              <w:rPr>
                <w:rFonts w:hint="eastAsia" w:ascii="Times New Roman" w:hAnsi="Times New Roman" w:eastAsia="宋体" w:cs="Times New Roman"/>
                <w:szCs w:val="21"/>
                <w:lang w:val="en-US" w:eastAsia="zh-CN"/>
              </w:rPr>
              <w:t>淮南安成经济开发区污水处理厂</w:t>
            </w:r>
            <w:r>
              <w:rPr>
                <w:szCs w:val="21"/>
                <w:lang w:eastAsia="zh-Hans"/>
              </w:rPr>
              <w:t>接管标准（</w:t>
            </w:r>
            <w:r>
              <w:rPr>
                <w:rFonts w:hint="default" w:ascii="Times New Roman" w:hAnsi="Times New Roman" w:eastAsia="宋体" w:cs="Times New Roman"/>
                <w:color w:val="auto"/>
                <w:sz w:val="21"/>
                <w:szCs w:val="21"/>
                <w:lang w:val="en-US" w:eastAsia="zh-CN"/>
              </w:rPr>
              <w:t>接管标准中未包含的污染物执行《污水排入城镇下水道水质标准》（GB/T31962-2015）中B等级排放标准</w:t>
            </w:r>
            <w:r>
              <w:rPr>
                <w:rFonts w:hint="default" w:ascii="Times New Roman" w:hAnsi="Times New Roman" w:cs="Times New Roman"/>
                <w:sz w:val="21"/>
                <w:szCs w:val="21"/>
                <w:lang w:eastAsia="zh-Hans"/>
              </w:rPr>
              <w:t>）</w:t>
            </w:r>
            <w:r>
              <w:rPr>
                <w:szCs w:val="21"/>
                <w:lang w:eastAsia="zh-Hans"/>
              </w:rPr>
              <w:t>的前提下排入市政污水管网，</w:t>
            </w:r>
            <w:r>
              <w:rPr>
                <w:rFonts w:hint="eastAsia"/>
                <w:szCs w:val="21"/>
                <w:lang w:val="en-US" w:eastAsia="zh-CN"/>
              </w:rPr>
              <w:t>其他生产废水直接接管</w:t>
            </w:r>
            <w:r>
              <w:rPr>
                <w:szCs w:val="21"/>
                <w:lang w:eastAsia="zh-Hans"/>
              </w:rPr>
              <w:t>市政污水管网</w:t>
            </w:r>
            <w:r>
              <w:rPr>
                <w:rFonts w:hint="eastAsia"/>
                <w:szCs w:val="21"/>
                <w:lang w:eastAsia="zh-CN"/>
              </w:rPr>
              <w:t>，</w:t>
            </w:r>
            <w:r>
              <w:rPr>
                <w:szCs w:val="21"/>
              </w:rPr>
              <w:t>外排废水</w:t>
            </w:r>
            <w:r>
              <w:rPr>
                <w:szCs w:val="21"/>
                <w:lang w:eastAsia="zh-Hans"/>
              </w:rPr>
              <w:t>经污水处理厂处理后达到《城镇污水处理厂污染物排放标准》（GB18918-2002）表1中一级A标准后排入</w:t>
            </w:r>
            <w:r>
              <w:rPr>
                <w:rFonts w:hint="eastAsia"/>
                <w:szCs w:val="21"/>
                <w:lang w:val="en-US" w:eastAsia="zh-CN"/>
              </w:rPr>
              <w:t>淮河</w:t>
            </w:r>
            <w:r>
              <w:rPr>
                <w:szCs w:val="21"/>
                <w:lang w:eastAsia="zh-Hans"/>
              </w:rPr>
              <w:t>。</w:t>
            </w:r>
          </w:p>
          <w:p>
            <w:pPr>
              <w:widowControl/>
              <w:spacing w:line="360" w:lineRule="auto"/>
              <w:ind w:firstLine="420" w:firstLineChars="200"/>
              <w:jc w:val="left"/>
              <w:rPr>
                <w:bCs/>
                <w:szCs w:val="21"/>
              </w:rPr>
            </w:pPr>
            <w:r>
              <w:rPr>
                <w:rFonts w:hAnsi="宋体"/>
                <w:bCs/>
                <w:szCs w:val="21"/>
              </w:rPr>
              <w:t>（</w:t>
            </w:r>
            <w:r>
              <w:rPr>
                <w:bCs/>
                <w:szCs w:val="21"/>
              </w:rPr>
              <w:t>2</w:t>
            </w:r>
            <w:r>
              <w:rPr>
                <w:rFonts w:hAnsi="宋体"/>
                <w:bCs/>
                <w:szCs w:val="21"/>
              </w:rPr>
              <w:t>）废水处理依托可行性</w:t>
            </w:r>
          </w:p>
          <w:p>
            <w:pPr>
              <w:spacing w:line="360" w:lineRule="auto"/>
              <w:ind w:firstLine="420" w:firstLineChars="200"/>
              <w:jc w:val="left"/>
              <w:rPr>
                <w:rFonts w:hAnsi="宋体"/>
                <w:szCs w:val="21"/>
              </w:rPr>
            </w:pPr>
            <w:r>
              <w:rPr>
                <w:rFonts w:hint="eastAsia" w:hAnsi="宋体"/>
                <w:szCs w:val="21"/>
              </w:rPr>
              <w:t>①</w:t>
            </w:r>
            <w:r>
              <w:rPr>
                <w:rFonts w:hint="eastAsia" w:ascii="Times New Roman" w:hAnsi="Times New Roman" w:cs="Times New Roman"/>
                <w:bCs/>
                <w:color w:val="auto"/>
                <w:spacing w:val="0"/>
                <w:szCs w:val="21"/>
                <w:lang w:val="en-US" w:eastAsia="zh-CN"/>
              </w:rPr>
              <w:t>安成经济开发区污水处理</w:t>
            </w:r>
            <w:r>
              <w:rPr>
                <w:rFonts w:hint="eastAsia" w:cs="Times New Roman"/>
                <w:bCs/>
                <w:color w:val="auto"/>
                <w:spacing w:val="0"/>
                <w:szCs w:val="21"/>
                <w:lang w:val="en-US" w:eastAsia="zh-CN"/>
              </w:rPr>
              <w:t>厂</w:t>
            </w:r>
            <w:r>
              <w:rPr>
                <w:rFonts w:hAnsi="宋体"/>
                <w:szCs w:val="21"/>
              </w:rPr>
              <w:t>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bCs/>
                <w:color w:val="auto"/>
                <w:spacing w:val="0"/>
                <w:szCs w:val="21"/>
                <w:lang w:val="en-US" w:eastAsia="zh-CN"/>
              </w:rPr>
            </w:pPr>
            <w:r>
              <w:rPr>
                <w:rFonts w:hint="eastAsia" w:ascii="Times New Roman" w:hAnsi="Times New Roman" w:cs="Times New Roman"/>
                <w:bCs/>
                <w:color w:val="auto"/>
                <w:spacing w:val="0"/>
                <w:szCs w:val="21"/>
                <w:lang w:val="en-US" w:eastAsia="zh-CN"/>
              </w:rPr>
              <w:t>安成经济开发区污水处理厂位于学校路西侧，日处理污水500t，采用“格栅沉砂池+调节池+兼氧MBR膜技术+沉淀+消毒”处理工艺，占地面积231.2m</w:t>
            </w:r>
            <w:r>
              <w:rPr>
                <w:rFonts w:hint="eastAsia" w:ascii="Times New Roman" w:hAnsi="Times New Roman" w:cs="Times New Roman"/>
                <w:bCs/>
                <w:color w:val="auto"/>
                <w:spacing w:val="0"/>
                <w:szCs w:val="21"/>
                <w:vertAlign w:val="superscript"/>
                <w:lang w:val="en-US" w:eastAsia="zh-CN"/>
              </w:rPr>
              <w:t>2</w:t>
            </w:r>
            <w:r>
              <w:rPr>
                <w:rFonts w:hint="eastAsia" w:ascii="Times New Roman" w:hAnsi="Times New Roman" w:cs="Times New Roman"/>
                <w:bCs/>
                <w:color w:val="auto"/>
                <w:spacing w:val="0"/>
                <w:szCs w:val="21"/>
                <w:lang w:val="en-US" w:eastAsia="zh-CN"/>
              </w:rPr>
              <w:t>。污水处理厂已于2017年12月正式运营。污水处理厂尾水经排洪沟最终排入淮河，排洪沟入淮河排口位置附近没有饮用水源取水口。开发区污水处理厂处理工艺见下图。</w:t>
            </w:r>
          </w:p>
          <w:p>
            <w:pPr>
              <w:spacing w:line="360" w:lineRule="auto"/>
              <w:ind w:firstLine="420" w:firstLineChars="200"/>
              <w:jc w:val="left"/>
              <w:rPr>
                <w:rFonts w:hint="eastAsia" w:hAnsi="宋体"/>
                <w:szCs w:val="21"/>
              </w:rPr>
            </w:pPr>
            <w:r>
              <w:rPr>
                <w:sz w:val="21"/>
              </w:rPr>
              <mc:AlternateContent>
                <mc:Choice Requires="wps">
                  <w:drawing>
                    <wp:anchor distT="0" distB="0" distL="114300" distR="114300" simplePos="0" relativeHeight="251669504" behindDoc="0" locked="0" layoutInCell="1" allowOverlap="1">
                      <wp:simplePos x="0" y="0"/>
                      <wp:positionH relativeFrom="column">
                        <wp:posOffset>2423160</wp:posOffset>
                      </wp:positionH>
                      <wp:positionV relativeFrom="paragraph">
                        <wp:posOffset>179705</wp:posOffset>
                      </wp:positionV>
                      <wp:extent cx="5715" cy="267970"/>
                      <wp:effectExtent l="47625" t="0" r="53340" b="6350"/>
                      <wp:wrapNone/>
                      <wp:docPr id="10" name="直接连接符 10"/>
                      <wp:cNvGraphicFramePr/>
                      <a:graphic xmlns:a="http://schemas.openxmlformats.org/drawingml/2006/main">
                        <a:graphicData uri="http://schemas.microsoft.com/office/word/2010/wordprocessingShape">
                          <wps:wsp>
                            <wps:cNvCnPr/>
                            <wps:spPr>
                              <a:xfrm flipH="1">
                                <a:off x="3684905" y="3433445"/>
                                <a:ext cx="5715" cy="2679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0.8pt;margin-top:14.15pt;height:21.1pt;width:0.45pt;z-index:251669504;mso-width-relative:page;mso-height-relative:page;" filled="f" stroked="t" coordsize="21600,21600" o:gfxdata="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lZXDNkAAAAJAQAADwAAAAAA&#10;AAABACAAAAAiAAAAZHJzL2Rvd25yZXYueG1sUEsBAhQAFAAAAAgAh07iQAmmdUkSAgAA/wMAAA4A&#10;AAAAAAAAAQAgAAAAKAEAAGRycy9lMm9Eb2MueG1sUEsFBgAAAAAGAAYAWQEAAKw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2113280</wp:posOffset>
                      </wp:positionH>
                      <wp:positionV relativeFrom="paragraph">
                        <wp:posOffset>5080</wp:posOffset>
                      </wp:positionV>
                      <wp:extent cx="572135" cy="181610"/>
                      <wp:effectExtent l="0" t="0" r="0" b="0"/>
                      <wp:wrapNone/>
                      <wp:docPr id="3" name="矩形 3"/>
                      <wp:cNvGraphicFramePr/>
                      <a:graphic xmlns:a="http://schemas.openxmlformats.org/drawingml/2006/main">
                        <a:graphicData uri="http://schemas.microsoft.com/office/word/2010/wordprocessingShape">
                          <wps:wsp>
                            <wps:cNvSpPr/>
                            <wps:spPr>
                              <a:xfrm>
                                <a:off x="3409950" y="3266440"/>
                                <a:ext cx="572135" cy="181610"/>
                              </a:xfrm>
                              <a:prstGeom prst="rect">
                                <a:avLst/>
                              </a:prstGeom>
                              <a:noFill/>
                              <a:ln w="6350">
                                <a:noFill/>
                              </a:ln>
                            </wps:spPr>
                            <wps:txbx>
                              <w:txbxContent>
                                <w:p>
                                  <w:pPr>
                                    <w:jc w:val="center"/>
                                    <w:rPr>
                                      <w:rFonts w:hint="eastAsia" w:eastAsia="宋体"/>
                                      <w:sz w:val="21"/>
                                      <w:szCs w:val="21"/>
                                      <w:lang w:val="en-US" w:eastAsia="zh-CN"/>
                                    </w:rPr>
                                  </w:pPr>
                                  <w:r>
                                    <w:rPr>
                                      <w:rFonts w:hint="eastAsia"/>
                                      <w:sz w:val="21"/>
                                      <w:szCs w:val="21"/>
                                      <w:lang w:val="en-US" w:eastAsia="zh-CN"/>
                                    </w:rPr>
                                    <w:t>污水</w:t>
                                  </w:r>
                                </w:p>
                              </w:txbxContent>
                            </wps:txbx>
                            <wps:bodyPr lIns="0" tIns="0" rIns="0" bIns="0" upright="1"/>
                          </wps:wsp>
                        </a:graphicData>
                      </a:graphic>
                    </wp:anchor>
                  </w:drawing>
                </mc:Choice>
                <mc:Fallback>
                  <w:pict>
                    <v:rect id="_x0000_s1026" o:spid="_x0000_s1026" o:spt="1" style="position:absolute;left:0pt;margin-left:166.4pt;margin-top:0.4pt;height:14.3pt;width:45.05pt;z-index:251662336;mso-width-relative:page;mso-height-relative:page;" filled="f" stroked="f" coordsize="21600,21600" o:gfxdata="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wKM7nWAAAABwEAAA8AAAAAAAAAAQAgAAAAIgAAAGRycy9kb3ducmV2Lnht&#10;bFBLAQIUABQAAAAIAIdO4kBah1gtwgEAAHkDAAAOAAAAAAAAAAEAIAAAACUBAABkcnMvZTJvRG9j&#10;LnhtbFBLBQYAAAAABgAGAFkBAABZBQAAAAA=&#10;">
                      <v:fill on="f" focussize="0,0"/>
                      <v:stroke on="f" weight="0.5pt"/>
                      <v:imagedata o:title=""/>
                      <o:lock v:ext="edit" aspectratio="f"/>
                      <v:textbox inset="0mm,0mm,0mm,0mm">
                        <w:txbxContent>
                          <w:p>
                            <w:pPr>
                              <w:jc w:val="center"/>
                              <w:rPr>
                                <w:rFonts w:hint="eastAsia" w:eastAsia="宋体"/>
                                <w:sz w:val="21"/>
                                <w:szCs w:val="21"/>
                                <w:lang w:val="en-US" w:eastAsia="zh-CN"/>
                              </w:rPr>
                            </w:pPr>
                            <w:r>
                              <w:rPr>
                                <w:rFonts w:hint="eastAsia"/>
                                <w:sz w:val="21"/>
                                <w:szCs w:val="21"/>
                                <w:lang w:val="en-US" w:eastAsia="zh-CN"/>
                              </w:rPr>
                              <w:t>污水</w:t>
                            </w:r>
                          </w:p>
                        </w:txbxContent>
                      </v:textbox>
                    </v:rect>
                  </w:pict>
                </mc:Fallback>
              </mc:AlternateContent>
            </w:r>
          </w:p>
          <w:p>
            <w:pPr>
              <w:spacing w:line="360" w:lineRule="auto"/>
              <w:ind w:firstLine="420" w:firstLineChars="200"/>
              <w:jc w:val="left"/>
              <w:rPr>
                <w:rFonts w:hint="eastAsia" w:hAnsi="宋体"/>
                <w:szCs w:val="21"/>
              </w:rPr>
            </w:pPr>
            <w:r>
              <w:rPr>
                <w:sz w:val="21"/>
              </w:rPr>
              <mc:AlternateContent>
                <mc:Choice Requires="wps">
                  <w:drawing>
                    <wp:anchor distT="0" distB="0" distL="114300" distR="114300" simplePos="0" relativeHeight="251671552" behindDoc="0" locked="0" layoutInCell="1" allowOverlap="1">
                      <wp:simplePos x="0" y="0"/>
                      <wp:positionH relativeFrom="column">
                        <wp:posOffset>3116580</wp:posOffset>
                      </wp:positionH>
                      <wp:positionV relativeFrom="paragraph">
                        <wp:posOffset>213360</wp:posOffset>
                      </wp:positionV>
                      <wp:extent cx="783590" cy="160655"/>
                      <wp:effectExtent l="0" t="0" r="0" b="0"/>
                      <wp:wrapNone/>
                      <wp:docPr id="19" name="矩形 19"/>
                      <wp:cNvGraphicFramePr/>
                      <a:graphic xmlns:a="http://schemas.openxmlformats.org/drawingml/2006/main">
                        <a:graphicData uri="http://schemas.microsoft.com/office/word/2010/wordprocessingShape">
                          <wps:wsp>
                            <wps:cNvSpPr/>
                            <wps:spPr>
                              <a:xfrm>
                                <a:off x="4413250" y="3692525"/>
                                <a:ext cx="783590" cy="160655"/>
                              </a:xfrm>
                              <a:prstGeom prst="rect">
                                <a:avLst/>
                              </a:prstGeom>
                              <a:noFill/>
                              <a:ln w="6350">
                                <a:noFill/>
                              </a:ln>
                            </wps:spPr>
                            <wps:txbx>
                              <w:txbxContent>
                                <w:p>
                                  <w:pPr>
                                    <w:jc w:val="center"/>
                                    <w:rPr>
                                      <w:rFonts w:hint="default" w:eastAsia="宋体"/>
                                      <w:sz w:val="21"/>
                                      <w:szCs w:val="21"/>
                                      <w:lang w:val="en-US" w:eastAsia="zh-CN"/>
                                    </w:rPr>
                                  </w:pPr>
                                  <w:r>
                                    <w:rPr>
                                      <w:rFonts w:hint="eastAsia" w:eastAsia="宋体"/>
                                      <w:sz w:val="21"/>
                                      <w:szCs w:val="21"/>
                                      <w:lang w:val="en-US" w:eastAsia="zh-CN"/>
                                    </w:rPr>
                                    <w:t>格栅渣、恶臭</w:t>
                                  </w:r>
                                </w:p>
                              </w:txbxContent>
                            </wps:txbx>
                            <wps:bodyPr lIns="0" tIns="0" rIns="0" bIns="0" upright="1"/>
                          </wps:wsp>
                        </a:graphicData>
                      </a:graphic>
                    </wp:anchor>
                  </w:drawing>
                </mc:Choice>
                <mc:Fallback>
                  <w:pict>
                    <v:rect id="_x0000_s1026" o:spid="_x0000_s1026" o:spt="1" style="position:absolute;left:0pt;margin-left:245.4pt;margin-top:16.8pt;height:12.65pt;width:61.7pt;z-index:251671552;mso-width-relative:page;mso-height-relative:page;" filled="f" stroked="f" coordsize="21600,21600" o:gfxdata="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pjKvjYAAAACQEAAA8AAAAAAAAAAQAgAAAAIgAAAGRycy9kb3du&#10;cmV2LnhtbFBLAQIUABQAAAAIAIdO4kCmtHMbxgEAAHsDAAAOAAAAAAAAAAEAIAAAACcBAABkcnMv&#10;ZTJvRG9jLnhtbFBLBQYAAAAABgAGAFkBAABfBQAAAAA=&#10;">
                      <v:fill on="f" focussize="0,0"/>
                      <v:stroke on="f" weight="0.5pt"/>
                      <v:imagedata o:title=""/>
                      <o:lock v:ext="edit" aspectratio="f"/>
                      <v:textbox inset="0mm,0mm,0mm,0mm">
                        <w:txbxContent>
                          <w:p>
                            <w:pPr>
                              <w:jc w:val="center"/>
                              <w:rPr>
                                <w:rFonts w:hint="default" w:eastAsia="宋体"/>
                                <w:sz w:val="21"/>
                                <w:szCs w:val="21"/>
                                <w:lang w:val="en-US" w:eastAsia="zh-CN"/>
                              </w:rPr>
                            </w:pPr>
                            <w:r>
                              <w:rPr>
                                <w:rFonts w:hint="eastAsia" w:eastAsia="宋体"/>
                                <w:sz w:val="21"/>
                                <w:szCs w:val="21"/>
                                <w:lang w:val="en-US" w:eastAsia="zh-CN"/>
                              </w:rPr>
                              <w:t>格栅渣、恶臭</w:t>
                            </w: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1978660</wp:posOffset>
                      </wp:positionH>
                      <wp:positionV relativeFrom="paragraph">
                        <wp:posOffset>202565</wp:posOffset>
                      </wp:positionV>
                      <wp:extent cx="856615" cy="181610"/>
                      <wp:effectExtent l="5080" t="4445" r="14605" b="23495"/>
                      <wp:wrapNone/>
                      <wp:docPr id="4" name="矩形 4"/>
                      <wp:cNvGraphicFramePr/>
                      <a:graphic xmlns:a="http://schemas.openxmlformats.org/drawingml/2006/main">
                        <a:graphicData uri="http://schemas.microsoft.com/office/word/2010/wordprocessingShape">
                          <wps:wsp>
                            <wps:cNvSpPr/>
                            <wps:spPr>
                              <a:xfrm>
                                <a:off x="3275330" y="3695065"/>
                                <a:ext cx="856615" cy="181610"/>
                              </a:xfrm>
                              <a:prstGeom prst="rect">
                                <a:avLst/>
                              </a:prstGeom>
                              <a:noFill/>
                              <a:ln w="6350"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eastAsia="宋体"/>
                                      <w:sz w:val="21"/>
                                      <w:szCs w:val="21"/>
                                      <w:lang w:val="en-US" w:eastAsia="zh-CN"/>
                                    </w:rPr>
                                    <w:t>格栅沉砂池</w:t>
                                  </w:r>
                                </w:p>
                              </w:txbxContent>
                            </wps:txbx>
                            <wps:bodyPr lIns="0" tIns="0" rIns="0" bIns="0" upright="1"/>
                          </wps:wsp>
                        </a:graphicData>
                      </a:graphic>
                    </wp:anchor>
                  </w:drawing>
                </mc:Choice>
                <mc:Fallback>
                  <w:pict>
                    <v:rect id="_x0000_s1026" o:spid="_x0000_s1026" o:spt="1" style="position:absolute;left:0pt;margin-left:155.8pt;margin-top:15.95pt;height:14.3pt;width:67.45pt;z-index:251663360;mso-width-relative:page;mso-height-relative:page;" filled="f" stroked="t" coordsize="21600,21600" o:gfxdata="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6arOPaAAAACQEA&#10;AA8AAAAAAAAAAQAgAAAAIgAAAGRycy9kb3ducmV2LnhtbFBLAQIUABQAAAAIAIdO4kCVStfmGAIA&#10;AC8EAAAOAAAAAAAAAAEAIAAAACkBAABkcnMvZTJvRG9jLnhtbFBLBQYAAAAABgAGAFkBAACzBQAA&#10;AAA=&#10;">
                      <v:fill on="f" focussize="0,0"/>
                      <v:stroke weight="0.5pt" color="#000000" joinstyle="miter"/>
                      <v:imagedata o:title=""/>
                      <o:lock v:ext="edit" aspectratio="f"/>
                      <v:textbox inset="0mm,0mm,0mm,0mm">
                        <w:txbxContent>
                          <w:p>
                            <w:pPr>
                              <w:jc w:val="center"/>
                              <w:rPr>
                                <w:rFonts w:hint="default" w:eastAsia="宋体"/>
                                <w:sz w:val="21"/>
                                <w:szCs w:val="21"/>
                                <w:lang w:val="en-US" w:eastAsia="zh-CN"/>
                              </w:rPr>
                            </w:pPr>
                            <w:r>
                              <w:rPr>
                                <w:rFonts w:hint="eastAsia" w:eastAsia="宋体"/>
                                <w:sz w:val="21"/>
                                <w:szCs w:val="21"/>
                                <w:lang w:val="en-US" w:eastAsia="zh-CN"/>
                              </w:rPr>
                              <w:t>格栅沉砂池</w:t>
                            </w:r>
                          </w:p>
                        </w:txbxContent>
                      </v:textbox>
                    </v:rect>
                  </w:pict>
                </mc:Fallback>
              </mc:AlternateContent>
            </w:r>
          </w:p>
          <w:p>
            <w:pPr>
              <w:spacing w:line="360" w:lineRule="auto"/>
              <w:ind w:firstLine="420" w:firstLineChars="200"/>
              <w:jc w:val="left"/>
              <w:rPr>
                <w:rFonts w:hint="eastAsia" w:hAnsi="宋体"/>
                <w:szCs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2835910</wp:posOffset>
                      </wp:positionH>
                      <wp:positionV relativeFrom="paragraph">
                        <wp:posOffset>63500</wp:posOffset>
                      </wp:positionV>
                      <wp:extent cx="280670" cy="635"/>
                      <wp:effectExtent l="0" t="48895" r="8890" b="57150"/>
                      <wp:wrapNone/>
                      <wp:docPr id="16" name="直接连接符 16"/>
                      <wp:cNvGraphicFramePr/>
                      <a:graphic xmlns:a="http://schemas.openxmlformats.org/drawingml/2006/main">
                        <a:graphicData uri="http://schemas.microsoft.com/office/word/2010/wordprocessingShape">
                          <wps:wsp>
                            <wps:cNvCnPr/>
                            <wps:spPr>
                              <a:xfrm flipV="1">
                                <a:off x="4240530" y="3620770"/>
                                <a:ext cx="280670" cy="635"/>
                              </a:xfrm>
                              <a:prstGeom prst="line">
                                <a:avLst/>
                              </a:prstGeom>
                              <a:ln w="6350"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flip:y;margin-left:223.3pt;margin-top:5pt;height:0.05pt;width:22.1pt;z-index:251670528;mso-width-relative:page;mso-height-relative:page;" filled="f" stroked="t" coordsize="21600,21600" o:gfxdata="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glgtLVAAAACQEAAA8AAAAAAAAAAQAgAAAA&#10;IgAAAGRycy9kb3ducmV2LnhtbFBLAQIUABQAAAAIAIdO4kAzrEZ/DgIAAP0DAAAOAAAAAAAAAAEA&#10;IAAAACQBAABkcnMvZTJvRG9jLnhtbFBLBQYAAAAABgAGAFkBAACkBQAAAAA=&#10;">
                      <v:fill on="f" focussize="0,0"/>
                      <v:stroke weight="0.5pt" color="#000000" joinstyle="round" dashstyle="dash" endarrow="open"/>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2423160</wp:posOffset>
                      </wp:positionH>
                      <wp:positionV relativeFrom="paragraph">
                        <wp:posOffset>161290</wp:posOffset>
                      </wp:positionV>
                      <wp:extent cx="5715" cy="267970"/>
                      <wp:effectExtent l="47625" t="0" r="53340" b="6350"/>
                      <wp:wrapNone/>
                      <wp:docPr id="22" name="直接连接符 22"/>
                      <wp:cNvGraphicFramePr/>
                      <a:graphic xmlns:a="http://schemas.openxmlformats.org/drawingml/2006/main">
                        <a:graphicData uri="http://schemas.microsoft.com/office/word/2010/wordprocessingShape">
                          <wps:wsp>
                            <wps:cNvCnPr/>
                            <wps:spPr>
                              <a:xfrm flipH="1">
                                <a:off x="0" y="0"/>
                                <a:ext cx="5715" cy="2679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0.8pt;margin-top:12.7pt;height:21.1pt;width:0.45pt;z-index:251674624;mso-width-relative:page;mso-height-relative:page;" filled="f" stroked="t" coordsize="21600,21600" o:gfxdata="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k6Kr/ZAAAACQEAAA8AAAAAAAAAAQAgAAAAIgAA&#10;AGRycy9kb3ducmV2LnhtbFBLAQIUABQAAAAIAIdO4kD4S323BwIAAPMDAAAOAAAAAAAAAAEAIAAA&#10;ACgBAABkcnMvZTJvRG9jLnhtbFBLBQYAAAAABgAGAFkBAAChBQAAAAA=&#10;">
                      <v:fill on="f" focussize="0,0"/>
                      <v:stroke color="#000000" joinstyle="round" endarrow="open"/>
                      <v:imagedata o:title=""/>
                      <o:lock v:ext="edit" aspectratio="f"/>
                    </v:line>
                  </w:pict>
                </mc:Fallback>
              </mc:AlternateContent>
            </w:r>
          </w:p>
          <w:p>
            <w:pPr>
              <w:spacing w:line="360" w:lineRule="auto"/>
              <w:ind w:firstLine="420" w:firstLineChars="200"/>
              <w:jc w:val="left"/>
              <w:rPr>
                <w:rFonts w:hint="eastAsia" w:hAnsi="宋体"/>
                <w:szCs w:val="21"/>
              </w:rPr>
            </w:pPr>
            <w:r>
              <w:rPr>
                <w:sz w:val="21"/>
              </w:rPr>
              <mc:AlternateContent>
                <mc:Choice Requires="wps">
                  <w:drawing>
                    <wp:anchor distT="0" distB="0" distL="114300" distR="114300" simplePos="0" relativeHeight="251672576" behindDoc="0" locked="0" layoutInCell="1" allowOverlap="1">
                      <wp:simplePos x="0" y="0"/>
                      <wp:positionH relativeFrom="column">
                        <wp:posOffset>3014980</wp:posOffset>
                      </wp:positionH>
                      <wp:positionV relativeFrom="paragraph">
                        <wp:posOffset>200660</wp:posOffset>
                      </wp:positionV>
                      <wp:extent cx="424815" cy="160655"/>
                      <wp:effectExtent l="0" t="0" r="0" b="0"/>
                      <wp:wrapNone/>
                      <wp:docPr id="20" name="矩形 20"/>
                      <wp:cNvGraphicFramePr/>
                      <a:graphic xmlns:a="http://schemas.openxmlformats.org/drawingml/2006/main">
                        <a:graphicData uri="http://schemas.microsoft.com/office/word/2010/wordprocessingShape">
                          <wps:wsp>
                            <wps:cNvSpPr/>
                            <wps:spPr>
                              <a:xfrm>
                                <a:off x="4311650" y="4152265"/>
                                <a:ext cx="424815" cy="160655"/>
                              </a:xfrm>
                              <a:prstGeom prst="rect">
                                <a:avLst/>
                              </a:prstGeom>
                              <a:noFill/>
                              <a:ln w="6350">
                                <a:noFill/>
                              </a:ln>
                            </wps:spPr>
                            <wps:txbx>
                              <w:txbxContent>
                                <w:p>
                                  <w:pPr>
                                    <w:jc w:val="center"/>
                                    <w:rPr>
                                      <w:rFonts w:hint="default" w:eastAsia="宋体"/>
                                      <w:sz w:val="21"/>
                                      <w:szCs w:val="21"/>
                                      <w:lang w:val="en-US" w:eastAsia="zh-CN"/>
                                    </w:rPr>
                                  </w:pPr>
                                  <w:r>
                                    <w:rPr>
                                      <w:rFonts w:hint="eastAsia" w:eastAsia="宋体"/>
                                      <w:sz w:val="21"/>
                                      <w:szCs w:val="21"/>
                                      <w:lang w:val="en-US" w:eastAsia="zh-CN"/>
                                    </w:rPr>
                                    <w:t>恶臭</w:t>
                                  </w:r>
                                </w:p>
                              </w:txbxContent>
                            </wps:txbx>
                            <wps:bodyPr lIns="0" tIns="0" rIns="0" bIns="0" upright="1"/>
                          </wps:wsp>
                        </a:graphicData>
                      </a:graphic>
                    </wp:anchor>
                  </w:drawing>
                </mc:Choice>
                <mc:Fallback>
                  <w:pict>
                    <v:rect id="_x0000_s1026" o:spid="_x0000_s1026" o:spt="1" style="position:absolute;left:0pt;margin-left:237.4pt;margin-top:15.8pt;height:12.65pt;width:33.45pt;z-index:251672576;mso-width-relative:page;mso-height-relative:page;" filled="f" stroked="f" coordsize="21600,21600" o:gfxdata="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gw4Uz2AAAAAkBAAAPAAAAAAAAAAEAIAAAACIAAABkcnMvZG93bnJldi54&#10;bWxQSwECFAAUAAAACACHTuJAlj1zW8EBAAB7AwAADgAAAAAAAAABACAAAAAnAQAAZHJzL2Uyb0Rv&#10;Yy54bWxQSwUGAAAAAAYABgBZAQAAWgUAAAAA&#10;">
                      <v:fill on="f" focussize="0,0"/>
                      <v:stroke on="f" weight="0.5pt"/>
                      <v:imagedata o:title=""/>
                      <o:lock v:ext="edit" aspectratio="f"/>
                      <v:textbox inset="0mm,0mm,0mm,0mm">
                        <w:txbxContent>
                          <w:p>
                            <w:pPr>
                              <w:jc w:val="center"/>
                              <w:rPr>
                                <w:rFonts w:hint="default" w:eastAsia="宋体"/>
                                <w:sz w:val="21"/>
                                <w:szCs w:val="21"/>
                                <w:lang w:val="en-US" w:eastAsia="zh-CN"/>
                              </w:rPr>
                            </w:pPr>
                            <w:r>
                              <w:rPr>
                                <w:rFonts w:hint="eastAsia" w:eastAsia="宋体"/>
                                <w:sz w:val="21"/>
                                <w:szCs w:val="21"/>
                                <w:lang w:val="en-US" w:eastAsia="zh-CN"/>
                              </w:rPr>
                              <w:t>恶臭</w:t>
                            </w:r>
                          </w:p>
                        </w:txbxContent>
                      </v:textbox>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2132330</wp:posOffset>
                      </wp:positionH>
                      <wp:positionV relativeFrom="paragraph">
                        <wp:posOffset>194310</wp:posOffset>
                      </wp:positionV>
                      <wp:extent cx="572135" cy="181610"/>
                      <wp:effectExtent l="5080" t="5080" r="13335" b="22860"/>
                      <wp:wrapNone/>
                      <wp:docPr id="5" name="矩形 5"/>
                      <wp:cNvGraphicFramePr/>
                      <a:graphic xmlns:a="http://schemas.openxmlformats.org/drawingml/2006/main">
                        <a:graphicData uri="http://schemas.microsoft.com/office/word/2010/wordprocessingShape">
                          <wps:wsp>
                            <wps:cNvSpPr/>
                            <wps:spPr>
                              <a:xfrm>
                                <a:off x="3429000" y="4145915"/>
                                <a:ext cx="572135" cy="181610"/>
                              </a:xfrm>
                              <a:prstGeom prst="rect">
                                <a:avLst/>
                              </a:prstGeom>
                              <a:noFill/>
                              <a:ln w="6350"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调节池</w:t>
                                  </w:r>
                                </w:p>
                              </w:txbxContent>
                            </wps:txbx>
                            <wps:bodyPr lIns="0" tIns="0" rIns="0" bIns="0" upright="1"/>
                          </wps:wsp>
                        </a:graphicData>
                      </a:graphic>
                    </wp:anchor>
                  </w:drawing>
                </mc:Choice>
                <mc:Fallback>
                  <w:pict>
                    <v:rect id="_x0000_s1026" o:spid="_x0000_s1026" o:spt="1" style="position:absolute;left:0pt;margin-left:167.9pt;margin-top:15.3pt;height:14.3pt;width:45.05pt;z-index:251664384;mso-width-relative:page;mso-height-relative:page;" filled="f" stroked="t" coordsize="21600,21600" o:gfxdata="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WTTc2wAAAAkB&#10;AAAPAAAAAAAAAAEAIAAAACIAAABkcnMvZG93bnJldi54bWxQSwECFAAUAAAACACHTuJAl3V7HxgC&#10;AAAvBAAADgAAAAAAAAABACAAAAAqAQAAZHJzL2Uyb0RvYy54bWxQSwUGAAAAAAYABgBZAQAAtAUA&#10;AAAA&#10;">
                      <v:fill on="f" focussize="0,0"/>
                      <v:stroke weight="0.5pt" color="#000000" joinstyle="miter"/>
                      <v:imagedata o:title=""/>
                      <o:lock v:ext="edit" aspectratio="f"/>
                      <v:textbox inset="0mm,0mm,0mm,0mm">
                        <w:txbxContent>
                          <w:p>
                            <w:pPr>
                              <w:jc w:val="center"/>
                              <w:rPr>
                                <w:rFonts w:hint="default" w:eastAsia="宋体"/>
                                <w:sz w:val="21"/>
                                <w:szCs w:val="21"/>
                                <w:lang w:val="en-US" w:eastAsia="zh-CN"/>
                              </w:rPr>
                            </w:pPr>
                            <w:r>
                              <w:rPr>
                                <w:rFonts w:hint="eastAsia"/>
                                <w:sz w:val="21"/>
                                <w:szCs w:val="21"/>
                                <w:lang w:val="en-US" w:eastAsia="zh-CN"/>
                              </w:rPr>
                              <w:t>调节池</w:t>
                            </w:r>
                          </w:p>
                        </w:txbxContent>
                      </v:textbox>
                    </v:rect>
                  </w:pict>
                </mc:Fallback>
              </mc:AlternateContent>
            </w:r>
          </w:p>
          <w:p>
            <w:pPr>
              <w:spacing w:line="360" w:lineRule="auto"/>
              <w:ind w:firstLine="420" w:firstLineChars="200"/>
              <w:jc w:val="left"/>
              <w:rPr>
                <w:rFonts w:hint="eastAsia" w:hAnsi="宋体"/>
                <w:szCs w:val="21"/>
              </w:rPr>
            </w:pPr>
            <w:r>
              <w:rPr>
                <w:sz w:val="21"/>
              </w:rPr>
              <mc:AlternateContent>
                <mc:Choice Requires="wps">
                  <w:drawing>
                    <wp:anchor distT="0" distB="0" distL="114300" distR="114300" simplePos="0" relativeHeight="251679744" behindDoc="0" locked="0" layoutInCell="1" allowOverlap="1">
                      <wp:simplePos x="0" y="0"/>
                      <wp:positionH relativeFrom="column">
                        <wp:posOffset>2721610</wp:posOffset>
                      </wp:positionH>
                      <wp:positionV relativeFrom="paragraph">
                        <wp:posOffset>60960</wp:posOffset>
                      </wp:positionV>
                      <wp:extent cx="280670" cy="635"/>
                      <wp:effectExtent l="0" t="48895" r="8890" b="57150"/>
                      <wp:wrapNone/>
                      <wp:docPr id="45" name="直接连接符 45"/>
                      <wp:cNvGraphicFramePr/>
                      <a:graphic xmlns:a="http://schemas.openxmlformats.org/drawingml/2006/main">
                        <a:graphicData uri="http://schemas.microsoft.com/office/word/2010/wordprocessingShape">
                          <wps:wsp>
                            <wps:cNvCnPr/>
                            <wps:spPr>
                              <a:xfrm flipV="1">
                                <a:off x="0" y="0"/>
                                <a:ext cx="280670" cy="635"/>
                              </a:xfrm>
                              <a:prstGeom prst="line">
                                <a:avLst/>
                              </a:prstGeom>
                              <a:ln w="6350"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flip:y;margin-left:214.3pt;margin-top:4.8pt;height:0.05pt;width:22.1pt;z-index:251679744;mso-width-relative:page;mso-height-relative:page;" filled="f" stroked="t" coordsize="21600,21600" o:gfxdata="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mIU1QAAAAcBAAAPAAAAAAAAAAEAIAAAACIAAABkcnMvZG93&#10;bnJldi54bWxQSwECFAAUAAAACACHTuJAX2nyRQMCAADxAwAADgAAAAAAAAABACAAAAAkAQAAZHJz&#10;L2Uyb0RvYy54bWxQSwUGAAAAAAYABgBZAQAAmQUAAAAA&#10;">
                      <v:fill on="f" focussize="0,0"/>
                      <v:stroke weight="0.5pt" color="#000000" joinstyle="round" dashstyle="dash" endarrow="open"/>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2423160</wp:posOffset>
                      </wp:positionH>
                      <wp:positionV relativeFrom="paragraph">
                        <wp:posOffset>158750</wp:posOffset>
                      </wp:positionV>
                      <wp:extent cx="5715" cy="267970"/>
                      <wp:effectExtent l="47625" t="0" r="53340" b="6350"/>
                      <wp:wrapNone/>
                      <wp:docPr id="23" name="直接连接符 23"/>
                      <wp:cNvGraphicFramePr/>
                      <a:graphic xmlns:a="http://schemas.openxmlformats.org/drawingml/2006/main">
                        <a:graphicData uri="http://schemas.microsoft.com/office/word/2010/wordprocessingShape">
                          <wps:wsp>
                            <wps:cNvCnPr/>
                            <wps:spPr>
                              <a:xfrm flipH="1">
                                <a:off x="0" y="0"/>
                                <a:ext cx="5715" cy="2679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0.8pt;margin-top:12.5pt;height:21.1pt;width:0.45pt;z-index:251675648;mso-width-relative:page;mso-height-relative:page;" filled="f" stroked="t" coordsize="21600,21600" o:gfxdata="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bxJu2QAAAAkBAAAPAAAAAAAAAAEAIAAAACIA&#10;AABkcnMvZG93bnJldi54bWxQSwECFAAUAAAACACHTuJAj6BA0ggCAADzAwAADgAAAAAAAAABACAA&#10;AAAoAQAAZHJzL2Uyb0RvYy54bWxQSwUGAAAAAAYABgBZAQAAogUAAAAA&#10;">
                      <v:fill on="f" focussize="0,0"/>
                      <v:stroke color="#000000" joinstyle="round" endarrow="open"/>
                      <v:imagedata o:title=""/>
                      <o:lock v:ext="edit" aspectratio="f"/>
                    </v:line>
                  </w:pict>
                </mc:Fallback>
              </mc:AlternateContent>
            </w:r>
          </w:p>
          <w:p>
            <w:pPr>
              <w:spacing w:line="360" w:lineRule="auto"/>
              <w:ind w:firstLine="420" w:firstLineChars="200"/>
              <w:jc w:val="left"/>
              <w:rPr>
                <w:rFonts w:hint="eastAsia" w:hAnsi="宋体"/>
                <w:szCs w:val="21"/>
              </w:rPr>
            </w:pPr>
            <w:r>
              <w:rPr>
                <w:sz w:val="21"/>
              </w:rPr>
              <mc:AlternateContent>
                <mc:Choice Requires="wps">
                  <w:drawing>
                    <wp:anchor distT="0" distB="0" distL="114300" distR="114300" simplePos="0" relativeHeight="251673600" behindDoc="0" locked="0" layoutInCell="1" allowOverlap="1">
                      <wp:simplePos x="0" y="0"/>
                      <wp:positionH relativeFrom="column">
                        <wp:posOffset>3467100</wp:posOffset>
                      </wp:positionH>
                      <wp:positionV relativeFrom="paragraph">
                        <wp:posOffset>195580</wp:posOffset>
                      </wp:positionV>
                      <wp:extent cx="445135" cy="160655"/>
                      <wp:effectExtent l="0" t="0" r="0" b="0"/>
                      <wp:wrapNone/>
                      <wp:docPr id="21" name="矩形 21"/>
                      <wp:cNvGraphicFramePr/>
                      <a:graphic xmlns:a="http://schemas.openxmlformats.org/drawingml/2006/main">
                        <a:graphicData uri="http://schemas.microsoft.com/office/word/2010/wordprocessingShape">
                          <wps:wsp>
                            <wps:cNvSpPr/>
                            <wps:spPr>
                              <a:xfrm>
                                <a:off x="4756150" y="4637405"/>
                                <a:ext cx="445135" cy="160655"/>
                              </a:xfrm>
                              <a:prstGeom prst="rect">
                                <a:avLst/>
                              </a:prstGeom>
                              <a:noFill/>
                              <a:ln w="6350">
                                <a:noFill/>
                              </a:ln>
                            </wps:spPr>
                            <wps:txbx>
                              <w:txbxContent>
                                <w:p>
                                  <w:pPr>
                                    <w:jc w:val="center"/>
                                    <w:rPr>
                                      <w:rFonts w:hint="default" w:eastAsia="宋体"/>
                                      <w:sz w:val="21"/>
                                      <w:szCs w:val="21"/>
                                      <w:lang w:val="en-US" w:eastAsia="zh-CN"/>
                                    </w:rPr>
                                  </w:pPr>
                                  <w:r>
                                    <w:rPr>
                                      <w:rFonts w:hint="eastAsia" w:eastAsia="宋体"/>
                                      <w:sz w:val="21"/>
                                      <w:szCs w:val="21"/>
                                      <w:lang w:val="en-US" w:eastAsia="zh-CN"/>
                                    </w:rPr>
                                    <w:t>恶臭</w:t>
                                  </w:r>
                                </w:p>
                              </w:txbxContent>
                            </wps:txbx>
                            <wps:bodyPr lIns="0" tIns="0" rIns="0" bIns="0" upright="1"/>
                          </wps:wsp>
                        </a:graphicData>
                      </a:graphic>
                    </wp:anchor>
                  </w:drawing>
                </mc:Choice>
                <mc:Fallback>
                  <w:pict>
                    <v:rect id="_x0000_s1026" o:spid="_x0000_s1026" o:spt="1" style="position:absolute;left:0pt;margin-left:273pt;margin-top:15.4pt;height:12.65pt;width:35.05pt;z-index:251673600;mso-width-relative:page;mso-height-relative:page;" filled="f" stroked="f" coordsize="21600,21600" o:gfxdata="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YtiNNcAAAAJAQAADwAAAAAAAAABACAAAAAiAAAAZHJzL2Rvd25yZXYu&#10;eG1sUEsBAhQAFAAAAAgAh07iQH0cbfXDAQAAewMAAA4AAAAAAAAAAQAgAAAAJgEAAGRycy9lMm9E&#10;b2MueG1sUEsFBgAAAAAGAAYAWQEAAFsFAAAAAA==&#10;">
                      <v:fill on="f" focussize="0,0"/>
                      <v:stroke on="f" weight="0.5pt"/>
                      <v:imagedata o:title=""/>
                      <o:lock v:ext="edit" aspectratio="f"/>
                      <v:textbox inset="0mm,0mm,0mm,0mm">
                        <w:txbxContent>
                          <w:p>
                            <w:pPr>
                              <w:jc w:val="center"/>
                              <w:rPr>
                                <w:rFonts w:hint="default" w:eastAsia="宋体"/>
                                <w:sz w:val="21"/>
                                <w:szCs w:val="21"/>
                                <w:lang w:val="en-US" w:eastAsia="zh-CN"/>
                              </w:rPr>
                            </w:pPr>
                            <w:r>
                              <w:rPr>
                                <w:rFonts w:hint="eastAsia" w:eastAsia="宋体"/>
                                <w:sz w:val="21"/>
                                <w:szCs w:val="21"/>
                                <w:lang w:val="en-US" w:eastAsia="zh-CN"/>
                              </w:rPr>
                              <w:t>恶臭</w:t>
                            </w:r>
                          </w:p>
                        </w:txbxContent>
                      </v:textbox>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1597660</wp:posOffset>
                      </wp:positionH>
                      <wp:positionV relativeFrom="paragraph">
                        <wp:posOffset>188595</wp:posOffset>
                      </wp:positionV>
                      <wp:extent cx="1586865" cy="192405"/>
                      <wp:effectExtent l="4445" t="4445" r="8890" b="12700"/>
                      <wp:wrapNone/>
                      <wp:docPr id="8" name="矩形 8"/>
                      <wp:cNvGraphicFramePr/>
                      <a:graphic xmlns:a="http://schemas.openxmlformats.org/drawingml/2006/main">
                        <a:graphicData uri="http://schemas.microsoft.com/office/word/2010/wordprocessingShape">
                          <wps:wsp>
                            <wps:cNvSpPr/>
                            <wps:spPr>
                              <a:xfrm>
                                <a:off x="2894330" y="4599940"/>
                                <a:ext cx="1586865" cy="192405"/>
                              </a:xfrm>
                              <a:prstGeom prst="rect">
                                <a:avLst/>
                              </a:prstGeom>
                              <a:noFill/>
                              <a:ln w="6350"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兼氧MBR膜技术处理器</w:t>
                                  </w:r>
                                </w:p>
                              </w:txbxContent>
                            </wps:txbx>
                            <wps:bodyPr lIns="0" tIns="0" rIns="0" bIns="0" upright="1"/>
                          </wps:wsp>
                        </a:graphicData>
                      </a:graphic>
                    </wp:anchor>
                  </w:drawing>
                </mc:Choice>
                <mc:Fallback>
                  <w:pict>
                    <v:rect id="_x0000_s1026" o:spid="_x0000_s1026" o:spt="1" style="position:absolute;left:0pt;margin-left:125.8pt;margin-top:14.85pt;height:15.15pt;width:124.95pt;z-index:251667456;mso-width-relative:page;mso-height-relative:page;" filled="f" stroked="t" coordsize="21600,21600" o:gfxdata="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BBBF9oAAAAJAQAA&#10;DwAAAAAAAAABACAAAAAiAAAAZHJzL2Rvd25yZXYueG1sUEsBAhQAFAAAAAgAh07iQA+f6PEXAgAA&#10;MAQAAA4AAAAAAAAAAQAgAAAAKQEAAGRycy9lMm9Eb2MueG1sUEsFBgAAAAAGAAYAWQEAALIFAAAA&#10;AA==&#10;">
                      <v:fill on="f" focussize="0,0"/>
                      <v:stroke weight="0.5pt" color="#000000" joinstyle="miter"/>
                      <v:imagedata o:title=""/>
                      <o:lock v:ext="edit" aspectratio="f"/>
                      <v:textbox inset="0mm,0mm,0mm,0mm">
                        <w:txbxContent>
                          <w:p>
                            <w:pPr>
                              <w:jc w:val="center"/>
                              <w:rPr>
                                <w:rFonts w:hint="default" w:eastAsia="宋体"/>
                                <w:sz w:val="21"/>
                                <w:szCs w:val="21"/>
                                <w:lang w:val="en-US" w:eastAsia="zh-CN"/>
                              </w:rPr>
                            </w:pPr>
                            <w:r>
                              <w:rPr>
                                <w:rFonts w:hint="eastAsia"/>
                                <w:sz w:val="21"/>
                                <w:szCs w:val="21"/>
                                <w:lang w:val="en-US" w:eastAsia="zh-CN"/>
                              </w:rPr>
                              <w:t>兼氧MBR膜技术处理器</w:t>
                            </w:r>
                          </w:p>
                        </w:txbxContent>
                      </v:textbox>
                    </v:rect>
                  </w:pict>
                </mc:Fallback>
              </mc:AlternateContent>
            </w:r>
          </w:p>
          <w:p>
            <w:pPr>
              <w:spacing w:line="360" w:lineRule="auto"/>
              <w:ind w:firstLine="420" w:firstLineChars="200"/>
              <w:jc w:val="left"/>
              <w:rPr>
                <w:rFonts w:hint="eastAsia" w:hAnsi="宋体"/>
                <w:szCs w:val="21"/>
              </w:rPr>
            </w:pPr>
            <w:r>
              <w:rPr>
                <w:sz w:val="21"/>
              </w:rPr>
              <mc:AlternateContent>
                <mc:Choice Requires="wps">
                  <w:drawing>
                    <wp:anchor distT="0" distB="0" distL="114300" distR="114300" simplePos="0" relativeHeight="251680768" behindDoc="0" locked="0" layoutInCell="1" allowOverlap="1">
                      <wp:simplePos x="0" y="0"/>
                      <wp:positionH relativeFrom="column">
                        <wp:posOffset>3201670</wp:posOffset>
                      </wp:positionH>
                      <wp:positionV relativeFrom="paragraph">
                        <wp:posOffset>50800</wp:posOffset>
                      </wp:positionV>
                      <wp:extent cx="280670" cy="635"/>
                      <wp:effectExtent l="0" t="48895" r="8890" b="57150"/>
                      <wp:wrapNone/>
                      <wp:docPr id="46" name="直接连接符 46"/>
                      <wp:cNvGraphicFramePr/>
                      <a:graphic xmlns:a="http://schemas.openxmlformats.org/drawingml/2006/main">
                        <a:graphicData uri="http://schemas.microsoft.com/office/word/2010/wordprocessingShape">
                          <wps:wsp>
                            <wps:cNvCnPr/>
                            <wps:spPr>
                              <a:xfrm flipV="1">
                                <a:off x="0" y="0"/>
                                <a:ext cx="280670" cy="635"/>
                              </a:xfrm>
                              <a:prstGeom prst="line">
                                <a:avLst/>
                              </a:prstGeom>
                              <a:ln w="6350"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flip:y;margin-left:252.1pt;margin-top:4pt;height:0.05pt;width:22.1pt;z-index:251680768;mso-width-relative:page;mso-height-relative:page;" filled="f" stroked="t" coordsize="21600,21600" o:gfxdata="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DAE41QAAAAcBAAAPAAAAAAAAAAEAIAAAACIAAABkcnMvZG93bnJl&#10;di54bWxQSwECFAAUAAAACACHTuJAfp43CgACAADxAwAADgAAAAAAAAABACAAAAAkAQAAZHJzL2Uy&#10;b0RvYy54bWxQSwUGAAAAAAYABgBZAQAAlgUAAAAA&#10;">
                      <v:fill on="f" focussize="0,0"/>
                      <v:stroke weight="0.5pt" color="#000000" joinstyle="round" dashstyle="dash" endarrow="open"/>
                      <v:imagedata o:title=""/>
                      <o:lock v:ext="edit" aspectratio="f"/>
                    </v:lin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2423160</wp:posOffset>
                      </wp:positionH>
                      <wp:positionV relativeFrom="paragraph">
                        <wp:posOffset>163830</wp:posOffset>
                      </wp:positionV>
                      <wp:extent cx="5715" cy="267970"/>
                      <wp:effectExtent l="47625" t="0" r="53340" b="6350"/>
                      <wp:wrapNone/>
                      <wp:docPr id="24" name="直接连接符 24"/>
                      <wp:cNvGraphicFramePr/>
                      <a:graphic xmlns:a="http://schemas.openxmlformats.org/drawingml/2006/main">
                        <a:graphicData uri="http://schemas.microsoft.com/office/word/2010/wordprocessingShape">
                          <wps:wsp>
                            <wps:cNvCnPr/>
                            <wps:spPr>
                              <a:xfrm flipH="1">
                                <a:off x="0" y="0"/>
                                <a:ext cx="5715" cy="2679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0.8pt;margin-top:12.9pt;height:21.1pt;width:0.45pt;z-index:251676672;mso-width-relative:page;mso-height-relative:page;" filled="f" stroked="t" coordsize="21600,21600" o:gfxdata="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qJkW2QAAAAkBAAAPAAAAAAAAAAEAIAAAACIA&#10;AABkcnMvZG93bnJldi54bWxQSwECFAAUAAAACACHTuJAizaAMggCAADzAwAADgAAAAAAAAABACAA&#10;AAAoAQAAZHJzL2Uyb0RvYy54bWxQSwUGAAAAAAYABgBZAQAAogUAAAAA&#10;">
                      <v:fill on="f" focussize="0,0"/>
                      <v:stroke color="#000000" joinstyle="round" endarrow="open"/>
                      <v:imagedata o:title=""/>
                      <o:lock v:ext="edit" aspectratio="f"/>
                    </v:line>
                  </w:pict>
                </mc:Fallback>
              </mc:AlternateContent>
            </w:r>
          </w:p>
          <w:p>
            <w:pPr>
              <w:spacing w:line="360" w:lineRule="auto"/>
              <w:ind w:firstLine="420" w:firstLineChars="200"/>
              <w:jc w:val="left"/>
              <w:rPr>
                <w:rFonts w:hint="eastAsia" w:hAnsi="宋体"/>
                <w:szCs w:val="21"/>
              </w:rPr>
            </w:pPr>
            <w:r>
              <w:rPr>
                <w:sz w:val="21"/>
              </w:rPr>
              <mc:AlternateContent>
                <mc:Choice Requires="wps">
                  <w:drawing>
                    <wp:anchor distT="0" distB="0" distL="114300" distR="114300" simplePos="0" relativeHeight="251668480" behindDoc="0" locked="0" layoutInCell="1" allowOverlap="1">
                      <wp:simplePos x="0" y="0"/>
                      <wp:positionH relativeFrom="column">
                        <wp:posOffset>2127885</wp:posOffset>
                      </wp:positionH>
                      <wp:positionV relativeFrom="paragraph">
                        <wp:posOffset>201930</wp:posOffset>
                      </wp:positionV>
                      <wp:extent cx="572135" cy="181610"/>
                      <wp:effectExtent l="5080" t="5080" r="13335" b="22860"/>
                      <wp:wrapNone/>
                      <wp:docPr id="9" name="矩形 9"/>
                      <wp:cNvGraphicFramePr/>
                      <a:graphic xmlns:a="http://schemas.openxmlformats.org/drawingml/2006/main">
                        <a:graphicData uri="http://schemas.microsoft.com/office/word/2010/wordprocessingShape">
                          <wps:wsp>
                            <wps:cNvSpPr/>
                            <wps:spPr>
                              <a:xfrm>
                                <a:off x="3424555" y="5073650"/>
                                <a:ext cx="572135" cy="181610"/>
                              </a:xfrm>
                              <a:prstGeom prst="rect">
                                <a:avLst/>
                              </a:prstGeom>
                              <a:noFill/>
                              <a:ln w="6350"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eastAsia="宋体"/>
                                      <w:sz w:val="21"/>
                                      <w:szCs w:val="21"/>
                                      <w:lang w:val="en-US" w:eastAsia="zh-CN"/>
                                    </w:rPr>
                                    <w:t>沉淀</w:t>
                                  </w:r>
                                </w:p>
                              </w:txbxContent>
                            </wps:txbx>
                            <wps:bodyPr lIns="0" tIns="0" rIns="0" bIns="0" upright="1"/>
                          </wps:wsp>
                        </a:graphicData>
                      </a:graphic>
                    </wp:anchor>
                  </w:drawing>
                </mc:Choice>
                <mc:Fallback>
                  <w:pict>
                    <v:rect id="_x0000_s1026" o:spid="_x0000_s1026" o:spt="1" style="position:absolute;left:0pt;margin-left:167.55pt;margin-top:15.9pt;height:14.3pt;width:45.05pt;z-index:251668480;mso-width-relative:page;mso-height-relative:page;" filled="f" stroked="t" coordsize="21600,21600" o:gfxdata="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Bq1CraAAAACQEA&#10;AA8AAAAAAAAAAQAgAAAAIgAAAGRycy9kb3ducmV2LnhtbFBLAQIUABQAAAAIAIdO4kC5Y+YXGAIA&#10;AC8EAAAOAAAAAAAAAAEAIAAAACkBAABkcnMvZTJvRG9jLnhtbFBLBQYAAAAABgAGAFkBAACzBQAA&#10;AAA=&#10;">
                      <v:fill on="f" focussize="0,0"/>
                      <v:stroke weight="0.5pt" color="#000000" joinstyle="miter"/>
                      <v:imagedata o:title=""/>
                      <o:lock v:ext="edit" aspectratio="f"/>
                      <v:textbox inset="0mm,0mm,0mm,0mm">
                        <w:txbxContent>
                          <w:p>
                            <w:pPr>
                              <w:jc w:val="center"/>
                              <w:rPr>
                                <w:rFonts w:hint="default" w:eastAsia="宋体"/>
                                <w:sz w:val="21"/>
                                <w:szCs w:val="21"/>
                                <w:lang w:val="en-US" w:eastAsia="zh-CN"/>
                              </w:rPr>
                            </w:pPr>
                            <w:r>
                              <w:rPr>
                                <w:rFonts w:hint="eastAsia" w:eastAsia="宋体"/>
                                <w:sz w:val="21"/>
                                <w:szCs w:val="21"/>
                                <w:lang w:val="en-US" w:eastAsia="zh-CN"/>
                              </w:rPr>
                              <w:t>沉淀</w:t>
                            </w:r>
                          </w:p>
                        </w:txbxContent>
                      </v:textbox>
                    </v:rect>
                  </w:pict>
                </mc:Fallback>
              </mc:AlternateContent>
            </w:r>
          </w:p>
          <w:p>
            <w:pPr>
              <w:pStyle w:val="24"/>
              <w:rPr>
                <w:rFonts w:hint="eastAsia" w:hAnsi="宋体"/>
                <w:szCs w:val="21"/>
              </w:rPr>
            </w:pPr>
            <w:r>
              <w:rPr>
                <w:sz w:val="21"/>
              </w:rPr>
              <mc:AlternateContent>
                <mc:Choice Requires="wps">
                  <w:drawing>
                    <wp:anchor distT="0" distB="0" distL="114300" distR="114300" simplePos="0" relativeHeight="251677696" behindDoc="0" locked="0" layoutInCell="1" allowOverlap="1">
                      <wp:simplePos x="0" y="0"/>
                      <wp:positionH relativeFrom="column">
                        <wp:posOffset>2423160</wp:posOffset>
                      </wp:positionH>
                      <wp:positionV relativeFrom="paragraph">
                        <wp:posOffset>160655</wp:posOffset>
                      </wp:positionV>
                      <wp:extent cx="5715" cy="267970"/>
                      <wp:effectExtent l="47625" t="0" r="53340" b="6350"/>
                      <wp:wrapNone/>
                      <wp:docPr id="38" name="直接连接符 38"/>
                      <wp:cNvGraphicFramePr/>
                      <a:graphic xmlns:a="http://schemas.openxmlformats.org/drawingml/2006/main">
                        <a:graphicData uri="http://schemas.microsoft.com/office/word/2010/wordprocessingShape">
                          <wps:wsp>
                            <wps:cNvCnPr/>
                            <wps:spPr>
                              <a:xfrm flipH="1">
                                <a:off x="0" y="0"/>
                                <a:ext cx="5715" cy="2679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0.8pt;margin-top:12.65pt;height:21.1pt;width:0.45pt;z-index:251677696;mso-width-relative:page;mso-height-relative:page;" filled="f" stroked="t" coordsize="21600,21600" o:gfxdata="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n8xA2QAAAAkBAAAPAAAAAAAAAAEAIAAAACIA&#10;AABkcnMvZG93bnJldi54bWxQSwECFAAUAAAACACHTuJAWBMPLAgCAADzAwAADgAAAAAAAAABACAA&#10;AAAoAQAAZHJzL2Uyb0RvYy54bWxQSwUGAAAAAAYABgBZAQAAogUAAAAA&#10;">
                      <v:fill on="f" focussize="0,0"/>
                      <v:stroke color="#000000" joinstyle="round" endarrow="open"/>
                      <v:imagedata o:title=""/>
                      <o:lock v:ext="edit" aspectratio="f"/>
                    </v:line>
                  </w:pict>
                </mc:Fallback>
              </mc:AlternateContent>
            </w:r>
          </w:p>
          <w:p>
            <w:pPr>
              <w:rPr>
                <w:rFonts w:hint="eastAsia" w:hAnsi="宋体"/>
                <w:szCs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2134870</wp:posOffset>
                      </wp:positionH>
                      <wp:positionV relativeFrom="paragraph">
                        <wp:posOffset>107950</wp:posOffset>
                      </wp:positionV>
                      <wp:extent cx="572135" cy="181610"/>
                      <wp:effectExtent l="5080" t="5080" r="13335" b="22860"/>
                      <wp:wrapNone/>
                      <wp:docPr id="6" name="矩形 6"/>
                      <wp:cNvGraphicFramePr/>
                      <a:graphic xmlns:a="http://schemas.openxmlformats.org/drawingml/2006/main">
                        <a:graphicData uri="http://schemas.microsoft.com/office/word/2010/wordprocessingShape">
                          <wps:wsp>
                            <wps:cNvSpPr/>
                            <wps:spPr>
                              <a:xfrm>
                                <a:off x="3431540" y="5514340"/>
                                <a:ext cx="572135" cy="181610"/>
                              </a:xfrm>
                              <a:prstGeom prst="rect">
                                <a:avLst/>
                              </a:prstGeom>
                              <a:noFill/>
                              <a:ln w="6350"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eastAsia="宋体"/>
                                      <w:sz w:val="21"/>
                                      <w:szCs w:val="21"/>
                                      <w:lang w:val="en-US" w:eastAsia="zh-CN"/>
                                    </w:rPr>
                                    <w:t>消毒</w:t>
                                  </w:r>
                                </w:p>
                              </w:txbxContent>
                            </wps:txbx>
                            <wps:bodyPr lIns="0" tIns="0" rIns="0" bIns="0" upright="1"/>
                          </wps:wsp>
                        </a:graphicData>
                      </a:graphic>
                    </wp:anchor>
                  </w:drawing>
                </mc:Choice>
                <mc:Fallback>
                  <w:pict>
                    <v:rect id="_x0000_s1026" o:spid="_x0000_s1026" o:spt="1" style="position:absolute;left:0pt;margin-left:168.1pt;margin-top:8.5pt;height:14.3pt;width:45.05pt;z-index:251665408;mso-width-relative:page;mso-height-relative:page;" filled="f" stroked="t" coordsize="21600,21600" o:gfxdata="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2lzbjaAAAACQEAAA8A&#10;AAAAAAAAAQAgAAAAIgAAAGRycy9kb3ducmV2LnhtbFBLAQIUABQAAAAIAIdO4kB0TKJ5FQIAAC8E&#10;AAAOAAAAAAAAAAEAIAAAACkBAABkcnMvZTJvRG9jLnhtbFBLBQYAAAAABgAGAFkBAACwBQAAAAA=&#10;">
                      <v:fill on="f" focussize="0,0"/>
                      <v:stroke weight="0.5pt" color="#000000" joinstyle="miter"/>
                      <v:imagedata o:title=""/>
                      <o:lock v:ext="edit" aspectratio="f"/>
                      <v:textbox inset="0mm,0mm,0mm,0mm">
                        <w:txbxContent>
                          <w:p>
                            <w:pPr>
                              <w:jc w:val="center"/>
                              <w:rPr>
                                <w:rFonts w:hint="default" w:eastAsia="宋体"/>
                                <w:sz w:val="21"/>
                                <w:szCs w:val="21"/>
                                <w:lang w:val="en-US" w:eastAsia="zh-CN"/>
                              </w:rPr>
                            </w:pPr>
                            <w:r>
                              <w:rPr>
                                <w:rFonts w:hint="eastAsia" w:eastAsia="宋体"/>
                                <w:sz w:val="21"/>
                                <w:szCs w:val="21"/>
                                <w:lang w:val="en-US" w:eastAsia="zh-CN"/>
                              </w:rPr>
                              <w:t>消毒</w:t>
                            </w:r>
                          </w:p>
                        </w:txbxContent>
                      </v:textbox>
                    </v:rect>
                  </w:pict>
                </mc:Fallback>
              </mc:AlternateContent>
            </w:r>
          </w:p>
          <w:p>
            <w:pPr>
              <w:pStyle w:val="24"/>
              <w:rPr>
                <w:rFonts w:hint="eastAsia" w:hAnsi="宋体"/>
                <w:szCs w:val="21"/>
              </w:rPr>
            </w:pPr>
            <w:r>
              <w:rPr>
                <w:sz w:val="21"/>
              </w:rPr>
              <mc:AlternateContent>
                <mc:Choice Requires="wps">
                  <w:drawing>
                    <wp:anchor distT="0" distB="0" distL="114300" distR="114300" simplePos="0" relativeHeight="251678720" behindDoc="0" locked="0" layoutInCell="1" allowOverlap="1">
                      <wp:simplePos x="0" y="0"/>
                      <wp:positionH relativeFrom="column">
                        <wp:posOffset>2423160</wp:posOffset>
                      </wp:positionH>
                      <wp:positionV relativeFrom="paragraph">
                        <wp:posOffset>144780</wp:posOffset>
                      </wp:positionV>
                      <wp:extent cx="5715" cy="267970"/>
                      <wp:effectExtent l="47625" t="0" r="53340" b="6350"/>
                      <wp:wrapNone/>
                      <wp:docPr id="44" name="直接连接符 44"/>
                      <wp:cNvGraphicFramePr/>
                      <a:graphic xmlns:a="http://schemas.openxmlformats.org/drawingml/2006/main">
                        <a:graphicData uri="http://schemas.microsoft.com/office/word/2010/wordprocessingShape">
                          <wps:wsp>
                            <wps:cNvCnPr/>
                            <wps:spPr>
                              <a:xfrm flipH="1">
                                <a:off x="0" y="0"/>
                                <a:ext cx="5715" cy="2679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0.8pt;margin-top:11.4pt;height:21.1pt;width:0.45pt;z-index:251678720;mso-width-relative:page;mso-height-relative:page;" filled="f" stroked="t" coordsize="21600,21600" o:gfxdata="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x/qU2QAAAAkBAAAPAAAAAAAAAAEAIAAAACIA&#10;AABkcnMvZG93bnJldi54bWxQSwECFAAUAAAACACHTuJAcOsJ+wgCAADzAwAADgAAAAAAAAABACAA&#10;AAAoAQAAZHJzL2Uyb0RvYy54bWxQSwUGAAAAAAYABgBZAQAAogUAAAAA&#10;">
                      <v:fill on="f" focussize="0,0"/>
                      <v:stroke color="#000000" joinstyle="round" endarrow="open"/>
                      <v:imagedata o:title=""/>
                      <o:lock v:ext="edit" aspectratio="f"/>
                    </v:line>
                  </w:pict>
                </mc:Fallback>
              </mc:AlternateContent>
            </w:r>
          </w:p>
          <w:p>
            <w:pPr>
              <w:rPr>
                <w:rFonts w:hint="eastAsia"/>
              </w:rPr>
            </w:pPr>
            <w:r>
              <w:rPr>
                <w:sz w:val="21"/>
              </w:rPr>
              <mc:AlternateContent>
                <mc:Choice Requires="wps">
                  <w:drawing>
                    <wp:anchor distT="0" distB="0" distL="114300" distR="114300" simplePos="0" relativeHeight="251666432" behindDoc="0" locked="0" layoutInCell="1" allowOverlap="1">
                      <wp:simplePos x="0" y="0"/>
                      <wp:positionH relativeFrom="column">
                        <wp:posOffset>2129155</wp:posOffset>
                      </wp:positionH>
                      <wp:positionV relativeFrom="paragraph">
                        <wp:posOffset>108585</wp:posOffset>
                      </wp:positionV>
                      <wp:extent cx="572135" cy="181610"/>
                      <wp:effectExtent l="0" t="0" r="0" b="0"/>
                      <wp:wrapNone/>
                      <wp:docPr id="7" name="矩形 7"/>
                      <wp:cNvGraphicFramePr/>
                      <a:graphic xmlns:a="http://schemas.openxmlformats.org/drawingml/2006/main">
                        <a:graphicData uri="http://schemas.microsoft.com/office/word/2010/wordprocessingShape">
                          <wps:wsp>
                            <wps:cNvSpPr/>
                            <wps:spPr>
                              <a:xfrm>
                                <a:off x="3425825" y="5972810"/>
                                <a:ext cx="572135" cy="181610"/>
                              </a:xfrm>
                              <a:prstGeom prst="rect">
                                <a:avLst/>
                              </a:prstGeom>
                              <a:noFill/>
                              <a:ln w="6350">
                                <a:noFill/>
                              </a:ln>
                            </wps:spPr>
                            <wps:txbx>
                              <w:txbxContent>
                                <w:p>
                                  <w:pPr>
                                    <w:jc w:val="center"/>
                                    <w:rPr>
                                      <w:rFonts w:hint="default" w:eastAsia="宋体"/>
                                      <w:sz w:val="21"/>
                                      <w:szCs w:val="21"/>
                                      <w:lang w:val="en-US" w:eastAsia="zh-CN"/>
                                    </w:rPr>
                                  </w:pPr>
                                  <w:r>
                                    <w:rPr>
                                      <w:rFonts w:hint="eastAsia" w:eastAsia="宋体"/>
                                      <w:sz w:val="21"/>
                                      <w:szCs w:val="21"/>
                                      <w:lang w:val="en-US" w:eastAsia="zh-CN"/>
                                    </w:rPr>
                                    <w:t>排放</w:t>
                                  </w:r>
                                </w:p>
                              </w:txbxContent>
                            </wps:txbx>
                            <wps:bodyPr lIns="0" tIns="0" rIns="0" bIns="0" upright="1"/>
                          </wps:wsp>
                        </a:graphicData>
                      </a:graphic>
                    </wp:anchor>
                  </w:drawing>
                </mc:Choice>
                <mc:Fallback>
                  <w:pict>
                    <v:rect id="_x0000_s1026" o:spid="_x0000_s1026" o:spt="1" style="position:absolute;left:0pt;margin-left:167.65pt;margin-top:8.55pt;height:14.3pt;width:45.05pt;z-index:251666432;mso-width-relative:page;mso-height-relative:page;" filled="f" stroked="f" coordsize="21600,21600" o:gfxdata="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SqTBHYAAAACQEAAA8AAAAAAAAAAQAgAAAAIgAAAGRycy9kb3ducmV2&#10;LnhtbFBLAQIUABQAAAAIAIdO4kAFaRr0wwEAAHkDAAAOAAAAAAAAAAEAIAAAACcBAABkcnMvZTJv&#10;RG9jLnhtbFBLBQYAAAAABgAGAFkBAABcBQAAAAA=&#10;">
                      <v:fill on="f" focussize="0,0"/>
                      <v:stroke on="f" weight="0.5pt"/>
                      <v:imagedata o:title=""/>
                      <o:lock v:ext="edit" aspectratio="f"/>
                      <v:textbox inset="0mm,0mm,0mm,0mm">
                        <w:txbxContent>
                          <w:p>
                            <w:pPr>
                              <w:jc w:val="center"/>
                              <w:rPr>
                                <w:rFonts w:hint="default" w:eastAsia="宋体"/>
                                <w:sz w:val="21"/>
                                <w:szCs w:val="21"/>
                                <w:lang w:val="en-US" w:eastAsia="zh-CN"/>
                              </w:rPr>
                            </w:pPr>
                            <w:r>
                              <w:rPr>
                                <w:rFonts w:hint="eastAsia" w:eastAsia="宋体"/>
                                <w:sz w:val="21"/>
                                <w:szCs w:val="21"/>
                                <w:lang w:val="en-US" w:eastAsia="zh-CN"/>
                              </w:rPr>
                              <w:t>排放</w:t>
                            </w:r>
                          </w:p>
                        </w:txbxContent>
                      </v:textbox>
                    </v:rect>
                  </w:pict>
                </mc:Fallback>
              </mc:AlternateContent>
            </w:r>
          </w:p>
          <w:p>
            <w:pPr>
              <w:spacing w:line="360" w:lineRule="auto"/>
              <w:ind w:firstLine="420" w:firstLineChars="200"/>
              <w:jc w:val="left"/>
              <w:rPr>
                <w:rFonts w:hint="eastAsia" w:hAnsi="宋体"/>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bCs w:val="0"/>
                <w:color w:val="auto"/>
                <w:spacing w:val="0"/>
                <w:szCs w:val="21"/>
                <w:lang w:val="en-US" w:eastAsia="zh-CN"/>
              </w:rPr>
            </w:pPr>
            <w:r>
              <w:rPr>
                <w:rFonts w:hint="eastAsia" w:ascii="Times New Roman" w:hAnsi="Times New Roman" w:cs="Times New Roman"/>
                <w:b/>
                <w:bCs w:val="0"/>
                <w:color w:val="auto"/>
                <w:spacing w:val="0"/>
                <w:szCs w:val="21"/>
                <w:lang w:val="en-US" w:eastAsia="zh-CN"/>
              </w:rPr>
              <w:t>图4-1  安成经济开发区污水处理厂污水处理工艺流程图</w:t>
            </w:r>
          </w:p>
          <w:p>
            <w:pPr>
              <w:spacing w:line="360" w:lineRule="auto"/>
              <w:ind w:firstLine="420" w:firstLineChars="200"/>
              <w:jc w:val="left"/>
              <w:rPr>
                <w:rFonts w:hAnsi="宋体"/>
                <w:szCs w:val="21"/>
              </w:rPr>
            </w:pPr>
            <w:r>
              <w:rPr>
                <w:rFonts w:hint="eastAsia" w:hAnsi="宋体"/>
                <w:szCs w:val="21"/>
              </w:rPr>
              <w:t>②</w:t>
            </w:r>
            <w:r>
              <w:rPr>
                <w:rFonts w:hint="eastAsia" w:ascii="Times New Roman" w:hAnsi="Times New Roman" w:cs="Times New Roman"/>
                <w:bCs/>
                <w:color w:val="auto"/>
                <w:spacing w:val="0"/>
                <w:szCs w:val="21"/>
                <w:lang w:val="en-US" w:eastAsia="zh-CN"/>
              </w:rPr>
              <w:t>安成经济开发区污水处理厂</w:t>
            </w:r>
            <w:r>
              <w:rPr>
                <w:rFonts w:hAnsi="宋体"/>
                <w:szCs w:val="21"/>
              </w:rPr>
              <w:t>服务范围</w:t>
            </w:r>
          </w:p>
          <w:p>
            <w:pPr>
              <w:spacing w:line="360" w:lineRule="auto"/>
              <w:ind w:firstLine="420" w:firstLineChars="200"/>
              <w:jc w:val="left"/>
              <w:rPr>
                <w:rFonts w:hAnsi="宋体"/>
                <w:szCs w:val="21"/>
              </w:rPr>
            </w:pPr>
            <w:r>
              <w:rPr>
                <w:rFonts w:hint="eastAsia" w:ascii="Times New Roman" w:hAnsi="Times New Roman" w:cs="Times New Roman"/>
                <w:bCs/>
                <w:color w:val="auto"/>
                <w:spacing w:val="0"/>
                <w:szCs w:val="21"/>
                <w:lang w:val="en-US" w:eastAsia="zh-CN"/>
              </w:rPr>
              <w:t>安成经济开发区污水处理厂</w:t>
            </w:r>
            <w:r>
              <w:rPr>
                <w:rFonts w:hAnsi="宋体"/>
                <w:szCs w:val="21"/>
              </w:rPr>
              <w:t>服务范围主要为负责收集、输送并处理</w:t>
            </w:r>
            <w:r>
              <w:rPr>
                <w:rFonts w:hint="eastAsia" w:hAnsi="宋体"/>
                <w:szCs w:val="21"/>
              </w:rPr>
              <w:t>工业集聚区</w:t>
            </w:r>
            <w:r>
              <w:rPr>
                <w:rFonts w:hint="eastAsia" w:hAnsi="宋体"/>
                <w:szCs w:val="21"/>
                <w:lang w:val="en-US" w:eastAsia="zh-CN"/>
              </w:rPr>
              <w:t>全部</w:t>
            </w:r>
            <w:r>
              <w:rPr>
                <w:rFonts w:hint="eastAsia" w:hAnsi="宋体"/>
                <w:szCs w:val="21"/>
              </w:rPr>
              <w:t>污水</w:t>
            </w:r>
            <w:r>
              <w:rPr>
                <w:rFonts w:hint="eastAsia" w:hAnsi="宋体"/>
                <w:szCs w:val="21"/>
                <w:lang w:eastAsia="zh-CN"/>
              </w:rPr>
              <w:t>，</w:t>
            </w:r>
            <w:r>
              <w:rPr>
                <w:rFonts w:hint="eastAsia" w:hAnsi="宋体"/>
                <w:szCs w:val="21"/>
              </w:rPr>
              <w:t>污水处理达标后排放至城市管网。</w:t>
            </w:r>
            <w:r>
              <w:rPr>
                <w:rFonts w:hAnsi="宋体"/>
                <w:szCs w:val="21"/>
              </w:rPr>
              <w:t>本项目建设地点位于</w:t>
            </w:r>
            <w:r>
              <w:rPr>
                <w:rFonts w:hint="eastAsia" w:hAnsi="宋体"/>
                <w:szCs w:val="21"/>
                <w:lang w:val="en-US" w:eastAsia="zh-CN"/>
              </w:rPr>
              <w:t>淮南安成经济开发区</w:t>
            </w:r>
            <w:r>
              <w:rPr>
                <w:rFonts w:hAnsi="宋体"/>
                <w:szCs w:val="21"/>
              </w:rPr>
              <w:t>，所在区域属于</w:t>
            </w:r>
            <w:r>
              <w:rPr>
                <w:rFonts w:hint="eastAsia" w:ascii="Times New Roman" w:hAnsi="Times New Roman" w:cs="Times New Roman"/>
                <w:bCs/>
                <w:color w:val="auto"/>
                <w:spacing w:val="0"/>
                <w:szCs w:val="21"/>
                <w:lang w:val="en-US" w:eastAsia="zh-CN"/>
              </w:rPr>
              <w:t>安成经济开发区污水处理厂</w:t>
            </w:r>
            <w:r>
              <w:rPr>
                <w:rFonts w:hAnsi="宋体"/>
                <w:szCs w:val="21"/>
              </w:rPr>
              <w:t>收水范围。目前，项目区域污水管网已配套建设，废水接入市政污水管网，最终进入</w:t>
            </w:r>
            <w:r>
              <w:rPr>
                <w:rFonts w:hint="eastAsia" w:ascii="Times New Roman" w:hAnsi="Times New Roman" w:cs="Times New Roman"/>
                <w:bCs/>
                <w:color w:val="auto"/>
                <w:spacing w:val="0"/>
                <w:szCs w:val="21"/>
                <w:lang w:val="en-US" w:eastAsia="zh-CN"/>
              </w:rPr>
              <w:t>安成经济开发区污水处理厂</w:t>
            </w:r>
            <w:r>
              <w:rPr>
                <w:rFonts w:hAnsi="宋体"/>
                <w:szCs w:val="21"/>
              </w:rPr>
              <w:t>。</w:t>
            </w:r>
          </w:p>
          <w:p>
            <w:pPr>
              <w:spacing w:line="360" w:lineRule="auto"/>
              <w:ind w:firstLine="420" w:firstLineChars="200"/>
              <w:jc w:val="left"/>
              <w:rPr>
                <w:rFonts w:hAnsi="宋体"/>
                <w:szCs w:val="21"/>
              </w:rPr>
            </w:pPr>
            <w:r>
              <w:rPr>
                <w:rFonts w:hint="eastAsia" w:hAnsi="宋体"/>
                <w:szCs w:val="21"/>
              </w:rPr>
              <w:t>③</w:t>
            </w:r>
            <w:r>
              <w:rPr>
                <w:rFonts w:hAnsi="宋体"/>
                <w:szCs w:val="21"/>
              </w:rPr>
              <w:t>污水达标排放可行性</w:t>
            </w:r>
          </w:p>
          <w:p>
            <w:pPr>
              <w:spacing w:line="360" w:lineRule="auto"/>
              <w:ind w:firstLine="420" w:firstLineChars="200"/>
              <w:jc w:val="left"/>
              <w:rPr>
                <w:rFonts w:hAnsi="宋体"/>
                <w:szCs w:val="21"/>
              </w:rPr>
            </w:pPr>
            <w:r>
              <w:rPr>
                <w:rFonts w:hAnsi="宋体"/>
                <w:szCs w:val="21"/>
              </w:rPr>
              <w:t>本项目处理后的废（污）水可达到</w:t>
            </w:r>
            <w:r>
              <w:rPr>
                <w:rFonts w:hint="eastAsia" w:ascii="Times New Roman" w:hAnsi="Times New Roman" w:cs="Times New Roman"/>
                <w:bCs/>
                <w:color w:val="auto"/>
                <w:spacing w:val="0"/>
                <w:szCs w:val="21"/>
                <w:lang w:val="en-US" w:eastAsia="zh-CN"/>
              </w:rPr>
              <w:t>安成经济开发区污水处理厂</w:t>
            </w:r>
            <w:r>
              <w:rPr>
                <w:rFonts w:hAnsi="宋体"/>
                <w:szCs w:val="21"/>
              </w:rPr>
              <w:t>接管标准</w:t>
            </w:r>
            <w:r>
              <w:rPr>
                <w:rFonts w:hint="eastAsia" w:hAnsi="宋体"/>
                <w:szCs w:val="21"/>
              </w:rPr>
              <w:t>，</w:t>
            </w:r>
            <w:r>
              <w:rPr>
                <w:rFonts w:hAnsi="宋体"/>
                <w:szCs w:val="21"/>
              </w:rPr>
              <w:t>该污水处理厂采用技术成熟、处理效率稳定的城市污水二级处理系统，经过处理后的污水</w:t>
            </w:r>
            <w:r>
              <w:rPr>
                <w:rFonts w:hint="eastAsia" w:hAnsi="宋体"/>
                <w:szCs w:val="21"/>
              </w:rPr>
              <w:t>可以</w:t>
            </w:r>
            <w:r>
              <w:rPr>
                <w:rFonts w:hAnsi="宋体"/>
                <w:szCs w:val="21"/>
              </w:rPr>
              <w:t>达到《城镇污水处理厂污染控制标准》（GB18918-2002）中一级A标准。该污水处理厂污水设计处理量为</w:t>
            </w:r>
            <w:r>
              <w:rPr>
                <w:rFonts w:hint="eastAsia" w:hAnsi="宋体"/>
                <w:szCs w:val="21"/>
                <w:lang w:val="en-US" w:eastAsia="zh-CN"/>
              </w:rPr>
              <w:t>500</w:t>
            </w:r>
            <w:r>
              <w:rPr>
                <w:rFonts w:hAnsi="宋体"/>
                <w:szCs w:val="21"/>
              </w:rPr>
              <w:t>m</w:t>
            </w:r>
            <w:r>
              <w:rPr>
                <w:rFonts w:hAnsi="宋体"/>
                <w:szCs w:val="21"/>
                <w:vertAlign w:val="superscript"/>
              </w:rPr>
              <w:t>3</w:t>
            </w:r>
            <w:r>
              <w:rPr>
                <w:rFonts w:hAnsi="宋体"/>
                <w:szCs w:val="21"/>
              </w:rPr>
              <w:t>/d，</w:t>
            </w:r>
            <w:r>
              <w:rPr>
                <w:rFonts w:hint="eastAsia" w:hAnsi="宋体"/>
                <w:szCs w:val="21"/>
              </w:rPr>
              <w:t>目前污水处理规模为</w:t>
            </w:r>
            <w:r>
              <w:rPr>
                <w:rFonts w:hint="eastAsia" w:hAnsi="宋体"/>
                <w:szCs w:val="21"/>
                <w:lang w:val="en-US" w:eastAsia="zh-CN"/>
              </w:rPr>
              <w:t>300</w:t>
            </w:r>
            <w:r>
              <w:rPr>
                <w:rFonts w:hAnsi="宋体"/>
                <w:szCs w:val="21"/>
              </w:rPr>
              <w:t>m</w:t>
            </w:r>
            <w:r>
              <w:rPr>
                <w:rFonts w:hAnsi="宋体"/>
                <w:szCs w:val="21"/>
                <w:vertAlign w:val="superscript"/>
              </w:rPr>
              <w:t>3</w:t>
            </w:r>
            <w:r>
              <w:rPr>
                <w:rFonts w:hAnsi="宋体"/>
                <w:szCs w:val="21"/>
              </w:rPr>
              <w:t>/d</w:t>
            </w:r>
            <w:r>
              <w:rPr>
                <w:rFonts w:hint="eastAsia" w:hAnsi="宋体"/>
                <w:szCs w:val="21"/>
              </w:rPr>
              <w:t>，</w:t>
            </w:r>
            <w:r>
              <w:rPr>
                <w:rFonts w:hint="eastAsia" w:hAnsi="宋体"/>
                <w:szCs w:val="21"/>
                <w:lang w:val="en-US" w:eastAsia="zh-CN"/>
              </w:rPr>
              <w:t>最大日处理规模为380</w:t>
            </w:r>
            <w:r>
              <w:rPr>
                <w:rFonts w:hAnsi="宋体"/>
                <w:szCs w:val="21"/>
              </w:rPr>
              <w:t>m</w:t>
            </w:r>
            <w:r>
              <w:rPr>
                <w:rFonts w:hAnsi="宋体"/>
                <w:szCs w:val="21"/>
                <w:vertAlign w:val="superscript"/>
              </w:rPr>
              <w:t>3</w:t>
            </w:r>
            <w:r>
              <w:rPr>
                <w:rFonts w:hAnsi="宋体"/>
                <w:szCs w:val="21"/>
              </w:rPr>
              <w:t>/d</w:t>
            </w:r>
            <w:r>
              <w:rPr>
                <w:rFonts w:hint="eastAsia" w:hAnsi="宋体"/>
                <w:szCs w:val="21"/>
                <w:lang w:eastAsia="zh-CN"/>
              </w:rPr>
              <w:t>，</w:t>
            </w:r>
            <w:r>
              <w:rPr>
                <w:rFonts w:hint="eastAsia" w:hAnsi="宋体"/>
                <w:szCs w:val="21"/>
              </w:rPr>
              <w:t>剩余</w:t>
            </w:r>
            <w:r>
              <w:rPr>
                <w:rFonts w:hint="eastAsia" w:hAnsi="宋体"/>
                <w:szCs w:val="21"/>
                <w:lang w:val="en-US" w:eastAsia="zh-CN"/>
              </w:rPr>
              <w:t>最小</w:t>
            </w:r>
            <w:r>
              <w:rPr>
                <w:rFonts w:hint="eastAsia" w:hAnsi="宋体"/>
                <w:szCs w:val="21"/>
              </w:rPr>
              <w:t>处理能力为</w:t>
            </w:r>
            <w:r>
              <w:rPr>
                <w:rFonts w:hint="eastAsia" w:hAnsi="宋体"/>
                <w:szCs w:val="21"/>
                <w:lang w:val="en-US" w:eastAsia="zh-CN"/>
              </w:rPr>
              <w:t>120</w:t>
            </w:r>
            <w:r>
              <w:rPr>
                <w:rFonts w:hAnsi="宋体"/>
                <w:szCs w:val="21"/>
              </w:rPr>
              <w:t>m</w:t>
            </w:r>
            <w:r>
              <w:rPr>
                <w:rFonts w:hAnsi="宋体"/>
                <w:szCs w:val="21"/>
                <w:vertAlign w:val="superscript"/>
              </w:rPr>
              <w:t>3</w:t>
            </w:r>
            <w:r>
              <w:rPr>
                <w:rFonts w:hAnsi="宋体"/>
                <w:szCs w:val="21"/>
              </w:rPr>
              <w:t>/d。本项目运行后，新增废水排放量为</w:t>
            </w:r>
            <w:r>
              <w:rPr>
                <w:rFonts w:hint="eastAsia" w:hAnsi="宋体"/>
                <w:szCs w:val="21"/>
                <w:lang w:val="en-US" w:eastAsia="zh-CN"/>
              </w:rPr>
              <w:t>21.6</w:t>
            </w:r>
            <w:r>
              <w:rPr>
                <w:rFonts w:hAnsi="宋体"/>
                <w:szCs w:val="21"/>
              </w:rPr>
              <w:t>t/d，废水量较小，占污水处理厂</w:t>
            </w:r>
            <w:r>
              <w:rPr>
                <w:rFonts w:hint="eastAsia" w:hAnsi="宋体"/>
                <w:szCs w:val="21"/>
              </w:rPr>
              <w:t>剩余处理能力的</w:t>
            </w:r>
            <w:r>
              <w:rPr>
                <w:rFonts w:hint="eastAsia" w:hAnsi="宋体"/>
                <w:szCs w:val="21"/>
                <w:lang w:val="en-US" w:eastAsia="zh-CN"/>
              </w:rPr>
              <w:t>18</w:t>
            </w:r>
            <w:r>
              <w:rPr>
                <w:rFonts w:hint="eastAsia" w:hAnsi="宋体"/>
                <w:szCs w:val="21"/>
              </w:rPr>
              <w:t>%</w:t>
            </w:r>
            <w:r>
              <w:rPr>
                <w:rFonts w:hAnsi="宋体"/>
                <w:szCs w:val="21"/>
              </w:rPr>
              <w:t>，因此从污水量上考虑，项目接管可行。</w:t>
            </w:r>
          </w:p>
          <w:p>
            <w:pPr>
              <w:spacing w:line="360" w:lineRule="auto"/>
              <w:ind w:firstLine="420" w:firstLineChars="200"/>
              <w:jc w:val="left"/>
              <w:rPr>
                <w:rFonts w:hAnsi="宋体"/>
                <w:szCs w:val="21"/>
              </w:rPr>
            </w:pPr>
            <w:r>
              <w:rPr>
                <w:rFonts w:hAnsi="宋体"/>
                <w:szCs w:val="21"/>
              </w:rPr>
              <w:t>本项目外排废水主要为生活污水</w:t>
            </w:r>
            <w:r>
              <w:rPr>
                <w:rFonts w:hint="eastAsia" w:hAnsi="宋体"/>
                <w:szCs w:val="21"/>
                <w:lang w:val="en-US" w:eastAsia="zh-CN"/>
              </w:rPr>
              <w:t>及少量生产废水</w:t>
            </w:r>
            <w:r>
              <w:rPr>
                <w:rFonts w:hAnsi="宋体"/>
                <w:szCs w:val="21"/>
              </w:rPr>
              <w:t>，由于污水不含重金属、难降解有机物等污染物，可生化性好，排入污水处理厂处理，从水质上也是可行的，可以满足该污水处理厂接管标准要求。</w:t>
            </w:r>
          </w:p>
          <w:p>
            <w:pPr>
              <w:spacing w:line="360" w:lineRule="auto"/>
              <w:ind w:firstLine="420" w:firstLineChars="200"/>
              <w:jc w:val="left"/>
              <w:rPr>
                <w:rFonts w:hAnsi="宋体"/>
                <w:szCs w:val="21"/>
              </w:rPr>
            </w:pPr>
            <w:r>
              <w:rPr>
                <w:rFonts w:hAnsi="宋体"/>
                <w:szCs w:val="21"/>
              </w:rPr>
              <w:t>综上所述，本项目外排废水污染物排放浓度符合</w:t>
            </w:r>
            <w:r>
              <w:rPr>
                <w:rFonts w:hint="eastAsia" w:ascii="Times New Roman" w:hAnsi="Times New Roman" w:cs="Times New Roman"/>
                <w:bCs/>
                <w:color w:val="auto"/>
                <w:spacing w:val="0"/>
                <w:szCs w:val="21"/>
                <w:lang w:val="en-US" w:eastAsia="zh-CN"/>
              </w:rPr>
              <w:t>安成经济开发区污水处理厂</w:t>
            </w:r>
            <w:r>
              <w:rPr>
                <w:rFonts w:hAnsi="宋体"/>
                <w:szCs w:val="21"/>
              </w:rPr>
              <w:t>接管标准，污水经市政污水管网排入</w:t>
            </w:r>
            <w:r>
              <w:rPr>
                <w:rFonts w:hint="eastAsia" w:ascii="Times New Roman" w:hAnsi="Times New Roman" w:cs="Times New Roman"/>
                <w:bCs/>
                <w:color w:val="auto"/>
                <w:spacing w:val="0"/>
                <w:szCs w:val="21"/>
                <w:lang w:val="en-US" w:eastAsia="zh-CN"/>
              </w:rPr>
              <w:t>安成经济开发区污水处理厂</w:t>
            </w:r>
            <w:r>
              <w:rPr>
                <w:rFonts w:hAnsi="宋体"/>
                <w:szCs w:val="21"/>
              </w:rPr>
              <w:t>处理达标后外排，该污水处理厂有能力接纳项目运营后增加的废水，并且成熟的处理工艺可以确保达标排放，不会降低地表水现有水环境功能，对项目周边水体水质的影响较小。</w:t>
            </w:r>
          </w:p>
          <w:p>
            <w:pPr>
              <w:spacing w:line="360" w:lineRule="auto"/>
              <w:ind w:firstLine="420" w:firstLineChars="200"/>
              <w:jc w:val="left"/>
              <w:rPr>
                <w:rFonts w:hAnsi="宋体"/>
                <w:szCs w:val="21"/>
              </w:rPr>
            </w:pPr>
            <w:r>
              <w:rPr>
                <w:rFonts w:hAnsi="宋体"/>
                <w:szCs w:val="21"/>
              </w:rPr>
              <w:t>（3）废水类别、污染物项目、排放形式及污染防治设施</w:t>
            </w:r>
          </w:p>
          <w:p>
            <w:pPr>
              <w:spacing w:line="360" w:lineRule="auto"/>
              <w:ind w:firstLine="420" w:firstLineChars="200"/>
              <w:jc w:val="left"/>
              <w:rPr>
                <w:rFonts w:hAnsi="宋体"/>
                <w:szCs w:val="21"/>
              </w:rPr>
            </w:pPr>
            <w:r>
              <w:rPr>
                <w:rFonts w:hAnsi="宋体"/>
                <w:szCs w:val="21"/>
              </w:rPr>
              <w:t>本项目采用雨污分流，雨水经厂区雨水管道收集后排入市政雨水管网；生活污水经化粪池处理后在满足</w:t>
            </w:r>
            <w:r>
              <w:rPr>
                <w:rFonts w:hint="eastAsia" w:hAnsi="宋体"/>
                <w:szCs w:val="21"/>
                <w:lang w:val="en-US" w:eastAsia="zh-CN"/>
              </w:rPr>
              <w:t>淮南</w:t>
            </w:r>
            <w:r>
              <w:rPr>
                <w:rFonts w:hint="eastAsia" w:ascii="Times New Roman" w:hAnsi="Times New Roman" w:cs="Times New Roman"/>
                <w:bCs/>
                <w:color w:val="auto"/>
                <w:spacing w:val="0"/>
                <w:szCs w:val="21"/>
                <w:lang w:val="en-US" w:eastAsia="zh-CN"/>
              </w:rPr>
              <w:t>安成经济开发区污水处理厂</w:t>
            </w:r>
            <w:r>
              <w:rPr>
                <w:rFonts w:hAnsi="宋体"/>
                <w:szCs w:val="21"/>
              </w:rPr>
              <w:t>接管标准（</w:t>
            </w:r>
            <w:r>
              <w:rPr>
                <w:rFonts w:hint="default" w:ascii="Times New Roman" w:hAnsi="Times New Roman" w:eastAsia="宋体" w:cs="Times New Roman"/>
                <w:color w:val="auto"/>
                <w:sz w:val="21"/>
                <w:szCs w:val="21"/>
                <w:lang w:val="en-US" w:eastAsia="zh-CN"/>
              </w:rPr>
              <w:t>接管标准中未包含的污染物执行《污水排入城镇下水道水质标准》（GB/T31962-2015）中B等级排放标准</w:t>
            </w:r>
            <w:r>
              <w:rPr>
                <w:rFonts w:hAnsi="宋体"/>
                <w:szCs w:val="21"/>
              </w:rPr>
              <w:t>）的前提下排入</w:t>
            </w:r>
            <w:r>
              <w:rPr>
                <w:rFonts w:hint="eastAsia" w:hAnsi="宋体"/>
                <w:szCs w:val="21"/>
                <w:lang w:val="en-US" w:eastAsia="zh-CN"/>
              </w:rPr>
              <w:t>园区</w:t>
            </w:r>
            <w:r>
              <w:rPr>
                <w:rFonts w:hAnsi="宋体"/>
                <w:szCs w:val="21"/>
              </w:rPr>
              <w:t>污水管网，外排废水经污水处理厂处理后达到《城镇污水处理厂污染物排放标准》（GB18918-2002）表1中一级A标准后排入</w:t>
            </w:r>
            <w:r>
              <w:rPr>
                <w:rFonts w:hint="eastAsia" w:hAnsi="宋体"/>
                <w:szCs w:val="21"/>
                <w:lang w:val="en-US" w:eastAsia="zh-CN"/>
              </w:rPr>
              <w:t>淮河</w:t>
            </w:r>
            <w:r>
              <w:rPr>
                <w:rFonts w:hAnsi="宋体"/>
                <w:szCs w:val="21"/>
              </w:rPr>
              <w:t>。</w:t>
            </w:r>
          </w:p>
          <w:p>
            <w:pPr>
              <w:spacing w:line="360" w:lineRule="auto"/>
              <w:ind w:firstLine="422" w:firstLineChars="200"/>
              <w:jc w:val="left"/>
              <w:rPr>
                <w:rFonts w:hint="default" w:ascii="Times New Roman" w:hAnsi="Times New Roman" w:cs="Times New Roman"/>
                <w:b/>
                <w:bCs w:val="0"/>
                <w:color w:val="auto"/>
                <w:spacing w:val="0"/>
                <w:szCs w:val="21"/>
                <w:lang w:val="en-US" w:eastAsia="zh-CN"/>
              </w:rPr>
            </w:pPr>
            <w:r>
              <w:rPr>
                <w:rFonts w:hint="eastAsia" w:ascii="Times New Roman" w:hAnsi="Times New Roman" w:cs="Times New Roman"/>
                <w:b/>
                <w:bCs w:val="0"/>
                <w:color w:val="auto"/>
                <w:spacing w:val="0"/>
                <w:szCs w:val="21"/>
                <w:lang w:val="en-US" w:eastAsia="zh-CN"/>
              </w:rPr>
              <w:t>3、监测要求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bCs/>
                <w:color w:val="auto"/>
                <w:spacing w:val="0"/>
                <w:szCs w:val="21"/>
                <w:lang w:val="en-US" w:eastAsia="zh-CN"/>
              </w:rPr>
            </w:pPr>
            <w:r>
              <w:rPr>
                <w:rFonts w:hint="eastAsia" w:ascii="Times New Roman" w:hAnsi="Times New Roman" w:cs="Times New Roman"/>
                <w:bCs/>
                <w:color w:val="auto"/>
                <w:spacing w:val="0"/>
                <w:szCs w:val="21"/>
                <w:lang w:val="en-US" w:eastAsia="zh-CN"/>
              </w:rPr>
              <w:t>根据《排污单位自行监测技术指南 总则》（HJ819-2017 ）、《排污许可证申请与核发技术规范 总则》（HJ942-2018）等规定的监测分析方法对污染源进行日常例行监测，设置环境保护图形标志牌，本项目有关废水污染源监测点、监测项目及监测频次见表4-9。</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4-9</w:t>
            </w:r>
            <w:r>
              <w:rPr>
                <w:rFonts w:hint="eastAsia" w:ascii="Times New Roman" w:hAnsi="Times New Roman" w:cs="Times New Roman"/>
                <w:b/>
                <w:color w:val="auto"/>
                <w:sz w:val="21"/>
                <w:szCs w:val="21"/>
              </w:rPr>
              <w:t xml:space="preserve"> </w:t>
            </w:r>
            <w:r>
              <w:rPr>
                <w:rFonts w:hint="eastAsia" w:cs="Times New Roman"/>
                <w:b/>
                <w:color w:val="auto"/>
                <w:sz w:val="21"/>
                <w:szCs w:val="21"/>
                <w:lang w:val="en-US" w:eastAsia="zh-CN"/>
              </w:rPr>
              <w:t xml:space="preserve"> </w:t>
            </w:r>
            <w:r>
              <w:rPr>
                <w:rFonts w:hint="eastAsia" w:ascii="Times New Roman" w:hAnsi="Times New Roman" w:cs="Times New Roman"/>
                <w:b/>
                <w:color w:val="auto"/>
                <w:sz w:val="21"/>
                <w:szCs w:val="21"/>
                <w:lang w:val="en-US" w:eastAsia="zh-CN"/>
              </w:rPr>
              <w:t>本项目</w:t>
            </w:r>
            <w:r>
              <w:rPr>
                <w:rFonts w:ascii="Times New Roman" w:hAnsi="Times New Roman" w:cs="Times New Roman"/>
                <w:b/>
                <w:color w:val="auto"/>
                <w:sz w:val="21"/>
                <w:szCs w:val="21"/>
              </w:rPr>
              <w:t>监测计划一览表</w:t>
            </w:r>
          </w:p>
          <w:tbl>
            <w:tblPr>
              <w:tblStyle w:val="44"/>
              <w:tblW w:w="8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1032"/>
              <w:gridCol w:w="4565"/>
              <w:gridCol w:w="983"/>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2118" w:type="dxa"/>
                  <w:gridSpan w:val="2"/>
                  <w:tcBorders>
                    <w:tl2br w:val="nil"/>
                    <w:tr2bl w:val="nil"/>
                  </w:tcBorders>
                  <w:noWrap w:val="0"/>
                  <w:vAlign w:val="center"/>
                </w:tcPr>
                <w:p>
                  <w:pPr>
                    <w:pStyle w:val="244"/>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监测点位</w:t>
                  </w:r>
                </w:p>
              </w:tc>
              <w:tc>
                <w:tcPr>
                  <w:tcW w:w="4565" w:type="dxa"/>
                  <w:tcBorders>
                    <w:tl2br w:val="nil"/>
                    <w:tr2bl w:val="nil"/>
                  </w:tcBorders>
                  <w:noWrap w:val="0"/>
                  <w:vAlign w:val="center"/>
                </w:tcPr>
                <w:p>
                  <w:pPr>
                    <w:pStyle w:val="244"/>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监测因子</w:t>
                  </w:r>
                </w:p>
              </w:tc>
              <w:tc>
                <w:tcPr>
                  <w:tcW w:w="983" w:type="dxa"/>
                  <w:tcBorders>
                    <w:tl2br w:val="nil"/>
                    <w:tr2bl w:val="nil"/>
                  </w:tcBorders>
                  <w:noWrap w:val="0"/>
                  <w:vAlign w:val="center"/>
                </w:tcPr>
                <w:p>
                  <w:pPr>
                    <w:pStyle w:val="244"/>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监测频率</w:t>
                  </w:r>
                </w:p>
              </w:tc>
              <w:tc>
                <w:tcPr>
                  <w:tcW w:w="1212" w:type="dxa"/>
                  <w:tcBorders>
                    <w:tl2br w:val="nil"/>
                    <w:tr2bl w:val="nil"/>
                  </w:tcBorders>
                  <w:noWrap w:val="0"/>
                  <w:vAlign w:val="center"/>
                </w:tcPr>
                <w:p>
                  <w:pPr>
                    <w:pStyle w:val="244"/>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监测点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1086" w:type="dxa"/>
                  <w:tcBorders>
                    <w:tl2br w:val="nil"/>
                    <w:tr2bl w:val="nil"/>
                  </w:tcBorders>
                  <w:noWrap w:val="0"/>
                  <w:vAlign w:val="center"/>
                </w:tcPr>
                <w:p>
                  <w:pPr>
                    <w:pStyle w:val="244"/>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废水排口</w:t>
                  </w:r>
                </w:p>
              </w:tc>
              <w:tc>
                <w:tcPr>
                  <w:tcW w:w="1032" w:type="dxa"/>
                  <w:tcBorders>
                    <w:tl2br w:val="nil"/>
                    <w:tr2bl w:val="nil"/>
                  </w:tcBorders>
                  <w:noWrap w:val="0"/>
                  <w:vAlign w:val="center"/>
                </w:tcPr>
                <w:p>
                  <w:pPr>
                    <w:pStyle w:val="244"/>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DW001</w:t>
                  </w:r>
                </w:p>
              </w:tc>
              <w:tc>
                <w:tcPr>
                  <w:tcW w:w="4565" w:type="dxa"/>
                  <w:tcBorders>
                    <w:tl2br w:val="nil"/>
                    <w:tr2bl w:val="nil"/>
                  </w:tcBorders>
                  <w:noWrap w:val="0"/>
                  <w:vAlign w:val="center"/>
                </w:tcPr>
                <w:p>
                  <w:pPr>
                    <w:pStyle w:val="151"/>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pH、SS、COD、BOD</w:t>
                  </w:r>
                  <w:r>
                    <w:rPr>
                      <w:rFonts w:hint="default" w:ascii="Times New Roman" w:hAnsi="Times New Roman" w:eastAsia="宋体" w:cs="Times New Roman"/>
                      <w:color w:val="auto"/>
                      <w:kern w:val="2"/>
                      <w:sz w:val="21"/>
                      <w:szCs w:val="21"/>
                      <w:vertAlign w:val="subscript"/>
                      <w:lang w:val="en-US" w:eastAsia="zh-CN" w:bidi="ar-SA"/>
                    </w:rPr>
                    <w:t>5</w:t>
                  </w:r>
                  <w:r>
                    <w:rPr>
                      <w:rFonts w:hint="default" w:ascii="Times New Roman" w:hAnsi="Times New Roman" w:eastAsia="宋体" w:cs="Times New Roman"/>
                      <w:color w:val="auto"/>
                      <w:kern w:val="2"/>
                      <w:sz w:val="21"/>
                      <w:szCs w:val="21"/>
                      <w:lang w:val="en-US" w:eastAsia="zh-CN" w:bidi="ar-SA"/>
                    </w:rPr>
                    <w:t>、NH</w:t>
                  </w:r>
                  <w:r>
                    <w:rPr>
                      <w:rFonts w:hint="default" w:ascii="Times New Roman" w:hAnsi="Times New Roman" w:eastAsia="宋体" w:cs="Times New Roman"/>
                      <w:color w:val="auto"/>
                      <w:kern w:val="2"/>
                      <w:sz w:val="21"/>
                      <w:szCs w:val="21"/>
                      <w:vertAlign w:val="subscript"/>
                      <w:lang w:val="en-US" w:eastAsia="zh-CN" w:bidi="ar-SA"/>
                    </w:rPr>
                    <w:t>3</w:t>
                  </w:r>
                  <w:r>
                    <w:rPr>
                      <w:rFonts w:hint="default" w:ascii="Times New Roman" w:hAnsi="Times New Roman" w:eastAsia="宋体" w:cs="Times New Roman"/>
                      <w:color w:val="auto"/>
                      <w:kern w:val="2"/>
                      <w:sz w:val="21"/>
                      <w:szCs w:val="21"/>
                      <w:lang w:val="en-US" w:eastAsia="zh-CN" w:bidi="ar-SA"/>
                    </w:rPr>
                    <w:t>-N、</w:t>
                  </w:r>
                  <w:r>
                    <w:rPr>
                      <w:rFonts w:hint="eastAsia" w:cs="Times New Roman"/>
                      <w:color w:val="auto"/>
                      <w:kern w:val="2"/>
                      <w:sz w:val="21"/>
                      <w:szCs w:val="21"/>
                      <w:lang w:val="en-US" w:eastAsia="zh-CN" w:bidi="ar-SA"/>
                    </w:rPr>
                    <w:t>TN、</w:t>
                  </w:r>
                  <w:r>
                    <w:rPr>
                      <w:rFonts w:hint="default" w:ascii="Times New Roman" w:hAnsi="Times New Roman" w:eastAsia="宋体" w:cs="Times New Roman"/>
                      <w:color w:val="auto"/>
                      <w:kern w:val="2"/>
                      <w:sz w:val="21"/>
                      <w:szCs w:val="21"/>
                      <w:lang w:val="en-US" w:eastAsia="zh-CN" w:bidi="ar-SA"/>
                    </w:rPr>
                    <w:t>TP</w:t>
                  </w:r>
                </w:p>
              </w:tc>
              <w:tc>
                <w:tcPr>
                  <w:tcW w:w="983" w:type="dxa"/>
                  <w:tcBorders>
                    <w:tl2br w:val="nil"/>
                    <w:tr2bl w:val="nil"/>
                  </w:tcBorders>
                  <w:noWrap w:val="0"/>
                  <w:vAlign w:val="center"/>
                </w:tcPr>
                <w:p>
                  <w:pPr>
                    <w:pStyle w:val="244"/>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1次/年</w:t>
                  </w:r>
                </w:p>
              </w:tc>
              <w:tc>
                <w:tcPr>
                  <w:tcW w:w="1212" w:type="dxa"/>
                  <w:tcBorders>
                    <w:tl2br w:val="nil"/>
                    <w:tr2bl w:val="nil"/>
                  </w:tcBorders>
                  <w:noWrap w:val="0"/>
                  <w:vAlign w:val="center"/>
                </w:tcPr>
                <w:p>
                  <w:pPr>
                    <w:pStyle w:val="244"/>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废水排放口</w:t>
                  </w:r>
                </w:p>
              </w:tc>
            </w:tr>
          </w:tbl>
          <w:p>
            <w:pPr>
              <w:spacing w:line="360" w:lineRule="auto"/>
              <w:ind w:firstLine="422" w:firstLineChars="200"/>
              <w:jc w:val="left"/>
              <w:rPr>
                <w:b/>
                <w:bCs/>
                <w:szCs w:val="21"/>
              </w:rPr>
            </w:pPr>
            <w:r>
              <w:rPr>
                <w:rFonts w:hint="eastAsia" w:hAnsi="宋体"/>
                <w:b/>
                <w:bCs/>
                <w:szCs w:val="21"/>
                <w:lang w:val="en-US" w:eastAsia="zh-CN"/>
              </w:rPr>
              <w:t>4、</w:t>
            </w:r>
            <w:r>
              <w:rPr>
                <w:rFonts w:hAnsi="宋体"/>
                <w:b/>
                <w:bCs/>
                <w:szCs w:val="21"/>
              </w:rPr>
              <w:t>地表水环境影响评价结论</w:t>
            </w:r>
          </w:p>
          <w:p>
            <w:pPr>
              <w:adjustRightInd w:val="0"/>
              <w:snapToGrid w:val="0"/>
              <w:spacing w:line="360" w:lineRule="auto"/>
              <w:ind w:firstLine="420" w:firstLineChars="200"/>
              <w:jc w:val="left"/>
              <w:rPr>
                <w:rFonts w:hint="eastAsia"/>
                <w:kern w:val="0"/>
                <w:szCs w:val="21"/>
              </w:rPr>
            </w:pPr>
            <w:r>
              <w:rPr>
                <w:rFonts w:hAnsi="宋体"/>
                <w:szCs w:val="21"/>
              </w:rPr>
              <w:t>本项目采用</w:t>
            </w:r>
            <w:r>
              <w:rPr>
                <w:szCs w:val="21"/>
              </w:rPr>
              <w:t>“</w:t>
            </w:r>
            <w:r>
              <w:rPr>
                <w:rFonts w:hAnsi="宋体"/>
                <w:szCs w:val="21"/>
              </w:rPr>
              <w:t>雨污分流制</w:t>
            </w:r>
            <w:r>
              <w:rPr>
                <w:szCs w:val="21"/>
              </w:rPr>
              <w:t>”</w:t>
            </w:r>
            <w:r>
              <w:rPr>
                <w:rFonts w:hAnsi="宋体"/>
                <w:szCs w:val="21"/>
              </w:rPr>
              <w:t>排水系统。雨水直接进入市政雨水管网，排入区域地表水系。项目新增废水不直接排入区域地表水环境，接管</w:t>
            </w:r>
            <w:r>
              <w:rPr>
                <w:rFonts w:hint="eastAsia" w:hAnsi="宋体"/>
                <w:szCs w:val="21"/>
                <w:lang w:val="en-US" w:eastAsia="zh-CN"/>
              </w:rPr>
              <w:t>淮南</w:t>
            </w:r>
            <w:r>
              <w:rPr>
                <w:rFonts w:hint="eastAsia" w:ascii="Times New Roman" w:hAnsi="Times New Roman" w:cs="Times New Roman"/>
                <w:bCs/>
                <w:color w:val="auto"/>
                <w:spacing w:val="0"/>
                <w:szCs w:val="21"/>
                <w:lang w:val="en-US" w:eastAsia="zh-CN"/>
              </w:rPr>
              <w:t>安成经济开发区污水处理厂</w:t>
            </w:r>
            <w:r>
              <w:t>接管标准（</w:t>
            </w:r>
            <w:r>
              <w:rPr>
                <w:rFonts w:hint="default" w:ascii="Times New Roman" w:hAnsi="Times New Roman" w:eastAsia="宋体" w:cs="Times New Roman"/>
                <w:color w:val="auto"/>
                <w:sz w:val="21"/>
                <w:szCs w:val="21"/>
                <w:lang w:val="en-US" w:eastAsia="zh-CN"/>
              </w:rPr>
              <w:t>接管标准中未包含的污染物执行《污水排入城镇下水道水质标准》（GB/T31962-2015）中B等级排放标准</w:t>
            </w:r>
            <w:r>
              <w:t>）</w:t>
            </w:r>
            <w:r>
              <w:rPr>
                <w:rFonts w:hAnsi="宋体"/>
                <w:szCs w:val="21"/>
              </w:rPr>
              <w:t>处理达标排放，对区域水环境质量影响较小。</w:t>
            </w:r>
          </w:p>
          <w:p>
            <w:pPr>
              <w:adjustRightInd w:val="0"/>
              <w:snapToGrid w:val="0"/>
              <w:spacing w:line="360" w:lineRule="auto"/>
              <w:ind w:firstLine="422" w:firstLineChars="200"/>
              <w:rPr>
                <w:b/>
                <w:bCs/>
                <w:color w:val="auto"/>
                <w:kern w:val="0"/>
                <w:szCs w:val="21"/>
              </w:rPr>
            </w:pPr>
            <w:r>
              <w:rPr>
                <w:rFonts w:hint="eastAsia"/>
                <w:b/>
                <w:bCs/>
                <w:color w:val="auto"/>
                <w:kern w:val="0"/>
                <w:szCs w:val="21"/>
              </w:rPr>
              <w:t>三、</w:t>
            </w:r>
            <w:r>
              <w:rPr>
                <w:b/>
                <w:bCs/>
                <w:color w:val="auto"/>
                <w:kern w:val="0"/>
                <w:szCs w:val="21"/>
              </w:rPr>
              <w:t>噪声</w:t>
            </w:r>
          </w:p>
          <w:p>
            <w:pPr>
              <w:adjustRightInd w:val="0"/>
              <w:snapToGrid w:val="0"/>
              <w:spacing w:line="360" w:lineRule="auto"/>
              <w:ind w:firstLine="420" w:firstLineChars="200"/>
              <w:jc w:val="left"/>
              <w:rPr>
                <w:rFonts w:hint="eastAsia" w:ascii="Times New Roman" w:hAnsi="宋体" w:eastAsia="宋体" w:cs="Times New Roman"/>
                <w:szCs w:val="21"/>
                <w:lang w:val="en-US" w:eastAsia="zh-CN"/>
              </w:rPr>
            </w:pPr>
            <w:r>
              <w:rPr>
                <w:rFonts w:hint="eastAsia" w:ascii="Times New Roman" w:hAnsi="宋体" w:eastAsia="宋体" w:cs="Times New Roman"/>
                <w:szCs w:val="21"/>
                <w:lang w:val="en-US" w:eastAsia="zh-CN"/>
              </w:rPr>
              <w:t>（1）本项目运营期噪声源主要是各类车床、切割机、加工中心、电焊机等设备所产生的噪声，噪声值在60~90dB（A）之间，设备位置以生产车间西南角为坐标原点，东西向为X轴，南北向为Y轴进行定位。</w:t>
            </w:r>
          </w:p>
          <w:p>
            <w:pPr>
              <w:adjustRightInd w:val="0"/>
              <w:snapToGrid w:val="0"/>
              <w:spacing w:line="360" w:lineRule="auto"/>
              <w:ind w:firstLine="420" w:firstLineChars="200"/>
              <w:jc w:val="left"/>
              <w:rPr>
                <w:rFonts w:hint="default" w:ascii="Times New Roman" w:hAnsi="宋体" w:eastAsia="宋体" w:cs="Times New Roman"/>
                <w:szCs w:val="21"/>
                <w:lang w:val="en-US" w:eastAsia="zh-CN"/>
              </w:rPr>
            </w:pPr>
            <w:r>
              <w:rPr>
                <w:rFonts w:hint="eastAsia" w:ascii="Times New Roman" w:hAnsi="宋体" w:eastAsia="宋体" w:cs="Times New Roman"/>
                <w:szCs w:val="21"/>
                <w:lang w:val="en-US" w:eastAsia="zh-CN"/>
              </w:rPr>
              <w:t>各设备噪声声级见下表。</w:t>
            </w:r>
          </w:p>
          <w:p>
            <w:pPr>
              <w:spacing w:line="360" w:lineRule="auto"/>
              <w:ind w:firstLine="420" w:firstLineChars="200"/>
              <w:jc w:val="center"/>
              <w:rPr>
                <w:rFonts w:eastAsia="黑体"/>
                <w:bCs/>
                <w:color w:val="auto"/>
                <w:szCs w:val="21"/>
              </w:rPr>
            </w:pPr>
          </w:p>
          <w:p>
            <w:pPr>
              <w:pStyle w:val="85"/>
              <w:keepNext w:val="0"/>
              <w:keepLines w:val="0"/>
              <w:numPr>
                <w:ilvl w:val="0"/>
                <w:numId w:val="0"/>
              </w:numPr>
              <w:adjustRightInd/>
              <w:spacing w:line="360" w:lineRule="auto"/>
              <w:ind w:firstLine="382" w:firstLineChars="200"/>
              <w:jc w:val="left"/>
              <w:outlineLvl w:val="9"/>
              <w:rPr>
                <w:rFonts w:hint="eastAsia" w:ascii="Times New Roman"/>
                <w:bCs w:val="0"/>
                <w:color w:val="FF0000"/>
                <w:spacing w:val="-10"/>
                <w:sz w:val="21"/>
                <w:szCs w:val="21"/>
                <w:lang w:val="en-US" w:eastAsia="zh-CN"/>
              </w:rPr>
            </w:pPr>
          </w:p>
          <w:p>
            <w:pPr>
              <w:pStyle w:val="87"/>
              <w:rPr>
                <w:rFonts w:hint="eastAsia" w:ascii="Times New Roman"/>
                <w:bCs w:val="0"/>
                <w:color w:val="FF0000"/>
                <w:spacing w:val="-10"/>
                <w:sz w:val="21"/>
                <w:szCs w:val="21"/>
                <w:lang w:val="en-US" w:eastAsia="zh-CN"/>
              </w:rPr>
            </w:pPr>
          </w:p>
          <w:p>
            <w:pPr>
              <w:pStyle w:val="87"/>
              <w:rPr>
                <w:rFonts w:hint="eastAsia" w:ascii="Times New Roman"/>
                <w:bCs w:val="0"/>
                <w:color w:val="FF0000"/>
                <w:spacing w:val="-10"/>
                <w:sz w:val="21"/>
                <w:szCs w:val="21"/>
                <w:lang w:val="en-US" w:eastAsia="zh-CN"/>
              </w:rPr>
            </w:pPr>
          </w:p>
          <w:p>
            <w:pPr>
              <w:pStyle w:val="87"/>
              <w:rPr>
                <w:rFonts w:hint="eastAsia" w:ascii="Times New Roman"/>
                <w:bCs w:val="0"/>
                <w:color w:val="FF0000"/>
                <w:spacing w:val="-10"/>
                <w:sz w:val="21"/>
                <w:szCs w:val="21"/>
                <w:lang w:val="en-US" w:eastAsia="zh-CN"/>
              </w:rPr>
            </w:pPr>
          </w:p>
          <w:p>
            <w:pPr>
              <w:pStyle w:val="87"/>
              <w:rPr>
                <w:rFonts w:hint="eastAsia" w:ascii="Times New Roman"/>
                <w:bCs w:val="0"/>
                <w:color w:val="FF0000"/>
                <w:spacing w:val="-10"/>
                <w:sz w:val="21"/>
                <w:szCs w:val="21"/>
                <w:lang w:val="en-US" w:eastAsia="zh-CN"/>
              </w:rPr>
            </w:pPr>
          </w:p>
          <w:p>
            <w:pPr>
              <w:pStyle w:val="87"/>
              <w:rPr>
                <w:rFonts w:hint="eastAsia" w:ascii="Times New Roman"/>
                <w:bCs w:val="0"/>
                <w:color w:val="FF0000"/>
                <w:spacing w:val="-10"/>
                <w:sz w:val="21"/>
                <w:szCs w:val="21"/>
                <w:lang w:val="en-US" w:eastAsia="zh-CN"/>
              </w:rPr>
            </w:pPr>
          </w:p>
          <w:p>
            <w:pPr>
              <w:pStyle w:val="87"/>
              <w:rPr>
                <w:rFonts w:hint="eastAsia" w:ascii="Times New Roman"/>
                <w:bCs w:val="0"/>
                <w:color w:val="FF0000"/>
                <w:spacing w:val="-10"/>
                <w:sz w:val="21"/>
                <w:szCs w:val="21"/>
                <w:lang w:val="en-US" w:eastAsia="zh-CN"/>
              </w:rPr>
            </w:pPr>
          </w:p>
          <w:p>
            <w:pPr>
              <w:pStyle w:val="87"/>
              <w:rPr>
                <w:rFonts w:hint="eastAsia" w:ascii="Times New Roman"/>
                <w:bCs w:val="0"/>
                <w:color w:val="FF0000"/>
                <w:spacing w:val="-10"/>
                <w:sz w:val="21"/>
                <w:szCs w:val="21"/>
                <w:lang w:val="en-US" w:eastAsia="zh-CN"/>
              </w:rPr>
            </w:pPr>
          </w:p>
        </w:tc>
      </w:tr>
    </w:tbl>
    <w:p>
      <w:pPr>
        <w:adjustRightInd w:val="0"/>
        <w:snapToGrid w:val="0"/>
        <w:spacing w:line="360" w:lineRule="auto"/>
        <w:rPr>
          <w:b/>
          <w:color w:val="FF0000"/>
          <w:kern w:val="0"/>
          <w:szCs w:val="21"/>
        </w:rPr>
        <w:sectPr>
          <w:pgSz w:w="11907" w:h="16840"/>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pPr>
        <w:adjustRightInd w:val="0"/>
        <w:snapToGrid w:val="0"/>
        <w:spacing w:line="240" w:lineRule="auto"/>
        <w:jc w:val="center"/>
        <w:rPr>
          <w:b/>
          <w:bCs/>
          <w:color w:val="000000"/>
          <w:szCs w:val="21"/>
        </w:rPr>
      </w:pPr>
      <w:r>
        <w:rPr>
          <w:rFonts w:hint="eastAsia"/>
          <w:b/>
          <w:bCs/>
          <w:color w:val="000000"/>
          <w:szCs w:val="21"/>
        </w:rPr>
        <w:t>表4-1</w:t>
      </w:r>
      <w:r>
        <w:rPr>
          <w:rFonts w:hint="eastAsia"/>
          <w:b/>
          <w:bCs/>
          <w:color w:val="000000"/>
          <w:szCs w:val="21"/>
          <w:lang w:val="en-US" w:eastAsia="zh-CN"/>
        </w:rPr>
        <w:t>0</w:t>
      </w:r>
      <w:r>
        <w:rPr>
          <w:rFonts w:hint="eastAsia"/>
          <w:b/>
          <w:bCs/>
          <w:color w:val="000000"/>
          <w:szCs w:val="21"/>
        </w:rPr>
        <w:t xml:space="preserve">  </w:t>
      </w:r>
      <w:r>
        <w:rPr>
          <w:b/>
          <w:bCs/>
          <w:color w:val="000000"/>
          <w:szCs w:val="21"/>
        </w:rPr>
        <w:t>项目主要噪声源排放源强（室内）</w:t>
      </w:r>
    </w:p>
    <w:tbl>
      <w:tblPr>
        <w:tblStyle w:val="44"/>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23"/>
        <w:gridCol w:w="1099"/>
        <w:gridCol w:w="613"/>
        <w:gridCol w:w="577"/>
        <w:gridCol w:w="732"/>
        <w:gridCol w:w="614"/>
        <w:gridCol w:w="596"/>
        <w:gridCol w:w="608"/>
        <w:gridCol w:w="637"/>
        <w:gridCol w:w="573"/>
        <w:gridCol w:w="518"/>
        <w:gridCol w:w="600"/>
        <w:gridCol w:w="682"/>
        <w:gridCol w:w="641"/>
        <w:gridCol w:w="600"/>
        <w:gridCol w:w="636"/>
        <w:gridCol w:w="415"/>
        <w:gridCol w:w="668"/>
        <w:gridCol w:w="630"/>
        <w:gridCol w:w="585"/>
        <w:gridCol w:w="585"/>
        <w:gridCol w:w="606"/>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2" w:type="pct"/>
            <w:vMerge w:val="restart"/>
            <w:noWrap w:val="0"/>
            <w:vAlign w:val="center"/>
          </w:tcPr>
          <w:p>
            <w:pPr>
              <w:adjustRightInd w:val="0"/>
              <w:snapToGrid w:val="0"/>
              <w:spacing w:line="240" w:lineRule="auto"/>
              <w:jc w:val="center"/>
              <w:rPr>
                <w:bCs/>
                <w:color w:val="auto"/>
                <w:sz w:val="18"/>
                <w:szCs w:val="18"/>
              </w:rPr>
            </w:pPr>
            <w:r>
              <w:rPr>
                <w:bCs/>
                <w:color w:val="auto"/>
                <w:sz w:val="18"/>
                <w:szCs w:val="18"/>
              </w:rPr>
              <w:t>序号</w:t>
            </w:r>
          </w:p>
        </w:tc>
        <w:tc>
          <w:tcPr>
            <w:tcW w:w="143" w:type="pct"/>
            <w:vMerge w:val="restart"/>
            <w:noWrap w:val="0"/>
            <w:vAlign w:val="center"/>
          </w:tcPr>
          <w:p>
            <w:pPr>
              <w:adjustRightInd w:val="0"/>
              <w:snapToGrid w:val="0"/>
              <w:spacing w:line="240" w:lineRule="auto"/>
              <w:jc w:val="center"/>
              <w:rPr>
                <w:bCs/>
                <w:color w:val="auto"/>
                <w:sz w:val="18"/>
                <w:szCs w:val="18"/>
              </w:rPr>
            </w:pPr>
            <w:r>
              <w:rPr>
                <w:bCs/>
                <w:color w:val="auto"/>
                <w:sz w:val="18"/>
                <w:szCs w:val="18"/>
              </w:rPr>
              <w:t>建筑物名称</w:t>
            </w:r>
          </w:p>
          <w:p>
            <w:pPr>
              <w:adjustRightInd w:val="0"/>
              <w:snapToGrid w:val="0"/>
              <w:spacing w:line="240" w:lineRule="auto"/>
              <w:jc w:val="center"/>
              <w:rPr>
                <w:bCs/>
                <w:color w:val="auto"/>
                <w:sz w:val="18"/>
                <w:szCs w:val="18"/>
              </w:rPr>
            </w:pPr>
            <w:r>
              <w:rPr>
                <w:bCs/>
                <w:color w:val="auto"/>
                <w:sz w:val="18"/>
                <w:szCs w:val="18"/>
              </w:rPr>
              <w:t>生产厂房</w:t>
            </w:r>
          </w:p>
        </w:tc>
        <w:tc>
          <w:tcPr>
            <w:tcW w:w="372" w:type="pct"/>
            <w:vMerge w:val="restart"/>
            <w:noWrap w:val="0"/>
            <w:vAlign w:val="center"/>
          </w:tcPr>
          <w:p>
            <w:pPr>
              <w:adjustRightInd w:val="0"/>
              <w:snapToGrid w:val="0"/>
              <w:spacing w:line="240" w:lineRule="auto"/>
              <w:jc w:val="center"/>
              <w:rPr>
                <w:bCs/>
                <w:color w:val="auto"/>
                <w:sz w:val="18"/>
                <w:szCs w:val="18"/>
              </w:rPr>
            </w:pPr>
            <w:r>
              <w:rPr>
                <w:bCs/>
                <w:color w:val="auto"/>
                <w:sz w:val="18"/>
                <w:szCs w:val="18"/>
              </w:rPr>
              <w:t>设备名称</w:t>
            </w:r>
          </w:p>
        </w:tc>
        <w:tc>
          <w:tcPr>
            <w:tcW w:w="207" w:type="pct"/>
            <w:vMerge w:val="restart"/>
            <w:noWrap w:val="0"/>
            <w:vAlign w:val="center"/>
          </w:tcPr>
          <w:p>
            <w:pPr>
              <w:adjustRightInd w:val="0"/>
              <w:snapToGrid w:val="0"/>
              <w:spacing w:line="240" w:lineRule="auto"/>
              <w:jc w:val="center"/>
              <w:rPr>
                <w:bCs/>
                <w:color w:val="auto"/>
                <w:sz w:val="18"/>
                <w:szCs w:val="18"/>
              </w:rPr>
            </w:pPr>
            <w:r>
              <w:rPr>
                <w:rFonts w:hint="eastAsia"/>
                <w:bCs/>
                <w:color w:val="auto"/>
                <w:sz w:val="18"/>
                <w:szCs w:val="18"/>
                <w:lang w:val="en-US" w:eastAsia="zh-CN"/>
              </w:rPr>
              <w:t>单台</w:t>
            </w:r>
            <w:r>
              <w:rPr>
                <w:bCs/>
                <w:color w:val="auto"/>
                <w:sz w:val="18"/>
                <w:szCs w:val="18"/>
              </w:rPr>
              <w:t>噪声源强dB（A）</w:t>
            </w:r>
          </w:p>
        </w:tc>
        <w:tc>
          <w:tcPr>
            <w:tcW w:w="195" w:type="pct"/>
            <w:vMerge w:val="restart"/>
            <w:noWrap w:val="0"/>
            <w:vAlign w:val="center"/>
          </w:tcPr>
          <w:p>
            <w:pPr>
              <w:adjustRightInd w:val="0"/>
              <w:snapToGrid w:val="0"/>
              <w:spacing w:line="240" w:lineRule="auto"/>
              <w:jc w:val="center"/>
              <w:rPr>
                <w:rFonts w:hint="eastAsia" w:eastAsia="宋体"/>
                <w:bCs/>
                <w:color w:val="auto"/>
                <w:sz w:val="18"/>
                <w:szCs w:val="18"/>
                <w:lang w:val="en-US" w:eastAsia="zh-CN"/>
              </w:rPr>
            </w:pPr>
            <w:r>
              <w:rPr>
                <w:rFonts w:hint="eastAsia"/>
                <w:bCs/>
                <w:color w:val="auto"/>
                <w:sz w:val="18"/>
                <w:szCs w:val="18"/>
                <w:lang w:val="en-US" w:eastAsia="zh-CN"/>
              </w:rPr>
              <w:t>数量</w:t>
            </w:r>
          </w:p>
        </w:tc>
        <w:tc>
          <w:tcPr>
            <w:tcW w:w="248" w:type="pct"/>
            <w:vMerge w:val="restart"/>
            <w:noWrap w:val="0"/>
            <w:vAlign w:val="center"/>
          </w:tcPr>
          <w:p>
            <w:pPr>
              <w:adjustRightInd w:val="0"/>
              <w:snapToGrid w:val="0"/>
              <w:spacing w:line="240" w:lineRule="auto"/>
              <w:jc w:val="center"/>
              <w:rPr>
                <w:bCs/>
                <w:color w:val="auto"/>
                <w:sz w:val="18"/>
                <w:szCs w:val="18"/>
              </w:rPr>
            </w:pPr>
            <w:r>
              <w:rPr>
                <w:bCs/>
                <w:color w:val="auto"/>
                <w:sz w:val="18"/>
                <w:szCs w:val="18"/>
              </w:rPr>
              <w:t>声源控制措施</w:t>
            </w:r>
          </w:p>
          <w:p>
            <w:pPr>
              <w:spacing w:line="240" w:lineRule="auto"/>
              <w:jc w:val="center"/>
              <w:rPr>
                <w:rFonts w:hint="default" w:eastAsia="宋体"/>
                <w:color w:val="auto"/>
                <w:sz w:val="18"/>
                <w:szCs w:val="18"/>
                <w:lang w:val="en-US" w:eastAsia="zh-CN"/>
              </w:rPr>
            </w:pPr>
            <w:r>
              <w:rPr>
                <w:rFonts w:hint="eastAsia"/>
                <w:color w:val="auto"/>
                <w:sz w:val="18"/>
                <w:szCs w:val="18"/>
                <w:lang w:val="en-US" w:eastAsia="zh-CN"/>
              </w:rPr>
              <w:t>厂房隔声</w:t>
            </w:r>
            <w:r>
              <w:rPr>
                <w:rFonts w:hint="eastAsia"/>
                <w:color w:val="auto"/>
                <w:sz w:val="18"/>
                <w:szCs w:val="18"/>
              </w:rPr>
              <w:t>、</w:t>
            </w:r>
            <w:r>
              <w:rPr>
                <w:rFonts w:hint="eastAsia"/>
                <w:color w:val="auto"/>
                <w:sz w:val="18"/>
                <w:szCs w:val="18"/>
                <w:lang w:val="en-US" w:eastAsia="zh-CN"/>
              </w:rPr>
              <w:t>设备基础</w:t>
            </w:r>
            <w:r>
              <w:rPr>
                <w:rFonts w:hint="eastAsia"/>
                <w:color w:val="auto"/>
                <w:sz w:val="18"/>
                <w:szCs w:val="18"/>
              </w:rPr>
              <w:t>减震</w:t>
            </w:r>
            <w:r>
              <w:rPr>
                <w:rFonts w:hint="eastAsia"/>
                <w:color w:val="auto"/>
                <w:sz w:val="18"/>
                <w:szCs w:val="18"/>
                <w:lang w:eastAsia="zh-CN"/>
              </w:rPr>
              <w:t>、</w:t>
            </w:r>
            <w:r>
              <w:rPr>
                <w:rFonts w:hint="eastAsia"/>
                <w:color w:val="auto"/>
                <w:sz w:val="18"/>
                <w:szCs w:val="18"/>
                <w:lang w:val="en-US" w:eastAsia="zh-CN"/>
              </w:rPr>
              <w:t>选用低噪声设备</w:t>
            </w:r>
          </w:p>
        </w:tc>
        <w:tc>
          <w:tcPr>
            <w:tcW w:w="616" w:type="pct"/>
            <w:gridSpan w:val="3"/>
            <w:vMerge w:val="restart"/>
            <w:noWrap w:val="0"/>
            <w:vAlign w:val="center"/>
          </w:tcPr>
          <w:p>
            <w:pPr>
              <w:adjustRightInd w:val="0"/>
              <w:snapToGrid w:val="0"/>
              <w:spacing w:line="240" w:lineRule="auto"/>
              <w:jc w:val="center"/>
              <w:rPr>
                <w:bCs/>
                <w:color w:val="auto"/>
                <w:sz w:val="18"/>
                <w:szCs w:val="18"/>
              </w:rPr>
            </w:pPr>
            <w:r>
              <w:rPr>
                <w:bCs/>
                <w:color w:val="auto"/>
                <w:sz w:val="18"/>
                <w:szCs w:val="18"/>
              </w:rPr>
              <w:t>空间相对位置（m）</w:t>
            </w:r>
          </w:p>
        </w:tc>
        <w:tc>
          <w:tcPr>
            <w:tcW w:w="789" w:type="pct"/>
            <w:gridSpan w:val="4"/>
            <w:vMerge w:val="restart"/>
            <w:noWrap w:val="0"/>
            <w:vAlign w:val="center"/>
          </w:tcPr>
          <w:p>
            <w:pPr>
              <w:adjustRightInd w:val="0"/>
              <w:snapToGrid w:val="0"/>
              <w:spacing w:line="240" w:lineRule="auto"/>
              <w:jc w:val="center"/>
              <w:rPr>
                <w:bCs/>
                <w:color w:val="auto"/>
                <w:sz w:val="18"/>
                <w:szCs w:val="18"/>
              </w:rPr>
            </w:pPr>
            <w:r>
              <w:rPr>
                <w:bCs/>
                <w:color w:val="auto"/>
                <w:sz w:val="18"/>
                <w:szCs w:val="18"/>
              </w:rPr>
              <w:t>距室内边界距离/m</w:t>
            </w:r>
          </w:p>
        </w:tc>
        <w:tc>
          <w:tcPr>
            <w:tcW w:w="867" w:type="pct"/>
            <w:gridSpan w:val="4"/>
            <w:vMerge w:val="restart"/>
            <w:noWrap w:val="0"/>
            <w:vAlign w:val="center"/>
          </w:tcPr>
          <w:p>
            <w:pPr>
              <w:adjustRightInd w:val="0"/>
              <w:snapToGrid w:val="0"/>
              <w:spacing w:line="240" w:lineRule="auto"/>
              <w:jc w:val="center"/>
              <w:rPr>
                <w:bCs/>
                <w:color w:val="auto"/>
                <w:sz w:val="18"/>
                <w:szCs w:val="18"/>
              </w:rPr>
            </w:pPr>
            <w:r>
              <w:rPr>
                <w:bCs/>
                <w:color w:val="auto"/>
                <w:sz w:val="18"/>
                <w:szCs w:val="18"/>
              </w:rPr>
              <w:t>距室内边界声级dB（A）</w:t>
            </w:r>
          </w:p>
        </w:tc>
        <w:tc>
          <w:tcPr>
            <w:tcW w:w="140" w:type="pct"/>
            <w:vMerge w:val="restart"/>
            <w:noWrap w:val="0"/>
            <w:vAlign w:val="center"/>
          </w:tcPr>
          <w:p>
            <w:pPr>
              <w:adjustRightInd w:val="0"/>
              <w:snapToGrid w:val="0"/>
              <w:spacing w:line="240" w:lineRule="auto"/>
              <w:jc w:val="center"/>
              <w:rPr>
                <w:bCs/>
                <w:color w:val="auto"/>
                <w:sz w:val="18"/>
                <w:szCs w:val="18"/>
              </w:rPr>
            </w:pPr>
            <w:r>
              <w:rPr>
                <w:bCs/>
                <w:color w:val="auto"/>
                <w:sz w:val="18"/>
                <w:szCs w:val="18"/>
              </w:rPr>
              <w:t>运行时段</w:t>
            </w:r>
          </w:p>
          <w:p>
            <w:pPr>
              <w:adjustRightInd w:val="0"/>
              <w:snapToGrid w:val="0"/>
              <w:spacing w:line="240" w:lineRule="auto"/>
              <w:jc w:val="center"/>
              <w:rPr>
                <w:bCs/>
                <w:color w:val="auto"/>
                <w:sz w:val="18"/>
                <w:szCs w:val="18"/>
              </w:rPr>
            </w:pPr>
            <w:r>
              <w:rPr>
                <w:rFonts w:hint="eastAsia"/>
                <w:bCs/>
                <w:color w:val="auto"/>
                <w:sz w:val="18"/>
                <w:szCs w:val="18"/>
              </w:rPr>
              <w:t>昼8h</w:t>
            </w:r>
          </w:p>
        </w:tc>
        <w:tc>
          <w:tcPr>
            <w:tcW w:w="226" w:type="pct"/>
            <w:vMerge w:val="restart"/>
            <w:noWrap w:val="0"/>
            <w:vAlign w:val="center"/>
          </w:tcPr>
          <w:p>
            <w:pPr>
              <w:adjustRightInd w:val="0"/>
              <w:snapToGrid w:val="0"/>
              <w:spacing w:line="240" w:lineRule="auto"/>
              <w:jc w:val="center"/>
              <w:rPr>
                <w:bCs/>
                <w:color w:val="auto"/>
                <w:sz w:val="18"/>
                <w:szCs w:val="18"/>
              </w:rPr>
            </w:pPr>
            <w:r>
              <w:rPr>
                <w:bCs/>
                <w:color w:val="auto"/>
                <w:sz w:val="18"/>
                <w:szCs w:val="18"/>
              </w:rPr>
              <w:t>建筑物插入损失dB（A）</w:t>
            </w:r>
          </w:p>
        </w:tc>
        <w:tc>
          <w:tcPr>
            <w:tcW w:w="1050" w:type="pct"/>
            <w:gridSpan w:val="5"/>
            <w:noWrap w:val="0"/>
            <w:vAlign w:val="center"/>
          </w:tcPr>
          <w:p>
            <w:pPr>
              <w:adjustRightInd w:val="0"/>
              <w:snapToGrid w:val="0"/>
              <w:spacing w:line="240" w:lineRule="auto"/>
              <w:jc w:val="center"/>
              <w:rPr>
                <w:bCs/>
                <w:color w:val="auto"/>
                <w:sz w:val="18"/>
                <w:szCs w:val="18"/>
              </w:rPr>
            </w:pPr>
            <w:r>
              <w:rPr>
                <w:bCs/>
                <w:color w:val="auto"/>
                <w:sz w:val="18"/>
                <w:szCs w:val="18"/>
              </w:rPr>
              <w:t>建筑物外损失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42" w:type="pct"/>
            <w:vMerge w:val="continue"/>
            <w:noWrap w:val="0"/>
            <w:vAlign w:val="center"/>
          </w:tcPr>
          <w:p>
            <w:pPr>
              <w:adjustRightInd w:val="0"/>
              <w:snapToGrid w:val="0"/>
              <w:spacing w:line="240" w:lineRule="auto"/>
              <w:jc w:val="center"/>
              <w:rPr>
                <w:bCs/>
                <w:color w:val="auto"/>
                <w:sz w:val="18"/>
                <w:szCs w:val="18"/>
              </w:rPr>
            </w:pPr>
          </w:p>
        </w:tc>
        <w:tc>
          <w:tcPr>
            <w:tcW w:w="143" w:type="pct"/>
            <w:vMerge w:val="continue"/>
            <w:noWrap w:val="0"/>
            <w:vAlign w:val="center"/>
          </w:tcPr>
          <w:p>
            <w:pPr>
              <w:adjustRightInd w:val="0"/>
              <w:snapToGrid w:val="0"/>
              <w:spacing w:line="240" w:lineRule="auto"/>
              <w:jc w:val="center"/>
              <w:rPr>
                <w:bCs/>
                <w:color w:val="auto"/>
                <w:sz w:val="18"/>
                <w:szCs w:val="18"/>
              </w:rPr>
            </w:pPr>
          </w:p>
        </w:tc>
        <w:tc>
          <w:tcPr>
            <w:tcW w:w="372" w:type="pct"/>
            <w:vMerge w:val="continue"/>
            <w:noWrap w:val="0"/>
            <w:vAlign w:val="center"/>
          </w:tcPr>
          <w:p>
            <w:pPr>
              <w:adjustRightInd w:val="0"/>
              <w:snapToGrid w:val="0"/>
              <w:spacing w:line="240" w:lineRule="auto"/>
              <w:jc w:val="center"/>
              <w:rPr>
                <w:bCs/>
                <w:color w:val="auto"/>
                <w:sz w:val="18"/>
                <w:szCs w:val="18"/>
              </w:rPr>
            </w:pPr>
          </w:p>
        </w:tc>
        <w:tc>
          <w:tcPr>
            <w:tcW w:w="207" w:type="pct"/>
            <w:vMerge w:val="continue"/>
            <w:noWrap w:val="0"/>
            <w:vAlign w:val="center"/>
          </w:tcPr>
          <w:p>
            <w:pPr>
              <w:adjustRightInd w:val="0"/>
              <w:snapToGrid w:val="0"/>
              <w:spacing w:line="240" w:lineRule="auto"/>
              <w:jc w:val="center"/>
              <w:rPr>
                <w:bCs/>
                <w:color w:val="auto"/>
                <w:sz w:val="18"/>
                <w:szCs w:val="18"/>
              </w:rPr>
            </w:pPr>
          </w:p>
        </w:tc>
        <w:tc>
          <w:tcPr>
            <w:tcW w:w="195" w:type="pct"/>
            <w:vMerge w:val="continue"/>
            <w:noWrap w:val="0"/>
            <w:vAlign w:val="center"/>
          </w:tcPr>
          <w:p>
            <w:pPr>
              <w:adjustRightInd w:val="0"/>
              <w:snapToGrid w:val="0"/>
              <w:spacing w:line="240" w:lineRule="auto"/>
              <w:jc w:val="center"/>
              <w:rPr>
                <w:bCs/>
                <w:color w:val="auto"/>
                <w:sz w:val="18"/>
                <w:szCs w:val="18"/>
              </w:rPr>
            </w:pPr>
          </w:p>
        </w:tc>
        <w:tc>
          <w:tcPr>
            <w:tcW w:w="248" w:type="pct"/>
            <w:vMerge w:val="continue"/>
            <w:noWrap w:val="0"/>
            <w:vAlign w:val="center"/>
          </w:tcPr>
          <w:p>
            <w:pPr>
              <w:adjustRightInd w:val="0"/>
              <w:snapToGrid w:val="0"/>
              <w:spacing w:line="240" w:lineRule="auto"/>
              <w:jc w:val="center"/>
              <w:rPr>
                <w:bCs/>
                <w:color w:val="auto"/>
                <w:sz w:val="18"/>
                <w:szCs w:val="18"/>
              </w:rPr>
            </w:pPr>
          </w:p>
        </w:tc>
        <w:tc>
          <w:tcPr>
            <w:tcW w:w="616" w:type="pct"/>
            <w:gridSpan w:val="3"/>
            <w:vMerge w:val="continue"/>
            <w:noWrap w:val="0"/>
            <w:vAlign w:val="center"/>
          </w:tcPr>
          <w:p>
            <w:pPr>
              <w:adjustRightInd w:val="0"/>
              <w:snapToGrid w:val="0"/>
              <w:spacing w:line="240" w:lineRule="auto"/>
              <w:jc w:val="center"/>
              <w:rPr>
                <w:bCs/>
                <w:color w:val="auto"/>
                <w:sz w:val="18"/>
                <w:szCs w:val="18"/>
              </w:rPr>
            </w:pPr>
          </w:p>
        </w:tc>
        <w:tc>
          <w:tcPr>
            <w:tcW w:w="789" w:type="pct"/>
            <w:gridSpan w:val="4"/>
            <w:vMerge w:val="continue"/>
            <w:noWrap w:val="0"/>
            <w:vAlign w:val="center"/>
          </w:tcPr>
          <w:p>
            <w:pPr>
              <w:adjustRightInd w:val="0"/>
              <w:snapToGrid w:val="0"/>
              <w:spacing w:line="240" w:lineRule="auto"/>
              <w:jc w:val="center"/>
              <w:rPr>
                <w:bCs/>
                <w:color w:val="auto"/>
                <w:sz w:val="18"/>
                <w:szCs w:val="18"/>
              </w:rPr>
            </w:pPr>
          </w:p>
        </w:tc>
        <w:tc>
          <w:tcPr>
            <w:tcW w:w="867" w:type="pct"/>
            <w:gridSpan w:val="4"/>
            <w:vMerge w:val="continue"/>
            <w:noWrap w:val="0"/>
            <w:vAlign w:val="center"/>
          </w:tcPr>
          <w:p>
            <w:pPr>
              <w:adjustRightInd w:val="0"/>
              <w:snapToGrid w:val="0"/>
              <w:spacing w:line="240" w:lineRule="auto"/>
              <w:jc w:val="center"/>
              <w:rPr>
                <w:bCs/>
                <w:color w:val="auto"/>
                <w:sz w:val="18"/>
                <w:szCs w:val="18"/>
              </w:rPr>
            </w:pPr>
          </w:p>
        </w:tc>
        <w:tc>
          <w:tcPr>
            <w:tcW w:w="140" w:type="pct"/>
            <w:vMerge w:val="continue"/>
            <w:noWrap w:val="0"/>
            <w:vAlign w:val="center"/>
          </w:tcPr>
          <w:p>
            <w:pPr>
              <w:adjustRightInd w:val="0"/>
              <w:snapToGrid w:val="0"/>
              <w:spacing w:line="240" w:lineRule="auto"/>
              <w:jc w:val="center"/>
              <w:rPr>
                <w:bCs/>
                <w:color w:val="auto"/>
                <w:sz w:val="18"/>
                <w:szCs w:val="18"/>
              </w:rPr>
            </w:pPr>
          </w:p>
        </w:tc>
        <w:tc>
          <w:tcPr>
            <w:tcW w:w="226" w:type="pct"/>
            <w:vMerge w:val="continue"/>
            <w:noWrap w:val="0"/>
            <w:vAlign w:val="center"/>
          </w:tcPr>
          <w:p>
            <w:pPr>
              <w:adjustRightInd w:val="0"/>
              <w:snapToGrid w:val="0"/>
              <w:spacing w:line="240" w:lineRule="auto"/>
              <w:jc w:val="center"/>
              <w:rPr>
                <w:bCs/>
                <w:color w:val="auto"/>
                <w:sz w:val="18"/>
                <w:szCs w:val="18"/>
              </w:rPr>
            </w:pPr>
          </w:p>
        </w:tc>
        <w:tc>
          <w:tcPr>
            <w:tcW w:w="815" w:type="pct"/>
            <w:gridSpan w:val="4"/>
            <w:noWrap w:val="0"/>
            <w:vAlign w:val="center"/>
          </w:tcPr>
          <w:p>
            <w:pPr>
              <w:adjustRightInd w:val="0"/>
              <w:snapToGrid w:val="0"/>
              <w:spacing w:line="240" w:lineRule="auto"/>
              <w:jc w:val="center"/>
              <w:rPr>
                <w:bCs/>
                <w:color w:val="auto"/>
                <w:sz w:val="18"/>
                <w:szCs w:val="18"/>
              </w:rPr>
            </w:pPr>
            <w:r>
              <w:rPr>
                <w:bCs/>
                <w:color w:val="auto"/>
                <w:sz w:val="18"/>
                <w:szCs w:val="18"/>
              </w:rPr>
              <w:t>声压级dB（A）</w:t>
            </w:r>
          </w:p>
        </w:tc>
        <w:tc>
          <w:tcPr>
            <w:tcW w:w="234" w:type="pct"/>
            <w:vMerge w:val="restart"/>
            <w:noWrap w:val="0"/>
            <w:vAlign w:val="center"/>
          </w:tcPr>
          <w:p>
            <w:pPr>
              <w:adjustRightInd w:val="0"/>
              <w:snapToGrid w:val="0"/>
              <w:spacing w:line="240" w:lineRule="auto"/>
              <w:jc w:val="center"/>
              <w:rPr>
                <w:bCs/>
                <w:color w:val="auto"/>
                <w:sz w:val="18"/>
                <w:szCs w:val="18"/>
              </w:rPr>
            </w:pPr>
            <w:r>
              <w:rPr>
                <w:bCs/>
                <w:color w:val="auto"/>
                <w:sz w:val="18"/>
                <w:szCs w:val="18"/>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2" w:type="pct"/>
            <w:vMerge w:val="continue"/>
            <w:noWrap w:val="0"/>
            <w:vAlign w:val="center"/>
          </w:tcPr>
          <w:p>
            <w:pPr>
              <w:adjustRightInd w:val="0"/>
              <w:snapToGrid w:val="0"/>
              <w:spacing w:line="240" w:lineRule="auto"/>
              <w:jc w:val="center"/>
              <w:rPr>
                <w:bCs/>
                <w:color w:val="auto"/>
                <w:sz w:val="18"/>
                <w:szCs w:val="18"/>
              </w:rPr>
            </w:pPr>
          </w:p>
        </w:tc>
        <w:tc>
          <w:tcPr>
            <w:tcW w:w="143" w:type="pct"/>
            <w:vMerge w:val="continue"/>
            <w:noWrap w:val="0"/>
            <w:vAlign w:val="center"/>
          </w:tcPr>
          <w:p>
            <w:pPr>
              <w:adjustRightInd w:val="0"/>
              <w:snapToGrid w:val="0"/>
              <w:spacing w:line="240" w:lineRule="auto"/>
              <w:jc w:val="center"/>
              <w:rPr>
                <w:bCs/>
                <w:color w:val="auto"/>
                <w:sz w:val="18"/>
                <w:szCs w:val="18"/>
              </w:rPr>
            </w:pPr>
          </w:p>
        </w:tc>
        <w:tc>
          <w:tcPr>
            <w:tcW w:w="372" w:type="pct"/>
            <w:vMerge w:val="continue"/>
            <w:noWrap w:val="0"/>
            <w:vAlign w:val="center"/>
          </w:tcPr>
          <w:p>
            <w:pPr>
              <w:adjustRightInd w:val="0"/>
              <w:snapToGrid w:val="0"/>
              <w:spacing w:line="240" w:lineRule="auto"/>
              <w:jc w:val="center"/>
              <w:rPr>
                <w:bCs/>
                <w:color w:val="auto"/>
                <w:sz w:val="18"/>
                <w:szCs w:val="18"/>
              </w:rPr>
            </w:pPr>
          </w:p>
        </w:tc>
        <w:tc>
          <w:tcPr>
            <w:tcW w:w="207" w:type="pct"/>
            <w:vMerge w:val="continue"/>
            <w:noWrap w:val="0"/>
            <w:vAlign w:val="center"/>
          </w:tcPr>
          <w:p>
            <w:pPr>
              <w:adjustRightInd w:val="0"/>
              <w:snapToGrid w:val="0"/>
              <w:spacing w:line="240" w:lineRule="auto"/>
              <w:jc w:val="center"/>
              <w:rPr>
                <w:bCs/>
                <w:color w:val="auto"/>
                <w:sz w:val="18"/>
                <w:szCs w:val="18"/>
              </w:rPr>
            </w:pPr>
          </w:p>
        </w:tc>
        <w:tc>
          <w:tcPr>
            <w:tcW w:w="195" w:type="pct"/>
            <w:vMerge w:val="continue"/>
            <w:noWrap w:val="0"/>
            <w:vAlign w:val="center"/>
          </w:tcPr>
          <w:p>
            <w:pPr>
              <w:adjustRightInd w:val="0"/>
              <w:snapToGrid w:val="0"/>
              <w:spacing w:line="240" w:lineRule="auto"/>
              <w:jc w:val="center"/>
              <w:rPr>
                <w:bCs/>
                <w:color w:val="auto"/>
                <w:sz w:val="18"/>
                <w:szCs w:val="18"/>
              </w:rPr>
            </w:pPr>
          </w:p>
        </w:tc>
        <w:tc>
          <w:tcPr>
            <w:tcW w:w="248" w:type="pct"/>
            <w:vMerge w:val="continue"/>
            <w:noWrap w:val="0"/>
            <w:vAlign w:val="center"/>
          </w:tcPr>
          <w:p>
            <w:pPr>
              <w:adjustRightInd w:val="0"/>
              <w:snapToGrid w:val="0"/>
              <w:spacing w:line="240" w:lineRule="auto"/>
              <w:jc w:val="center"/>
              <w:rPr>
                <w:bCs/>
                <w:color w:val="auto"/>
                <w:sz w:val="18"/>
                <w:szCs w:val="18"/>
              </w:rPr>
            </w:pPr>
          </w:p>
        </w:tc>
        <w:tc>
          <w:tcPr>
            <w:tcW w:w="208" w:type="pct"/>
            <w:noWrap w:val="0"/>
            <w:vAlign w:val="center"/>
          </w:tcPr>
          <w:p>
            <w:pPr>
              <w:adjustRightInd w:val="0"/>
              <w:snapToGrid w:val="0"/>
              <w:spacing w:line="240" w:lineRule="auto"/>
              <w:jc w:val="center"/>
              <w:rPr>
                <w:bCs/>
                <w:color w:val="auto"/>
                <w:sz w:val="18"/>
                <w:szCs w:val="18"/>
              </w:rPr>
            </w:pPr>
            <w:r>
              <w:rPr>
                <w:bCs/>
                <w:color w:val="auto"/>
                <w:sz w:val="18"/>
                <w:szCs w:val="18"/>
              </w:rPr>
              <w:t>X</w:t>
            </w:r>
          </w:p>
        </w:tc>
        <w:tc>
          <w:tcPr>
            <w:tcW w:w="202" w:type="pct"/>
            <w:noWrap w:val="0"/>
            <w:vAlign w:val="center"/>
          </w:tcPr>
          <w:p>
            <w:pPr>
              <w:adjustRightInd w:val="0"/>
              <w:snapToGrid w:val="0"/>
              <w:spacing w:line="240" w:lineRule="auto"/>
              <w:jc w:val="center"/>
              <w:rPr>
                <w:bCs/>
                <w:color w:val="auto"/>
                <w:sz w:val="18"/>
                <w:szCs w:val="18"/>
              </w:rPr>
            </w:pPr>
            <w:r>
              <w:rPr>
                <w:bCs/>
                <w:color w:val="auto"/>
                <w:sz w:val="18"/>
                <w:szCs w:val="18"/>
              </w:rPr>
              <w:t>Y</w:t>
            </w:r>
          </w:p>
        </w:tc>
        <w:tc>
          <w:tcPr>
            <w:tcW w:w="206" w:type="pct"/>
            <w:noWrap w:val="0"/>
            <w:vAlign w:val="center"/>
          </w:tcPr>
          <w:p>
            <w:pPr>
              <w:adjustRightInd w:val="0"/>
              <w:snapToGrid w:val="0"/>
              <w:spacing w:line="240" w:lineRule="auto"/>
              <w:jc w:val="center"/>
              <w:rPr>
                <w:bCs/>
                <w:color w:val="auto"/>
                <w:sz w:val="18"/>
                <w:szCs w:val="18"/>
              </w:rPr>
            </w:pPr>
            <w:r>
              <w:rPr>
                <w:bCs/>
                <w:color w:val="auto"/>
                <w:sz w:val="18"/>
                <w:szCs w:val="18"/>
              </w:rPr>
              <w:t>Z</w:t>
            </w:r>
          </w:p>
        </w:tc>
        <w:tc>
          <w:tcPr>
            <w:tcW w:w="215" w:type="pct"/>
            <w:noWrap w:val="0"/>
            <w:vAlign w:val="center"/>
          </w:tcPr>
          <w:p>
            <w:pPr>
              <w:adjustRightInd w:val="0"/>
              <w:snapToGrid w:val="0"/>
              <w:spacing w:line="240" w:lineRule="auto"/>
              <w:jc w:val="center"/>
              <w:rPr>
                <w:bCs/>
                <w:color w:val="auto"/>
                <w:sz w:val="18"/>
                <w:szCs w:val="18"/>
              </w:rPr>
            </w:pPr>
            <w:r>
              <w:rPr>
                <w:bCs/>
                <w:color w:val="auto"/>
                <w:sz w:val="18"/>
                <w:szCs w:val="18"/>
              </w:rPr>
              <w:t>E</w:t>
            </w:r>
          </w:p>
        </w:tc>
        <w:tc>
          <w:tcPr>
            <w:tcW w:w="194" w:type="pct"/>
            <w:noWrap w:val="0"/>
            <w:vAlign w:val="center"/>
          </w:tcPr>
          <w:p>
            <w:pPr>
              <w:adjustRightInd w:val="0"/>
              <w:snapToGrid w:val="0"/>
              <w:spacing w:line="240" w:lineRule="auto"/>
              <w:jc w:val="center"/>
              <w:rPr>
                <w:bCs/>
                <w:color w:val="auto"/>
                <w:sz w:val="18"/>
                <w:szCs w:val="18"/>
              </w:rPr>
            </w:pPr>
            <w:r>
              <w:rPr>
                <w:bCs/>
                <w:color w:val="auto"/>
                <w:sz w:val="18"/>
                <w:szCs w:val="18"/>
              </w:rPr>
              <w:t>W</w:t>
            </w:r>
          </w:p>
        </w:tc>
        <w:tc>
          <w:tcPr>
            <w:tcW w:w="175" w:type="pct"/>
            <w:noWrap w:val="0"/>
            <w:vAlign w:val="center"/>
          </w:tcPr>
          <w:p>
            <w:pPr>
              <w:adjustRightInd w:val="0"/>
              <w:snapToGrid w:val="0"/>
              <w:spacing w:line="240" w:lineRule="auto"/>
              <w:jc w:val="center"/>
              <w:rPr>
                <w:bCs/>
                <w:color w:val="auto"/>
                <w:sz w:val="18"/>
                <w:szCs w:val="18"/>
              </w:rPr>
            </w:pPr>
            <w:r>
              <w:rPr>
                <w:bCs/>
                <w:color w:val="auto"/>
                <w:sz w:val="18"/>
                <w:szCs w:val="18"/>
              </w:rPr>
              <w:t>S</w:t>
            </w:r>
          </w:p>
        </w:tc>
        <w:tc>
          <w:tcPr>
            <w:tcW w:w="203" w:type="pct"/>
            <w:noWrap w:val="0"/>
            <w:vAlign w:val="center"/>
          </w:tcPr>
          <w:p>
            <w:pPr>
              <w:adjustRightInd w:val="0"/>
              <w:snapToGrid w:val="0"/>
              <w:spacing w:line="240" w:lineRule="auto"/>
              <w:jc w:val="center"/>
              <w:rPr>
                <w:bCs/>
                <w:color w:val="auto"/>
                <w:sz w:val="18"/>
                <w:szCs w:val="18"/>
              </w:rPr>
            </w:pPr>
            <w:r>
              <w:rPr>
                <w:bCs/>
                <w:color w:val="auto"/>
                <w:sz w:val="18"/>
                <w:szCs w:val="18"/>
              </w:rPr>
              <w:t>N</w:t>
            </w:r>
          </w:p>
        </w:tc>
        <w:tc>
          <w:tcPr>
            <w:tcW w:w="231" w:type="pct"/>
            <w:noWrap w:val="0"/>
            <w:vAlign w:val="center"/>
          </w:tcPr>
          <w:p>
            <w:pPr>
              <w:adjustRightInd w:val="0"/>
              <w:snapToGrid w:val="0"/>
              <w:spacing w:line="240" w:lineRule="auto"/>
              <w:jc w:val="center"/>
              <w:rPr>
                <w:bCs/>
                <w:color w:val="auto"/>
                <w:sz w:val="18"/>
                <w:szCs w:val="18"/>
              </w:rPr>
            </w:pPr>
            <w:r>
              <w:rPr>
                <w:bCs/>
                <w:color w:val="auto"/>
                <w:sz w:val="18"/>
                <w:szCs w:val="18"/>
              </w:rPr>
              <w:t>E</w:t>
            </w:r>
          </w:p>
        </w:tc>
        <w:tc>
          <w:tcPr>
            <w:tcW w:w="217" w:type="pct"/>
            <w:noWrap w:val="0"/>
            <w:vAlign w:val="center"/>
          </w:tcPr>
          <w:p>
            <w:pPr>
              <w:adjustRightInd w:val="0"/>
              <w:snapToGrid w:val="0"/>
              <w:spacing w:line="240" w:lineRule="auto"/>
              <w:jc w:val="center"/>
              <w:rPr>
                <w:bCs/>
                <w:color w:val="auto"/>
                <w:sz w:val="18"/>
                <w:szCs w:val="18"/>
              </w:rPr>
            </w:pPr>
            <w:r>
              <w:rPr>
                <w:bCs/>
                <w:color w:val="auto"/>
                <w:sz w:val="18"/>
                <w:szCs w:val="18"/>
              </w:rPr>
              <w:t>W</w:t>
            </w:r>
          </w:p>
        </w:tc>
        <w:tc>
          <w:tcPr>
            <w:tcW w:w="203" w:type="pct"/>
            <w:noWrap w:val="0"/>
            <w:vAlign w:val="center"/>
          </w:tcPr>
          <w:p>
            <w:pPr>
              <w:adjustRightInd w:val="0"/>
              <w:snapToGrid w:val="0"/>
              <w:spacing w:line="240" w:lineRule="auto"/>
              <w:jc w:val="center"/>
              <w:rPr>
                <w:bCs/>
                <w:color w:val="auto"/>
                <w:sz w:val="18"/>
                <w:szCs w:val="18"/>
              </w:rPr>
            </w:pPr>
            <w:r>
              <w:rPr>
                <w:bCs/>
                <w:color w:val="auto"/>
                <w:sz w:val="18"/>
                <w:szCs w:val="18"/>
              </w:rPr>
              <w:t>S</w:t>
            </w:r>
          </w:p>
        </w:tc>
        <w:tc>
          <w:tcPr>
            <w:tcW w:w="215" w:type="pct"/>
            <w:noWrap w:val="0"/>
            <w:vAlign w:val="center"/>
          </w:tcPr>
          <w:p>
            <w:pPr>
              <w:adjustRightInd w:val="0"/>
              <w:snapToGrid w:val="0"/>
              <w:spacing w:line="240" w:lineRule="auto"/>
              <w:jc w:val="center"/>
              <w:rPr>
                <w:bCs/>
                <w:color w:val="auto"/>
                <w:sz w:val="18"/>
                <w:szCs w:val="18"/>
              </w:rPr>
            </w:pPr>
            <w:r>
              <w:rPr>
                <w:bCs/>
                <w:color w:val="auto"/>
                <w:sz w:val="18"/>
                <w:szCs w:val="18"/>
              </w:rPr>
              <w:t>N</w:t>
            </w:r>
          </w:p>
        </w:tc>
        <w:tc>
          <w:tcPr>
            <w:tcW w:w="140" w:type="pct"/>
            <w:vMerge w:val="continue"/>
            <w:noWrap w:val="0"/>
            <w:vAlign w:val="center"/>
          </w:tcPr>
          <w:p>
            <w:pPr>
              <w:adjustRightInd w:val="0"/>
              <w:snapToGrid w:val="0"/>
              <w:spacing w:line="240" w:lineRule="auto"/>
              <w:jc w:val="center"/>
              <w:rPr>
                <w:bCs/>
                <w:color w:val="auto"/>
                <w:sz w:val="18"/>
                <w:szCs w:val="18"/>
              </w:rPr>
            </w:pPr>
          </w:p>
        </w:tc>
        <w:tc>
          <w:tcPr>
            <w:tcW w:w="226" w:type="pct"/>
            <w:vMerge w:val="continue"/>
            <w:noWrap w:val="0"/>
            <w:vAlign w:val="center"/>
          </w:tcPr>
          <w:p>
            <w:pPr>
              <w:adjustRightInd w:val="0"/>
              <w:snapToGrid w:val="0"/>
              <w:spacing w:line="240" w:lineRule="auto"/>
              <w:jc w:val="center"/>
              <w:rPr>
                <w:bCs/>
                <w:color w:val="auto"/>
                <w:sz w:val="18"/>
                <w:szCs w:val="18"/>
              </w:rPr>
            </w:pPr>
          </w:p>
        </w:tc>
        <w:tc>
          <w:tcPr>
            <w:tcW w:w="213" w:type="pct"/>
            <w:noWrap w:val="0"/>
            <w:vAlign w:val="center"/>
          </w:tcPr>
          <w:p>
            <w:pPr>
              <w:adjustRightInd w:val="0"/>
              <w:snapToGrid w:val="0"/>
              <w:spacing w:line="240" w:lineRule="auto"/>
              <w:jc w:val="center"/>
              <w:rPr>
                <w:bCs/>
                <w:color w:val="auto"/>
                <w:sz w:val="18"/>
                <w:szCs w:val="18"/>
              </w:rPr>
            </w:pPr>
            <w:r>
              <w:rPr>
                <w:bCs/>
                <w:color w:val="auto"/>
                <w:sz w:val="18"/>
                <w:szCs w:val="18"/>
              </w:rPr>
              <w:t>E</w:t>
            </w:r>
          </w:p>
        </w:tc>
        <w:tc>
          <w:tcPr>
            <w:tcW w:w="198" w:type="pct"/>
            <w:noWrap w:val="0"/>
            <w:vAlign w:val="center"/>
          </w:tcPr>
          <w:p>
            <w:pPr>
              <w:adjustRightInd w:val="0"/>
              <w:snapToGrid w:val="0"/>
              <w:spacing w:line="240" w:lineRule="auto"/>
              <w:jc w:val="center"/>
              <w:rPr>
                <w:bCs/>
                <w:color w:val="auto"/>
                <w:sz w:val="18"/>
                <w:szCs w:val="18"/>
              </w:rPr>
            </w:pPr>
            <w:r>
              <w:rPr>
                <w:bCs/>
                <w:color w:val="auto"/>
                <w:sz w:val="18"/>
                <w:szCs w:val="18"/>
              </w:rPr>
              <w:t>W</w:t>
            </w:r>
          </w:p>
        </w:tc>
        <w:tc>
          <w:tcPr>
            <w:tcW w:w="198" w:type="pct"/>
            <w:noWrap w:val="0"/>
            <w:vAlign w:val="center"/>
          </w:tcPr>
          <w:p>
            <w:pPr>
              <w:adjustRightInd w:val="0"/>
              <w:snapToGrid w:val="0"/>
              <w:spacing w:line="240" w:lineRule="auto"/>
              <w:jc w:val="center"/>
              <w:rPr>
                <w:bCs/>
                <w:color w:val="auto"/>
                <w:sz w:val="18"/>
                <w:szCs w:val="18"/>
              </w:rPr>
            </w:pPr>
            <w:r>
              <w:rPr>
                <w:bCs/>
                <w:color w:val="auto"/>
                <w:sz w:val="18"/>
                <w:szCs w:val="18"/>
              </w:rPr>
              <w:t>S</w:t>
            </w:r>
          </w:p>
        </w:tc>
        <w:tc>
          <w:tcPr>
            <w:tcW w:w="205" w:type="pct"/>
            <w:noWrap w:val="0"/>
            <w:vAlign w:val="center"/>
          </w:tcPr>
          <w:p>
            <w:pPr>
              <w:adjustRightInd w:val="0"/>
              <w:snapToGrid w:val="0"/>
              <w:spacing w:line="240" w:lineRule="auto"/>
              <w:jc w:val="center"/>
              <w:rPr>
                <w:bCs/>
                <w:color w:val="auto"/>
                <w:sz w:val="18"/>
                <w:szCs w:val="18"/>
              </w:rPr>
            </w:pPr>
            <w:r>
              <w:rPr>
                <w:bCs/>
                <w:color w:val="auto"/>
                <w:sz w:val="18"/>
                <w:szCs w:val="18"/>
              </w:rPr>
              <w:t>N</w:t>
            </w:r>
          </w:p>
        </w:tc>
        <w:tc>
          <w:tcPr>
            <w:tcW w:w="234" w:type="pct"/>
            <w:vMerge w:val="continue"/>
            <w:noWrap w:val="0"/>
            <w:vAlign w:val="center"/>
          </w:tcPr>
          <w:p>
            <w:pPr>
              <w:adjustRightInd w:val="0"/>
              <w:snapToGrid w:val="0"/>
              <w:spacing w:line="240" w:lineRule="auto"/>
              <w:jc w:val="center"/>
              <w:rPr>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42" w:type="pct"/>
            <w:noWrap w:val="0"/>
            <w:vAlign w:val="center"/>
          </w:tcPr>
          <w:p>
            <w:pPr>
              <w:adjustRightInd w:val="0"/>
              <w:snapToGrid w:val="0"/>
              <w:spacing w:line="240" w:lineRule="auto"/>
              <w:jc w:val="center"/>
              <w:rPr>
                <w:bCs/>
                <w:color w:val="auto"/>
                <w:sz w:val="18"/>
                <w:szCs w:val="18"/>
              </w:rPr>
            </w:pPr>
            <w:r>
              <w:rPr>
                <w:bCs/>
                <w:color w:val="auto"/>
                <w:sz w:val="18"/>
                <w:szCs w:val="18"/>
              </w:rPr>
              <w:t>1</w:t>
            </w:r>
          </w:p>
        </w:tc>
        <w:tc>
          <w:tcPr>
            <w:tcW w:w="143" w:type="pct"/>
            <w:vMerge w:val="continue"/>
            <w:noWrap w:val="0"/>
            <w:vAlign w:val="center"/>
          </w:tcPr>
          <w:p>
            <w:pPr>
              <w:adjustRightInd w:val="0"/>
              <w:snapToGrid w:val="0"/>
              <w:spacing w:line="240" w:lineRule="auto"/>
              <w:jc w:val="center"/>
              <w:rPr>
                <w:bCs/>
                <w:color w:val="auto"/>
                <w:sz w:val="18"/>
                <w:szCs w:val="18"/>
              </w:rPr>
            </w:pPr>
          </w:p>
        </w:tc>
        <w:tc>
          <w:tcPr>
            <w:tcW w:w="372" w:type="pct"/>
            <w:noWrap w:val="0"/>
            <w:vAlign w:val="center"/>
          </w:tcPr>
          <w:p>
            <w:pPr>
              <w:widowControl/>
              <w:spacing w:line="240" w:lineRule="auto"/>
              <w:jc w:val="center"/>
              <w:rPr>
                <w:color w:val="auto"/>
                <w:sz w:val="18"/>
                <w:szCs w:val="18"/>
              </w:rPr>
            </w:pPr>
            <w:r>
              <w:rPr>
                <w:rFonts w:hint="eastAsia" w:asciiTheme="minorEastAsia" w:hAnsiTheme="minorEastAsia" w:eastAsiaTheme="minorEastAsia"/>
                <w:color w:val="auto"/>
                <w:sz w:val="18"/>
                <w:szCs w:val="18"/>
              </w:rPr>
              <w:t>电液同步数控折弯机</w:t>
            </w:r>
          </w:p>
        </w:tc>
        <w:tc>
          <w:tcPr>
            <w:tcW w:w="207"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75</w:t>
            </w:r>
            <w:r>
              <w:rPr>
                <w:rFonts w:hint="eastAsia"/>
                <w:bCs/>
                <w:color w:val="auto"/>
                <w:sz w:val="18"/>
                <w:szCs w:val="18"/>
              </w:rPr>
              <w:t>~</w:t>
            </w:r>
            <w:r>
              <w:rPr>
                <w:rFonts w:hint="eastAsia"/>
                <w:bCs/>
                <w:color w:val="auto"/>
                <w:sz w:val="18"/>
                <w:szCs w:val="18"/>
                <w:lang w:val="en-US" w:eastAsia="zh-CN"/>
              </w:rPr>
              <w:t>80</w:t>
            </w:r>
          </w:p>
        </w:tc>
        <w:tc>
          <w:tcPr>
            <w:tcW w:w="195"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2</w:t>
            </w:r>
          </w:p>
        </w:tc>
        <w:tc>
          <w:tcPr>
            <w:tcW w:w="248" w:type="pct"/>
            <w:vMerge w:val="continue"/>
            <w:noWrap w:val="0"/>
            <w:vAlign w:val="center"/>
          </w:tcPr>
          <w:p>
            <w:pPr>
              <w:spacing w:line="240" w:lineRule="auto"/>
              <w:jc w:val="center"/>
              <w:rPr>
                <w:rFonts w:hint="default" w:eastAsia="宋体"/>
                <w:color w:val="auto"/>
                <w:sz w:val="18"/>
                <w:szCs w:val="18"/>
                <w:lang w:val="en-US" w:eastAsia="zh-CN"/>
              </w:rPr>
            </w:pPr>
          </w:p>
        </w:tc>
        <w:tc>
          <w:tcPr>
            <w:tcW w:w="208"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41.3</w:t>
            </w:r>
          </w:p>
        </w:tc>
        <w:tc>
          <w:tcPr>
            <w:tcW w:w="202" w:type="pct"/>
            <w:noWrap w:val="0"/>
            <w:vAlign w:val="center"/>
          </w:tcPr>
          <w:p>
            <w:pPr>
              <w:adjustRightInd w:val="0"/>
              <w:snapToGrid w:val="0"/>
              <w:spacing w:line="240" w:lineRule="auto"/>
              <w:jc w:val="center"/>
              <w:rPr>
                <w:rFonts w:hint="eastAsia" w:eastAsia="宋体"/>
                <w:bCs/>
                <w:color w:val="auto"/>
                <w:sz w:val="18"/>
                <w:szCs w:val="18"/>
                <w:lang w:eastAsia="zh-CN"/>
              </w:rPr>
            </w:pPr>
            <w:r>
              <w:rPr>
                <w:rFonts w:hint="eastAsia"/>
                <w:bCs/>
                <w:color w:val="auto"/>
                <w:sz w:val="18"/>
                <w:szCs w:val="18"/>
                <w:lang w:val="en-US" w:eastAsia="zh-CN"/>
              </w:rPr>
              <w:t>6</w:t>
            </w:r>
          </w:p>
        </w:tc>
        <w:tc>
          <w:tcPr>
            <w:tcW w:w="206"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1.0</w:t>
            </w:r>
          </w:p>
        </w:tc>
        <w:tc>
          <w:tcPr>
            <w:tcW w:w="215"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81.35</w:t>
            </w:r>
          </w:p>
        </w:tc>
        <w:tc>
          <w:tcPr>
            <w:tcW w:w="194"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41.3</w:t>
            </w:r>
          </w:p>
        </w:tc>
        <w:tc>
          <w:tcPr>
            <w:tcW w:w="175" w:type="pct"/>
            <w:noWrap w:val="0"/>
            <w:vAlign w:val="center"/>
          </w:tcPr>
          <w:p>
            <w:pPr>
              <w:adjustRightInd w:val="0"/>
              <w:snapToGrid w:val="0"/>
              <w:spacing w:line="240" w:lineRule="auto"/>
              <w:jc w:val="center"/>
              <w:rPr>
                <w:rFonts w:hint="eastAsia" w:eastAsia="宋体"/>
                <w:bCs/>
                <w:color w:val="auto"/>
                <w:sz w:val="18"/>
                <w:szCs w:val="18"/>
                <w:lang w:eastAsia="zh-CN"/>
              </w:rPr>
            </w:pPr>
            <w:r>
              <w:rPr>
                <w:rFonts w:hint="eastAsia"/>
                <w:bCs/>
                <w:color w:val="auto"/>
                <w:sz w:val="18"/>
                <w:szCs w:val="18"/>
                <w:lang w:val="en-US" w:eastAsia="zh-CN"/>
              </w:rPr>
              <w:t>6</w:t>
            </w:r>
          </w:p>
        </w:tc>
        <w:tc>
          <w:tcPr>
            <w:tcW w:w="203"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101.6</w:t>
            </w:r>
          </w:p>
        </w:tc>
        <w:tc>
          <w:tcPr>
            <w:tcW w:w="231" w:type="pct"/>
            <w:noWrap w:val="0"/>
            <w:vAlign w:val="center"/>
          </w:tcPr>
          <w:p>
            <w:pPr>
              <w:widowControl/>
              <w:spacing w:line="240" w:lineRule="auto"/>
              <w:jc w:val="center"/>
              <w:textAlignment w:val="center"/>
              <w:rPr>
                <w:rFonts w:hint="default" w:eastAsia="宋体"/>
                <w:bCs/>
                <w:color w:val="auto"/>
                <w:sz w:val="18"/>
                <w:szCs w:val="18"/>
                <w:lang w:val="en-US" w:eastAsia="zh-CN"/>
              </w:rPr>
            </w:pPr>
            <w:r>
              <w:rPr>
                <w:rFonts w:hint="eastAsia"/>
                <w:bCs/>
                <w:color w:val="auto"/>
                <w:sz w:val="18"/>
                <w:szCs w:val="18"/>
                <w:lang w:val="en-US" w:eastAsia="zh-CN"/>
              </w:rPr>
              <w:t>44.8</w:t>
            </w:r>
          </w:p>
        </w:tc>
        <w:tc>
          <w:tcPr>
            <w:tcW w:w="217" w:type="pct"/>
            <w:noWrap w:val="0"/>
            <w:vAlign w:val="center"/>
          </w:tcPr>
          <w:p>
            <w:pPr>
              <w:widowControl/>
              <w:spacing w:line="240" w:lineRule="auto"/>
              <w:jc w:val="center"/>
              <w:textAlignment w:val="center"/>
              <w:rPr>
                <w:rFonts w:hint="default" w:eastAsia="宋体"/>
                <w:bCs/>
                <w:color w:val="auto"/>
                <w:sz w:val="18"/>
                <w:szCs w:val="18"/>
                <w:lang w:val="en-US" w:eastAsia="zh-CN"/>
              </w:rPr>
            </w:pPr>
            <w:r>
              <w:rPr>
                <w:rFonts w:hint="eastAsia"/>
                <w:bCs/>
                <w:color w:val="auto"/>
                <w:sz w:val="18"/>
                <w:szCs w:val="18"/>
                <w:lang w:val="en-US" w:eastAsia="zh-CN"/>
              </w:rPr>
              <w:t>50.7</w:t>
            </w:r>
          </w:p>
        </w:tc>
        <w:tc>
          <w:tcPr>
            <w:tcW w:w="203"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67.4</w:t>
            </w:r>
          </w:p>
        </w:tc>
        <w:tc>
          <w:tcPr>
            <w:tcW w:w="215"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42.9</w:t>
            </w:r>
          </w:p>
        </w:tc>
        <w:tc>
          <w:tcPr>
            <w:tcW w:w="140" w:type="pct"/>
            <w:vMerge w:val="continue"/>
            <w:noWrap w:val="0"/>
            <w:vAlign w:val="center"/>
          </w:tcPr>
          <w:p>
            <w:pPr>
              <w:adjustRightInd w:val="0"/>
              <w:snapToGrid w:val="0"/>
              <w:spacing w:line="240" w:lineRule="auto"/>
              <w:jc w:val="center"/>
              <w:rPr>
                <w:bCs/>
                <w:color w:val="auto"/>
                <w:sz w:val="18"/>
                <w:szCs w:val="18"/>
              </w:rPr>
            </w:pPr>
          </w:p>
        </w:tc>
        <w:tc>
          <w:tcPr>
            <w:tcW w:w="226"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rPr>
              <w:t>2</w:t>
            </w:r>
            <w:r>
              <w:rPr>
                <w:rFonts w:hint="eastAsia"/>
                <w:bCs/>
                <w:color w:val="auto"/>
                <w:sz w:val="18"/>
                <w:szCs w:val="18"/>
                <w:lang w:val="en-US" w:eastAsia="zh-CN"/>
              </w:rPr>
              <w:t>0</w:t>
            </w:r>
          </w:p>
        </w:tc>
        <w:tc>
          <w:tcPr>
            <w:tcW w:w="213"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24.8</w:t>
            </w:r>
          </w:p>
        </w:tc>
        <w:tc>
          <w:tcPr>
            <w:tcW w:w="198" w:type="pct"/>
            <w:noWrap w:val="0"/>
            <w:vAlign w:val="center"/>
          </w:tcPr>
          <w:p>
            <w:pPr>
              <w:widowControl/>
              <w:spacing w:line="240" w:lineRule="auto"/>
              <w:jc w:val="center"/>
              <w:textAlignment w:val="center"/>
              <w:rPr>
                <w:color w:val="auto"/>
                <w:kern w:val="0"/>
                <w:sz w:val="18"/>
                <w:szCs w:val="18"/>
                <w:lang w:bidi="ar"/>
              </w:rPr>
            </w:pPr>
            <w:r>
              <w:rPr>
                <w:rFonts w:hint="eastAsia"/>
                <w:color w:val="auto"/>
                <w:kern w:val="0"/>
                <w:sz w:val="18"/>
                <w:szCs w:val="18"/>
                <w:lang w:bidi="ar"/>
              </w:rPr>
              <w:t>4</w:t>
            </w:r>
            <w:r>
              <w:rPr>
                <w:rFonts w:hint="eastAsia"/>
                <w:color w:val="auto"/>
                <w:kern w:val="0"/>
                <w:sz w:val="18"/>
                <w:szCs w:val="18"/>
                <w:lang w:val="en-US" w:eastAsia="zh-CN" w:bidi="ar"/>
              </w:rPr>
              <w:t>5</w:t>
            </w:r>
            <w:r>
              <w:rPr>
                <w:rFonts w:hint="eastAsia"/>
                <w:color w:val="auto"/>
                <w:kern w:val="0"/>
                <w:sz w:val="18"/>
                <w:szCs w:val="18"/>
                <w:lang w:bidi="ar"/>
              </w:rPr>
              <w:t>.7</w:t>
            </w:r>
          </w:p>
        </w:tc>
        <w:tc>
          <w:tcPr>
            <w:tcW w:w="198"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47.4</w:t>
            </w:r>
          </w:p>
        </w:tc>
        <w:tc>
          <w:tcPr>
            <w:tcW w:w="205"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22.9</w:t>
            </w:r>
          </w:p>
        </w:tc>
        <w:tc>
          <w:tcPr>
            <w:tcW w:w="234" w:type="pct"/>
            <w:noWrap w:val="0"/>
            <w:vAlign w:val="center"/>
          </w:tcPr>
          <w:p>
            <w:pPr>
              <w:adjustRightInd w:val="0"/>
              <w:snapToGrid w:val="0"/>
              <w:spacing w:line="240" w:lineRule="auto"/>
              <w:jc w:val="center"/>
              <w:rPr>
                <w:bCs/>
                <w:color w:val="auto"/>
                <w:sz w:val="18"/>
                <w:szCs w:val="18"/>
              </w:rPr>
            </w:pPr>
            <w:r>
              <w:rPr>
                <w:rFonts w:hint="eastAsia"/>
                <w:bCs/>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 w:type="pct"/>
            <w:noWrap w:val="0"/>
            <w:vAlign w:val="center"/>
          </w:tcPr>
          <w:p>
            <w:pPr>
              <w:adjustRightInd w:val="0"/>
              <w:snapToGrid w:val="0"/>
              <w:spacing w:line="240" w:lineRule="auto"/>
              <w:jc w:val="center"/>
              <w:rPr>
                <w:bCs/>
                <w:color w:val="auto"/>
                <w:sz w:val="18"/>
                <w:szCs w:val="18"/>
              </w:rPr>
            </w:pPr>
            <w:r>
              <w:rPr>
                <w:rFonts w:hint="eastAsia"/>
                <w:bCs/>
                <w:color w:val="auto"/>
                <w:sz w:val="18"/>
                <w:szCs w:val="18"/>
              </w:rPr>
              <w:t>2</w:t>
            </w:r>
          </w:p>
        </w:tc>
        <w:tc>
          <w:tcPr>
            <w:tcW w:w="143" w:type="pct"/>
            <w:vMerge w:val="continue"/>
            <w:noWrap w:val="0"/>
            <w:vAlign w:val="center"/>
          </w:tcPr>
          <w:p>
            <w:pPr>
              <w:adjustRightInd w:val="0"/>
              <w:snapToGrid w:val="0"/>
              <w:spacing w:line="240" w:lineRule="auto"/>
              <w:jc w:val="center"/>
              <w:rPr>
                <w:bCs/>
                <w:color w:val="auto"/>
                <w:sz w:val="18"/>
                <w:szCs w:val="18"/>
              </w:rPr>
            </w:pPr>
          </w:p>
        </w:tc>
        <w:tc>
          <w:tcPr>
            <w:tcW w:w="372" w:type="pct"/>
            <w:noWrap w:val="0"/>
            <w:vAlign w:val="center"/>
          </w:tcPr>
          <w:p>
            <w:pPr>
              <w:widowControl/>
              <w:spacing w:line="240" w:lineRule="auto"/>
              <w:jc w:val="center"/>
              <w:rPr>
                <w:color w:val="auto"/>
                <w:sz w:val="18"/>
                <w:szCs w:val="18"/>
              </w:rPr>
            </w:pPr>
            <w:r>
              <w:rPr>
                <w:rFonts w:hint="eastAsia"/>
                <w:color w:val="auto"/>
                <w:sz w:val="18"/>
                <w:szCs w:val="18"/>
              </w:rPr>
              <w:t>双螺杆空压机</w:t>
            </w:r>
          </w:p>
        </w:tc>
        <w:tc>
          <w:tcPr>
            <w:tcW w:w="207" w:type="pct"/>
            <w:noWrap w:val="0"/>
            <w:vAlign w:val="center"/>
          </w:tcPr>
          <w:p>
            <w:pPr>
              <w:adjustRightInd w:val="0"/>
              <w:snapToGrid w:val="0"/>
              <w:spacing w:line="240" w:lineRule="auto"/>
              <w:jc w:val="center"/>
              <w:rPr>
                <w:bCs/>
                <w:color w:val="auto"/>
                <w:sz w:val="18"/>
                <w:szCs w:val="18"/>
              </w:rPr>
            </w:pPr>
            <w:r>
              <w:rPr>
                <w:rFonts w:hint="eastAsia"/>
                <w:bCs/>
                <w:color w:val="auto"/>
                <w:sz w:val="18"/>
                <w:szCs w:val="18"/>
              </w:rPr>
              <w:t>80~85</w:t>
            </w:r>
          </w:p>
        </w:tc>
        <w:tc>
          <w:tcPr>
            <w:tcW w:w="195" w:type="pct"/>
            <w:noWrap w:val="0"/>
            <w:vAlign w:val="center"/>
          </w:tcPr>
          <w:p>
            <w:pPr>
              <w:adjustRightInd w:val="0"/>
              <w:snapToGrid w:val="0"/>
              <w:spacing w:line="240" w:lineRule="auto"/>
              <w:jc w:val="center"/>
              <w:rPr>
                <w:rFonts w:hint="eastAsia" w:eastAsia="宋体"/>
                <w:bCs/>
                <w:color w:val="auto"/>
                <w:sz w:val="18"/>
                <w:szCs w:val="18"/>
                <w:lang w:val="en-US" w:eastAsia="zh-CN"/>
              </w:rPr>
            </w:pPr>
            <w:r>
              <w:rPr>
                <w:rFonts w:hint="eastAsia"/>
                <w:bCs/>
                <w:color w:val="auto"/>
                <w:sz w:val="18"/>
                <w:szCs w:val="18"/>
                <w:lang w:val="en-US" w:eastAsia="zh-CN"/>
              </w:rPr>
              <w:t>3</w:t>
            </w:r>
          </w:p>
        </w:tc>
        <w:tc>
          <w:tcPr>
            <w:tcW w:w="248" w:type="pct"/>
            <w:vMerge w:val="continue"/>
            <w:noWrap w:val="0"/>
            <w:vAlign w:val="center"/>
          </w:tcPr>
          <w:p>
            <w:pPr>
              <w:spacing w:line="240" w:lineRule="auto"/>
              <w:jc w:val="center"/>
              <w:rPr>
                <w:rFonts w:hint="eastAsia"/>
                <w:color w:val="auto"/>
                <w:sz w:val="18"/>
                <w:szCs w:val="18"/>
              </w:rPr>
            </w:pPr>
          </w:p>
        </w:tc>
        <w:tc>
          <w:tcPr>
            <w:tcW w:w="208"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51</w:t>
            </w:r>
          </w:p>
        </w:tc>
        <w:tc>
          <w:tcPr>
            <w:tcW w:w="202"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15</w:t>
            </w:r>
          </w:p>
        </w:tc>
        <w:tc>
          <w:tcPr>
            <w:tcW w:w="206" w:type="pct"/>
            <w:noWrap w:val="0"/>
            <w:vAlign w:val="center"/>
          </w:tcPr>
          <w:p>
            <w:pPr>
              <w:adjustRightInd w:val="0"/>
              <w:snapToGrid w:val="0"/>
              <w:spacing w:line="240" w:lineRule="auto"/>
              <w:jc w:val="center"/>
              <w:rPr>
                <w:rFonts w:hint="eastAsia" w:eastAsia="宋体"/>
                <w:color w:val="auto"/>
                <w:lang w:eastAsia="zh-CN"/>
              </w:rPr>
            </w:pPr>
            <w:r>
              <w:rPr>
                <w:rFonts w:hint="eastAsia"/>
                <w:color w:val="auto"/>
                <w:lang w:val="en-US" w:eastAsia="zh-CN"/>
              </w:rPr>
              <w:t>1</w:t>
            </w:r>
          </w:p>
        </w:tc>
        <w:tc>
          <w:tcPr>
            <w:tcW w:w="215"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71.45</w:t>
            </w:r>
          </w:p>
        </w:tc>
        <w:tc>
          <w:tcPr>
            <w:tcW w:w="194"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51</w:t>
            </w:r>
          </w:p>
        </w:tc>
        <w:tc>
          <w:tcPr>
            <w:tcW w:w="175"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15</w:t>
            </w:r>
          </w:p>
        </w:tc>
        <w:tc>
          <w:tcPr>
            <w:tcW w:w="203"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92.6</w:t>
            </w:r>
          </w:p>
        </w:tc>
        <w:tc>
          <w:tcPr>
            <w:tcW w:w="231" w:type="pct"/>
            <w:noWrap w:val="0"/>
            <w:vAlign w:val="center"/>
          </w:tcPr>
          <w:p>
            <w:pPr>
              <w:widowControl/>
              <w:spacing w:line="240" w:lineRule="auto"/>
              <w:jc w:val="center"/>
              <w:textAlignment w:val="center"/>
              <w:rPr>
                <w:rFonts w:hint="default" w:eastAsia="宋体"/>
                <w:bCs/>
                <w:color w:val="auto"/>
                <w:sz w:val="18"/>
                <w:szCs w:val="18"/>
                <w:lang w:val="en-US" w:eastAsia="zh-CN"/>
              </w:rPr>
            </w:pPr>
            <w:r>
              <w:rPr>
                <w:rFonts w:hint="eastAsia"/>
                <w:bCs/>
                <w:color w:val="auto"/>
                <w:sz w:val="18"/>
                <w:szCs w:val="18"/>
                <w:lang w:val="en-US" w:eastAsia="zh-CN"/>
              </w:rPr>
              <w:t>52.7</w:t>
            </w:r>
          </w:p>
        </w:tc>
        <w:tc>
          <w:tcPr>
            <w:tcW w:w="217" w:type="pct"/>
            <w:noWrap w:val="0"/>
            <w:vAlign w:val="center"/>
          </w:tcPr>
          <w:p>
            <w:pPr>
              <w:widowControl/>
              <w:spacing w:line="240" w:lineRule="auto"/>
              <w:jc w:val="center"/>
              <w:textAlignment w:val="center"/>
              <w:rPr>
                <w:rFonts w:hint="default" w:eastAsia="宋体"/>
                <w:bCs/>
                <w:color w:val="auto"/>
                <w:sz w:val="18"/>
                <w:szCs w:val="18"/>
                <w:lang w:val="en-US" w:eastAsia="zh-CN"/>
              </w:rPr>
            </w:pPr>
            <w:r>
              <w:rPr>
                <w:rFonts w:hint="eastAsia"/>
                <w:bCs/>
                <w:color w:val="auto"/>
                <w:sz w:val="18"/>
                <w:szCs w:val="18"/>
                <w:lang w:val="en-US" w:eastAsia="zh-CN"/>
              </w:rPr>
              <w:t>55.6</w:t>
            </w:r>
          </w:p>
        </w:tc>
        <w:tc>
          <w:tcPr>
            <w:tcW w:w="203"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66.3</w:t>
            </w:r>
          </w:p>
        </w:tc>
        <w:tc>
          <w:tcPr>
            <w:tcW w:w="215"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50.5</w:t>
            </w:r>
          </w:p>
        </w:tc>
        <w:tc>
          <w:tcPr>
            <w:tcW w:w="140" w:type="pct"/>
            <w:vMerge w:val="continue"/>
            <w:noWrap w:val="0"/>
            <w:vAlign w:val="center"/>
          </w:tcPr>
          <w:p>
            <w:pPr>
              <w:adjustRightInd w:val="0"/>
              <w:snapToGrid w:val="0"/>
              <w:spacing w:line="240" w:lineRule="auto"/>
              <w:jc w:val="center"/>
              <w:rPr>
                <w:rFonts w:hint="eastAsia"/>
                <w:bCs/>
                <w:color w:val="auto"/>
                <w:sz w:val="18"/>
                <w:szCs w:val="18"/>
              </w:rPr>
            </w:pPr>
          </w:p>
        </w:tc>
        <w:tc>
          <w:tcPr>
            <w:tcW w:w="226" w:type="pct"/>
            <w:noWrap w:val="0"/>
            <w:vAlign w:val="center"/>
          </w:tcPr>
          <w:p>
            <w:pPr>
              <w:adjustRightInd w:val="0"/>
              <w:snapToGrid w:val="0"/>
              <w:spacing w:line="240" w:lineRule="auto"/>
              <w:jc w:val="center"/>
              <w:rPr>
                <w:rFonts w:hint="eastAsia" w:eastAsia="宋体"/>
                <w:bCs/>
                <w:color w:val="auto"/>
                <w:sz w:val="18"/>
                <w:szCs w:val="18"/>
                <w:lang w:eastAsia="zh-CN"/>
              </w:rPr>
            </w:pPr>
            <w:r>
              <w:rPr>
                <w:rFonts w:hint="eastAsia"/>
                <w:bCs/>
                <w:color w:val="auto"/>
                <w:sz w:val="18"/>
                <w:szCs w:val="18"/>
              </w:rPr>
              <w:t>2</w:t>
            </w:r>
            <w:r>
              <w:rPr>
                <w:rFonts w:hint="eastAsia"/>
                <w:bCs/>
                <w:color w:val="auto"/>
                <w:sz w:val="18"/>
                <w:szCs w:val="18"/>
                <w:lang w:val="en-US" w:eastAsia="zh-CN"/>
              </w:rPr>
              <w:t>0</w:t>
            </w:r>
          </w:p>
        </w:tc>
        <w:tc>
          <w:tcPr>
            <w:tcW w:w="213" w:type="pct"/>
            <w:noWrap w:val="0"/>
            <w:vAlign w:val="center"/>
          </w:tcPr>
          <w:p>
            <w:pPr>
              <w:widowControl/>
              <w:spacing w:line="240" w:lineRule="auto"/>
              <w:jc w:val="center"/>
              <w:textAlignment w:val="center"/>
              <w:rPr>
                <w:color w:val="auto"/>
                <w:kern w:val="0"/>
                <w:sz w:val="18"/>
                <w:szCs w:val="18"/>
                <w:lang w:bidi="ar"/>
              </w:rPr>
            </w:pPr>
            <w:r>
              <w:rPr>
                <w:rFonts w:hint="eastAsia"/>
                <w:color w:val="auto"/>
                <w:kern w:val="0"/>
                <w:sz w:val="18"/>
                <w:szCs w:val="18"/>
                <w:lang w:bidi="ar"/>
              </w:rPr>
              <w:t>1</w:t>
            </w:r>
            <w:r>
              <w:rPr>
                <w:rFonts w:hint="eastAsia"/>
                <w:color w:val="auto"/>
                <w:kern w:val="0"/>
                <w:sz w:val="18"/>
                <w:szCs w:val="18"/>
                <w:lang w:val="en-US" w:eastAsia="zh-CN" w:bidi="ar"/>
              </w:rPr>
              <w:t>7</w:t>
            </w:r>
            <w:r>
              <w:rPr>
                <w:rFonts w:hint="eastAsia"/>
                <w:color w:val="auto"/>
                <w:kern w:val="0"/>
                <w:sz w:val="18"/>
                <w:szCs w:val="18"/>
                <w:lang w:bidi="ar"/>
              </w:rPr>
              <w:t>.7</w:t>
            </w:r>
          </w:p>
        </w:tc>
        <w:tc>
          <w:tcPr>
            <w:tcW w:w="198" w:type="pct"/>
            <w:noWrap w:val="0"/>
            <w:vAlign w:val="center"/>
          </w:tcPr>
          <w:p>
            <w:pPr>
              <w:widowControl/>
              <w:spacing w:line="240" w:lineRule="auto"/>
              <w:jc w:val="center"/>
              <w:textAlignment w:val="center"/>
              <w:rPr>
                <w:color w:val="auto"/>
                <w:kern w:val="0"/>
                <w:sz w:val="18"/>
                <w:szCs w:val="18"/>
                <w:lang w:bidi="ar"/>
              </w:rPr>
            </w:pPr>
            <w:r>
              <w:rPr>
                <w:rFonts w:hint="eastAsia"/>
                <w:color w:val="auto"/>
                <w:kern w:val="0"/>
                <w:sz w:val="18"/>
                <w:szCs w:val="18"/>
                <w:lang w:bidi="ar"/>
              </w:rPr>
              <w:t>3</w:t>
            </w:r>
            <w:r>
              <w:rPr>
                <w:rFonts w:hint="eastAsia"/>
                <w:color w:val="auto"/>
                <w:kern w:val="0"/>
                <w:sz w:val="18"/>
                <w:szCs w:val="18"/>
                <w:lang w:val="en-US" w:eastAsia="zh-CN" w:bidi="ar"/>
              </w:rPr>
              <w:t>7</w:t>
            </w:r>
            <w:r>
              <w:rPr>
                <w:rFonts w:hint="eastAsia"/>
                <w:color w:val="auto"/>
                <w:kern w:val="0"/>
                <w:sz w:val="18"/>
                <w:szCs w:val="18"/>
                <w:lang w:bidi="ar"/>
              </w:rPr>
              <w:t>.3</w:t>
            </w:r>
          </w:p>
        </w:tc>
        <w:tc>
          <w:tcPr>
            <w:tcW w:w="198" w:type="pct"/>
            <w:noWrap w:val="0"/>
            <w:vAlign w:val="center"/>
          </w:tcPr>
          <w:p>
            <w:pPr>
              <w:widowControl/>
              <w:spacing w:line="240" w:lineRule="auto"/>
              <w:jc w:val="center"/>
              <w:textAlignment w:val="center"/>
              <w:rPr>
                <w:color w:val="auto"/>
                <w:kern w:val="0"/>
                <w:sz w:val="18"/>
                <w:szCs w:val="18"/>
                <w:lang w:bidi="ar"/>
              </w:rPr>
            </w:pPr>
            <w:r>
              <w:rPr>
                <w:rFonts w:hint="eastAsia"/>
                <w:color w:val="auto"/>
                <w:kern w:val="0"/>
                <w:sz w:val="18"/>
                <w:szCs w:val="18"/>
                <w:lang w:val="en-US" w:eastAsia="zh-CN" w:bidi="ar"/>
              </w:rPr>
              <w:t>32</w:t>
            </w:r>
            <w:r>
              <w:rPr>
                <w:rFonts w:hint="eastAsia"/>
                <w:color w:val="auto"/>
                <w:kern w:val="0"/>
                <w:sz w:val="18"/>
                <w:szCs w:val="18"/>
                <w:lang w:bidi="ar"/>
              </w:rPr>
              <w:t>.3</w:t>
            </w:r>
          </w:p>
        </w:tc>
        <w:tc>
          <w:tcPr>
            <w:tcW w:w="205" w:type="pct"/>
            <w:noWrap w:val="0"/>
            <w:vAlign w:val="center"/>
          </w:tcPr>
          <w:p>
            <w:pPr>
              <w:widowControl/>
              <w:spacing w:line="240" w:lineRule="auto"/>
              <w:jc w:val="center"/>
              <w:textAlignment w:val="center"/>
              <w:rPr>
                <w:color w:val="auto"/>
                <w:kern w:val="0"/>
                <w:sz w:val="18"/>
                <w:szCs w:val="18"/>
                <w:lang w:bidi="ar"/>
              </w:rPr>
            </w:pPr>
            <w:r>
              <w:rPr>
                <w:rFonts w:hint="eastAsia"/>
                <w:color w:val="auto"/>
                <w:kern w:val="0"/>
                <w:sz w:val="18"/>
                <w:szCs w:val="18"/>
                <w:lang w:val="en-US" w:eastAsia="zh-CN" w:bidi="ar"/>
              </w:rPr>
              <w:t>33</w:t>
            </w:r>
            <w:r>
              <w:rPr>
                <w:rFonts w:hint="eastAsia"/>
                <w:color w:val="auto"/>
                <w:kern w:val="0"/>
                <w:sz w:val="18"/>
                <w:szCs w:val="18"/>
                <w:lang w:bidi="ar"/>
              </w:rPr>
              <w:t>.2</w:t>
            </w:r>
          </w:p>
        </w:tc>
        <w:tc>
          <w:tcPr>
            <w:tcW w:w="234" w:type="pct"/>
            <w:noWrap w:val="0"/>
            <w:vAlign w:val="center"/>
          </w:tcPr>
          <w:p>
            <w:pPr>
              <w:adjustRightInd w:val="0"/>
              <w:snapToGrid w:val="0"/>
              <w:spacing w:line="240" w:lineRule="auto"/>
              <w:jc w:val="center"/>
              <w:rPr>
                <w:rFonts w:hint="eastAsia"/>
                <w:bCs/>
                <w:color w:val="auto"/>
                <w:sz w:val="18"/>
                <w:szCs w:val="18"/>
              </w:rPr>
            </w:pPr>
            <w:r>
              <w:rPr>
                <w:rFonts w:hint="eastAsia"/>
                <w:bCs/>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 w:type="pct"/>
            <w:noWrap w:val="0"/>
            <w:vAlign w:val="center"/>
          </w:tcPr>
          <w:p>
            <w:pPr>
              <w:adjustRightInd w:val="0"/>
              <w:snapToGrid w:val="0"/>
              <w:spacing w:line="240" w:lineRule="auto"/>
              <w:jc w:val="center"/>
              <w:rPr>
                <w:rFonts w:hint="eastAsia"/>
                <w:bCs/>
                <w:color w:val="auto"/>
                <w:sz w:val="18"/>
                <w:szCs w:val="18"/>
              </w:rPr>
            </w:pPr>
            <w:r>
              <w:rPr>
                <w:rFonts w:hint="eastAsia"/>
                <w:bCs/>
                <w:color w:val="auto"/>
                <w:sz w:val="18"/>
                <w:szCs w:val="18"/>
              </w:rPr>
              <w:t>3</w:t>
            </w:r>
          </w:p>
        </w:tc>
        <w:tc>
          <w:tcPr>
            <w:tcW w:w="143" w:type="pct"/>
            <w:vMerge w:val="continue"/>
            <w:noWrap w:val="0"/>
            <w:vAlign w:val="center"/>
          </w:tcPr>
          <w:p>
            <w:pPr>
              <w:adjustRightInd w:val="0"/>
              <w:snapToGrid w:val="0"/>
              <w:spacing w:line="240" w:lineRule="auto"/>
              <w:jc w:val="center"/>
              <w:rPr>
                <w:bCs/>
                <w:color w:val="auto"/>
                <w:sz w:val="18"/>
                <w:szCs w:val="18"/>
              </w:rPr>
            </w:pPr>
          </w:p>
        </w:tc>
        <w:tc>
          <w:tcPr>
            <w:tcW w:w="372" w:type="pct"/>
            <w:noWrap w:val="0"/>
            <w:vAlign w:val="center"/>
          </w:tcPr>
          <w:p>
            <w:pPr>
              <w:widowControl/>
              <w:spacing w:line="240" w:lineRule="auto"/>
              <w:jc w:val="center"/>
              <w:rPr>
                <w:rFonts w:hint="eastAsia"/>
                <w:color w:val="auto"/>
                <w:sz w:val="18"/>
                <w:szCs w:val="18"/>
              </w:rPr>
            </w:pPr>
            <w:r>
              <w:rPr>
                <w:rFonts w:hint="eastAsia"/>
                <w:color w:val="auto"/>
                <w:sz w:val="18"/>
                <w:szCs w:val="18"/>
              </w:rPr>
              <w:t>普通</w:t>
            </w:r>
          </w:p>
          <w:p>
            <w:pPr>
              <w:widowControl/>
              <w:spacing w:line="240" w:lineRule="auto"/>
              <w:jc w:val="center"/>
              <w:rPr>
                <w:rFonts w:hint="eastAsia"/>
                <w:color w:val="auto"/>
                <w:sz w:val="18"/>
                <w:szCs w:val="18"/>
              </w:rPr>
            </w:pPr>
            <w:r>
              <w:rPr>
                <w:rFonts w:hint="eastAsia"/>
                <w:color w:val="auto"/>
                <w:sz w:val="18"/>
                <w:szCs w:val="18"/>
              </w:rPr>
              <w:t>车床</w:t>
            </w:r>
          </w:p>
        </w:tc>
        <w:tc>
          <w:tcPr>
            <w:tcW w:w="207" w:type="pct"/>
            <w:noWrap w:val="0"/>
            <w:vAlign w:val="center"/>
          </w:tcPr>
          <w:p>
            <w:pPr>
              <w:adjustRightInd w:val="0"/>
              <w:snapToGrid w:val="0"/>
              <w:spacing w:line="240" w:lineRule="auto"/>
              <w:jc w:val="center"/>
              <w:rPr>
                <w:rFonts w:hint="eastAsia"/>
                <w:bCs/>
                <w:color w:val="auto"/>
                <w:sz w:val="18"/>
                <w:szCs w:val="18"/>
              </w:rPr>
            </w:pPr>
            <w:r>
              <w:rPr>
                <w:rFonts w:hint="eastAsia"/>
                <w:bCs/>
                <w:color w:val="auto"/>
                <w:sz w:val="18"/>
                <w:szCs w:val="18"/>
              </w:rPr>
              <w:t>80~85</w:t>
            </w:r>
          </w:p>
        </w:tc>
        <w:tc>
          <w:tcPr>
            <w:tcW w:w="195" w:type="pct"/>
            <w:noWrap w:val="0"/>
            <w:vAlign w:val="center"/>
          </w:tcPr>
          <w:p>
            <w:pPr>
              <w:adjustRightInd w:val="0"/>
              <w:snapToGrid w:val="0"/>
              <w:spacing w:line="240" w:lineRule="auto"/>
              <w:jc w:val="center"/>
              <w:rPr>
                <w:rFonts w:hint="eastAsia" w:eastAsia="宋体"/>
                <w:bCs/>
                <w:color w:val="auto"/>
                <w:sz w:val="18"/>
                <w:szCs w:val="18"/>
                <w:lang w:val="en-US" w:eastAsia="zh-CN"/>
              </w:rPr>
            </w:pPr>
            <w:r>
              <w:rPr>
                <w:rFonts w:hint="eastAsia"/>
                <w:bCs/>
                <w:color w:val="auto"/>
                <w:sz w:val="18"/>
                <w:szCs w:val="18"/>
                <w:lang w:val="en-US" w:eastAsia="zh-CN"/>
              </w:rPr>
              <w:t>2</w:t>
            </w:r>
          </w:p>
        </w:tc>
        <w:tc>
          <w:tcPr>
            <w:tcW w:w="248" w:type="pct"/>
            <w:vMerge w:val="continue"/>
            <w:noWrap w:val="0"/>
            <w:vAlign w:val="center"/>
          </w:tcPr>
          <w:p>
            <w:pPr>
              <w:spacing w:line="240" w:lineRule="auto"/>
              <w:jc w:val="center"/>
              <w:rPr>
                <w:rFonts w:hint="eastAsia"/>
                <w:color w:val="auto"/>
                <w:sz w:val="18"/>
                <w:szCs w:val="18"/>
              </w:rPr>
            </w:pPr>
          </w:p>
        </w:tc>
        <w:tc>
          <w:tcPr>
            <w:tcW w:w="208"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45</w:t>
            </w:r>
          </w:p>
        </w:tc>
        <w:tc>
          <w:tcPr>
            <w:tcW w:w="202"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10</w:t>
            </w:r>
          </w:p>
        </w:tc>
        <w:tc>
          <w:tcPr>
            <w:tcW w:w="206" w:type="pct"/>
            <w:noWrap w:val="0"/>
            <w:vAlign w:val="center"/>
          </w:tcPr>
          <w:p>
            <w:pPr>
              <w:adjustRightInd w:val="0"/>
              <w:snapToGrid w:val="0"/>
              <w:spacing w:line="240" w:lineRule="auto"/>
              <w:jc w:val="center"/>
              <w:rPr>
                <w:bCs/>
                <w:color w:val="auto"/>
                <w:sz w:val="18"/>
                <w:szCs w:val="18"/>
              </w:rPr>
            </w:pPr>
            <w:r>
              <w:rPr>
                <w:rFonts w:hint="eastAsia"/>
                <w:bCs/>
                <w:color w:val="auto"/>
                <w:sz w:val="18"/>
                <w:szCs w:val="18"/>
              </w:rPr>
              <w:t>1.0</w:t>
            </w:r>
          </w:p>
        </w:tc>
        <w:tc>
          <w:tcPr>
            <w:tcW w:w="215"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77.45</w:t>
            </w:r>
          </w:p>
        </w:tc>
        <w:tc>
          <w:tcPr>
            <w:tcW w:w="194"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45</w:t>
            </w:r>
          </w:p>
        </w:tc>
        <w:tc>
          <w:tcPr>
            <w:tcW w:w="175"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10</w:t>
            </w:r>
          </w:p>
        </w:tc>
        <w:tc>
          <w:tcPr>
            <w:tcW w:w="203"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97.6</w:t>
            </w:r>
          </w:p>
        </w:tc>
        <w:tc>
          <w:tcPr>
            <w:tcW w:w="231"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50.2</w:t>
            </w:r>
          </w:p>
        </w:tc>
        <w:tc>
          <w:tcPr>
            <w:tcW w:w="217"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54.9</w:t>
            </w:r>
          </w:p>
        </w:tc>
        <w:tc>
          <w:tcPr>
            <w:tcW w:w="203"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60</w:t>
            </w:r>
          </w:p>
        </w:tc>
        <w:tc>
          <w:tcPr>
            <w:tcW w:w="215"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48.2</w:t>
            </w:r>
          </w:p>
        </w:tc>
        <w:tc>
          <w:tcPr>
            <w:tcW w:w="140" w:type="pct"/>
            <w:vMerge w:val="continue"/>
            <w:noWrap w:val="0"/>
            <w:vAlign w:val="center"/>
          </w:tcPr>
          <w:p>
            <w:pPr>
              <w:adjustRightInd w:val="0"/>
              <w:snapToGrid w:val="0"/>
              <w:spacing w:line="240" w:lineRule="auto"/>
              <w:jc w:val="center"/>
              <w:rPr>
                <w:rFonts w:hint="eastAsia"/>
                <w:bCs/>
                <w:color w:val="auto"/>
                <w:sz w:val="18"/>
                <w:szCs w:val="18"/>
              </w:rPr>
            </w:pPr>
          </w:p>
        </w:tc>
        <w:tc>
          <w:tcPr>
            <w:tcW w:w="226"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20</w:t>
            </w:r>
          </w:p>
        </w:tc>
        <w:tc>
          <w:tcPr>
            <w:tcW w:w="213" w:type="pct"/>
            <w:noWrap w:val="0"/>
            <w:vAlign w:val="center"/>
          </w:tcPr>
          <w:p>
            <w:pPr>
              <w:widowControl/>
              <w:spacing w:line="240" w:lineRule="auto"/>
              <w:jc w:val="center"/>
              <w:textAlignment w:val="center"/>
              <w:rPr>
                <w:rFonts w:hint="eastAsia" w:eastAsia="宋体"/>
                <w:color w:val="auto"/>
                <w:kern w:val="0"/>
                <w:sz w:val="18"/>
                <w:szCs w:val="18"/>
                <w:lang w:eastAsia="zh-CN" w:bidi="ar"/>
              </w:rPr>
            </w:pPr>
            <w:r>
              <w:rPr>
                <w:rFonts w:hint="eastAsia"/>
                <w:color w:val="auto"/>
                <w:kern w:val="0"/>
                <w:sz w:val="18"/>
                <w:szCs w:val="18"/>
                <w:lang w:val="en-US" w:eastAsia="zh-CN" w:bidi="ar"/>
              </w:rPr>
              <w:t>3</w:t>
            </w:r>
            <w:r>
              <w:rPr>
                <w:rFonts w:hint="eastAsia"/>
                <w:color w:val="auto"/>
                <w:kern w:val="0"/>
                <w:sz w:val="18"/>
                <w:szCs w:val="18"/>
                <w:lang w:bidi="ar"/>
              </w:rPr>
              <w:t>5.</w:t>
            </w:r>
            <w:r>
              <w:rPr>
                <w:rFonts w:hint="eastAsia"/>
                <w:color w:val="auto"/>
                <w:kern w:val="0"/>
                <w:sz w:val="18"/>
                <w:szCs w:val="18"/>
                <w:lang w:val="en-US" w:eastAsia="zh-CN" w:bidi="ar"/>
              </w:rPr>
              <w:t>2</w:t>
            </w:r>
          </w:p>
        </w:tc>
        <w:tc>
          <w:tcPr>
            <w:tcW w:w="198"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34.9</w:t>
            </w:r>
          </w:p>
        </w:tc>
        <w:tc>
          <w:tcPr>
            <w:tcW w:w="198" w:type="pct"/>
            <w:noWrap w:val="0"/>
            <w:vAlign w:val="center"/>
          </w:tcPr>
          <w:p>
            <w:pPr>
              <w:widowControl/>
              <w:spacing w:line="240" w:lineRule="auto"/>
              <w:jc w:val="center"/>
              <w:textAlignment w:val="center"/>
              <w:rPr>
                <w:rFonts w:hint="eastAsia" w:eastAsia="宋体"/>
                <w:color w:val="auto"/>
                <w:kern w:val="0"/>
                <w:sz w:val="18"/>
                <w:szCs w:val="18"/>
                <w:lang w:eastAsia="zh-CN" w:bidi="ar"/>
              </w:rPr>
            </w:pPr>
            <w:r>
              <w:rPr>
                <w:rFonts w:hint="eastAsia"/>
                <w:color w:val="auto"/>
                <w:kern w:val="0"/>
                <w:sz w:val="18"/>
                <w:szCs w:val="18"/>
                <w:lang w:bidi="ar"/>
              </w:rPr>
              <w:t>4</w:t>
            </w:r>
            <w:r>
              <w:rPr>
                <w:rFonts w:hint="eastAsia"/>
                <w:color w:val="auto"/>
                <w:kern w:val="0"/>
                <w:sz w:val="18"/>
                <w:szCs w:val="18"/>
                <w:lang w:val="en-US" w:eastAsia="zh-CN" w:bidi="ar"/>
              </w:rPr>
              <w:t>0</w:t>
            </w:r>
          </w:p>
        </w:tc>
        <w:tc>
          <w:tcPr>
            <w:tcW w:w="205"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28.2</w:t>
            </w:r>
          </w:p>
        </w:tc>
        <w:tc>
          <w:tcPr>
            <w:tcW w:w="234" w:type="pct"/>
            <w:noWrap w:val="0"/>
            <w:vAlign w:val="center"/>
          </w:tcPr>
          <w:p>
            <w:pPr>
              <w:adjustRightInd w:val="0"/>
              <w:snapToGrid w:val="0"/>
              <w:spacing w:line="240" w:lineRule="auto"/>
              <w:jc w:val="center"/>
              <w:rPr>
                <w:rFonts w:hint="eastAsia"/>
                <w:bCs/>
                <w:color w:val="auto"/>
                <w:sz w:val="18"/>
                <w:szCs w:val="18"/>
              </w:rPr>
            </w:pPr>
            <w:r>
              <w:rPr>
                <w:rFonts w:hint="eastAsia"/>
                <w:bCs/>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 w:type="pct"/>
            <w:noWrap w:val="0"/>
            <w:vAlign w:val="center"/>
          </w:tcPr>
          <w:p>
            <w:pPr>
              <w:adjustRightInd w:val="0"/>
              <w:snapToGrid w:val="0"/>
              <w:spacing w:line="240" w:lineRule="auto"/>
              <w:jc w:val="center"/>
              <w:rPr>
                <w:bCs/>
                <w:color w:val="auto"/>
                <w:sz w:val="18"/>
                <w:szCs w:val="18"/>
              </w:rPr>
            </w:pPr>
            <w:r>
              <w:rPr>
                <w:rFonts w:hint="eastAsia"/>
                <w:bCs/>
                <w:color w:val="auto"/>
                <w:sz w:val="18"/>
                <w:szCs w:val="18"/>
              </w:rPr>
              <w:t>4</w:t>
            </w:r>
          </w:p>
        </w:tc>
        <w:tc>
          <w:tcPr>
            <w:tcW w:w="143" w:type="pct"/>
            <w:vMerge w:val="continue"/>
            <w:noWrap w:val="0"/>
            <w:vAlign w:val="center"/>
          </w:tcPr>
          <w:p>
            <w:pPr>
              <w:adjustRightInd w:val="0"/>
              <w:snapToGrid w:val="0"/>
              <w:spacing w:line="240" w:lineRule="auto"/>
              <w:jc w:val="center"/>
              <w:rPr>
                <w:bCs/>
                <w:color w:val="auto"/>
                <w:sz w:val="18"/>
                <w:szCs w:val="18"/>
              </w:rPr>
            </w:pPr>
          </w:p>
        </w:tc>
        <w:tc>
          <w:tcPr>
            <w:tcW w:w="372" w:type="pct"/>
            <w:noWrap w:val="0"/>
            <w:vAlign w:val="center"/>
          </w:tcPr>
          <w:p>
            <w:pPr>
              <w:widowControl/>
              <w:spacing w:line="240" w:lineRule="auto"/>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数控</w:t>
            </w:r>
          </w:p>
          <w:p>
            <w:pPr>
              <w:widowControl/>
              <w:spacing w:line="240" w:lineRule="auto"/>
              <w:jc w:val="center"/>
              <w:rPr>
                <w:color w:val="auto"/>
                <w:sz w:val="18"/>
                <w:szCs w:val="18"/>
              </w:rPr>
            </w:pPr>
            <w:r>
              <w:rPr>
                <w:rFonts w:hint="eastAsia" w:asciiTheme="minorEastAsia" w:hAnsiTheme="minorEastAsia" w:eastAsiaTheme="minorEastAsia"/>
                <w:color w:val="auto"/>
                <w:sz w:val="18"/>
                <w:szCs w:val="18"/>
              </w:rPr>
              <w:t>车床</w:t>
            </w:r>
          </w:p>
        </w:tc>
        <w:tc>
          <w:tcPr>
            <w:tcW w:w="207" w:type="pct"/>
            <w:noWrap w:val="0"/>
            <w:vAlign w:val="center"/>
          </w:tcPr>
          <w:p>
            <w:pPr>
              <w:adjustRightInd w:val="0"/>
              <w:snapToGrid w:val="0"/>
              <w:spacing w:line="240" w:lineRule="auto"/>
              <w:jc w:val="center"/>
              <w:rPr>
                <w:rFonts w:hint="eastAsia"/>
                <w:bCs/>
                <w:color w:val="auto"/>
                <w:sz w:val="18"/>
                <w:szCs w:val="18"/>
              </w:rPr>
            </w:pPr>
            <w:r>
              <w:rPr>
                <w:rFonts w:hint="eastAsia"/>
                <w:bCs/>
                <w:color w:val="auto"/>
                <w:sz w:val="18"/>
                <w:szCs w:val="18"/>
              </w:rPr>
              <w:t>80~90</w:t>
            </w:r>
          </w:p>
        </w:tc>
        <w:tc>
          <w:tcPr>
            <w:tcW w:w="195" w:type="pct"/>
            <w:noWrap w:val="0"/>
            <w:vAlign w:val="center"/>
          </w:tcPr>
          <w:p>
            <w:pPr>
              <w:adjustRightInd w:val="0"/>
              <w:snapToGrid w:val="0"/>
              <w:spacing w:line="240" w:lineRule="auto"/>
              <w:jc w:val="center"/>
              <w:rPr>
                <w:rFonts w:hint="eastAsia" w:eastAsia="宋体"/>
                <w:bCs/>
                <w:color w:val="auto"/>
                <w:sz w:val="18"/>
                <w:szCs w:val="18"/>
                <w:lang w:val="en-US" w:eastAsia="zh-CN"/>
              </w:rPr>
            </w:pPr>
            <w:r>
              <w:rPr>
                <w:rFonts w:hint="eastAsia"/>
                <w:bCs/>
                <w:color w:val="auto"/>
                <w:sz w:val="18"/>
                <w:szCs w:val="18"/>
                <w:lang w:val="en-US" w:eastAsia="zh-CN"/>
              </w:rPr>
              <w:t>6</w:t>
            </w:r>
          </w:p>
        </w:tc>
        <w:tc>
          <w:tcPr>
            <w:tcW w:w="248" w:type="pct"/>
            <w:vMerge w:val="continue"/>
            <w:noWrap w:val="0"/>
            <w:vAlign w:val="center"/>
          </w:tcPr>
          <w:p>
            <w:pPr>
              <w:spacing w:line="240" w:lineRule="auto"/>
              <w:jc w:val="center"/>
              <w:rPr>
                <w:rFonts w:hint="eastAsia"/>
                <w:color w:val="auto"/>
                <w:sz w:val="18"/>
                <w:szCs w:val="18"/>
              </w:rPr>
            </w:pPr>
          </w:p>
        </w:tc>
        <w:tc>
          <w:tcPr>
            <w:tcW w:w="208"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50</w:t>
            </w:r>
          </w:p>
        </w:tc>
        <w:tc>
          <w:tcPr>
            <w:tcW w:w="202"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20</w:t>
            </w:r>
          </w:p>
        </w:tc>
        <w:tc>
          <w:tcPr>
            <w:tcW w:w="206" w:type="pct"/>
            <w:noWrap w:val="0"/>
            <w:vAlign w:val="center"/>
          </w:tcPr>
          <w:p>
            <w:pPr>
              <w:adjustRightInd w:val="0"/>
              <w:snapToGrid w:val="0"/>
              <w:spacing w:line="240" w:lineRule="auto"/>
              <w:jc w:val="center"/>
              <w:rPr>
                <w:bCs/>
                <w:color w:val="auto"/>
                <w:sz w:val="18"/>
                <w:szCs w:val="18"/>
              </w:rPr>
            </w:pPr>
            <w:r>
              <w:rPr>
                <w:rFonts w:hint="eastAsia"/>
                <w:bCs/>
                <w:color w:val="auto"/>
                <w:sz w:val="18"/>
                <w:szCs w:val="18"/>
              </w:rPr>
              <w:t>1.0</w:t>
            </w:r>
          </w:p>
        </w:tc>
        <w:tc>
          <w:tcPr>
            <w:tcW w:w="215"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72.45</w:t>
            </w:r>
          </w:p>
        </w:tc>
        <w:tc>
          <w:tcPr>
            <w:tcW w:w="194"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50</w:t>
            </w:r>
          </w:p>
        </w:tc>
        <w:tc>
          <w:tcPr>
            <w:tcW w:w="175"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20</w:t>
            </w:r>
          </w:p>
        </w:tc>
        <w:tc>
          <w:tcPr>
            <w:tcW w:w="203"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87.6</w:t>
            </w:r>
          </w:p>
        </w:tc>
        <w:tc>
          <w:tcPr>
            <w:tcW w:w="231"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60.6</w:t>
            </w:r>
          </w:p>
        </w:tc>
        <w:tc>
          <w:tcPr>
            <w:tcW w:w="217"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63.8</w:t>
            </w:r>
          </w:p>
        </w:tc>
        <w:tc>
          <w:tcPr>
            <w:tcW w:w="203"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71.8</w:t>
            </w:r>
          </w:p>
        </w:tc>
        <w:tc>
          <w:tcPr>
            <w:tcW w:w="215"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58.9</w:t>
            </w:r>
          </w:p>
        </w:tc>
        <w:tc>
          <w:tcPr>
            <w:tcW w:w="140" w:type="pct"/>
            <w:vMerge w:val="continue"/>
            <w:noWrap w:val="0"/>
            <w:vAlign w:val="center"/>
          </w:tcPr>
          <w:p>
            <w:pPr>
              <w:adjustRightInd w:val="0"/>
              <w:snapToGrid w:val="0"/>
              <w:spacing w:line="240" w:lineRule="auto"/>
              <w:jc w:val="center"/>
              <w:rPr>
                <w:rFonts w:hint="eastAsia"/>
                <w:bCs/>
                <w:color w:val="auto"/>
                <w:sz w:val="18"/>
                <w:szCs w:val="18"/>
              </w:rPr>
            </w:pPr>
          </w:p>
        </w:tc>
        <w:tc>
          <w:tcPr>
            <w:tcW w:w="226" w:type="pct"/>
            <w:noWrap w:val="0"/>
            <w:vAlign w:val="center"/>
          </w:tcPr>
          <w:p>
            <w:pPr>
              <w:adjustRightInd w:val="0"/>
              <w:snapToGrid w:val="0"/>
              <w:spacing w:line="240" w:lineRule="auto"/>
              <w:jc w:val="center"/>
              <w:rPr>
                <w:rFonts w:hint="eastAsia" w:eastAsia="宋体"/>
                <w:bCs/>
                <w:color w:val="auto"/>
                <w:sz w:val="18"/>
                <w:szCs w:val="18"/>
                <w:lang w:eastAsia="zh-CN"/>
              </w:rPr>
            </w:pPr>
            <w:r>
              <w:rPr>
                <w:rFonts w:hint="eastAsia"/>
                <w:bCs/>
                <w:color w:val="auto"/>
                <w:sz w:val="18"/>
                <w:szCs w:val="18"/>
              </w:rPr>
              <w:t>2</w:t>
            </w:r>
            <w:r>
              <w:rPr>
                <w:rFonts w:hint="eastAsia"/>
                <w:bCs/>
                <w:color w:val="auto"/>
                <w:sz w:val="18"/>
                <w:szCs w:val="18"/>
                <w:lang w:val="en-US" w:eastAsia="zh-CN"/>
              </w:rPr>
              <w:t>0</w:t>
            </w:r>
          </w:p>
        </w:tc>
        <w:tc>
          <w:tcPr>
            <w:tcW w:w="213"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40.6</w:t>
            </w:r>
          </w:p>
        </w:tc>
        <w:tc>
          <w:tcPr>
            <w:tcW w:w="198"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43.8</w:t>
            </w:r>
          </w:p>
        </w:tc>
        <w:tc>
          <w:tcPr>
            <w:tcW w:w="198"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51.8</w:t>
            </w:r>
          </w:p>
        </w:tc>
        <w:tc>
          <w:tcPr>
            <w:tcW w:w="205"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38.9</w:t>
            </w:r>
          </w:p>
        </w:tc>
        <w:tc>
          <w:tcPr>
            <w:tcW w:w="234" w:type="pct"/>
            <w:noWrap w:val="0"/>
            <w:vAlign w:val="center"/>
          </w:tcPr>
          <w:p>
            <w:pPr>
              <w:adjustRightInd w:val="0"/>
              <w:snapToGrid w:val="0"/>
              <w:spacing w:line="240" w:lineRule="auto"/>
              <w:jc w:val="center"/>
              <w:rPr>
                <w:rFonts w:hint="eastAsia"/>
                <w:bCs/>
                <w:color w:val="auto"/>
                <w:sz w:val="18"/>
                <w:szCs w:val="18"/>
              </w:rPr>
            </w:pPr>
            <w:r>
              <w:rPr>
                <w:rFonts w:hint="eastAsia"/>
                <w:bCs/>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2" w:type="pct"/>
            <w:noWrap w:val="0"/>
            <w:vAlign w:val="center"/>
          </w:tcPr>
          <w:p>
            <w:pPr>
              <w:adjustRightInd w:val="0"/>
              <w:snapToGrid w:val="0"/>
              <w:spacing w:line="240" w:lineRule="auto"/>
              <w:jc w:val="center"/>
              <w:rPr>
                <w:rFonts w:hint="eastAsia"/>
                <w:bCs/>
                <w:color w:val="auto"/>
                <w:sz w:val="18"/>
                <w:szCs w:val="18"/>
              </w:rPr>
            </w:pPr>
            <w:r>
              <w:rPr>
                <w:rFonts w:hint="eastAsia"/>
                <w:bCs/>
                <w:color w:val="auto"/>
                <w:sz w:val="18"/>
                <w:szCs w:val="18"/>
              </w:rPr>
              <w:t>5</w:t>
            </w:r>
          </w:p>
        </w:tc>
        <w:tc>
          <w:tcPr>
            <w:tcW w:w="143" w:type="pct"/>
            <w:vMerge w:val="continue"/>
            <w:noWrap w:val="0"/>
            <w:vAlign w:val="center"/>
          </w:tcPr>
          <w:p>
            <w:pPr>
              <w:adjustRightInd w:val="0"/>
              <w:snapToGrid w:val="0"/>
              <w:spacing w:line="240" w:lineRule="auto"/>
              <w:jc w:val="center"/>
              <w:rPr>
                <w:bCs/>
                <w:color w:val="auto"/>
                <w:sz w:val="18"/>
                <w:szCs w:val="18"/>
              </w:rPr>
            </w:pPr>
          </w:p>
        </w:tc>
        <w:tc>
          <w:tcPr>
            <w:tcW w:w="372" w:type="pct"/>
            <w:noWrap w:val="0"/>
            <w:vAlign w:val="center"/>
          </w:tcPr>
          <w:p>
            <w:pPr>
              <w:widowControl/>
              <w:spacing w:line="240" w:lineRule="auto"/>
              <w:jc w:val="center"/>
              <w:rPr>
                <w:rFonts w:hint="eastAsia"/>
                <w:color w:val="auto"/>
                <w:sz w:val="18"/>
                <w:szCs w:val="18"/>
              </w:rPr>
            </w:pPr>
            <w:r>
              <w:rPr>
                <w:rFonts w:hint="eastAsia" w:asciiTheme="minorEastAsia" w:hAnsiTheme="minorEastAsia" w:eastAsiaTheme="minorEastAsia"/>
                <w:color w:val="auto"/>
                <w:sz w:val="18"/>
                <w:szCs w:val="18"/>
              </w:rPr>
              <w:t>数控加工中心</w:t>
            </w:r>
          </w:p>
        </w:tc>
        <w:tc>
          <w:tcPr>
            <w:tcW w:w="207"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80~85</w:t>
            </w:r>
          </w:p>
        </w:tc>
        <w:tc>
          <w:tcPr>
            <w:tcW w:w="195"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10</w:t>
            </w:r>
          </w:p>
        </w:tc>
        <w:tc>
          <w:tcPr>
            <w:tcW w:w="248" w:type="pct"/>
            <w:vMerge w:val="continue"/>
            <w:noWrap w:val="0"/>
            <w:vAlign w:val="center"/>
          </w:tcPr>
          <w:p>
            <w:pPr>
              <w:spacing w:line="240" w:lineRule="auto"/>
              <w:jc w:val="center"/>
              <w:rPr>
                <w:rFonts w:hint="eastAsia"/>
                <w:color w:val="auto"/>
                <w:sz w:val="18"/>
                <w:szCs w:val="18"/>
              </w:rPr>
            </w:pPr>
          </w:p>
        </w:tc>
        <w:tc>
          <w:tcPr>
            <w:tcW w:w="208"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109.5</w:t>
            </w:r>
          </w:p>
        </w:tc>
        <w:tc>
          <w:tcPr>
            <w:tcW w:w="202" w:type="pct"/>
            <w:noWrap w:val="0"/>
            <w:vAlign w:val="center"/>
          </w:tcPr>
          <w:p>
            <w:pPr>
              <w:adjustRightInd w:val="0"/>
              <w:snapToGrid w:val="0"/>
              <w:spacing w:line="240" w:lineRule="auto"/>
              <w:jc w:val="center"/>
              <w:rPr>
                <w:rFonts w:hint="eastAsia" w:eastAsia="宋体"/>
                <w:bCs/>
                <w:color w:val="auto"/>
                <w:sz w:val="18"/>
                <w:szCs w:val="18"/>
                <w:lang w:eastAsia="zh-CN"/>
              </w:rPr>
            </w:pPr>
            <w:r>
              <w:rPr>
                <w:rFonts w:hint="eastAsia"/>
                <w:bCs/>
                <w:color w:val="auto"/>
                <w:sz w:val="18"/>
                <w:szCs w:val="18"/>
              </w:rPr>
              <w:t>4</w:t>
            </w:r>
            <w:r>
              <w:rPr>
                <w:rFonts w:hint="eastAsia"/>
                <w:bCs/>
                <w:color w:val="auto"/>
                <w:sz w:val="18"/>
                <w:szCs w:val="18"/>
                <w:lang w:val="en-US" w:eastAsia="zh-CN"/>
              </w:rPr>
              <w:t>0</w:t>
            </w:r>
          </w:p>
        </w:tc>
        <w:tc>
          <w:tcPr>
            <w:tcW w:w="206" w:type="pct"/>
            <w:noWrap w:val="0"/>
            <w:vAlign w:val="center"/>
          </w:tcPr>
          <w:p>
            <w:pPr>
              <w:adjustRightInd w:val="0"/>
              <w:snapToGrid w:val="0"/>
              <w:spacing w:line="240" w:lineRule="auto"/>
              <w:jc w:val="center"/>
              <w:rPr>
                <w:bCs/>
                <w:color w:val="auto"/>
                <w:sz w:val="18"/>
                <w:szCs w:val="18"/>
              </w:rPr>
            </w:pPr>
            <w:r>
              <w:rPr>
                <w:rFonts w:hint="eastAsia"/>
                <w:bCs/>
                <w:color w:val="auto"/>
                <w:sz w:val="18"/>
                <w:szCs w:val="18"/>
              </w:rPr>
              <w:t>1.0</w:t>
            </w:r>
          </w:p>
        </w:tc>
        <w:tc>
          <w:tcPr>
            <w:tcW w:w="215"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12.95</w:t>
            </w:r>
          </w:p>
        </w:tc>
        <w:tc>
          <w:tcPr>
            <w:tcW w:w="194"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109.5</w:t>
            </w:r>
          </w:p>
        </w:tc>
        <w:tc>
          <w:tcPr>
            <w:tcW w:w="175"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40</w:t>
            </w:r>
          </w:p>
        </w:tc>
        <w:tc>
          <w:tcPr>
            <w:tcW w:w="203"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60.6</w:t>
            </w:r>
          </w:p>
        </w:tc>
        <w:tc>
          <w:tcPr>
            <w:tcW w:w="231"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72.8</w:t>
            </w:r>
          </w:p>
        </w:tc>
        <w:tc>
          <w:tcPr>
            <w:tcW w:w="217"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54.2</w:t>
            </w:r>
          </w:p>
        </w:tc>
        <w:tc>
          <w:tcPr>
            <w:tcW w:w="203"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63.0</w:t>
            </w:r>
          </w:p>
        </w:tc>
        <w:tc>
          <w:tcPr>
            <w:tcW w:w="215"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59.4</w:t>
            </w:r>
          </w:p>
        </w:tc>
        <w:tc>
          <w:tcPr>
            <w:tcW w:w="140" w:type="pct"/>
            <w:vMerge w:val="continue"/>
            <w:noWrap w:val="0"/>
            <w:vAlign w:val="center"/>
          </w:tcPr>
          <w:p>
            <w:pPr>
              <w:adjustRightInd w:val="0"/>
              <w:snapToGrid w:val="0"/>
              <w:spacing w:line="240" w:lineRule="auto"/>
              <w:jc w:val="center"/>
              <w:rPr>
                <w:rFonts w:hint="eastAsia"/>
                <w:bCs/>
                <w:color w:val="auto"/>
                <w:sz w:val="18"/>
                <w:szCs w:val="18"/>
              </w:rPr>
            </w:pPr>
          </w:p>
        </w:tc>
        <w:tc>
          <w:tcPr>
            <w:tcW w:w="226" w:type="pct"/>
            <w:noWrap w:val="0"/>
            <w:vAlign w:val="center"/>
          </w:tcPr>
          <w:p>
            <w:pPr>
              <w:adjustRightInd w:val="0"/>
              <w:snapToGrid w:val="0"/>
              <w:spacing w:line="240" w:lineRule="auto"/>
              <w:jc w:val="center"/>
              <w:rPr>
                <w:rFonts w:hint="eastAsia" w:eastAsia="宋体"/>
                <w:bCs/>
                <w:color w:val="auto"/>
                <w:sz w:val="18"/>
                <w:szCs w:val="18"/>
                <w:lang w:eastAsia="zh-CN"/>
              </w:rPr>
            </w:pPr>
            <w:r>
              <w:rPr>
                <w:rFonts w:hint="eastAsia"/>
                <w:bCs/>
                <w:color w:val="auto"/>
                <w:sz w:val="18"/>
                <w:szCs w:val="18"/>
              </w:rPr>
              <w:t>2</w:t>
            </w:r>
            <w:r>
              <w:rPr>
                <w:rFonts w:hint="eastAsia"/>
                <w:bCs/>
                <w:color w:val="auto"/>
                <w:sz w:val="18"/>
                <w:szCs w:val="18"/>
                <w:lang w:val="en-US" w:eastAsia="zh-CN"/>
              </w:rPr>
              <w:t>0</w:t>
            </w:r>
          </w:p>
        </w:tc>
        <w:tc>
          <w:tcPr>
            <w:tcW w:w="213"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52.8</w:t>
            </w:r>
          </w:p>
        </w:tc>
        <w:tc>
          <w:tcPr>
            <w:tcW w:w="198"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34.2</w:t>
            </w:r>
          </w:p>
        </w:tc>
        <w:tc>
          <w:tcPr>
            <w:tcW w:w="198" w:type="pct"/>
            <w:noWrap w:val="0"/>
            <w:vAlign w:val="center"/>
          </w:tcPr>
          <w:p>
            <w:pPr>
              <w:widowControl/>
              <w:spacing w:line="240" w:lineRule="auto"/>
              <w:jc w:val="center"/>
              <w:textAlignment w:val="center"/>
              <w:rPr>
                <w:color w:val="auto"/>
                <w:kern w:val="0"/>
                <w:sz w:val="18"/>
                <w:szCs w:val="18"/>
                <w:lang w:bidi="ar"/>
              </w:rPr>
            </w:pPr>
            <w:r>
              <w:rPr>
                <w:rFonts w:hint="eastAsia"/>
                <w:color w:val="auto"/>
                <w:kern w:val="0"/>
                <w:sz w:val="18"/>
                <w:szCs w:val="18"/>
                <w:lang w:bidi="ar"/>
              </w:rPr>
              <w:t>4</w:t>
            </w:r>
            <w:r>
              <w:rPr>
                <w:rFonts w:hint="eastAsia"/>
                <w:color w:val="auto"/>
                <w:kern w:val="0"/>
                <w:sz w:val="18"/>
                <w:szCs w:val="18"/>
                <w:lang w:val="en-US" w:eastAsia="zh-CN" w:bidi="ar"/>
              </w:rPr>
              <w:t>3</w:t>
            </w:r>
            <w:r>
              <w:rPr>
                <w:rFonts w:hint="eastAsia"/>
                <w:color w:val="auto"/>
                <w:kern w:val="0"/>
                <w:sz w:val="18"/>
                <w:szCs w:val="18"/>
                <w:lang w:bidi="ar"/>
              </w:rPr>
              <w:t>.0</w:t>
            </w:r>
          </w:p>
        </w:tc>
        <w:tc>
          <w:tcPr>
            <w:tcW w:w="205"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39.4</w:t>
            </w:r>
          </w:p>
        </w:tc>
        <w:tc>
          <w:tcPr>
            <w:tcW w:w="234" w:type="pct"/>
            <w:noWrap w:val="0"/>
            <w:vAlign w:val="center"/>
          </w:tcPr>
          <w:p>
            <w:pPr>
              <w:adjustRightInd w:val="0"/>
              <w:snapToGrid w:val="0"/>
              <w:spacing w:line="240" w:lineRule="auto"/>
              <w:jc w:val="center"/>
              <w:rPr>
                <w:rFonts w:hint="eastAsia"/>
                <w:bCs/>
                <w:color w:val="auto"/>
                <w:sz w:val="18"/>
                <w:szCs w:val="18"/>
              </w:rPr>
            </w:pPr>
            <w:r>
              <w:rPr>
                <w:rFonts w:hint="eastAsia"/>
                <w:bCs/>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42" w:type="pct"/>
            <w:noWrap w:val="0"/>
            <w:vAlign w:val="center"/>
          </w:tcPr>
          <w:p>
            <w:pPr>
              <w:adjustRightInd w:val="0"/>
              <w:snapToGrid w:val="0"/>
              <w:spacing w:line="240" w:lineRule="auto"/>
              <w:jc w:val="center"/>
              <w:rPr>
                <w:bCs/>
                <w:color w:val="auto"/>
                <w:sz w:val="18"/>
                <w:szCs w:val="18"/>
              </w:rPr>
            </w:pPr>
            <w:r>
              <w:rPr>
                <w:rFonts w:hint="eastAsia"/>
                <w:bCs/>
                <w:color w:val="auto"/>
                <w:sz w:val="18"/>
                <w:szCs w:val="18"/>
              </w:rPr>
              <w:t>6</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widowControl/>
              <w:spacing w:line="240" w:lineRule="auto"/>
              <w:jc w:val="center"/>
              <w:rPr>
                <w:color w:val="auto"/>
                <w:sz w:val="18"/>
                <w:szCs w:val="18"/>
              </w:rPr>
            </w:pPr>
            <w:r>
              <w:rPr>
                <w:rFonts w:hint="eastAsia" w:asciiTheme="minorEastAsia" w:hAnsiTheme="minorEastAsia" w:eastAsiaTheme="minorEastAsia"/>
                <w:color w:val="auto"/>
                <w:sz w:val="18"/>
                <w:szCs w:val="18"/>
                <w:lang w:val="en-US" w:eastAsia="zh-CN"/>
              </w:rPr>
              <w:t>金属带</w:t>
            </w:r>
            <w:r>
              <w:rPr>
                <w:rFonts w:hint="eastAsia" w:asciiTheme="minorEastAsia" w:hAnsiTheme="minorEastAsia" w:eastAsiaTheme="minorEastAsia"/>
                <w:color w:val="auto"/>
                <w:sz w:val="18"/>
                <w:szCs w:val="18"/>
              </w:rPr>
              <w:t>锯床</w:t>
            </w:r>
          </w:p>
        </w:tc>
        <w:tc>
          <w:tcPr>
            <w:tcW w:w="207" w:type="pct"/>
            <w:noWrap w:val="0"/>
            <w:vAlign w:val="center"/>
          </w:tcPr>
          <w:p>
            <w:pPr>
              <w:adjustRightInd w:val="0"/>
              <w:snapToGrid w:val="0"/>
              <w:spacing w:line="240" w:lineRule="auto"/>
              <w:jc w:val="center"/>
              <w:rPr>
                <w:rFonts w:hint="default"/>
                <w:bCs/>
                <w:color w:val="auto"/>
                <w:sz w:val="18"/>
                <w:szCs w:val="18"/>
                <w:lang w:val="en-US"/>
              </w:rPr>
            </w:pPr>
            <w:r>
              <w:rPr>
                <w:rFonts w:hint="eastAsia"/>
                <w:bCs/>
                <w:color w:val="auto"/>
                <w:sz w:val="18"/>
                <w:szCs w:val="18"/>
                <w:lang w:val="en-US" w:eastAsia="zh-CN"/>
              </w:rPr>
              <w:t>90</w:t>
            </w:r>
            <w:r>
              <w:rPr>
                <w:rFonts w:hint="eastAsia"/>
                <w:bCs/>
                <w:color w:val="auto"/>
                <w:sz w:val="18"/>
                <w:szCs w:val="18"/>
              </w:rPr>
              <w:t>~</w:t>
            </w:r>
            <w:r>
              <w:rPr>
                <w:rFonts w:hint="eastAsia"/>
                <w:bCs/>
                <w:color w:val="auto"/>
                <w:sz w:val="18"/>
                <w:szCs w:val="18"/>
                <w:lang w:val="en-US" w:eastAsia="zh-CN"/>
              </w:rPr>
              <w:t>95</w:t>
            </w:r>
          </w:p>
        </w:tc>
        <w:tc>
          <w:tcPr>
            <w:tcW w:w="195" w:type="pct"/>
            <w:noWrap w:val="0"/>
            <w:vAlign w:val="center"/>
          </w:tcPr>
          <w:p>
            <w:pPr>
              <w:adjustRightInd w:val="0"/>
              <w:snapToGrid w:val="0"/>
              <w:spacing w:line="240" w:lineRule="auto"/>
              <w:jc w:val="center"/>
              <w:rPr>
                <w:rFonts w:hint="eastAsia" w:eastAsia="宋体"/>
                <w:bCs/>
                <w:color w:val="auto"/>
                <w:sz w:val="18"/>
                <w:szCs w:val="18"/>
                <w:lang w:val="en-US" w:eastAsia="zh-CN"/>
              </w:rPr>
            </w:pPr>
            <w:r>
              <w:rPr>
                <w:rFonts w:hint="eastAsia"/>
                <w:bCs/>
                <w:color w:val="auto"/>
                <w:sz w:val="18"/>
                <w:szCs w:val="18"/>
                <w:lang w:val="en-US" w:eastAsia="zh-CN"/>
              </w:rPr>
              <w:t>4</w:t>
            </w:r>
          </w:p>
        </w:tc>
        <w:tc>
          <w:tcPr>
            <w:tcW w:w="248" w:type="pct"/>
            <w:vMerge w:val="continue"/>
            <w:noWrap w:val="0"/>
            <w:vAlign w:val="center"/>
          </w:tcPr>
          <w:p>
            <w:pPr>
              <w:spacing w:line="240" w:lineRule="auto"/>
              <w:jc w:val="center"/>
              <w:rPr>
                <w:color w:val="auto"/>
                <w:sz w:val="18"/>
                <w:szCs w:val="18"/>
              </w:rPr>
            </w:pPr>
          </w:p>
        </w:tc>
        <w:tc>
          <w:tcPr>
            <w:tcW w:w="208"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40</w:t>
            </w:r>
          </w:p>
        </w:tc>
        <w:tc>
          <w:tcPr>
            <w:tcW w:w="202"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20</w:t>
            </w:r>
          </w:p>
        </w:tc>
        <w:tc>
          <w:tcPr>
            <w:tcW w:w="206" w:type="pct"/>
            <w:noWrap w:val="0"/>
            <w:vAlign w:val="center"/>
          </w:tcPr>
          <w:p>
            <w:pPr>
              <w:adjustRightInd w:val="0"/>
              <w:snapToGrid w:val="0"/>
              <w:spacing w:line="240" w:lineRule="auto"/>
              <w:jc w:val="center"/>
              <w:rPr>
                <w:bCs/>
                <w:color w:val="auto"/>
                <w:sz w:val="18"/>
                <w:szCs w:val="18"/>
              </w:rPr>
            </w:pPr>
            <w:r>
              <w:rPr>
                <w:rFonts w:hint="eastAsia"/>
                <w:bCs/>
                <w:color w:val="auto"/>
                <w:sz w:val="18"/>
                <w:szCs w:val="18"/>
              </w:rPr>
              <w:t>1</w:t>
            </w:r>
          </w:p>
        </w:tc>
        <w:tc>
          <w:tcPr>
            <w:tcW w:w="215"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82.45</w:t>
            </w:r>
          </w:p>
        </w:tc>
        <w:tc>
          <w:tcPr>
            <w:tcW w:w="194"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40</w:t>
            </w:r>
          </w:p>
        </w:tc>
        <w:tc>
          <w:tcPr>
            <w:tcW w:w="175"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20</w:t>
            </w:r>
          </w:p>
        </w:tc>
        <w:tc>
          <w:tcPr>
            <w:tcW w:w="203" w:type="pct"/>
            <w:noWrap w:val="0"/>
            <w:vAlign w:val="center"/>
          </w:tcPr>
          <w:p>
            <w:pPr>
              <w:adjustRightInd w:val="0"/>
              <w:snapToGrid w:val="0"/>
              <w:spacing w:line="240" w:lineRule="auto"/>
              <w:jc w:val="center"/>
              <w:rPr>
                <w:rFonts w:hint="default" w:eastAsia="宋体"/>
                <w:bCs/>
                <w:color w:val="auto"/>
                <w:sz w:val="18"/>
                <w:szCs w:val="18"/>
                <w:lang w:val="en-US" w:eastAsia="zh-CN"/>
              </w:rPr>
            </w:pPr>
            <w:r>
              <w:rPr>
                <w:rFonts w:hint="eastAsia"/>
                <w:bCs/>
                <w:color w:val="auto"/>
                <w:sz w:val="18"/>
                <w:szCs w:val="18"/>
                <w:lang w:val="en-US" w:eastAsia="zh-CN"/>
              </w:rPr>
              <w:t>87.6</w:t>
            </w:r>
          </w:p>
        </w:tc>
        <w:tc>
          <w:tcPr>
            <w:tcW w:w="231" w:type="pct"/>
            <w:noWrap w:val="0"/>
            <w:vAlign w:val="center"/>
          </w:tcPr>
          <w:p>
            <w:pPr>
              <w:widowControl/>
              <w:spacing w:line="240" w:lineRule="auto"/>
              <w:jc w:val="center"/>
              <w:textAlignment w:val="center"/>
              <w:rPr>
                <w:rFonts w:hint="default" w:eastAsia="宋体"/>
                <w:bCs/>
                <w:color w:val="auto"/>
                <w:sz w:val="18"/>
                <w:szCs w:val="18"/>
                <w:lang w:val="en-US" w:eastAsia="zh-CN"/>
              </w:rPr>
            </w:pPr>
            <w:r>
              <w:rPr>
                <w:rFonts w:hint="eastAsia"/>
                <w:bCs/>
                <w:color w:val="auto"/>
                <w:sz w:val="18"/>
                <w:szCs w:val="18"/>
                <w:lang w:val="en-US" w:eastAsia="zh-CN"/>
              </w:rPr>
              <w:t>62.7</w:t>
            </w:r>
          </w:p>
        </w:tc>
        <w:tc>
          <w:tcPr>
            <w:tcW w:w="217" w:type="pct"/>
            <w:noWrap w:val="0"/>
            <w:vAlign w:val="center"/>
          </w:tcPr>
          <w:p>
            <w:pPr>
              <w:widowControl/>
              <w:spacing w:line="240" w:lineRule="auto"/>
              <w:jc w:val="center"/>
              <w:textAlignment w:val="center"/>
              <w:rPr>
                <w:rFonts w:hint="default" w:eastAsia="宋体"/>
                <w:bCs/>
                <w:color w:val="auto"/>
                <w:sz w:val="18"/>
                <w:szCs w:val="18"/>
                <w:lang w:val="en-US" w:eastAsia="zh-CN"/>
              </w:rPr>
            </w:pPr>
            <w:r>
              <w:rPr>
                <w:rFonts w:hint="eastAsia"/>
                <w:bCs/>
                <w:color w:val="auto"/>
                <w:sz w:val="18"/>
                <w:szCs w:val="18"/>
                <w:lang w:val="en-US" w:eastAsia="zh-CN"/>
              </w:rPr>
              <w:t>69.0</w:t>
            </w:r>
          </w:p>
        </w:tc>
        <w:tc>
          <w:tcPr>
            <w:tcW w:w="203"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75.0</w:t>
            </w:r>
          </w:p>
        </w:tc>
        <w:tc>
          <w:tcPr>
            <w:tcW w:w="215"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62.1</w:t>
            </w:r>
          </w:p>
        </w:tc>
        <w:tc>
          <w:tcPr>
            <w:tcW w:w="140" w:type="pct"/>
            <w:vMerge w:val="continue"/>
            <w:noWrap w:val="0"/>
            <w:vAlign w:val="center"/>
          </w:tcPr>
          <w:p>
            <w:pPr>
              <w:adjustRightInd w:val="0"/>
              <w:snapToGrid w:val="0"/>
              <w:spacing w:line="240" w:lineRule="auto"/>
              <w:jc w:val="center"/>
              <w:rPr>
                <w:bCs/>
                <w:color w:val="auto"/>
                <w:sz w:val="18"/>
                <w:szCs w:val="18"/>
              </w:rPr>
            </w:pPr>
          </w:p>
        </w:tc>
        <w:tc>
          <w:tcPr>
            <w:tcW w:w="226" w:type="pct"/>
            <w:noWrap w:val="0"/>
            <w:vAlign w:val="center"/>
          </w:tcPr>
          <w:p>
            <w:pPr>
              <w:adjustRightInd w:val="0"/>
              <w:snapToGrid w:val="0"/>
              <w:spacing w:line="240" w:lineRule="auto"/>
              <w:jc w:val="center"/>
              <w:rPr>
                <w:rFonts w:hint="eastAsia" w:eastAsia="宋体"/>
                <w:bCs/>
                <w:color w:val="auto"/>
                <w:sz w:val="18"/>
                <w:szCs w:val="18"/>
                <w:lang w:eastAsia="zh-CN"/>
              </w:rPr>
            </w:pPr>
            <w:r>
              <w:rPr>
                <w:rFonts w:hint="eastAsia"/>
                <w:bCs/>
                <w:color w:val="auto"/>
                <w:sz w:val="18"/>
                <w:szCs w:val="18"/>
              </w:rPr>
              <w:t>2</w:t>
            </w:r>
            <w:r>
              <w:rPr>
                <w:rFonts w:hint="eastAsia"/>
                <w:bCs/>
                <w:color w:val="auto"/>
                <w:sz w:val="18"/>
                <w:szCs w:val="18"/>
                <w:lang w:val="en-US" w:eastAsia="zh-CN"/>
              </w:rPr>
              <w:t>0</w:t>
            </w:r>
          </w:p>
        </w:tc>
        <w:tc>
          <w:tcPr>
            <w:tcW w:w="213"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bidi="ar"/>
              </w:rPr>
              <w:t>4</w:t>
            </w:r>
            <w:r>
              <w:rPr>
                <w:rFonts w:hint="eastAsia"/>
                <w:color w:val="auto"/>
                <w:kern w:val="0"/>
                <w:sz w:val="18"/>
                <w:szCs w:val="18"/>
                <w:lang w:val="en-US" w:eastAsia="zh-CN" w:bidi="ar"/>
              </w:rPr>
              <w:t>2.7</w:t>
            </w:r>
          </w:p>
        </w:tc>
        <w:tc>
          <w:tcPr>
            <w:tcW w:w="198"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49</w:t>
            </w:r>
          </w:p>
        </w:tc>
        <w:tc>
          <w:tcPr>
            <w:tcW w:w="198"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55</w:t>
            </w:r>
          </w:p>
        </w:tc>
        <w:tc>
          <w:tcPr>
            <w:tcW w:w="205"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42.1</w:t>
            </w:r>
          </w:p>
        </w:tc>
        <w:tc>
          <w:tcPr>
            <w:tcW w:w="234" w:type="pct"/>
            <w:noWrap w:val="0"/>
            <w:vAlign w:val="center"/>
          </w:tcPr>
          <w:p>
            <w:pPr>
              <w:adjustRightInd w:val="0"/>
              <w:snapToGrid w:val="0"/>
              <w:spacing w:line="240" w:lineRule="auto"/>
              <w:jc w:val="center"/>
              <w:rPr>
                <w:bCs/>
                <w:color w:val="auto"/>
                <w:sz w:val="18"/>
                <w:szCs w:val="18"/>
              </w:rPr>
            </w:pPr>
            <w:r>
              <w:rPr>
                <w:rFonts w:hint="eastAsia"/>
                <w:bCs/>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2" w:type="pct"/>
            <w:noWrap w:val="0"/>
            <w:vAlign w:val="center"/>
          </w:tcPr>
          <w:p>
            <w:pPr>
              <w:adjustRightInd w:val="0"/>
              <w:snapToGrid w:val="0"/>
              <w:spacing w:line="240" w:lineRule="auto"/>
              <w:jc w:val="center"/>
              <w:rPr>
                <w:rFonts w:hint="eastAsia"/>
                <w:bCs/>
                <w:color w:val="auto"/>
                <w:sz w:val="18"/>
                <w:szCs w:val="18"/>
              </w:rPr>
            </w:pPr>
            <w:r>
              <w:rPr>
                <w:rFonts w:hint="eastAsia"/>
                <w:bCs/>
                <w:color w:val="auto"/>
                <w:sz w:val="18"/>
                <w:szCs w:val="18"/>
              </w:rPr>
              <w:t>7</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widowControl/>
              <w:spacing w:line="240" w:lineRule="auto"/>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裁板</w:t>
            </w:r>
          </w:p>
          <w:p>
            <w:pPr>
              <w:widowControl/>
              <w:spacing w:line="240" w:lineRule="auto"/>
              <w:jc w:val="center"/>
              <w:rPr>
                <w:rFonts w:hint="eastAsia"/>
                <w:color w:val="auto"/>
                <w:sz w:val="18"/>
                <w:szCs w:val="18"/>
              </w:rPr>
            </w:pPr>
            <w:r>
              <w:rPr>
                <w:rFonts w:hint="eastAsia" w:asciiTheme="minorEastAsia" w:hAnsiTheme="minorEastAsia" w:eastAsiaTheme="minorEastAsia"/>
                <w:color w:val="auto"/>
                <w:sz w:val="18"/>
                <w:szCs w:val="18"/>
              </w:rPr>
              <w:t>锯床</w:t>
            </w:r>
          </w:p>
        </w:tc>
        <w:tc>
          <w:tcPr>
            <w:tcW w:w="207" w:type="pct"/>
            <w:noWrap w:val="0"/>
            <w:vAlign w:val="center"/>
          </w:tcPr>
          <w:p>
            <w:pPr>
              <w:adjustRightInd w:val="0"/>
              <w:snapToGrid w:val="0"/>
              <w:spacing w:line="240" w:lineRule="auto"/>
              <w:jc w:val="center"/>
              <w:rPr>
                <w:rFonts w:hint="eastAsia"/>
                <w:bCs/>
                <w:color w:val="auto"/>
                <w:sz w:val="18"/>
                <w:szCs w:val="18"/>
              </w:rPr>
            </w:pPr>
            <w:r>
              <w:rPr>
                <w:rFonts w:hint="eastAsia"/>
                <w:bCs/>
                <w:color w:val="auto"/>
                <w:sz w:val="18"/>
                <w:szCs w:val="18"/>
              </w:rPr>
              <w:t>85~9</w:t>
            </w:r>
            <w:r>
              <w:rPr>
                <w:rFonts w:hint="eastAsia"/>
                <w:bCs/>
                <w:color w:val="auto"/>
                <w:sz w:val="18"/>
                <w:szCs w:val="18"/>
                <w:lang w:val="en-US" w:eastAsia="zh-CN"/>
              </w:rPr>
              <w:t>0</w:t>
            </w:r>
          </w:p>
        </w:tc>
        <w:tc>
          <w:tcPr>
            <w:tcW w:w="195" w:type="pct"/>
            <w:noWrap w:val="0"/>
            <w:vAlign w:val="center"/>
          </w:tcPr>
          <w:p>
            <w:pPr>
              <w:adjustRightInd w:val="0"/>
              <w:snapToGrid w:val="0"/>
              <w:spacing w:line="240" w:lineRule="auto"/>
              <w:jc w:val="center"/>
              <w:rPr>
                <w:rFonts w:hint="eastAsia" w:eastAsia="宋体"/>
                <w:bCs/>
                <w:color w:val="auto"/>
                <w:sz w:val="18"/>
                <w:szCs w:val="18"/>
                <w:lang w:val="en-US" w:eastAsia="zh-CN"/>
              </w:rPr>
            </w:pPr>
            <w:r>
              <w:rPr>
                <w:rFonts w:hint="eastAsia"/>
                <w:bCs/>
                <w:color w:val="auto"/>
                <w:sz w:val="18"/>
                <w:szCs w:val="18"/>
                <w:lang w:val="en-US" w:eastAsia="zh-CN"/>
              </w:rPr>
              <w:t>1</w:t>
            </w:r>
          </w:p>
        </w:tc>
        <w:tc>
          <w:tcPr>
            <w:tcW w:w="248" w:type="pct"/>
            <w:vMerge w:val="continue"/>
            <w:noWrap w:val="0"/>
            <w:vAlign w:val="center"/>
          </w:tcPr>
          <w:p>
            <w:pPr>
              <w:spacing w:line="240" w:lineRule="auto"/>
              <w:jc w:val="center"/>
              <w:rPr>
                <w:color w:val="auto"/>
                <w:sz w:val="18"/>
                <w:szCs w:val="18"/>
              </w:rPr>
            </w:pPr>
          </w:p>
        </w:tc>
        <w:tc>
          <w:tcPr>
            <w:tcW w:w="208" w:type="pct"/>
            <w:noWrap w:val="0"/>
            <w:vAlign w:val="center"/>
          </w:tcPr>
          <w:p>
            <w:pPr>
              <w:adjustRightInd w:val="0"/>
              <w:snapToGrid w:val="0"/>
              <w:spacing w:line="240" w:lineRule="auto"/>
              <w:jc w:val="center"/>
              <w:rPr>
                <w:rFonts w:hint="default" w:eastAsia="宋体"/>
                <w:bCs/>
                <w:color w:val="auto"/>
                <w:kern w:val="2"/>
                <w:sz w:val="18"/>
                <w:szCs w:val="18"/>
                <w:lang w:val="en-US" w:eastAsia="zh-CN" w:bidi="ar-SA"/>
              </w:rPr>
            </w:pPr>
            <w:r>
              <w:rPr>
                <w:rFonts w:hint="eastAsia"/>
                <w:bCs/>
                <w:color w:val="auto"/>
                <w:sz w:val="18"/>
                <w:szCs w:val="18"/>
                <w:lang w:val="en-US" w:eastAsia="zh-CN"/>
              </w:rPr>
              <w:t>40</w:t>
            </w:r>
          </w:p>
        </w:tc>
        <w:tc>
          <w:tcPr>
            <w:tcW w:w="202" w:type="pct"/>
            <w:noWrap w:val="0"/>
            <w:vAlign w:val="center"/>
          </w:tcPr>
          <w:p>
            <w:pPr>
              <w:adjustRightInd w:val="0"/>
              <w:snapToGrid w:val="0"/>
              <w:spacing w:line="240" w:lineRule="auto"/>
              <w:jc w:val="center"/>
              <w:rPr>
                <w:rFonts w:hint="default" w:eastAsia="宋体"/>
                <w:bCs/>
                <w:color w:val="auto"/>
                <w:kern w:val="2"/>
                <w:sz w:val="18"/>
                <w:szCs w:val="18"/>
                <w:lang w:val="en-US" w:eastAsia="zh-CN" w:bidi="ar-SA"/>
              </w:rPr>
            </w:pPr>
            <w:r>
              <w:rPr>
                <w:rFonts w:hint="eastAsia"/>
                <w:bCs/>
                <w:color w:val="auto"/>
                <w:sz w:val="18"/>
                <w:szCs w:val="18"/>
                <w:lang w:val="en-US" w:eastAsia="zh-CN"/>
              </w:rPr>
              <w:t>18</w:t>
            </w:r>
          </w:p>
        </w:tc>
        <w:tc>
          <w:tcPr>
            <w:tcW w:w="206" w:type="pct"/>
            <w:noWrap w:val="0"/>
            <w:vAlign w:val="center"/>
          </w:tcPr>
          <w:p>
            <w:pPr>
              <w:adjustRightInd w:val="0"/>
              <w:snapToGrid w:val="0"/>
              <w:spacing w:line="240" w:lineRule="auto"/>
              <w:jc w:val="center"/>
              <w:rPr>
                <w:rFonts w:hint="eastAsia"/>
                <w:bCs/>
                <w:color w:val="auto"/>
                <w:kern w:val="2"/>
                <w:sz w:val="18"/>
                <w:szCs w:val="18"/>
                <w:lang w:val="en-US" w:eastAsia="zh-CN" w:bidi="ar-SA"/>
              </w:rPr>
            </w:pPr>
            <w:r>
              <w:rPr>
                <w:rFonts w:hint="eastAsia"/>
                <w:bCs/>
                <w:color w:val="auto"/>
                <w:sz w:val="18"/>
                <w:szCs w:val="18"/>
              </w:rPr>
              <w:t>1</w:t>
            </w:r>
          </w:p>
        </w:tc>
        <w:tc>
          <w:tcPr>
            <w:tcW w:w="215" w:type="pct"/>
            <w:noWrap w:val="0"/>
            <w:vAlign w:val="center"/>
          </w:tcPr>
          <w:p>
            <w:pPr>
              <w:adjustRightInd w:val="0"/>
              <w:snapToGrid w:val="0"/>
              <w:spacing w:line="240" w:lineRule="auto"/>
              <w:jc w:val="center"/>
              <w:rPr>
                <w:rFonts w:hint="eastAsia"/>
                <w:bCs/>
                <w:color w:val="auto"/>
                <w:kern w:val="2"/>
                <w:sz w:val="18"/>
                <w:szCs w:val="18"/>
                <w:lang w:val="en-US" w:eastAsia="zh-CN" w:bidi="ar-SA"/>
              </w:rPr>
            </w:pPr>
            <w:r>
              <w:rPr>
                <w:rFonts w:hint="eastAsia"/>
                <w:bCs/>
                <w:color w:val="auto"/>
                <w:sz w:val="18"/>
                <w:szCs w:val="18"/>
                <w:lang w:val="en-US" w:eastAsia="zh-CN"/>
              </w:rPr>
              <w:t>82.45</w:t>
            </w:r>
          </w:p>
        </w:tc>
        <w:tc>
          <w:tcPr>
            <w:tcW w:w="194" w:type="pct"/>
            <w:noWrap w:val="0"/>
            <w:vAlign w:val="center"/>
          </w:tcPr>
          <w:p>
            <w:pPr>
              <w:adjustRightInd w:val="0"/>
              <w:snapToGrid w:val="0"/>
              <w:spacing w:line="240" w:lineRule="auto"/>
              <w:jc w:val="center"/>
              <w:rPr>
                <w:rFonts w:hint="eastAsia"/>
                <w:bCs/>
                <w:color w:val="auto"/>
                <w:kern w:val="2"/>
                <w:sz w:val="18"/>
                <w:szCs w:val="18"/>
                <w:lang w:val="en-US" w:eastAsia="zh-CN" w:bidi="ar-SA"/>
              </w:rPr>
            </w:pPr>
            <w:r>
              <w:rPr>
                <w:rFonts w:hint="eastAsia"/>
                <w:bCs/>
                <w:color w:val="auto"/>
                <w:sz w:val="18"/>
                <w:szCs w:val="18"/>
                <w:lang w:val="en-US" w:eastAsia="zh-CN"/>
              </w:rPr>
              <w:t>40</w:t>
            </w:r>
          </w:p>
        </w:tc>
        <w:tc>
          <w:tcPr>
            <w:tcW w:w="175" w:type="pct"/>
            <w:noWrap w:val="0"/>
            <w:vAlign w:val="center"/>
          </w:tcPr>
          <w:p>
            <w:pPr>
              <w:adjustRightInd w:val="0"/>
              <w:snapToGrid w:val="0"/>
              <w:spacing w:line="240" w:lineRule="auto"/>
              <w:jc w:val="center"/>
              <w:rPr>
                <w:rFonts w:hint="default" w:eastAsia="宋体"/>
                <w:bCs/>
                <w:color w:val="auto"/>
                <w:kern w:val="2"/>
                <w:sz w:val="18"/>
                <w:szCs w:val="18"/>
                <w:lang w:val="en-US" w:eastAsia="zh-CN" w:bidi="ar-SA"/>
              </w:rPr>
            </w:pPr>
            <w:r>
              <w:rPr>
                <w:rFonts w:hint="eastAsia"/>
                <w:bCs/>
                <w:color w:val="auto"/>
                <w:sz w:val="18"/>
                <w:szCs w:val="18"/>
                <w:lang w:val="en-US" w:eastAsia="zh-CN"/>
              </w:rPr>
              <w:t>18</w:t>
            </w:r>
          </w:p>
        </w:tc>
        <w:tc>
          <w:tcPr>
            <w:tcW w:w="203" w:type="pct"/>
            <w:noWrap w:val="0"/>
            <w:vAlign w:val="center"/>
          </w:tcPr>
          <w:p>
            <w:pPr>
              <w:adjustRightInd w:val="0"/>
              <w:snapToGrid w:val="0"/>
              <w:spacing w:line="240" w:lineRule="auto"/>
              <w:jc w:val="center"/>
              <w:rPr>
                <w:rFonts w:hint="default" w:eastAsia="宋体"/>
                <w:bCs/>
                <w:color w:val="auto"/>
                <w:kern w:val="2"/>
                <w:sz w:val="18"/>
                <w:szCs w:val="18"/>
                <w:lang w:val="en-US" w:eastAsia="zh-CN" w:bidi="ar-SA"/>
              </w:rPr>
            </w:pPr>
            <w:r>
              <w:rPr>
                <w:rFonts w:hint="eastAsia"/>
                <w:bCs/>
                <w:color w:val="auto"/>
                <w:sz w:val="18"/>
                <w:szCs w:val="18"/>
                <w:lang w:val="en-US" w:eastAsia="zh-CN"/>
              </w:rPr>
              <w:t>89.6</w:t>
            </w:r>
          </w:p>
        </w:tc>
        <w:tc>
          <w:tcPr>
            <w:tcW w:w="231" w:type="pct"/>
            <w:noWrap w:val="0"/>
            <w:vAlign w:val="center"/>
          </w:tcPr>
          <w:p>
            <w:pPr>
              <w:widowControl/>
              <w:spacing w:line="240" w:lineRule="auto"/>
              <w:jc w:val="center"/>
              <w:textAlignment w:val="center"/>
              <w:rPr>
                <w:rFonts w:hint="default"/>
                <w:color w:val="auto"/>
                <w:kern w:val="0"/>
                <w:sz w:val="18"/>
                <w:szCs w:val="18"/>
                <w:lang w:val="en-US" w:eastAsia="zh-CN" w:bidi="ar"/>
              </w:rPr>
            </w:pPr>
            <w:r>
              <w:rPr>
                <w:rFonts w:hint="eastAsia"/>
                <w:color w:val="auto"/>
                <w:kern w:val="0"/>
                <w:sz w:val="18"/>
                <w:szCs w:val="18"/>
                <w:lang w:val="en-US" w:eastAsia="zh-CN" w:bidi="ar"/>
              </w:rPr>
              <w:t>51.7</w:t>
            </w:r>
          </w:p>
        </w:tc>
        <w:tc>
          <w:tcPr>
            <w:tcW w:w="217" w:type="pct"/>
            <w:noWrap w:val="0"/>
            <w:vAlign w:val="center"/>
          </w:tcPr>
          <w:p>
            <w:pPr>
              <w:widowControl/>
              <w:spacing w:line="240" w:lineRule="auto"/>
              <w:jc w:val="center"/>
              <w:textAlignment w:val="center"/>
              <w:rPr>
                <w:rFonts w:hint="default"/>
                <w:color w:val="auto"/>
                <w:kern w:val="0"/>
                <w:sz w:val="18"/>
                <w:szCs w:val="18"/>
                <w:lang w:val="en-US" w:eastAsia="zh-CN" w:bidi="ar"/>
              </w:rPr>
            </w:pPr>
            <w:r>
              <w:rPr>
                <w:rFonts w:hint="eastAsia"/>
                <w:color w:val="auto"/>
                <w:kern w:val="0"/>
                <w:sz w:val="18"/>
                <w:szCs w:val="18"/>
                <w:lang w:val="en-US" w:eastAsia="zh-CN" w:bidi="ar"/>
              </w:rPr>
              <w:t>58.0</w:t>
            </w:r>
          </w:p>
        </w:tc>
        <w:tc>
          <w:tcPr>
            <w:tcW w:w="203" w:type="pct"/>
            <w:noWrap w:val="0"/>
            <w:vAlign w:val="center"/>
          </w:tcPr>
          <w:p>
            <w:pPr>
              <w:widowControl/>
              <w:spacing w:line="240" w:lineRule="auto"/>
              <w:jc w:val="center"/>
              <w:textAlignment w:val="center"/>
              <w:rPr>
                <w:rFonts w:hint="default"/>
                <w:color w:val="auto"/>
                <w:kern w:val="0"/>
                <w:sz w:val="18"/>
                <w:szCs w:val="18"/>
                <w:lang w:val="en-US" w:eastAsia="zh-CN" w:bidi="ar"/>
              </w:rPr>
            </w:pPr>
            <w:r>
              <w:rPr>
                <w:rFonts w:hint="eastAsia"/>
                <w:color w:val="auto"/>
                <w:kern w:val="0"/>
                <w:sz w:val="18"/>
                <w:szCs w:val="18"/>
                <w:lang w:val="en-US" w:eastAsia="zh-CN" w:bidi="ar"/>
              </w:rPr>
              <w:t>64.9</w:t>
            </w:r>
          </w:p>
        </w:tc>
        <w:tc>
          <w:tcPr>
            <w:tcW w:w="215" w:type="pct"/>
            <w:noWrap w:val="0"/>
            <w:vAlign w:val="center"/>
          </w:tcPr>
          <w:p>
            <w:pPr>
              <w:widowControl/>
              <w:spacing w:line="240" w:lineRule="auto"/>
              <w:jc w:val="center"/>
              <w:textAlignment w:val="center"/>
              <w:rPr>
                <w:rFonts w:hint="default"/>
                <w:color w:val="auto"/>
                <w:kern w:val="0"/>
                <w:sz w:val="18"/>
                <w:szCs w:val="18"/>
                <w:lang w:val="en-US" w:eastAsia="zh-CN" w:bidi="ar"/>
              </w:rPr>
            </w:pPr>
            <w:r>
              <w:rPr>
                <w:rFonts w:hint="eastAsia"/>
                <w:color w:val="auto"/>
                <w:kern w:val="0"/>
                <w:sz w:val="18"/>
                <w:szCs w:val="18"/>
                <w:lang w:val="en-US" w:eastAsia="zh-CN" w:bidi="ar"/>
              </w:rPr>
              <w:t>51.0</w:t>
            </w:r>
          </w:p>
        </w:tc>
        <w:tc>
          <w:tcPr>
            <w:tcW w:w="140" w:type="pct"/>
            <w:vMerge w:val="continue"/>
            <w:noWrap w:val="0"/>
            <w:vAlign w:val="center"/>
          </w:tcPr>
          <w:p>
            <w:pPr>
              <w:adjustRightInd w:val="0"/>
              <w:snapToGrid w:val="0"/>
              <w:spacing w:line="240" w:lineRule="auto"/>
              <w:jc w:val="center"/>
              <w:rPr>
                <w:bCs/>
                <w:color w:val="auto"/>
                <w:kern w:val="2"/>
                <w:sz w:val="18"/>
                <w:szCs w:val="18"/>
                <w:lang w:val="en-US" w:eastAsia="zh-CN" w:bidi="ar-SA"/>
              </w:rPr>
            </w:pPr>
          </w:p>
        </w:tc>
        <w:tc>
          <w:tcPr>
            <w:tcW w:w="226" w:type="pct"/>
            <w:noWrap w:val="0"/>
            <w:vAlign w:val="center"/>
          </w:tcPr>
          <w:p>
            <w:pPr>
              <w:adjustRightInd w:val="0"/>
              <w:snapToGrid w:val="0"/>
              <w:spacing w:line="240" w:lineRule="auto"/>
              <w:jc w:val="center"/>
              <w:rPr>
                <w:rFonts w:hint="eastAsia" w:eastAsia="宋体"/>
                <w:bCs/>
                <w:color w:val="auto"/>
                <w:kern w:val="2"/>
                <w:sz w:val="18"/>
                <w:szCs w:val="18"/>
                <w:lang w:val="en-US" w:eastAsia="zh-CN" w:bidi="ar-SA"/>
              </w:rPr>
            </w:pPr>
            <w:r>
              <w:rPr>
                <w:rFonts w:hint="eastAsia"/>
                <w:bCs/>
                <w:color w:val="auto"/>
                <w:sz w:val="18"/>
                <w:szCs w:val="18"/>
              </w:rPr>
              <w:t>2</w:t>
            </w:r>
            <w:r>
              <w:rPr>
                <w:rFonts w:hint="eastAsia"/>
                <w:bCs/>
                <w:color w:val="auto"/>
                <w:sz w:val="18"/>
                <w:szCs w:val="18"/>
                <w:lang w:val="en-US" w:eastAsia="zh-CN"/>
              </w:rPr>
              <w:t>0</w:t>
            </w:r>
          </w:p>
        </w:tc>
        <w:tc>
          <w:tcPr>
            <w:tcW w:w="213"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31.7</w:t>
            </w:r>
          </w:p>
        </w:tc>
        <w:tc>
          <w:tcPr>
            <w:tcW w:w="198"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38</w:t>
            </w:r>
          </w:p>
        </w:tc>
        <w:tc>
          <w:tcPr>
            <w:tcW w:w="198"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44.9</w:t>
            </w:r>
          </w:p>
        </w:tc>
        <w:tc>
          <w:tcPr>
            <w:tcW w:w="205" w:type="pct"/>
            <w:noWrap w:val="0"/>
            <w:vAlign w:val="center"/>
          </w:tcPr>
          <w:p>
            <w:pPr>
              <w:widowControl/>
              <w:spacing w:line="240" w:lineRule="auto"/>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31</w:t>
            </w:r>
          </w:p>
        </w:tc>
        <w:tc>
          <w:tcPr>
            <w:tcW w:w="234" w:type="pct"/>
            <w:noWrap w:val="0"/>
            <w:vAlign w:val="center"/>
          </w:tcPr>
          <w:p>
            <w:pPr>
              <w:adjustRightInd w:val="0"/>
              <w:snapToGrid w:val="0"/>
              <w:spacing w:line="240" w:lineRule="auto"/>
              <w:jc w:val="center"/>
              <w:rPr>
                <w:rFonts w:hint="eastAsia"/>
                <w:bCs/>
                <w:color w:val="auto"/>
                <w:kern w:val="2"/>
                <w:sz w:val="18"/>
                <w:szCs w:val="18"/>
                <w:lang w:val="en-US" w:eastAsia="zh-CN" w:bidi="ar-SA"/>
              </w:rPr>
            </w:pPr>
            <w:r>
              <w:rPr>
                <w:rFonts w:hint="eastAsia"/>
                <w:bCs/>
                <w:color w:val="auto"/>
                <w:sz w:val="18"/>
                <w:szCs w:val="18"/>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 w:type="pct"/>
            <w:noWrap w:val="0"/>
            <w:vAlign w:val="center"/>
          </w:tcPr>
          <w:p>
            <w:pPr>
              <w:adjustRightInd w:val="0"/>
              <w:snapToGrid w:val="0"/>
              <w:spacing w:line="240" w:lineRule="auto"/>
              <w:jc w:val="center"/>
              <w:rPr>
                <w:rFonts w:hint="eastAsia" w:eastAsia="宋体"/>
                <w:bCs/>
                <w:color w:val="auto"/>
                <w:sz w:val="18"/>
                <w:szCs w:val="18"/>
                <w:lang w:val="en-US" w:eastAsia="zh-CN"/>
              </w:rPr>
            </w:pPr>
            <w:r>
              <w:rPr>
                <w:rFonts w:hint="eastAsia"/>
                <w:bCs/>
                <w:color w:val="auto"/>
                <w:sz w:val="18"/>
                <w:szCs w:val="18"/>
                <w:lang w:val="en-US" w:eastAsia="zh-CN"/>
              </w:rPr>
              <w:t>8</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widowControl/>
              <w:spacing w:line="240" w:lineRule="auto"/>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气保</w:t>
            </w:r>
          </w:p>
          <w:p>
            <w:pPr>
              <w:widowControl/>
              <w:spacing w:line="240" w:lineRule="auto"/>
              <w:jc w:val="center"/>
              <w:rPr>
                <w:rFonts w:hint="eastAsia" w:eastAsia="宋体"/>
                <w:color w:val="auto"/>
                <w:sz w:val="18"/>
                <w:szCs w:val="18"/>
                <w:lang w:eastAsia="zh-CN"/>
              </w:rPr>
            </w:pPr>
            <w:r>
              <w:rPr>
                <w:rFonts w:hint="eastAsia" w:asciiTheme="minorEastAsia" w:hAnsiTheme="minorEastAsia" w:eastAsiaTheme="minorEastAsia"/>
                <w:color w:val="auto"/>
                <w:sz w:val="18"/>
                <w:szCs w:val="18"/>
              </w:rPr>
              <w:t>焊机</w:t>
            </w:r>
          </w:p>
        </w:tc>
        <w:tc>
          <w:tcPr>
            <w:tcW w:w="20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lang w:val="en-US" w:eastAsia="zh-CN"/>
              </w:rPr>
              <w:t>75</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w:t>
            </w:r>
          </w:p>
        </w:tc>
        <w:tc>
          <w:tcPr>
            <w:tcW w:w="202" w:type="pct"/>
            <w:noWrap w:val="0"/>
            <w:vAlign w:val="center"/>
          </w:tcPr>
          <w:p>
            <w:pPr>
              <w:widowControl/>
              <w:spacing w:line="240"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15</w:t>
            </w:r>
          </w:p>
        </w:tc>
        <w:tc>
          <w:tcPr>
            <w:tcW w:w="206" w:type="pct"/>
            <w:noWrap w:val="0"/>
            <w:vAlign w:val="center"/>
          </w:tcPr>
          <w:p>
            <w:pPr>
              <w:widowControl/>
              <w:spacing w:line="240"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52.45</w:t>
            </w:r>
          </w:p>
        </w:tc>
        <w:tc>
          <w:tcPr>
            <w:tcW w:w="194"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w:t>
            </w:r>
          </w:p>
        </w:tc>
        <w:tc>
          <w:tcPr>
            <w:tcW w:w="17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15</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92.6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43.6</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41.1</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54.5</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38.7</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eastAsia="zh-CN"/>
              </w:rPr>
              <w:t>2</w:t>
            </w:r>
            <w:r>
              <w:rPr>
                <w:rFonts w:hint="eastAsia" w:ascii="Times New Roman" w:hAnsi="Times New Roman" w:eastAsia="宋体" w:cs="Times New Roman"/>
                <w:color w:val="auto"/>
                <w:sz w:val="18"/>
                <w:szCs w:val="18"/>
                <w:lang w:val="en-US" w:eastAsia="zh-CN"/>
              </w:rPr>
              <w:t>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23.6</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21.1</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34.5</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18.7</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42" w:type="pct"/>
            <w:noWrap w:val="0"/>
            <w:vAlign w:val="center"/>
          </w:tcPr>
          <w:p>
            <w:pPr>
              <w:adjustRightInd w:val="0"/>
              <w:snapToGrid w:val="0"/>
              <w:spacing w:line="240" w:lineRule="auto"/>
              <w:jc w:val="center"/>
              <w:rPr>
                <w:rFonts w:hint="eastAsia" w:eastAsia="宋体"/>
                <w:bCs/>
                <w:color w:val="auto"/>
                <w:sz w:val="18"/>
                <w:szCs w:val="18"/>
                <w:lang w:val="en-US" w:eastAsia="zh-CN"/>
              </w:rPr>
            </w:pPr>
            <w:r>
              <w:rPr>
                <w:rFonts w:hint="eastAsia"/>
                <w:bCs/>
                <w:color w:val="auto"/>
                <w:sz w:val="18"/>
                <w:szCs w:val="18"/>
                <w:lang w:val="en-US" w:eastAsia="zh-CN"/>
              </w:rPr>
              <w:t>9</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widowControl/>
              <w:spacing w:line="240" w:lineRule="auto"/>
              <w:jc w:val="center"/>
              <w:rPr>
                <w:color w:val="auto"/>
                <w:sz w:val="18"/>
                <w:szCs w:val="18"/>
              </w:rPr>
            </w:pPr>
            <w:r>
              <w:rPr>
                <w:rFonts w:hint="eastAsia" w:asciiTheme="minorEastAsia" w:hAnsiTheme="minorEastAsia" w:eastAsiaTheme="minorEastAsia"/>
                <w:color w:val="auto"/>
                <w:sz w:val="18"/>
                <w:szCs w:val="18"/>
              </w:rPr>
              <w:t>光纤激光切割机</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85~95</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42</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16</w:t>
            </w:r>
          </w:p>
        </w:tc>
        <w:tc>
          <w:tcPr>
            <w:tcW w:w="206" w:type="pct"/>
            <w:noWrap w:val="0"/>
            <w:vAlign w:val="center"/>
          </w:tcPr>
          <w:p>
            <w:pPr>
              <w:widowControl/>
              <w:spacing w:line="240"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adjustRightInd w:val="0"/>
              <w:snapToGrid w:val="0"/>
              <w:spacing w:line="240" w:lineRule="auto"/>
              <w:jc w:val="center"/>
              <w:rPr>
                <w:rFonts w:hint="eastAsia" w:ascii="Times New Roman" w:hAnsi="Times New Roman" w:eastAsia="宋体" w:cs="Times New Roman"/>
                <w:color w:val="auto"/>
                <w:sz w:val="18"/>
                <w:szCs w:val="18"/>
                <w:lang w:val="en-US" w:eastAsia="zh-CN"/>
              </w:rPr>
            </w:pPr>
            <w:r>
              <w:rPr>
                <w:rFonts w:hint="eastAsia"/>
                <w:bCs/>
                <w:color w:val="auto"/>
                <w:sz w:val="18"/>
                <w:szCs w:val="18"/>
                <w:lang w:val="en-US" w:eastAsia="zh-CN"/>
              </w:rPr>
              <w:t>80.45</w:t>
            </w:r>
          </w:p>
        </w:tc>
        <w:tc>
          <w:tcPr>
            <w:tcW w:w="194" w:type="pct"/>
            <w:noWrap w:val="0"/>
            <w:vAlign w:val="center"/>
          </w:tcPr>
          <w:p>
            <w:pPr>
              <w:adjustRightInd w:val="0"/>
              <w:snapToGrid w:val="0"/>
              <w:spacing w:line="240" w:lineRule="auto"/>
              <w:jc w:val="center"/>
              <w:rPr>
                <w:rFonts w:hint="eastAsia" w:ascii="Times New Roman" w:hAnsi="Times New Roman" w:eastAsia="宋体" w:cs="Times New Roman"/>
                <w:color w:val="auto"/>
                <w:sz w:val="18"/>
                <w:szCs w:val="18"/>
                <w:lang w:val="en-US" w:eastAsia="zh-CN"/>
              </w:rPr>
            </w:pPr>
            <w:r>
              <w:rPr>
                <w:rFonts w:hint="eastAsia"/>
                <w:bCs/>
                <w:color w:val="auto"/>
                <w:sz w:val="18"/>
                <w:szCs w:val="18"/>
                <w:lang w:val="en-US" w:eastAsia="zh-CN"/>
              </w:rPr>
              <w:t>42</w:t>
            </w:r>
          </w:p>
        </w:tc>
        <w:tc>
          <w:tcPr>
            <w:tcW w:w="175"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lang w:val="en-US" w:eastAsia="zh-CN"/>
              </w:rPr>
            </w:pPr>
            <w:r>
              <w:rPr>
                <w:rFonts w:hint="eastAsia"/>
                <w:bCs/>
                <w:color w:val="auto"/>
                <w:sz w:val="18"/>
                <w:szCs w:val="18"/>
                <w:lang w:val="en-US" w:eastAsia="zh-CN"/>
              </w:rPr>
              <w:t>16</w:t>
            </w:r>
          </w:p>
        </w:tc>
        <w:tc>
          <w:tcPr>
            <w:tcW w:w="203" w:type="pct"/>
            <w:noWrap w:val="0"/>
            <w:vAlign w:val="center"/>
          </w:tcPr>
          <w:p>
            <w:pPr>
              <w:adjustRightInd w:val="0"/>
              <w:snapToGrid w:val="0"/>
              <w:spacing w:line="240" w:lineRule="auto"/>
              <w:jc w:val="center"/>
              <w:rPr>
                <w:rFonts w:hint="eastAsia" w:ascii="Times New Roman" w:hAnsi="Times New Roman" w:eastAsia="宋体" w:cs="Times New Roman"/>
                <w:color w:val="auto"/>
                <w:sz w:val="18"/>
                <w:szCs w:val="18"/>
                <w:lang w:val="en-US" w:eastAsia="zh-CN"/>
              </w:rPr>
            </w:pPr>
            <w:r>
              <w:rPr>
                <w:rFonts w:hint="eastAsia"/>
                <w:bCs/>
                <w:color w:val="auto"/>
                <w:sz w:val="18"/>
                <w:szCs w:val="18"/>
                <w:lang w:val="en-US" w:eastAsia="zh-CN"/>
              </w:rPr>
              <w:t>91.6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56.9</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62.5</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70.9</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55.8</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eastAsia="zh-CN"/>
              </w:rPr>
              <w:t>2</w:t>
            </w:r>
            <w:r>
              <w:rPr>
                <w:rFonts w:hint="eastAsia" w:ascii="Times New Roman" w:hAnsi="Times New Roman" w:eastAsia="宋体" w:cs="Times New Roman"/>
                <w:color w:val="auto"/>
                <w:sz w:val="18"/>
                <w:szCs w:val="18"/>
                <w:lang w:val="en-US" w:eastAsia="zh-CN"/>
              </w:rPr>
              <w:t>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36.9</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42.5</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50.9</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35.8</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10</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color w:val="auto"/>
                <w:sz w:val="18"/>
                <w:szCs w:val="18"/>
              </w:rPr>
            </w:pPr>
            <w:r>
              <w:rPr>
                <w:rFonts w:hint="eastAsia"/>
                <w:color w:val="auto"/>
                <w:sz w:val="18"/>
                <w:szCs w:val="18"/>
              </w:rPr>
              <w:t>摇臂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color w:val="auto"/>
              </w:rPr>
            </w:pPr>
            <w:r>
              <w:rPr>
                <w:rFonts w:hint="eastAsia"/>
                <w:color w:val="auto"/>
                <w:sz w:val="18"/>
                <w:szCs w:val="18"/>
              </w:rPr>
              <w:t>铣床</w:t>
            </w:r>
          </w:p>
        </w:tc>
        <w:tc>
          <w:tcPr>
            <w:tcW w:w="20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75~80</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42</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16</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adjustRightInd w:val="0"/>
              <w:snapToGrid w:val="0"/>
              <w:spacing w:line="240" w:lineRule="auto"/>
              <w:jc w:val="center"/>
              <w:rPr>
                <w:rFonts w:hint="eastAsia" w:ascii="Times New Roman" w:hAnsi="Times New Roman" w:eastAsia="宋体" w:cs="Times New Roman"/>
                <w:color w:val="auto"/>
                <w:sz w:val="18"/>
                <w:szCs w:val="18"/>
                <w:lang w:eastAsia="zh-CN"/>
              </w:rPr>
            </w:pPr>
            <w:r>
              <w:rPr>
                <w:rFonts w:hint="eastAsia"/>
                <w:bCs/>
                <w:color w:val="auto"/>
                <w:sz w:val="18"/>
                <w:szCs w:val="18"/>
                <w:lang w:val="en-US" w:eastAsia="zh-CN"/>
              </w:rPr>
              <w:t>80.45</w:t>
            </w:r>
          </w:p>
        </w:tc>
        <w:tc>
          <w:tcPr>
            <w:tcW w:w="194" w:type="pct"/>
            <w:noWrap w:val="0"/>
            <w:vAlign w:val="center"/>
          </w:tcPr>
          <w:p>
            <w:pPr>
              <w:adjustRightInd w:val="0"/>
              <w:snapToGrid w:val="0"/>
              <w:spacing w:line="240" w:lineRule="auto"/>
              <w:jc w:val="center"/>
              <w:rPr>
                <w:rFonts w:hint="eastAsia" w:ascii="Times New Roman" w:hAnsi="Times New Roman" w:eastAsia="宋体" w:cs="Times New Roman"/>
                <w:color w:val="auto"/>
                <w:sz w:val="18"/>
                <w:szCs w:val="18"/>
                <w:lang w:eastAsia="zh-CN"/>
              </w:rPr>
            </w:pPr>
            <w:r>
              <w:rPr>
                <w:rFonts w:hint="eastAsia"/>
                <w:bCs/>
                <w:color w:val="auto"/>
                <w:sz w:val="18"/>
                <w:szCs w:val="18"/>
                <w:lang w:val="en-US" w:eastAsia="zh-CN"/>
              </w:rPr>
              <w:t>42</w:t>
            </w:r>
          </w:p>
        </w:tc>
        <w:tc>
          <w:tcPr>
            <w:tcW w:w="175" w:type="pct"/>
            <w:noWrap w:val="0"/>
            <w:vAlign w:val="center"/>
          </w:tcPr>
          <w:p>
            <w:pPr>
              <w:adjustRightInd w:val="0"/>
              <w:snapToGrid w:val="0"/>
              <w:spacing w:line="240" w:lineRule="auto"/>
              <w:jc w:val="center"/>
              <w:rPr>
                <w:rFonts w:hint="eastAsia" w:ascii="Times New Roman" w:hAnsi="Times New Roman" w:eastAsia="宋体" w:cs="Times New Roman"/>
                <w:color w:val="auto"/>
                <w:sz w:val="18"/>
                <w:szCs w:val="18"/>
                <w:lang w:eastAsia="zh-CN"/>
              </w:rPr>
            </w:pPr>
            <w:r>
              <w:rPr>
                <w:rFonts w:hint="eastAsia"/>
                <w:bCs/>
                <w:color w:val="auto"/>
                <w:sz w:val="18"/>
                <w:szCs w:val="18"/>
                <w:lang w:val="en-US" w:eastAsia="zh-CN"/>
              </w:rPr>
              <w:t>16</w:t>
            </w:r>
          </w:p>
        </w:tc>
        <w:tc>
          <w:tcPr>
            <w:tcW w:w="203" w:type="pct"/>
            <w:noWrap w:val="0"/>
            <w:vAlign w:val="center"/>
          </w:tcPr>
          <w:p>
            <w:pPr>
              <w:adjustRightInd w:val="0"/>
              <w:snapToGrid w:val="0"/>
              <w:spacing w:line="240" w:lineRule="auto"/>
              <w:jc w:val="center"/>
              <w:rPr>
                <w:rFonts w:hint="eastAsia" w:ascii="Times New Roman" w:hAnsi="Times New Roman" w:eastAsia="宋体" w:cs="Times New Roman"/>
                <w:color w:val="auto"/>
                <w:sz w:val="18"/>
                <w:szCs w:val="18"/>
                <w:lang w:eastAsia="zh-CN"/>
              </w:rPr>
            </w:pPr>
            <w:r>
              <w:rPr>
                <w:rFonts w:hint="eastAsia"/>
                <w:bCs/>
                <w:color w:val="auto"/>
                <w:sz w:val="18"/>
                <w:szCs w:val="18"/>
                <w:lang w:val="en-US" w:eastAsia="zh-CN"/>
              </w:rPr>
              <w:t>91.6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47.9</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53.5</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61.9</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46.8</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27.9</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33.5</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41.9</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26.8</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11</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color w:val="auto"/>
              </w:rPr>
            </w:pPr>
            <w:r>
              <w:rPr>
                <w:rFonts w:hint="eastAsia" w:asciiTheme="minorEastAsia" w:hAnsiTheme="minorEastAsia" w:eastAsiaTheme="minorEastAsia"/>
                <w:color w:val="auto"/>
                <w:sz w:val="18"/>
                <w:szCs w:val="18"/>
                <w:highlight w:val="none"/>
              </w:rPr>
              <w:t>真空机械手一套</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75~80</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71.45</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15</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51</w:t>
            </w:r>
          </w:p>
        </w:tc>
        <w:tc>
          <w:tcPr>
            <w:tcW w:w="194"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71.45</w:t>
            </w:r>
          </w:p>
        </w:tc>
        <w:tc>
          <w:tcPr>
            <w:tcW w:w="17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15</w:t>
            </w:r>
          </w:p>
        </w:tc>
        <w:tc>
          <w:tcPr>
            <w:tcW w:w="203"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92.6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48.8</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45.9</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59.5</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43.7</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28.8</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25.9</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39.5</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23.7</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12</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color w:val="auto"/>
              </w:rPr>
            </w:pPr>
            <w:r>
              <w:rPr>
                <w:rFonts w:hint="eastAsia" w:asciiTheme="minorEastAsia" w:hAnsiTheme="minorEastAsia" w:eastAsiaTheme="minorEastAsia"/>
                <w:color w:val="auto"/>
                <w:sz w:val="18"/>
                <w:szCs w:val="18"/>
              </w:rPr>
              <w:t>数控线切割机床</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85~9</w:t>
            </w:r>
            <w:r>
              <w:rPr>
                <w:rFonts w:hint="eastAsia" w:ascii="Times New Roman" w:hAnsi="Times New Roman" w:eastAsia="宋体" w:cs="Times New Roman"/>
                <w:color w:val="auto"/>
                <w:sz w:val="18"/>
                <w:szCs w:val="18"/>
                <w:lang w:val="en-US" w:eastAsia="zh-CN"/>
              </w:rPr>
              <w:t>0</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109.5</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69.6</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lang w:val="en-US" w:eastAsia="zh-CN"/>
              </w:rPr>
            </w:pPr>
            <w:r>
              <w:rPr>
                <w:rFonts w:hint="eastAsia"/>
                <w:bCs/>
                <w:color w:val="auto"/>
                <w:sz w:val="18"/>
                <w:szCs w:val="18"/>
                <w:lang w:val="en-US" w:eastAsia="zh-CN"/>
              </w:rPr>
              <w:t>15</w:t>
            </w:r>
          </w:p>
        </w:tc>
        <w:tc>
          <w:tcPr>
            <w:tcW w:w="19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lang w:val="en-US" w:eastAsia="zh-CN"/>
              </w:rPr>
            </w:pPr>
            <w:r>
              <w:rPr>
                <w:rFonts w:hint="eastAsia"/>
                <w:bCs/>
                <w:color w:val="auto"/>
                <w:sz w:val="18"/>
                <w:szCs w:val="18"/>
                <w:lang w:val="en-US" w:eastAsia="zh-CN"/>
              </w:rPr>
              <w:t>107.45</w:t>
            </w:r>
          </w:p>
        </w:tc>
        <w:tc>
          <w:tcPr>
            <w:tcW w:w="175"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lang w:val="en-US" w:eastAsia="zh-CN"/>
              </w:rPr>
            </w:pPr>
            <w:r>
              <w:rPr>
                <w:rFonts w:hint="eastAsia"/>
                <w:bCs/>
                <w:color w:val="auto"/>
                <w:sz w:val="18"/>
                <w:szCs w:val="18"/>
                <w:lang w:val="en-US" w:eastAsia="zh-CN"/>
              </w:rPr>
              <w:t>69.6</w:t>
            </w:r>
          </w:p>
        </w:tc>
        <w:tc>
          <w:tcPr>
            <w:tcW w:w="203" w:type="pct"/>
            <w:noWrap w:val="0"/>
            <w:vAlign w:val="center"/>
          </w:tcPr>
          <w:p>
            <w:pPr>
              <w:adjustRightInd w:val="0"/>
              <w:snapToGrid w:val="0"/>
              <w:spacing w:line="240" w:lineRule="auto"/>
              <w:jc w:val="center"/>
              <w:rPr>
                <w:rFonts w:hint="eastAsia" w:ascii="Times New Roman" w:hAnsi="Times New Roman" w:eastAsia="宋体" w:cs="Times New Roman"/>
                <w:color w:val="auto"/>
                <w:sz w:val="18"/>
                <w:szCs w:val="18"/>
                <w:lang w:eastAsia="zh-CN"/>
              </w:rPr>
            </w:pPr>
            <w:r>
              <w:rPr>
                <w:rFonts w:hint="eastAsia"/>
                <w:bCs/>
                <w:color w:val="auto"/>
                <w:sz w:val="18"/>
                <w:szCs w:val="18"/>
                <w:lang w:val="en-US" w:eastAsia="zh-CN"/>
              </w:rPr>
              <w:t>60.6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72.4</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55.4</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59.1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60.4</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52.4</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35.4</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39.1</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40.4</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13</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rPr>
            </w:pPr>
            <w:r>
              <w:rPr>
                <w:rFonts w:hint="eastAsia" w:asciiTheme="minorEastAsia" w:hAnsiTheme="minorEastAsia" w:eastAsiaTheme="minorEastAsia"/>
                <w:color w:val="auto"/>
                <w:sz w:val="18"/>
                <w:szCs w:val="18"/>
                <w:lang w:val="en-US" w:eastAsia="zh-CN"/>
              </w:rPr>
              <w:t>全自动红外线对焊机</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75~85</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75</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16</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47.45</w:t>
            </w:r>
          </w:p>
        </w:tc>
        <w:tc>
          <w:tcPr>
            <w:tcW w:w="194"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75</w:t>
            </w:r>
          </w:p>
        </w:tc>
        <w:tc>
          <w:tcPr>
            <w:tcW w:w="17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16</w:t>
            </w:r>
          </w:p>
        </w:tc>
        <w:tc>
          <w:tcPr>
            <w:tcW w:w="203"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91.6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57.5</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53.5</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66.9</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51.8</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37.5</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33.5</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46.9</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31.8</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14</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color w:val="auto"/>
              </w:rPr>
            </w:pPr>
            <w:r>
              <w:rPr>
                <w:rFonts w:hint="eastAsia" w:asciiTheme="minorEastAsia" w:hAnsiTheme="minorEastAsia" w:eastAsiaTheme="minorEastAsia"/>
                <w:color w:val="auto"/>
                <w:sz w:val="18"/>
                <w:szCs w:val="18"/>
              </w:rPr>
              <w:t>切管机</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75~85</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60</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16</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62.45</w:t>
            </w:r>
          </w:p>
        </w:tc>
        <w:tc>
          <w:tcPr>
            <w:tcW w:w="194"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60</w:t>
            </w:r>
          </w:p>
        </w:tc>
        <w:tc>
          <w:tcPr>
            <w:tcW w:w="17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16</w:t>
            </w:r>
          </w:p>
        </w:tc>
        <w:tc>
          <w:tcPr>
            <w:tcW w:w="203"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91.6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52.1</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52.4</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63.9</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48.8</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32.1</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32.4</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43.9</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28.8</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15</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color w:val="auto"/>
              </w:rPr>
            </w:pPr>
            <w:r>
              <w:rPr>
                <w:rFonts w:hint="eastAsia" w:asciiTheme="minorEastAsia" w:hAnsiTheme="minorEastAsia" w:eastAsiaTheme="minorEastAsia"/>
                <w:color w:val="auto"/>
                <w:sz w:val="18"/>
                <w:szCs w:val="18"/>
              </w:rPr>
              <w:t>手持式激光焊接机</w:t>
            </w:r>
          </w:p>
        </w:tc>
        <w:tc>
          <w:tcPr>
            <w:tcW w:w="20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70~80</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66.3</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16</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56.15</w:t>
            </w:r>
          </w:p>
        </w:tc>
        <w:tc>
          <w:tcPr>
            <w:tcW w:w="194"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66.3</w:t>
            </w:r>
          </w:p>
        </w:tc>
        <w:tc>
          <w:tcPr>
            <w:tcW w:w="17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16</w:t>
            </w:r>
          </w:p>
        </w:tc>
        <w:tc>
          <w:tcPr>
            <w:tcW w:w="203"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91.6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51.0</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49.6</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61.9</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46.8</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31.0</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29.6</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41.9</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26.8</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16</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去毛刺机</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75~85</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66.3</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56.15</w:t>
            </w:r>
          </w:p>
        </w:tc>
        <w:tc>
          <w:tcPr>
            <w:tcW w:w="19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66.3</w:t>
            </w:r>
          </w:p>
        </w:tc>
        <w:tc>
          <w:tcPr>
            <w:tcW w:w="17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203"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97.6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50.0</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48.6</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65</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45.2</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30</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28.6</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45</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25.2</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17</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台式钻床</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75~85</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65</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57.45</w:t>
            </w:r>
          </w:p>
        </w:tc>
        <w:tc>
          <w:tcPr>
            <w:tcW w:w="19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65</w:t>
            </w:r>
          </w:p>
        </w:tc>
        <w:tc>
          <w:tcPr>
            <w:tcW w:w="17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10</w:t>
            </w:r>
          </w:p>
        </w:tc>
        <w:tc>
          <w:tcPr>
            <w:tcW w:w="203"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97.6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55.8</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54.7</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51.2</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35.8</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34.7</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51</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31.2</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18</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氩弧焊机</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70~80</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15</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15</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52.45</w:t>
            </w:r>
          </w:p>
        </w:tc>
        <w:tc>
          <w:tcPr>
            <w:tcW w:w="194"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w:t>
            </w:r>
          </w:p>
        </w:tc>
        <w:tc>
          <w:tcPr>
            <w:tcW w:w="17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15</w:t>
            </w:r>
          </w:p>
        </w:tc>
        <w:tc>
          <w:tcPr>
            <w:tcW w:w="203"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92.6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57.4</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54.9</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68.3</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52.5</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37.4</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34.9</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48.3</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32.5</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19</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砂轮机</w:t>
            </w:r>
          </w:p>
        </w:tc>
        <w:tc>
          <w:tcPr>
            <w:tcW w:w="20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80~90</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63</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59.45</w:t>
            </w:r>
          </w:p>
        </w:tc>
        <w:tc>
          <w:tcPr>
            <w:tcW w:w="19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63</w:t>
            </w:r>
          </w:p>
        </w:tc>
        <w:tc>
          <w:tcPr>
            <w:tcW w:w="17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10</w:t>
            </w:r>
          </w:p>
        </w:tc>
        <w:tc>
          <w:tcPr>
            <w:tcW w:w="203"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97.6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59.3</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58.8</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74.8</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55.0</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39.3</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38.8</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54.8</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35</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20</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攻丝机</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75~85</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58</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64.45</w:t>
            </w:r>
          </w:p>
        </w:tc>
        <w:tc>
          <w:tcPr>
            <w:tcW w:w="194"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58</w:t>
            </w:r>
          </w:p>
        </w:tc>
        <w:tc>
          <w:tcPr>
            <w:tcW w:w="17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10</w:t>
            </w:r>
          </w:p>
        </w:tc>
        <w:tc>
          <w:tcPr>
            <w:tcW w:w="203"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97.6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56.6</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57.5</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72.8</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53.0</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36.6</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37.5</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52.8</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33</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21</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管道自动焊机</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70~80</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18</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52.45</w:t>
            </w:r>
          </w:p>
        </w:tc>
        <w:tc>
          <w:tcPr>
            <w:tcW w:w="19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70</w:t>
            </w:r>
          </w:p>
        </w:tc>
        <w:tc>
          <w:tcPr>
            <w:tcW w:w="17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18</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89.6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48.6</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46.1</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57.9</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44.0</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28.6</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26.1</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37.9</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24</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22</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内/外圆磨机</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80~90</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55</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12</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64.45</w:t>
            </w:r>
          </w:p>
        </w:tc>
        <w:tc>
          <w:tcPr>
            <w:tcW w:w="19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55</w:t>
            </w:r>
          </w:p>
        </w:tc>
        <w:tc>
          <w:tcPr>
            <w:tcW w:w="17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12</w:t>
            </w:r>
          </w:p>
        </w:tc>
        <w:tc>
          <w:tcPr>
            <w:tcW w:w="203"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95.6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53.8</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55.2</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68.4</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50.4</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33.8</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35.2</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48.4</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30.4</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23</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lang w:val="en-US" w:eastAsia="zh-CN"/>
              </w:rPr>
              <w:t>数控雕刻机</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70~80</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116.3</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30</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lang w:val="en-US" w:eastAsia="zh-CN"/>
              </w:rPr>
            </w:pPr>
            <w:r>
              <w:rPr>
                <w:rFonts w:hint="eastAsia"/>
                <w:bCs/>
                <w:color w:val="auto"/>
                <w:sz w:val="18"/>
                <w:szCs w:val="18"/>
                <w:lang w:val="en-US" w:eastAsia="zh-CN"/>
              </w:rPr>
              <w:t>6.15</w:t>
            </w:r>
          </w:p>
        </w:tc>
        <w:tc>
          <w:tcPr>
            <w:tcW w:w="19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lang w:val="en-US" w:eastAsia="zh-CN"/>
              </w:rPr>
            </w:pPr>
            <w:r>
              <w:rPr>
                <w:rFonts w:hint="eastAsia"/>
                <w:bCs/>
                <w:color w:val="auto"/>
                <w:sz w:val="18"/>
                <w:szCs w:val="18"/>
                <w:lang w:val="en-US" w:eastAsia="zh-CN"/>
              </w:rPr>
              <w:t>116.3</w:t>
            </w:r>
          </w:p>
        </w:tc>
        <w:tc>
          <w:tcPr>
            <w:tcW w:w="175"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lang w:val="en-US" w:eastAsia="zh-CN"/>
              </w:rPr>
            </w:pPr>
            <w:r>
              <w:rPr>
                <w:rFonts w:hint="eastAsia"/>
                <w:bCs/>
                <w:color w:val="auto"/>
                <w:sz w:val="18"/>
                <w:szCs w:val="18"/>
                <w:lang w:val="en-US" w:eastAsia="zh-CN"/>
              </w:rPr>
              <w:t>30</w:t>
            </w:r>
          </w:p>
        </w:tc>
        <w:tc>
          <w:tcPr>
            <w:tcW w:w="203"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lang w:val="en-US" w:eastAsia="zh-CN"/>
              </w:rPr>
            </w:pPr>
            <w:r>
              <w:rPr>
                <w:rFonts w:hint="eastAsia"/>
                <w:bCs/>
                <w:color w:val="auto"/>
                <w:sz w:val="18"/>
                <w:szCs w:val="18"/>
                <w:lang w:val="en-US" w:eastAsia="zh-CN"/>
              </w:rPr>
              <w:t>77.6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72.0</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46.5</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58.3</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50.0</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52</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26.5</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38.3</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30</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24</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color w:val="auto"/>
                <w:sz w:val="18"/>
                <w:szCs w:val="18"/>
                <w:lang w:val="en-US" w:eastAsia="zh-CN"/>
              </w:rPr>
            </w:pPr>
            <w:r>
              <w:rPr>
                <w:rFonts w:hint="eastAsia"/>
                <w:color w:val="auto"/>
                <w:sz w:val="18"/>
                <w:szCs w:val="18"/>
                <w:lang w:val="en-US" w:eastAsia="zh-CN"/>
              </w:rPr>
              <w:t>动平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olor w:val="auto"/>
                <w:sz w:val="18"/>
                <w:szCs w:val="18"/>
                <w:lang w:val="en-US" w:eastAsia="zh-CN"/>
              </w:rPr>
            </w:pPr>
            <w:r>
              <w:rPr>
                <w:rFonts w:hint="eastAsia"/>
                <w:color w:val="auto"/>
                <w:sz w:val="18"/>
                <w:szCs w:val="18"/>
                <w:lang w:val="en-US" w:eastAsia="zh-CN"/>
              </w:rPr>
              <w:t>衡机</w:t>
            </w:r>
          </w:p>
        </w:tc>
        <w:tc>
          <w:tcPr>
            <w:tcW w:w="20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70~75</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62</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100</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60.45</w:t>
            </w:r>
          </w:p>
        </w:tc>
        <w:tc>
          <w:tcPr>
            <w:tcW w:w="194"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62</w:t>
            </w:r>
          </w:p>
        </w:tc>
        <w:tc>
          <w:tcPr>
            <w:tcW w:w="17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100</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39.4</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39.2</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35</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57.4</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19.4</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19.2</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15</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37.4</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25</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olor w:val="auto"/>
                <w:sz w:val="18"/>
                <w:szCs w:val="18"/>
                <w:lang w:val="en-US" w:eastAsia="zh-CN"/>
              </w:rPr>
            </w:pPr>
            <w:r>
              <w:rPr>
                <w:rFonts w:hint="eastAsia"/>
                <w:color w:val="auto"/>
                <w:sz w:val="18"/>
                <w:szCs w:val="18"/>
                <w:lang w:val="en-US" w:eastAsia="zh-CN"/>
              </w:rPr>
              <w:t>超纯水设备</w:t>
            </w:r>
          </w:p>
        </w:tc>
        <w:tc>
          <w:tcPr>
            <w:tcW w:w="20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70~75</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60</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85</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62.45</w:t>
            </w:r>
          </w:p>
        </w:tc>
        <w:tc>
          <w:tcPr>
            <w:tcW w:w="19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60</w:t>
            </w:r>
          </w:p>
        </w:tc>
        <w:tc>
          <w:tcPr>
            <w:tcW w:w="17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85</w:t>
            </w:r>
          </w:p>
        </w:tc>
        <w:tc>
          <w:tcPr>
            <w:tcW w:w="203"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22.6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39.1</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39.4</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36.4</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39.4</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19.1</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19.4</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16.4</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19.4</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26</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18"/>
                <w:szCs w:val="18"/>
                <w:lang w:val="en-US" w:eastAsia="zh-CN"/>
              </w:rPr>
            </w:pPr>
            <w:r>
              <w:rPr>
                <w:rFonts w:hint="eastAsia"/>
                <w:color w:val="auto"/>
                <w:sz w:val="18"/>
                <w:szCs w:val="18"/>
                <w:lang w:val="en-US" w:eastAsia="zh-CN"/>
              </w:rPr>
              <w:t>风机</w:t>
            </w:r>
          </w:p>
        </w:tc>
        <w:tc>
          <w:tcPr>
            <w:tcW w:w="207"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90~100</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52.45</w:t>
            </w:r>
          </w:p>
        </w:tc>
        <w:tc>
          <w:tcPr>
            <w:tcW w:w="194"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w:t>
            </w:r>
          </w:p>
        </w:tc>
        <w:tc>
          <w:tcPr>
            <w:tcW w:w="17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37.6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72.6</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70.1</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70.1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75.5</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42.6</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40.1</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40.1</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45.5</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2" w:type="pct"/>
            <w:noWrap w:val="0"/>
            <w:vAlign w:val="center"/>
          </w:tcPr>
          <w:p>
            <w:pPr>
              <w:adjustRightInd w:val="0"/>
              <w:snapToGrid w:val="0"/>
              <w:spacing w:line="240" w:lineRule="auto"/>
              <w:jc w:val="center"/>
              <w:rPr>
                <w:rFonts w:hint="default"/>
                <w:bCs/>
                <w:color w:val="auto"/>
                <w:sz w:val="18"/>
                <w:szCs w:val="18"/>
                <w:lang w:val="en-US" w:eastAsia="zh-CN"/>
              </w:rPr>
            </w:pPr>
            <w:r>
              <w:rPr>
                <w:rFonts w:hint="eastAsia"/>
                <w:bCs/>
                <w:color w:val="auto"/>
                <w:sz w:val="18"/>
                <w:szCs w:val="18"/>
                <w:lang w:val="en-US" w:eastAsia="zh-CN"/>
              </w:rPr>
              <w:t>27</w:t>
            </w:r>
          </w:p>
        </w:tc>
        <w:tc>
          <w:tcPr>
            <w:tcW w:w="143" w:type="pct"/>
            <w:vMerge w:val="continue"/>
            <w:noWrap w:val="0"/>
            <w:vAlign w:val="center"/>
          </w:tcPr>
          <w:p>
            <w:pPr>
              <w:adjustRightInd w:val="0"/>
              <w:snapToGrid w:val="0"/>
              <w:spacing w:line="240" w:lineRule="auto"/>
              <w:jc w:val="center"/>
              <w:rPr>
                <w:color w:val="auto"/>
                <w:sz w:val="18"/>
                <w:szCs w:val="18"/>
              </w:rPr>
            </w:pP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18"/>
                <w:szCs w:val="18"/>
                <w:lang w:val="en-US" w:eastAsia="zh-CN"/>
              </w:rPr>
            </w:pPr>
            <w:r>
              <w:rPr>
                <w:rFonts w:hint="eastAsia"/>
                <w:color w:val="auto"/>
                <w:sz w:val="18"/>
                <w:szCs w:val="18"/>
                <w:lang w:val="en-US" w:eastAsia="zh-CN"/>
              </w:rPr>
              <w:t>烟尘净化器</w:t>
            </w:r>
          </w:p>
        </w:tc>
        <w:tc>
          <w:tcPr>
            <w:tcW w:w="207" w:type="pct"/>
            <w:noWrap w:val="0"/>
            <w:vAlign w:val="center"/>
          </w:tcPr>
          <w:p>
            <w:pPr>
              <w:widowControl/>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70~80</w:t>
            </w:r>
          </w:p>
        </w:tc>
        <w:tc>
          <w:tcPr>
            <w:tcW w:w="19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248"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0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69.45</w:t>
            </w:r>
          </w:p>
        </w:tc>
        <w:tc>
          <w:tcPr>
            <w:tcW w:w="202"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15</w:t>
            </w:r>
          </w:p>
        </w:tc>
        <w:tc>
          <w:tcPr>
            <w:tcW w:w="206"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53</w:t>
            </w:r>
          </w:p>
        </w:tc>
        <w:tc>
          <w:tcPr>
            <w:tcW w:w="194"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69.45</w:t>
            </w:r>
          </w:p>
        </w:tc>
        <w:tc>
          <w:tcPr>
            <w:tcW w:w="17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15</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92.6</w:t>
            </w:r>
          </w:p>
        </w:tc>
        <w:tc>
          <w:tcPr>
            <w:tcW w:w="231"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55.1</w:t>
            </w:r>
          </w:p>
        </w:tc>
        <w:tc>
          <w:tcPr>
            <w:tcW w:w="217"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53.2</w:t>
            </w:r>
          </w:p>
        </w:tc>
        <w:tc>
          <w:tcPr>
            <w:tcW w:w="20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66.5</w:t>
            </w:r>
          </w:p>
        </w:tc>
        <w:tc>
          <w:tcPr>
            <w:tcW w:w="21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50.7</w:t>
            </w:r>
          </w:p>
        </w:tc>
        <w:tc>
          <w:tcPr>
            <w:tcW w:w="140" w:type="pct"/>
            <w:vMerge w:val="continue"/>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p>
        </w:tc>
        <w:tc>
          <w:tcPr>
            <w:tcW w:w="226"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20</w:t>
            </w:r>
          </w:p>
        </w:tc>
        <w:tc>
          <w:tcPr>
            <w:tcW w:w="213"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35.1</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33.2</w:t>
            </w:r>
          </w:p>
        </w:tc>
        <w:tc>
          <w:tcPr>
            <w:tcW w:w="198"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46.5</w:t>
            </w:r>
          </w:p>
        </w:tc>
        <w:tc>
          <w:tcPr>
            <w:tcW w:w="205" w:type="pct"/>
            <w:noWrap w:val="0"/>
            <w:vAlign w:val="center"/>
          </w:tcPr>
          <w:p>
            <w:pPr>
              <w:widowControl/>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30.7</w:t>
            </w:r>
          </w:p>
        </w:tc>
        <w:tc>
          <w:tcPr>
            <w:tcW w:w="234" w:type="pct"/>
            <w:noWrap w:val="0"/>
            <w:vAlign w:val="center"/>
          </w:tcPr>
          <w:p>
            <w:pPr>
              <w:widowControl/>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1m</w:t>
            </w:r>
          </w:p>
        </w:tc>
      </w:tr>
    </w:tbl>
    <w:p>
      <w:pPr>
        <w:adjustRightInd w:val="0"/>
        <w:snapToGrid w:val="0"/>
        <w:spacing w:line="240" w:lineRule="auto"/>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注：根据声导则，本项目同类型设备有大致相同的源强、尺寸，位于</w:t>
      </w:r>
      <w:r>
        <w:rPr>
          <w:rFonts w:hint="eastAsia" w:ascii="Times New Roman" w:hAnsi="Times New Roman" w:eastAsia="宋体" w:cs="Times New Roman"/>
          <w:color w:val="000000"/>
          <w:sz w:val="18"/>
          <w:szCs w:val="18"/>
          <w:lang w:eastAsia="zh-CN"/>
        </w:rPr>
        <w:t>同一</w:t>
      </w:r>
      <w:r>
        <w:rPr>
          <w:rFonts w:hint="eastAsia" w:ascii="Times New Roman" w:hAnsi="Times New Roman" w:eastAsia="宋体" w:cs="Times New Roman"/>
          <w:color w:val="000000"/>
          <w:sz w:val="18"/>
          <w:szCs w:val="18"/>
        </w:rPr>
        <w:t>车间内，传播条件相同，且声源至车间各边界距离均大于自身最大几何尺寸的两倍，因此众多相同类型设备同类型等效为一个设备，坐标为等效坐标点位置，其噪声级叠加计算。</w:t>
      </w:r>
    </w:p>
    <w:p>
      <w:pPr>
        <w:adjustRightInd w:val="0"/>
        <w:snapToGrid w:val="0"/>
        <w:spacing w:line="360" w:lineRule="auto"/>
        <w:rPr>
          <w:b/>
          <w:color w:val="FF0000"/>
          <w:kern w:val="0"/>
          <w:szCs w:val="21"/>
        </w:rPr>
        <w:sectPr>
          <w:pgSz w:w="16840" w:h="11907" w:orient="landscape"/>
          <w:pgMar w:top="1800" w:right="1440" w:bottom="1800" w:left="1440" w:header="851" w:footer="851" w:gutter="0"/>
          <w:pgBorders>
            <w:top w:val="none" w:sz="0" w:space="0"/>
            <w:left w:val="none" w:sz="0" w:space="0"/>
            <w:bottom w:val="none" w:sz="0" w:space="0"/>
            <w:right w:val="none" w:sz="0" w:space="0"/>
          </w:pgBorders>
          <w:cols w:space="720" w:num="1"/>
          <w:docGrid w:linePitch="312" w:charSpace="0"/>
        </w:sectPr>
      </w:pPr>
    </w:p>
    <w:tbl>
      <w:tblPr>
        <w:tblStyle w:val="44"/>
        <w:tblW w:w="57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0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 w:type="pct"/>
            <w:noWrap w:val="0"/>
            <w:tcMar>
              <w:left w:w="28" w:type="dxa"/>
              <w:right w:w="28" w:type="dxa"/>
            </w:tcMar>
            <w:vAlign w:val="center"/>
          </w:tcPr>
          <w:p>
            <w:pPr>
              <w:adjustRightInd w:val="0"/>
              <w:snapToGrid w:val="0"/>
              <w:jc w:val="center"/>
              <w:rPr>
                <w:bCs/>
                <w:color w:val="auto"/>
                <w:szCs w:val="21"/>
              </w:rPr>
            </w:pPr>
            <w:r>
              <w:rPr>
                <w:bCs/>
                <w:color w:val="auto"/>
                <w:szCs w:val="21"/>
              </w:rPr>
              <w:t>运营</w:t>
            </w:r>
          </w:p>
          <w:p>
            <w:pPr>
              <w:adjustRightInd w:val="0"/>
              <w:snapToGrid w:val="0"/>
              <w:jc w:val="center"/>
              <w:rPr>
                <w:bCs/>
                <w:color w:val="auto"/>
                <w:szCs w:val="21"/>
              </w:rPr>
            </w:pPr>
            <w:r>
              <w:rPr>
                <w:bCs/>
                <w:color w:val="auto"/>
                <w:szCs w:val="21"/>
              </w:rPr>
              <w:t>期环</w:t>
            </w:r>
          </w:p>
          <w:p>
            <w:pPr>
              <w:adjustRightInd w:val="0"/>
              <w:snapToGrid w:val="0"/>
              <w:jc w:val="center"/>
              <w:rPr>
                <w:bCs/>
                <w:color w:val="auto"/>
                <w:szCs w:val="21"/>
              </w:rPr>
            </w:pPr>
            <w:r>
              <w:rPr>
                <w:bCs/>
                <w:color w:val="auto"/>
                <w:szCs w:val="21"/>
              </w:rPr>
              <w:t>境影</w:t>
            </w:r>
          </w:p>
          <w:p>
            <w:pPr>
              <w:adjustRightInd w:val="0"/>
              <w:snapToGrid w:val="0"/>
              <w:jc w:val="center"/>
              <w:rPr>
                <w:bCs/>
                <w:color w:val="auto"/>
                <w:szCs w:val="21"/>
              </w:rPr>
            </w:pPr>
            <w:r>
              <w:rPr>
                <w:bCs/>
                <w:color w:val="auto"/>
                <w:szCs w:val="21"/>
              </w:rPr>
              <w:t>响和</w:t>
            </w:r>
          </w:p>
          <w:p>
            <w:pPr>
              <w:adjustRightInd w:val="0"/>
              <w:snapToGrid w:val="0"/>
              <w:jc w:val="center"/>
              <w:rPr>
                <w:bCs/>
                <w:color w:val="auto"/>
                <w:szCs w:val="21"/>
              </w:rPr>
            </w:pPr>
            <w:r>
              <w:rPr>
                <w:bCs/>
                <w:color w:val="auto"/>
                <w:szCs w:val="21"/>
              </w:rPr>
              <w:t>保护</w:t>
            </w:r>
          </w:p>
          <w:p>
            <w:pPr>
              <w:adjustRightInd w:val="0"/>
              <w:snapToGrid w:val="0"/>
              <w:jc w:val="center"/>
              <w:rPr>
                <w:bCs/>
                <w:color w:val="FF0000"/>
                <w:szCs w:val="21"/>
              </w:rPr>
            </w:pPr>
            <w:r>
              <w:rPr>
                <w:bCs/>
                <w:color w:val="auto"/>
                <w:szCs w:val="21"/>
              </w:rPr>
              <w:t>措施</w:t>
            </w:r>
          </w:p>
        </w:tc>
        <w:tc>
          <w:tcPr>
            <w:tcW w:w="4682" w:type="pct"/>
            <w:noWrap w:val="0"/>
            <w:vAlign w:val="center"/>
          </w:tcPr>
          <w:p>
            <w:pPr>
              <w:pStyle w:val="147"/>
              <w:rPr>
                <w:b/>
                <w:bCs w:val="0"/>
                <w:color w:val="auto"/>
                <w:kern w:val="24"/>
                <w:lang w:val="en-US" w:eastAsia="zh-CN"/>
              </w:rPr>
            </w:pPr>
            <w:r>
              <w:rPr>
                <w:color w:val="auto"/>
                <w:kern w:val="0"/>
              </w:rPr>
              <w:t>（2）</w:t>
            </w:r>
            <w:r>
              <w:rPr>
                <w:rFonts w:hint="eastAsia"/>
                <w:b/>
                <w:bCs w:val="0"/>
                <w:color w:val="auto"/>
                <w:kern w:val="24"/>
                <w:lang w:val="en-US" w:eastAsia="zh-CN"/>
              </w:rPr>
              <w:t>预测模式：</w:t>
            </w:r>
          </w:p>
          <w:p>
            <w:pPr>
              <w:widowControl/>
              <w:spacing w:line="360" w:lineRule="auto"/>
              <w:ind w:firstLine="420" w:firstLineChars="200"/>
              <w:rPr>
                <w:rFonts w:hint="eastAsia"/>
                <w:bCs/>
                <w:color w:val="auto"/>
                <w:szCs w:val="21"/>
              </w:rPr>
            </w:pPr>
            <w:r>
              <w:rPr>
                <w:rFonts w:hint="eastAsia"/>
                <w:bCs/>
                <w:color w:val="auto"/>
                <w:szCs w:val="21"/>
              </w:rPr>
              <w:t>2、影响预测</w:t>
            </w:r>
          </w:p>
          <w:p>
            <w:pPr>
              <w:widowControl/>
              <w:spacing w:line="360" w:lineRule="auto"/>
              <w:ind w:firstLine="420" w:firstLineChars="200"/>
              <w:rPr>
                <w:bCs/>
                <w:color w:val="auto"/>
                <w:szCs w:val="21"/>
              </w:rPr>
            </w:pPr>
            <w:r>
              <w:rPr>
                <w:rFonts w:hint="eastAsia"/>
                <w:bCs/>
                <w:color w:val="auto"/>
                <w:szCs w:val="21"/>
              </w:rPr>
              <w:t>①预测内容和预测因子</w:t>
            </w:r>
          </w:p>
          <w:p>
            <w:pPr>
              <w:widowControl/>
              <w:spacing w:line="360" w:lineRule="auto"/>
              <w:ind w:firstLine="420" w:firstLineChars="200"/>
              <w:rPr>
                <w:bCs/>
                <w:color w:val="auto"/>
                <w:szCs w:val="21"/>
              </w:rPr>
            </w:pPr>
            <w:r>
              <w:rPr>
                <w:rFonts w:hint="eastAsia"/>
                <w:bCs/>
                <w:color w:val="auto"/>
                <w:szCs w:val="21"/>
              </w:rPr>
              <w:t>预测内容：项目厂区东、西、南、北厂界。</w:t>
            </w:r>
          </w:p>
          <w:p>
            <w:pPr>
              <w:widowControl/>
              <w:spacing w:line="360" w:lineRule="auto"/>
              <w:ind w:firstLine="420" w:firstLineChars="200"/>
              <w:rPr>
                <w:rFonts w:hint="eastAsia"/>
                <w:bCs/>
                <w:color w:val="auto"/>
                <w:szCs w:val="21"/>
              </w:rPr>
            </w:pPr>
            <w:r>
              <w:rPr>
                <w:rFonts w:hint="eastAsia"/>
                <w:bCs/>
                <w:color w:val="auto"/>
                <w:szCs w:val="21"/>
              </w:rPr>
              <w:t>预测因子：昼、夜间等效声级</w:t>
            </w:r>
            <w:r>
              <w:rPr>
                <w:bCs/>
                <w:color w:val="auto"/>
                <w:szCs w:val="21"/>
              </w:rPr>
              <w:t>L</w:t>
            </w:r>
            <w:r>
              <w:rPr>
                <w:bCs/>
                <w:color w:val="auto"/>
                <w:szCs w:val="21"/>
                <w:vertAlign w:val="subscript"/>
              </w:rPr>
              <w:t>d</w:t>
            </w:r>
            <w:r>
              <w:rPr>
                <w:rFonts w:hint="eastAsia"/>
                <w:bCs/>
                <w:color w:val="auto"/>
                <w:szCs w:val="21"/>
              </w:rPr>
              <w:t>、</w:t>
            </w:r>
            <w:r>
              <w:rPr>
                <w:bCs/>
                <w:color w:val="auto"/>
                <w:szCs w:val="21"/>
              </w:rPr>
              <w:t>L</w:t>
            </w:r>
            <w:r>
              <w:rPr>
                <w:bCs/>
                <w:color w:val="auto"/>
                <w:szCs w:val="21"/>
                <w:vertAlign w:val="subscript"/>
              </w:rPr>
              <w:t>n</w:t>
            </w:r>
            <w:r>
              <w:rPr>
                <w:rFonts w:hint="eastAsia"/>
                <w:bCs/>
                <w:color w:val="auto"/>
                <w:szCs w:val="21"/>
              </w:rPr>
              <w:t>。</w:t>
            </w:r>
          </w:p>
          <w:p>
            <w:pPr>
              <w:widowControl/>
              <w:spacing w:line="360" w:lineRule="auto"/>
              <w:ind w:firstLine="420" w:firstLineChars="200"/>
              <w:rPr>
                <w:bCs/>
                <w:color w:val="auto"/>
                <w:szCs w:val="21"/>
              </w:rPr>
            </w:pPr>
            <w:r>
              <w:rPr>
                <w:bCs/>
                <w:color w:val="auto"/>
                <w:szCs w:val="21"/>
              </w:rPr>
              <w:fldChar w:fldCharType="begin"/>
            </w:r>
            <w:r>
              <w:rPr>
                <w:bCs/>
                <w:color w:val="auto"/>
                <w:szCs w:val="21"/>
              </w:rPr>
              <w:instrText xml:space="preserve"> </w:instrText>
            </w:r>
            <w:r>
              <w:rPr>
                <w:rFonts w:hint="eastAsia"/>
                <w:bCs/>
                <w:color w:val="auto"/>
                <w:szCs w:val="21"/>
              </w:rPr>
              <w:instrText xml:space="preserve">= 2 \* GB3</w:instrText>
            </w:r>
            <w:r>
              <w:rPr>
                <w:bCs/>
                <w:color w:val="auto"/>
                <w:szCs w:val="21"/>
              </w:rPr>
              <w:instrText xml:space="preserve"> </w:instrText>
            </w:r>
            <w:r>
              <w:rPr>
                <w:bCs/>
                <w:color w:val="auto"/>
                <w:szCs w:val="21"/>
              </w:rPr>
              <w:fldChar w:fldCharType="separate"/>
            </w:r>
            <w:r>
              <w:rPr>
                <w:rFonts w:hint="eastAsia"/>
                <w:bCs/>
                <w:color w:val="auto"/>
                <w:szCs w:val="21"/>
              </w:rPr>
              <w:t>②</w:t>
            </w:r>
            <w:r>
              <w:rPr>
                <w:bCs/>
                <w:color w:val="auto"/>
                <w:szCs w:val="21"/>
              </w:rPr>
              <w:fldChar w:fldCharType="end"/>
            </w:r>
            <w:r>
              <w:rPr>
                <w:rFonts w:hint="eastAsia"/>
                <w:bCs/>
                <w:color w:val="auto"/>
                <w:szCs w:val="21"/>
              </w:rPr>
              <w:t>预测模式</w:t>
            </w:r>
          </w:p>
          <w:p>
            <w:pPr>
              <w:tabs>
                <w:tab w:val="left" w:pos="0"/>
              </w:tabs>
              <w:spacing w:line="360" w:lineRule="auto"/>
              <w:ind w:right="-30" w:firstLine="482"/>
              <w:rPr>
                <w:color w:val="auto"/>
                <w:szCs w:val="21"/>
              </w:rPr>
            </w:pPr>
            <w:r>
              <w:rPr>
                <w:rFonts w:hint="eastAsia"/>
                <w:color w:val="auto"/>
                <w:szCs w:val="21"/>
              </w:rPr>
              <w:t>根据建设单位提供资料，本项目的生产设备均设置在厂房内，根据《环境影响评价技术导则声环境》（HJ2.4-2021）对室内声源的预测方法，声源位于室内，室内声源可采用等效室外声源声功率级法进行计算。</w:t>
            </w:r>
            <w:r>
              <w:rPr>
                <w:color w:val="auto"/>
                <w:szCs w:val="21"/>
              </w:rPr>
              <w:t>设靠近开口处（或窗户）室内、室外某倍频带的声压级分别为L</w:t>
            </w:r>
            <w:r>
              <w:rPr>
                <w:color w:val="auto"/>
                <w:szCs w:val="21"/>
                <w:vertAlign w:val="subscript"/>
              </w:rPr>
              <w:t>p1</w:t>
            </w:r>
            <w:r>
              <w:rPr>
                <w:color w:val="auto"/>
                <w:szCs w:val="21"/>
              </w:rPr>
              <w:t>和L</w:t>
            </w:r>
            <w:r>
              <w:rPr>
                <w:color w:val="auto"/>
                <w:szCs w:val="21"/>
                <w:vertAlign w:val="subscript"/>
              </w:rPr>
              <w:t>p2</w:t>
            </w:r>
            <w:r>
              <w:rPr>
                <w:color w:val="auto"/>
                <w:szCs w:val="21"/>
              </w:rPr>
              <w:t>。若声源所在室内声场为近似扩散声场，则室外的倍频带声压级可按下式近似求出：</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right="-28"/>
              <w:jc w:val="center"/>
              <w:textAlignment w:val="auto"/>
              <w:rPr>
                <w:color w:val="auto"/>
                <w:szCs w:val="21"/>
              </w:rPr>
            </w:pPr>
            <w:r>
              <w:rPr>
                <w:color w:val="auto"/>
                <w:position w:val="-14"/>
                <w:szCs w:val="21"/>
              </w:rPr>
              <w:object>
                <v:shape id="_x0000_i1025" o:spt="75" type="#_x0000_t75" style="height:20.05pt;width:92.05pt;" o:ole="t" filled="f" o:preferrelative="t" stroked="f" coordsize="21600,21600">
                  <v:path/>
                  <v:fill on="f" alignshape="1" focussize="0,0"/>
                  <v:stroke on="f"/>
                  <v:imagedata r:id="rId11" o:title=""/>
                  <o:lock v:ext="edit" aspectratio="t"/>
                  <w10:wrap type="none"/>
                  <w10:anchorlock/>
                </v:shape>
                <o:OLEObject Type="Embed" ProgID="Equation.DSMT4" ShapeID="_x0000_i1025" DrawAspect="Content" ObjectID="_1468075725" r:id="rId10">
                  <o:LockedField>false</o:LockedField>
                </o:OLEObject>
              </w:object>
            </w:r>
          </w:p>
          <w:p>
            <w:pPr>
              <w:tabs>
                <w:tab w:val="left" w:pos="0"/>
              </w:tabs>
              <w:spacing w:line="360" w:lineRule="auto"/>
              <w:ind w:right="-28" w:firstLine="482"/>
              <w:rPr>
                <w:color w:val="auto"/>
                <w:szCs w:val="21"/>
              </w:rPr>
            </w:pPr>
            <w:r>
              <w:rPr>
                <w:color w:val="auto"/>
                <w:szCs w:val="21"/>
              </w:rPr>
              <w:t>式中：</w:t>
            </w:r>
          </w:p>
          <w:p>
            <w:pPr>
              <w:tabs>
                <w:tab w:val="left" w:pos="0"/>
              </w:tabs>
              <w:spacing w:line="360" w:lineRule="auto"/>
              <w:ind w:right="-28" w:firstLine="482"/>
              <w:rPr>
                <w:color w:val="auto"/>
                <w:szCs w:val="21"/>
              </w:rPr>
            </w:pPr>
            <w:r>
              <w:rPr>
                <w:color w:val="auto"/>
                <w:szCs w:val="21"/>
              </w:rPr>
              <w:t>TL——隔墙（或窗户）倍频带的隔声量，dB(A)。</w:t>
            </w:r>
          </w:p>
          <w:p>
            <w:pPr>
              <w:spacing w:line="360" w:lineRule="auto"/>
              <w:ind w:firstLine="420" w:firstLineChars="200"/>
              <w:jc w:val="center"/>
              <w:rPr>
                <w:rFonts w:eastAsia="黑体"/>
                <w:bCs/>
                <w:color w:val="auto"/>
                <w:szCs w:val="21"/>
              </w:rPr>
            </w:pPr>
            <w:r>
              <w:rPr>
                <w:color w:val="auto"/>
                <w:szCs w:val="21"/>
              </w:rPr>
              <w:drawing>
                <wp:inline distT="0" distB="0" distL="114300" distR="114300">
                  <wp:extent cx="3676650" cy="1438275"/>
                  <wp:effectExtent l="0" t="0" r="0" b="9525"/>
                  <wp:docPr id="7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61"/>
                          <pic:cNvPicPr>
                            <a:picLocks noChangeAspect="1"/>
                          </pic:cNvPicPr>
                        </pic:nvPicPr>
                        <pic:blipFill>
                          <a:blip r:embed="rId12"/>
                          <a:stretch>
                            <a:fillRect/>
                          </a:stretch>
                        </pic:blipFill>
                        <pic:spPr>
                          <a:xfrm>
                            <a:off x="0" y="0"/>
                            <a:ext cx="3676650" cy="1438275"/>
                          </a:xfrm>
                          <a:prstGeom prst="rect">
                            <a:avLst/>
                          </a:prstGeom>
                          <a:noFill/>
                          <a:ln>
                            <a:noFill/>
                          </a:ln>
                        </pic:spPr>
                      </pic:pic>
                    </a:graphicData>
                  </a:graphic>
                </wp:inline>
              </w:drawing>
            </w:r>
          </w:p>
          <w:p>
            <w:pPr>
              <w:spacing w:line="360" w:lineRule="auto"/>
              <w:jc w:val="center"/>
              <w:rPr>
                <w:rFonts w:hint="eastAsia" w:ascii="宋体" w:hAnsi="宋体" w:cs="黑体"/>
                <w:b/>
                <w:bCs/>
                <w:color w:val="auto"/>
                <w:szCs w:val="21"/>
              </w:rPr>
            </w:pPr>
            <w:r>
              <w:rPr>
                <w:rFonts w:hint="eastAsia" w:ascii="宋体" w:hAnsi="宋体" w:cs="黑体"/>
                <w:b/>
                <w:bCs/>
                <w:color w:val="auto"/>
                <w:szCs w:val="21"/>
              </w:rPr>
              <w:t>图</w:t>
            </w:r>
            <w:r>
              <w:rPr>
                <w:rFonts w:hint="eastAsia" w:ascii="宋体" w:hAnsi="宋体" w:cs="黑体"/>
                <w:b/>
                <w:bCs/>
                <w:color w:val="auto"/>
                <w:szCs w:val="21"/>
                <w:lang w:val="en-US" w:eastAsia="zh-CN"/>
              </w:rPr>
              <w:t>4-2</w:t>
            </w:r>
            <w:r>
              <w:rPr>
                <w:rFonts w:hint="eastAsia" w:ascii="宋体" w:hAnsi="宋体" w:cs="黑体"/>
                <w:b/>
                <w:bCs/>
                <w:color w:val="auto"/>
                <w:szCs w:val="21"/>
              </w:rPr>
              <w:t xml:space="preserve"> 室内声源等效为室外声源图例</w:t>
            </w:r>
          </w:p>
          <w:p>
            <w:pPr>
              <w:tabs>
                <w:tab w:val="left" w:pos="0"/>
              </w:tabs>
              <w:spacing w:line="360" w:lineRule="auto"/>
              <w:ind w:right="-28" w:firstLine="482"/>
              <w:rPr>
                <w:color w:val="auto"/>
                <w:szCs w:val="21"/>
              </w:rPr>
            </w:pPr>
            <w:r>
              <w:rPr>
                <w:color w:val="auto"/>
                <w:szCs w:val="21"/>
              </w:rPr>
              <w:t>也可按下式计算某一室内声源靠近围护结构处产生的倍频带声压级：</w:t>
            </w:r>
          </w:p>
          <w:p>
            <w:pPr>
              <w:spacing w:line="360" w:lineRule="auto"/>
              <w:jc w:val="center"/>
              <w:rPr>
                <w:color w:val="auto"/>
                <w:szCs w:val="21"/>
              </w:rPr>
            </w:pPr>
            <w:r>
              <w:rPr>
                <w:color w:val="auto"/>
                <w:position w:val="-28"/>
                <w:szCs w:val="21"/>
              </w:rPr>
              <w:object>
                <v:shape id="_x0000_i1026" o:spt="75" type="#_x0000_t75" style="height:34.1pt;width:135.65pt;" o:ole="t" filled="f" o:preferrelative="t" stroked="f" coordsize="21600,21600">
                  <v:path/>
                  <v:fill on="f" alignshape="1" focussize="0,0"/>
                  <v:stroke on="f"/>
                  <v:imagedata r:id="rId14" o:title=""/>
                  <o:lock v:ext="edit" aspectratio="t"/>
                  <w10:wrap type="none"/>
                  <w10:anchorlock/>
                </v:shape>
                <o:OLEObject Type="Embed" ProgID="Equation.DSMT4" ShapeID="_x0000_i1026" DrawAspect="Content" ObjectID="_1468075726" r:id="rId13">
                  <o:LockedField>false</o:LockedField>
                </o:OLEObject>
              </w:object>
            </w:r>
          </w:p>
          <w:p>
            <w:pPr>
              <w:autoSpaceDE w:val="0"/>
              <w:autoSpaceDN w:val="0"/>
              <w:adjustRightInd w:val="0"/>
              <w:spacing w:line="360" w:lineRule="auto"/>
              <w:rPr>
                <w:color w:val="auto"/>
                <w:kern w:val="0"/>
                <w:szCs w:val="21"/>
              </w:rPr>
            </w:pPr>
            <w:r>
              <w:rPr>
                <w:color w:val="auto"/>
                <w:kern w:val="0"/>
                <w:szCs w:val="21"/>
              </w:rPr>
              <w:t>式中：</w:t>
            </w:r>
          </w:p>
          <w:p>
            <w:pPr>
              <w:tabs>
                <w:tab w:val="left" w:pos="0"/>
              </w:tabs>
              <w:spacing w:line="360" w:lineRule="auto"/>
              <w:ind w:right="-30" w:firstLine="480"/>
              <w:rPr>
                <w:color w:val="auto"/>
                <w:szCs w:val="21"/>
              </w:rPr>
            </w:pPr>
            <w:r>
              <w:rPr>
                <w:color w:val="auto"/>
                <w:szCs w:val="21"/>
              </w:rPr>
              <w:t>Q——指向性因数，通常对无指向性声源，当声源放在房间中心时，Q=1；当放在一面墙的中心时，Q=2；当放在两面墙夹角处时，Q=4；当放在三面墙夹角处时，Q=8；</w:t>
            </w:r>
          </w:p>
          <w:p>
            <w:pPr>
              <w:tabs>
                <w:tab w:val="left" w:pos="0"/>
              </w:tabs>
              <w:spacing w:line="360" w:lineRule="auto"/>
              <w:ind w:right="-30" w:firstLine="480"/>
              <w:rPr>
                <w:color w:val="auto"/>
                <w:szCs w:val="21"/>
              </w:rPr>
            </w:pPr>
            <w:r>
              <w:rPr>
                <w:color w:val="auto"/>
                <w:szCs w:val="21"/>
              </w:rPr>
              <w:t>R——房间常数，R=Sα/（1-α），S为房间内表面面积，m</w:t>
            </w:r>
            <w:r>
              <w:rPr>
                <w:color w:val="auto"/>
                <w:szCs w:val="21"/>
                <w:vertAlign w:val="superscript"/>
              </w:rPr>
              <w:t>2</w:t>
            </w:r>
            <w:r>
              <w:rPr>
                <w:color w:val="auto"/>
                <w:szCs w:val="21"/>
              </w:rPr>
              <w:t>，α为平均吸声系数；</w:t>
            </w:r>
          </w:p>
          <w:p>
            <w:pPr>
              <w:tabs>
                <w:tab w:val="left" w:pos="0"/>
              </w:tabs>
              <w:spacing w:line="360" w:lineRule="auto"/>
              <w:ind w:right="-30" w:firstLine="480"/>
              <w:rPr>
                <w:color w:val="auto"/>
                <w:szCs w:val="21"/>
              </w:rPr>
            </w:pPr>
            <w:r>
              <w:rPr>
                <w:color w:val="auto"/>
                <w:szCs w:val="21"/>
              </w:rPr>
              <w:t>r——声源到靠近围护结构某点处的距离，m。</w:t>
            </w:r>
          </w:p>
          <w:p>
            <w:pPr>
              <w:tabs>
                <w:tab w:val="left" w:pos="0"/>
              </w:tabs>
              <w:spacing w:line="360" w:lineRule="auto"/>
              <w:ind w:right="-30" w:firstLine="480"/>
              <w:rPr>
                <w:color w:val="auto"/>
                <w:szCs w:val="21"/>
              </w:rPr>
            </w:pPr>
            <w:r>
              <w:rPr>
                <w:color w:val="auto"/>
                <w:szCs w:val="21"/>
              </w:rPr>
              <w:t>然后按下式计算出所有室内声源在围护结构处产生的i倍频带叠加声压级：</w:t>
            </w:r>
          </w:p>
          <w:p>
            <w:pPr>
              <w:spacing w:line="360" w:lineRule="auto"/>
              <w:jc w:val="center"/>
              <w:rPr>
                <w:color w:val="auto"/>
                <w:szCs w:val="21"/>
              </w:rPr>
            </w:pPr>
            <w:r>
              <w:rPr>
                <w:color w:val="auto"/>
                <w:position w:val="-32"/>
                <w:szCs w:val="21"/>
              </w:rPr>
              <w:object>
                <v:shape id="_x0000_i1027" o:spt="75" type="#_x0000_t75" style="height:38.1pt;width:133.65pt;" o:ole="t" filled="f" o:preferrelative="t" stroked="f" coordsize="21600,21600">
                  <v:path/>
                  <v:fill on="f" alignshape="1" focussize="0,0"/>
                  <v:stroke on="f"/>
                  <v:imagedata r:id="rId16" o:title=""/>
                  <o:lock v:ext="edit" aspectratio="t"/>
                  <w10:wrap type="none"/>
                  <w10:anchorlock/>
                </v:shape>
                <o:OLEObject Type="Embed" ProgID="Equation.DSMT4" ShapeID="_x0000_i1027" DrawAspect="Content" ObjectID="_1468075727" r:id="rId15">
                  <o:LockedField>false</o:LockedField>
                </o:OLEObject>
              </w:object>
            </w:r>
          </w:p>
          <w:p>
            <w:pPr>
              <w:autoSpaceDE w:val="0"/>
              <w:autoSpaceDN w:val="0"/>
              <w:adjustRightInd w:val="0"/>
              <w:spacing w:line="360" w:lineRule="auto"/>
              <w:ind w:left="1180" w:hanging="1180"/>
              <w:rPr>
                <w:color w:val="auto"/>
                <w:kern w:val="0"/>
                <w:szCs w:val="21"/>
              </w:rPr>
            </w:pPr>
            <w:r>
              <w:rPr>
                <w:color w:val="auto"/>
                <w:kern w:val="0"/>
                <w:szCs w:val="21"/>
              </w:rPr>
              <w:t>式中：</w:t>
            </w:r>
          </w:p>
          <w:p>
            <w:pPr>
              <w:autoSpaceDE w:val="0"/>
              <w:autoSpaceDN w:val="0"/>
              <w:adjustRightInd w:val="0"/>
              <w:spacing w:line="360" w:lineRule="auto"/>
              <w:ind w:firstLine="420" w:firstLineChars="200"/>
              <w:rPr>
                <w:color w:val="auto"/>
                <w:kern w:val="0"/>
                <w:szCs w:val="21"/>
              </w:rPr>
            </w:pPr>
            <w:r>
              <w:rPr>
                <w:i/>
                <w:color w:val="auto"/>
                <w:kern w:val="0"/>
                <w:szCs w:val="21"/>
              </w:rPr>
              <w:t>L</w:t>
            </w:r>
            <w:r>
              <w:rPr>
                <w:i/>
                <w:color w:val="auto"/>
                <w:kern w:val="0"/>
                <w:szCs w:val="21"/>
                <w:vertAlign w:val="subscript"/>
              </w:rPr>
              <w:t>p1i</w:t>
            </w:r>
            <w:r>
              <w:rPr>
                <w:color w:val="auto"/>
                <w:kern w:val="0"/>
                <w:szCs w:val="21"/>
              </w:rPr>
              <w:t>(T)——靠近围护结构处室内N个声源i倍频带的叠加声压级，dB；</w:t>
            </w:r>
          </w:p>
          <w:p>
            <w:pPr>
              <w:autoSpaceDE w:val="0"/>
              <w:autoSpaceDN w:val="0"/>
              <w:adjustRightInd w:val="0"/>
              <w:spacing w:line="360" w:lineRule="auto"/>
              <w:ind w:firstLine="420" w:firstLineChars="200"/>
              <w:rPr>
                <w:color w:val="auto"/>
                <w:kern w:val="0"/>
                <w:szCs w:val="21"/>
              </w:rPr>
            </w:pPr>
            <w:r>
              <w:rPr>
                <w:i/>
                <w:color w:val="auto"/>
                <w:kern w:val="0"/>
                <w:szCs w:val="21"/>
              </w:rPr>
              <w:t>L</w:t>
            </w:r>
            <w:r>
              <w:rPr>
                <w:i/>
                <w:color w:val="auto"/>
                <w:kern w:val="0"/>
                <w:szCs w:val="21"/>
                <w:vertAlign w:val="subscript"/>
              </w:rPr>
              <w:t>p1ij</w:t>
            </w:r>
            <w:r>
              <w:rPr>
                <w:color w:val="auto"/>
                <w:kern w:val="0"/>
                <w:szCs w:val="21"/>
              </w:rPr>
              <w:t>——室内j声源i倍频带的声压级，dB；</w:t>
            </w:r>
          </w:p>
          <w:p>
            <w:pPr>
              <w:autoSpaceDE w:val="0"/>
              <w:autoSpaceDN w:val="0"/>
              <w:adjustRightInd w:val="0"/>
              <w:spacing w:line="360" w:lineRule="auto"/>
              <w:ind w:firstLine="420" w:firstLineChars="200"/>
              <w:rPr>
                <w:color w:val="auto"/>
                <w:kern w:val="0"/>
                <w:szCs w:val="21"/>
              </w:rPr>
            </w:pPr>
            <w:r>
              <w:rPr>
                <w:color w:val="auto"/>
                <w:kern w:val="0"/>
                <w:szCs w:val="21"/>
              </w:rPr>
              <w:t>N——室内声源总数。</w:t>
            </w:r>
          </w:p>
          <w:p>
            <w:pPr>
              <w:autoSpaceDE w:val="0"/>
              <w:autoSpaceDN w:val="0"/>
              <w:adjustRightInd w:val="0"/>
              <w:spacing w:line="360" w:lineRule="auto"/>
              <w:ind w:firstLine="420" w:firstLineChars="200"/>
              <w:rPr>
                <w:color w:val="auto"/>
                <w:kern w:val="0"/>
                <w:szCs w:val="21"/>
              </w:rPr>
            </w:pPr>
            <w:r>
              <w:rPr>
                <w:color w:val="auto"/>
                <w:szCs w:val="21"/>
              </w:rPr>
              <w:t>在室内近似为扩散声场时，按下式计算出靠近室外围护结构处的声压级：</w:t>
            </w:r>
          </w:p>
          <w:p>
            <w:pPr>
              <w:tabs>
                <w:tab w:val="left" w:pos="0"/>
              </w:tabs>
              <w:spacing w:line="360" w:lineRule="auto"/>
              <w:ind w:right="-30"/>
              <w:jc w:val="center"/>
              <w:rPr>
                <w:color w:val="auto"/>
                <w:szCs w:val="21"/>
              </w:rPr>
            </w:pPr>
            <w:r>
              <w:rPr>
                <w:color w:val="auto"/>
                <w:position w:val="-14"/>
                <w:szCs w:val="21"/>
              </w:rPr>
              <w:object>
                <v:shape id="_x0000_i1028" o:spt="75" type="#_x0000_t75" style="height:20.05pt;width:135.65pt;" o:ole="t" filled="f" o:preferrelative="t" stroked="f" coordsize="21600,21600">
                  <v:path/>
                  <v:fill on="f" alignshape="1" focussize="0,0"/>
                  <v:stroke on="f"/>
                  <v:imagedata r:id="rId18" o:title=""/>
                  <o:lock v:ext="edit" aspectratio="t"/>
                  <w10:wrap type="none"/>
                  <w10:anchorlock/>
                </v:shape>
                <o:OLEObject Type="Embed" ProgID="Equation.DSMT4" ShapeID="_x0000_i1028" DrawAspect="Content" ObjectID="_1468075728" r:id="rId17">
                  <o:LockedField>false</o:LockedField>
                </o:OLEObject>
              </w:object>
            </w:r>
          </w:p>
          <w:p>
            <w:pPr>
              <w:autoSpaceDE w:val="0"/>
              <w:autoSpaceDN w:val="0"/>
              <w:adjustRightInd w:val="0"/>
              <w:spacing w:line="360" w:lineRule="auto"/>
              <w:ind w:left="1180" w:hanging="1180"/>
              <w:rPr>
                <w:color w:val="auto"/>
                <w:kern w:val="0"/>
                <w:szCs w:val="21"/>
              </w:rPr>
            </w:pPr>
            <w:r>
              <w:rPr>
                <w:color w:val="auto"/>
                <w:kern w:val="0"/>
                <w:szCs w:val="21"/>
              </w:rPr>
              <w:t>式中：</w:t>
            </w:r>
          </w:p>
          <w:p>
            <w:pPr>
              <w:autoSpaceDE w:val="0"/>
              <w:autoSpaceDN w:val="0"/>
              <w:adjustRightInd w:val="0"/>
              <w:spacing w:line="360" w:lineRule="auto"/>
              <w:ind w:firstLine="420" w:firstLineChars="200"/>
              <w:rPr>
                <w:color w:val="auto"/>
                <w:kern w:val="0"/>
                <w:szCs w:val="21"/>
              </w:rPr>
            </w:pPr>
            <w:r>
              <w:rPr>
                <w:i/>
                <w:color w:val="auto"/>
                <w:kern w:val="0"/>
                <w:szCs w:val="21"/>
              </w:rPr>
              <w:t>L</w:t>
            </w:r>
            <w:r>
              <w:rPr>
                <w:i/>
                <w:color w:val="auto"/>
                <w:kern w:val="0"/>
                <w:szCs w:val="21"/>
                <w:vertAlign w:val="subscript"/>
              </w:rPr>
              <w:t>p2i</w:t>
            </w:r>
            <w:r>
              <w:rPr>
                <w:color w:val="auto"/>
                <w:kern w:val="0"/>
                <w:szCs w:val="21"/>
              </w:rPr>
              <w:t>(T)——靠近围护结构处室外N个声源</w:t>
            </w:r>
            <w:r>
              <w:rPr>
                <w:i/>
                <w:color w:val="auto"/>
                <w:kern w:val="0"/>
                <w:szCs w:val="21"/>
              </w:rPr>
              <w:t>i</w:t>
            </w:r>
            <w:r>
              <w:rPr>
                <w:color w:val="auto"/>
                <w:kern w:val="0"/>
                <w:szCs w:val="21"/>
              </w:rPr>
              <w:t>倍频带的叠加声压级，dB；</w:t>
            </w:r>
          </w:p>
          <w:p>
            <w:pPr>
              <w:autoSpaceDE w:val="0"/>
              <w:autoSpaceDN w:val="0"/>
              <w:adjustRightInd w:val="0"/>
              <w:spacing w:line="360" w:lineRule="auto"/>
              <w:ind w:firstLine="420" w:firstLineChars="200"/>
              <w:rPr>
                <w:color w:val="auto"/>
                <w:kern w:val="0"/>
                <w:szCs w:val="21"/>
              </w:rPr>
            </w:pPr>
            <w:r>
              <w:rPr>
                <w:i/>
                <w:color w:val="auto"/>
                <w:kern w:val="0"/>
                <w:szCs w:val="21"/>
              </w:rPr>
              <w:t>TL</w:t>
            </w:r>
            <w:r>
              <w:rPr>
                <w:i/>
                <w:color w:val="auto"/>
                <w:kern w:val="0"/>
                <w:szCs w:val="21"/>
                <w:vertAlign w:val="subscript"/>
              </w:rPr>
              <w:t>i</w:t>
            </w:r>
            <w:r>
              <w:rPr>
                <w:color w:val="auto"/>
                <w:kern w:val="0"/>
                <w:szCs w:val="21"/>
              </w:rPr>
              <w:t>——围护结构</w:t>
            </w:r>
            <w:r>
              <w:rPr>
                <w:i/>
                <w:color w:val="auto"/>
                <w:kern w:val="0"/>
                <w:szCs w:val="21"/>
              </w:rPr>
              <w:t>i</w:t>
            </w:r>
            <w:r>
              <w:rPr>
                <w:color w:val="auto"/>
                <w:kern w:val="0"/>
                <w:szCs w:val="21"/>
              </w:rPr>
              <w:t>倍频带的隔声量，dB。</w:t>
            </w:r>
          </w:p>
          <w:p>
            <w:pPr>
              <w:tabs>
                <w:tab w:val="left" w:pos="0"/>
              </w:tabs>
              <w:spacing w:line="360" w:lineRule="auto"/>
              <w:ind w:right="-30" w:firstLine="480"/>
              <w:rPr>
                <w:color w:val="auto"/>
                <w:szCs w:val="21"/>
              </w:rPr>
            </w:pPr>
            <w:r>
              <w:rPr>
                <w:color w:val="auto"/>
                <w:szCs w:val="21"/>
              </w:rPr>
              <w:t>然后按下式将室外声源的声压级和透过面积换算成等效的室外声源，计算出中心位置位于透声面积（S）处的等效声源的倍频带声功率级。</w:t>
            </w:r>
          </w:p>
          <w:p>
            <w:pPr>
              <w:tabs>
                <w:tab w:val="left" w:pos="0"/>
              </w:tabs>
              <w:spacing w:line="360" w:lineRule="auto"/>
              <w:ind w:right="-30"/>
              <w:jc w:val="center"/>
              <w:rPr>
                <w:color w:val="auto"/>
                <w:szCs w:val="21"/>
              </w:rPr>
            </w:pPr>
            <w:r>
              <w:rPr>
                <w:color w:val="auto"/>
                <w:position w:val="-14"/>
                <w:szCs w:val="21"/>
              </w:rPr>
              <w:object>
                <v:shape id="_x0000_i1029" o:spt="75" type="#_x0000_t75" style="height:20.05pt;width:103.95pt;" o:ole="t" filled="f" o:preferrelative="t" stroked="f" coordsize="21600,21600">
                  <v:path/>
                  <v:fill on="f" alignshape="1" focussize="0,0"/>
                  <v:stroke on="f"/>
                  <v:imagedata r:id="rId20" o:title=""/>
                  <o:lock v:ext="edit" aspectratio="t"/>
                  <w10:wrap type="none"/>
                  <w10:anchorlock/>
                </v:shape>
                <o:OLEObject Type="Embed" ProgID="Equation.DSMT4" ShapeID="_x0000_i1029" DrawAspect="Content" ObjectID="_1468075729" r:id="rId19">
                  <o:LockedField>false</o:LockedField>
                </o:OLEObject>
              </w:object>
            </w:r>
          </w:p>
          <w:p>
            <w:pPr>
              <w:tabs>
                <w:tab w:val="left" w:pos="0"/>
              </w:tabs>
              <w:spacing w:line="360" w:lineRule="auto"/>
              <w:ind w:right="-30" w:firstLine="482"/>
              <w:rPr>
                <w:color w:val="auto"/>
                <w:szCs w:val="21"/>
              </w:rPr>
            </w:pPr>
            <w:r>
              <w:rPr>
                <w:color w:val="auto"/>
                <w:szCs w:val="21"/>
              </w:rPr>
              <w:t>然后按室外声源预测方法计算预测点处的A声级。</w:t>
            </w:r>
          </w:p>
          <w:p>
            <w:pPr>
              <w:tabs>
                <w:tab w:val="left" w:pos="0"/>
              </w:tabs>
              <w:spacing w:line="360" w:lineRule="auto"/>
              <w:ind w:right="-30" w:firstLine="482"/>
              <w:rPr>
                <w:color w:val="auto"/>
                <w:szCs w:val="21"/>
              </w:rPr>
            </w:pPr>
            <w:r>
              <w:rPr>
                <w:color w:val="auto"/>
                <w:szCs w:val="21"/>
              </w:rPr>
              <w:t>本项目评价时，采用类比法，按厂房等效噪声值（类比值）做点源处理。</w:t>
            </w:r>
          </w:p>
          <w:p>
            <w:pPr>
              <w:pStyle w:val="149"/>
              <w:rPr>
                <w:rFonts w:hint="eastAsia" w:ascii="宋体" w:hAnsi="宋体" w:eastAsia="宋体" w:cs="宋体"/>
                <w:color w:val="auto"/>
                <w:sz w:val="21"/>
                <w:szCs w:val="21"/>
              </w:rPr>
            </w:pPr>
            <w:r>
              <w:rPr>
                <w:rFonts w:hint="eastAsia" w:ascii="宋体" w:hAnsi="宋体" w:eastAsia="宋体" w:cs="宋体"/>
                <w:color w:val="auto"/>
                <w:sz w:val="21"/>
                <w:szCs w:val="21"/>
              </w:rPr>
              <w:t>表4-</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项目厂界噪声预测结果一览表（单位：dB(A)）</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21"/>
              <w:gridCol w:w="1851"/>
              <w:gridCol w:w="1930"/>
              <w:gridCol w:w="2042"/>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635" w:type="pct"/>
                  <w:noWrap w:val="0"/>
                  <w:vAlign w:val="center"/>
                </w:tcPr>
                <w:p>
                  <w:pPr>
                    <w:widowControl/>
                    <w:jc w:val="center"/>
                    <w:textAlignment w:val="center"/>
                    <w:rPr>
                      <w:color w:val="auto"/>
                      <w:sz w:val="18"/>
                      <w:szCs w:val="18"/>
                    </w:rPr>
                  </w:pPr>
                  <w:r>
                    <w:rPr>
                      <w:rFonts w:hint="eastAsia"/>
                      <w:color w:val="auto"/>
                      <w:sz w:val="18"/>
                      <w:szCs w:val="18"/>
                    </w:rPr>
                    <w:t>厂界名称</w:t>
                  </w:r>
                </w:p>
              </w:tc>
              <w:tc>
                <w:tcPr>
                  <w:tcW w:w="1048" w:type="pct"/>
                  <w:noWrap w:val="0"/>
                  <w:vAlign w:val="center"/>
                </w:tcPr>
                <w:p>
                  <w:pPr>
                    <w:widowControl/>
                    <w:jc w:val="center"/>
                    <w:textAlignment w:val="center"/>
                    <w:rPr>
                      <w:rFonts w:hint="eastAsia"/>
                      <w:color w:val="auto"/>
                      <w:sz w:val="18"/>
                      <w:szCs w:val="18"/>
                    </w:rPr>
                  </w:pPr>
                  <w:r>
                    <w:rPr>
                      <w:rFonts w:hint="eastAsia"/>
                      <w:color w:val="auto"/>
                      <w:sz w:val="18"/>
                      <w:szCs w:val="18"/>
                    </w:rPr>
                    <w:t>东厂界</w:t>
                  </w:r>
                </w:p>
              </w:tc>
              <w:tc>
                <w:tcPr>
                  <w:tcW w:w="1093" w:type="pct"/>
                  <w:noWrap w:val="0"/>
                  <w:vAlign w:val="center"/>
                </w:tcPr>
                <w:p>
                  <w:pPr>
                    <w:widowControl/>
                    <w:jc w:val="center"/>
                    <w:textAlignment w:val="center"/>
                    <w:rPr>
                      <w:rFonts w:hint="eastAsia"/>
                      <w:color w:val="auto"/>
                      <w:sz w:val="18"/>
                      <w:szCs w:val="18"/>
                    </w:rPr>
                  </w:pPr>
                  <w:r>
                    <w:rPr>
                      <w:rFonts w:hint="eastAsia"/>
                      <w:color w:val="auto"/>
                      <w:sz w:val="18"/>
                      <w:szCs w:val="18"/>
                    </w:rPr>
                    <w:t>南厂界</w:t>
                  </w:r>
                </w:p>
              </w:tc>
              <w:tc>
                <w:tcPr>
                  <w:tcW w:w="1156" w:type="pct"/>
                  <w:noWrap w:val="0"/>
                  <w:vAlign w:val="center"/>
                </w:tcPr>
                <w:p>
                  <w:pPr>
                    <w:widowControl/>
                    <w:jc w:val="center"/>
                    <w:textAlignment w:val="center"/>
                    <w:rPr>
                      <w:rFonts w:hint="eastAsia"/>
                      <w:color w:val="auto"/>
                      <w:sz w:val="18"/>
                      <w:szCs w:val="18"/>
                    </w:rPr>
                  </w:pPr>
                  <w:r>
                    <w:rPr>
                      <w:rFonts w:hint="eastAsia"/>
                      <w:color w:val="auto"/>
                      <w:sz w:val="18"/>
                      <w:szCs w:val="18"/>
                    </w:rPr>
                    <w:t>西厂界</w:t>
                  </w:r>
                </w:p>
              </w:tc>
              <w:tc>
                <w:tcPr>
                  <w:tcW w:w="1065" w:type="pct"/>
                  <w:noWrap w:val="0"/>
                  <w:vAlign w:val="center"/>
                </w:tcPr>
                <w:p>
                  <w:pPr>
                    <w:widowControl/>
                    <w:jc w:val="center"/>
                    <w:textAlignment w:val="center"/>
                    <w:rPr>
                      <w:color w:val="auto"/>
                      <w:kern w:val="0"/>
                      <w:sz w:val="18"/>
                      <w:szCs w:val="18"/>
                      <w:lang w:bidi="ar"/>
                    </w:rPr>
                  </w:pPr>
                  <w:r>
                    <w:rPr>
                      <w:rFonts w:hint="eastAsia"/>
                      <w:color w:val="auto"/>
                      <w:kern w:val="0"/>
                      <w:sz w:val="18"/>
                      <w:szCs w:val="18"/>
                      <w:lang w:bidi="ar"/>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635" w:type="pct"/>
                  <w:noWrap w:val="0"/>
                  <w:vAlign w:val="center"/>
                </w:tcPr>
                <w:p>
                  <w:pPr>
                    <w:widowControl/>
                    <w:jc w:val="center"/>
                    <w:textAlignment w:val="center"/>
                    <w:rPr>
                      <w:color w:val="auto"/>
                      <w:sz w:val="18"/>
                      <w:szCs w:val="18"/>
                    </w:rPr>
                  </w:pPr>
                  <w:r>
                    <w:rPr>
                      <w:rFonts w:hint="eastAsia"/>
                      <w:color w:val="auto"/>
                      <w:kern w:val="0"/>
                      <w:sz w:val="18"/>
                      <w:szCs w:val="18"/>
                      <w:lang w:bidi="ar"/>
                    </w:rPr>
                    <w:t>贡献值</w:t>
                  </w:r>
                </w:p>
              </w:tc>
              <w:tc>
                <w:tcPr>
                  <w:tcW w:w="1048" w:type="pct"/>
                  <w:noWrap w:val="0"/>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bidi="ar"/>
                    </w:rPr>
                    <w:t>5</w:t>
                  </w:r>
                  <w:r>
                    <w:rPr>
                      <w:rFonts w:hint="eastAsia"/>
                      <w:color w:val="auto"/>
                      <w:kern w:val="0"/>
                      <w:sz w:val="18"/>
                      <w:szCs w:val="18"/>
                      <w:lang w:val="en-US" w:eastAsia="zh-CN" w:bidi="ar"/>
                    </w:rPr>
                    <w:t>5.3</w:t>
                  </w:r>
                </w:p>
              </w:tc>
              <w:tc>
                <w:tcPr>
                  <w:tcW w:w="1093"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58.7</w:t>
                  </w:r>
                </w:p>
              </w:tc>
              <w:tc>
                <w:tcPr>
                  <w:tcW w:w="1156" w:type="pct"/>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49.5</w:t>
                  </w:r>
                </w:p>
              </w:tc>
              <w:tc>
                <w:tcPr>
                  <w:tcW w:w="1065" w:type="pct"/>
                  <w:noWrap w:val="0"/>
                  <w:vAlign w:val="center"/>
                </w:tcPr>
                <w:p>
                  <w:pPr>
                    <w:jc w:val="center"/>
                    <w:rPr>
                      <w:rFonts w:hint="default" w:eastAsia="宋体"/>
                      <w:color w:val="auto"/>
                      <w:sz w:val="18"/>
                      <w:szCs w:val="18"/>
                      <w:lang w:val="en-US" w:eastAsia="zh-CN"/>
                    </w:rPr>
                  </w:pPr>
                  <w:r>
                    <w:rPr>
                      <w:rFonts w:hint="eastAsia"/>
                      <w:color w:val="auto"/>
                      <w:sz w:val="18"/>
                      <w:szCs w:val="18"/>
                    </w:rPr>
                    <w:t>4</w:t>
                  </w:r>
                  <w:r>
                    <w:rPr>
                      <w:rFonts w:hint="eastAsia"/>
                      <w:color w:val="auto"/>
                      <w:sz w:val="18"/>
                      <w:szCs w:val="1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635" w:type="pct"/>
                  <w:noWrap w:val="0"/>
                  <w:vAlign w:val="center"/>
                </w:tcPr>
                <w:p>
                  <w:pPr>
                    <w:widowControl/>
                    <w:jc w:val="center"/>
                    <w:textAlignment w:val="center"/>
                    <w:rPr>
                      <w:rFonts w:hint="eastAsia"/>
                      <w:color w:val="auto"/>
                      <w:sz w:val="18"/>
                      <w:szCs w:val="18"/>
                    </w:rPr>
                  </w:pPr>
                  <w:r>
                    <w:rPr>
                      <w:rFonts w:hint="eastAsia"/>
                      <w:color w:val="auto"/>
                      <w:sz w:val="18"/>
                      <w:szCs w:val="18"/>
                    </w:rPr>
                    <w:t>标准值</w:t>
                  </w:r>
                </w:p>
              </w:tc>
              <w:tc>
                <w:tcPr>
                  <w:tcW w:w="4364" w:type="pct"/>
                  <w:gridSpan w:val="4"/>
                  <w:noWrap w:val="0"/>
                  <w:vAlign w:val="center"/>
                </w:tcPr>
                <w:p>
                  <w:pPr>
                    <w:jc w:val="center"/>
                    <w:rPr>
                      <w:color w:val="auto"/>
                      <w:sz w:val="18"/>
                      <w:szCs w:val="18"/>
                    </w:rPr>
                  </w:pPr>
                  <w:r>
                    <w:rPr>
                      <w:rFonts w:hint="eastAsia"/>
                      <w:color w:val="auto"/>
                      <w:sz w:val="18"/>
                      <w:szCs w:val="18"/>
                    </w:rPr>
                    <w:t>GB12348-2008中3类标准，即昼：65，夜：55</w:t>
                  </w:r>
                </w:p>
              </w:tc>
            </w:tr>
          </w:tbl>
          <w:p>
            <w:pPr>
              <w:autoSpaceDE w:val="0"/>
              <w:autoSpaceDN w:val="0"/>
              <w:spacing w:line="360" w:lineRule="auto"/>
              <w:ind w:firstLine="420" w:firstLineChars="200"/>
              <w:rPr>
                <w:color w:val="auto"/>
                <w:szCs w:val="21"/>
                <w:lang w:val="zh-CN"/>
              </w:rPr>
            </w:pPr>
            <w:r>
              <w:rPr>
                <w:color w:val="auto"/>
                <w:szCs w:val="21"/>
                <w:lang w:val="zh-CN"/>
              </w:rPr>
              <w:t>从上表可知，项目运营后采取合理减噪措施后，厂界噪声贡献值较小，本项目建成运营期间厂界噪声贡献值可以达到《工业企业厂界环境噪声排放标准》（GB12348-2008）中3类标准</w:t>
            </w:r>
            <w:r>
              <w:rPr>
                <w:rFonts w:hint="eastAsia"/>
                <w:color w:val="auto"/>
                <w:szCs w:val="21"/>
                <w:lang w:val="zh-CN"/>
              </w:rPr>
              <w:t>（</w:t>
            </w:r>
            <w:r>
              <w:rPr>
                <w:rFonts w:hint="eastAsia"/>
                <w:color w:val="auto"/>
                <w:szCs w:val="21"/>
                <w:lang w:val="en-US" w:eastAsia="zh-CN"/>
              </w:rPr>
              <w:t>夜间不进行生产</w:t>
            </w:r>
            <w:r>
              <w:rPr>
                <w:rFonts w:hint="eastAsia"/>
                <w:color w:val="auto"/>
                <w:szCs w:val="21"/>
                <w:lang w:val="zh-CN"/>
              </w:rPr>
              <w:t>）</w:t>
            </w:r>
            <w:r>
              <w:rPr>
                <w:color w:val="auto"/>
                <w:szCs w:val="21"/>
                <w:lang w:val="zh-CN"/>
              </w:rPr>
              <w:t>，即昼间≤65</w:t>
            </w:r>
            <w:r>
              <w:rPr>
                <w:color w:val="auto"/>
                <w:szCs w:val="21"/>
              </w:rPr>
              <w:t>dB(A)</w:t>
            </w:r>
            <w:r>
              <w:rPr>
                <w:color w:val="auto"/>
                <w:szCs w:val="21"/>
                <w:lang w:val="zh-CN"/>
              </w:rPr>
              <w:t>）。</w:t>
            </w:r>
          </w:p>
          <w:p>
            <w:pPr>
              <w:adjustRightInd w:val="0"/>
              <w:snapToGrid w:val="0"/>
              <w:spacing w:line="360" w:lineRule="auto"/>
              <w:ind w:firstLine="420" w:firstLineChars="200"/>
              <w:rPr>
                <w:color w:val="auto"/>
                <w:szCs w:val="21"/>
                <w:lang w:val="zh-CN"/>
              </w:rPr>
            </w:pPr>
            <w:r>
              <w:rPr>
                <w:rFonts w:hint="eastAsia"/>
                <w:color w:val="auto"/>
                <w:szCs w:val="21"/>
                <w:lang w:val="zh-CN"/>
              </w:rPr>
              <w:t>本项目新增噪声设备较少，采取隔声措施后，经过厂区</w:t>
            </w:r>
            <w:r>
              <w:rPr>
                <w:color w:val="auto"/>
                <w:szCs w:val="21"/>
                <w:lang w:val="zh-CN"/>
              </w:rPr>
              <w:t>厂房隔声措施效果，</w:t>
            </w:r>
            <w:r>
              <w:rPr>
                <w:rFonts w:hint="eastAsia"/>
                <w:color w:val="auto"/>
                <w:szCs w:val="21"/>
                <w:lang w:val="zh-CN"/>
              </w:rPr>
              <w:t>能够</w:t>
            </w:r>
            <w:r>
              <w:rPr>
                <w:color w:val="auto"/>
                <w:szCs w:val="21"/>
                <w:lang w:val="zh-CN"/>
              </w:rPr>
              <w:t>确保达标，不得影响周边环境。</w:t>
            </w:r>
          </w:p>
          <w:p>
            <w:pPr>
              <w:pStyle w:val="147"/>
              <w:ind w:firstLine="422"/>
              <w:rPr>
                <w:rFonts w:hint="eastAsia"/>
                <w:b/>
                <w:bCs w:val="0"/>
                <w:color w:val="auto"/>
                <w:lang w:val="en-US" w:eastAsia="zh-CN"/>
              </w:rPr>
            </w:pPr>
            <w:r>
              <w:rPr>
                <w:b/>
                <w:bCs w:val="0"/>
                <w:color w:val="auto"/>
                <w:lang w:val="en-US" w:eastAsia="zh-CN"/>
              </w:rPr>
              <w:t>（</w:t>
            </w:r>
            <w:r>
              <w:rPr>
                <w:rFonts w:hint="eastAsia"/>
                <w:b/>
                <w:bCs w:val="0"/>
                <w:color w:val="auto"/>
                <w:lang w:val="en-US" w:eastAsia="zh-CN"/>
              </w:rPr>
              <w:t>3</w:t>
            </w:r>
            <w:r>
              <w:rPr>
                <w:b/>
                <w:bCs w:val="0"/>
                <w:color w:val="auto"/>
                <w:lang w:val="en-US" w:eastAsia="zh-CN"/>
              </w:rPr>
              <w:t>）噪声污染防治措施</w:t>
            </w:r>
          </w:p>
          <w:p>
            <w:pPr>
              <w:pStyle w:val="147"/>
              <w:rPr>
                <w:color w:val="auto"/>
                <w:lang w:val="en-US" w:eastAsia="zh-CN"/>
              </w:rPr>
            </w:pPr>
            <w:r>
              <w:rPr>
                <w:color w:val="auto"/>
                <w:lang w:val="en-US" w:eastAsia="zh-CN"/>
              </w:rPr>
              <w:t>本项目位于工业厂区，</w:t>
            </w:r>
            <w:r>
              <w:rPr>
                <w:rFonts w:hint="eastAsia"/>
                <w:color w:val="auto"/>
                <w:lang w:val="en-US" w:eastAsia="zh-CN"/>
              </w:rPr>
              <w:t>厂区周边50m范围内</w:t>
            </w:r>
            <w:r>
              <w:rPr>
                <w:color w:val="auto"/>
                <w:lang w:val="en-US" w:eastAsia="zh-CN"/>
              </w:rPr>
              <w:t>没有声环境敏感点，项目拟采取的相关噪声治理措施有：</w:t>
            </w:r>
          </w:p>
          <w:p>
            <w:pPr>
              <w:pStyle w:val="147"/>
              <w:rPr>
                <w:color w:val="auto"/>
                <w:lang w:val="en-US" w:eastAsia="zh-CN"/>
              </w:rPr>
            </w:pPr>
            <w:r>
              <w:rPr>
                <w:rFonts w:hint="eastAsia"/>
                <w:color w:val="auto"/>
                <w:lang w:val="en-US" w:eastAsia="zh-CN"/>
              </w:rPr>
              <w:t>①</w:t>
            </w:r>
            <w:r>
              <w:rPr>
                <w:color w:val="auto"/>
                <w:lang w:val="en-US" w:eastAsia="zh-CN"/>
              </w:rPr>
              <w:t>从噪声源入手，在满足工艺要求的前提下，选择低噪声的设备；</w:t>
            </w:r>
          </w:p>
          <w:p>
            <w:pPr>
              <w:pStyle w:val="147"/>
              <w:rPr>
                <w:color w:val="auto"/>
                <w:lang w:val="en-US" w:eastAsia="zh-CN"/>
              </w:rPr>
            </w:pPr>
            <w:r>
              <w:rPr>
                <w:rFonts w:hint="eastAsia"/>
                <w:color w:val="auto"/>
                <w:lang w:val="en-US" w:eastAsia="zh-CN"/>
              </w:rPr>
              <w:t>②</w:t>
            </w:r>
            <w:r>
              <w:rPr>
                <w:color w:val="auto"/>
                <w:lang w:val="en-US" w:eastAsia="zh-CN"/>
              </w:rPr>
              <w:t>合理布局，各高噪声设备采取相应的降噪、减振措施；</w:t>
            </w:r>
          </w:p>
          <w:p>
            <w:pPr>
              <w:pStyle w:val="147"/>
              <w:rPr>
                <w:color w:val="auto"/>
                <w:lang w:val="en-US" w:eastAsia="zh-CN"/>
              </w:rPr>
            </w:pPr>
            <w:r>
              <w:rPr>
                <w:rFonts w:hint="eastAsia"/>
                <w:color w:val="auto"/>
                <w:lang w:val="en-US" w:eastAsia="zh-CN"/>
              </w:rPr>
              <w:t>③</w:t>
            </w:r>
            <w:r>
              <w:rPr>
                <w:color w:val="auto"/>
                <w:lang w:val="en-US" w:eastAsia="zh-CN"/>
              </w:rPr>
              <w:t>设备运行过程中避免设备空开、空转现象，重视日常维护、保养工作；</w:t>
            </w:r>
          </w:p>
          <w:p>
            <w:pPr>
              <w:pStyle w:val="147"/>
              <w:rPr>
                <w:color w:val="auto"/>
                <w:lang w:val="en-US" w:eastAsia="zh-CN"/>
              </w:rPr>
            </w:pPr>
            <w:r>
              <w:rPr>
                <w:rFonts w:hint="eastAsia"/>
                <w:color w:val="auto"/>
                <w:lang w:val="en-US" w:eastAsia="zh-CN"/>
              </w:rPr>
              <w:t>④</w:t>
            </w:r>
            <w:r>
              <w:rPr>
                <w:color w:val="auto"/>
                <w:lang w:val="en-US" w:eastAsia="zh-CN"/>
              </w:rPr>
              <w:t>风机对进出风口采取消声措施，并在风机与管道连接部分做软连接，管道采取包扎措施等；</w:t>
            </w:r>
          </w:p>
          <w:p>
            <w:pPr>
              <w:pStyle w:val="147"/>
              <w:ind w:firstLine="422"/>
              <w:rPr>
                <w:b/>
                <w:bCs w:val="0"/>
                <w:color w:val="auto"/>
                <w:lang w:val="en-US" w:eastAsia="zh-CN"/>
              </w:rPr>
            </w:pPr>
            <w:r>
              <w:rPr>
                <w:rFonts w:hint="eastAsia"/>
                <w:b/>
                <w:bCs w:val="0"/>
                <w:color w:val="auto"/>
                <w:lang w:val="en-US" w:eastAsia="zh-CN"/>
              </w:rPr>
              <w:t>（4）声环境监测计划</w:t>
            </w:r>
          </w:p>
          <w:p>
            <w:pPr>
              <w:pStyle w:val="147"/>
              <w:rPr>
                <w:color w:val="auto"/>
                <w:lang w:val="en-US" w:eastAsia="zh-CN"/>
              </w:rPr>
            </w:pPr>
            <w:r>
              <w:rPr>
                <w:rFonts w:hint="eastAsia"/>
                <w:color w:val="auto"/>
                <w:lang w:val="en-US" w:eastAsia="zh-CN"/>
              </w:rPr>
              <w:t>根据《排污单位自行监测技术指南  总则》（</w:t>
            </w:r>
            <w:r>
              <w:rPr>
                <w:color w:val="auto"/>
                <w:lang w:val="en-US" w:eastAsia="zh-CN"/>
              </w:rPr>
              <w:t>HJ819-2017</w:t>
            </w:r>
            <w:r>
              <w:rPr>
                <w:rFonts w:hint="eastAsia"/>
                <w:color w:val="auto"/>
                <w:lang w:val="en-US" w:eastAsia="zh-CN"/>
              </w:rPr>
              <w:t>）、《排污许可证申请与核发技术规范  工业噪声》（HJ1301—2023），对厂界噪声监测情况如下：</w:t>
            </w:r>
          </w:p>
          <w:p>
            <w:pPr>
              <w:pStyle w:val="149"/>
              <w:rPr>
                <w:color w:val="auto"/>
                <w:sz w:val="21"/>
                <w:szCs w:val="21"/>
              </w:rPr>
            </w:pPr>
            <w:r>
              <w:rPr>
                <w:rFonts w:hint="eastAsia"/>
                <w:color w:val="auto"/>
                <w:sz w:val="21"/>
                <w:szCs w:val="21"/>
              </w:rPr>
              <w:t>表4-1</w:t>
            </w:r>
            <w:r>
              <w:rPr>
                <w:rFonts w:hint="eastAsia"/>
                <w:color w:val="auto"/>
                <w:sz w:val="21"/>
                <w:szCs w:val="21"/>
                <w:lang w:val="en-US" w:eastAsia="zh-CN"/>
              </w:rPr>
              <w:t>2</w:t>
            </w: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声环境监测计划一览表</w:t>
            </w:r>
          </w:p>
          <w:tbl>
            <w:tblPr>
              <w:tblStyle w:val="44"/>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8"/>
              <w:gridCol w:w="1721"/>
              <w:gridCol w:w="1274"/>
              <w:gridCol w:w="835"/>
              <w:gridCol w:w="1094"/>
              <w:gridCol w:w="3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57" w:type="pct"/>
                  <w:noWrap w:val="0"/>
                  <w:vAlign w:val="center"/>
                </w:tcPr>
                <w:p>
                  <w:pPr>
                    <w:pStyle w:val="91"/>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ascii="Times New Roman"/>
                      <w:b/>
                      <w:color w:val="auto"/>
                      <w:sz w:val="18"/>
                      <w:szCs w:val="18"/>
                      <w:lang w:val="en-US" w:eastAsia="zh-CN"/>
                    </w:rPr>
                  </w:pPr>
                  <w:r>
                    <w:rPr>
                      <w:rFonts w:ascii="Times New Roman"/>
                      <w:b/>
                      <w:color w:val="auto"/>
                      <w:sz w:val="18"/>
                      <w:szCs w:val="18"/>
                      <w:lang w:val="en-US" w:eastAsia="zh-CN"/>
                    </w:rPr>
                    <w:t>序号</w:t>
                  </w:r>
                </w:p>
              </w:tc>
              <w:tc>
                <w:tcPr>
                  <w:tcW w:w="975" w:type="pct"/>
                  <w:noWrap w:val="0"/>
                  <w:vAlign w:val="center"/>
                </w:tcPr>
                <w:p>
                  <w:pPr>
                    <w:pStyle w:val="91"/>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ascii="Times New Roman"/>
                      <w:b/>
                      <w:color w:val="auto"/>
                      <w:sz w:val="18"/>
                      <w:szCs w:val="18"/>
                      <w:lang w:val="en-US" w:eastAsia="zh-CN"/>
                    </w:rPr>
                  </w:pPr>
                  <w:r>
                    <w:rPr>
                      <w:rFonts w:ascii="Times New Roman"/>
                      <w:b/>
                      <w:color w:val="auto"/>
                      <w:sz w:val="18"/>
                      <w:szCs w:val="18"/>
                      <w:lang w:val="en-US" w:eastAsia="zh-CN"/>
                    </w:rPr>
                    <w:t>监测点位</w:t>
                  </w:r>
                </w:p>
              </w:tc>
              <w:tc>
                <w:tcPr>
                  <w:tcW w:w="721" w:type="pct"/>
                  <w:noWrap w:val="0"/>
                  <w:vAlign w:val="center"/>
                </w:tcPr>
                <w:p>
                  <w:pPr>
                    <w:pStyle w:val="91"/>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ascii="Times New Roman"/>
                      <w:b/>
                      <w:color w:val="auto"/>
                      <w:sz w:val="18"/>
                      <w:szCs w:val="18"/>
                      <w:lang w:val="en-US" w:eastAsia="zh-CN"/>
                    </w:rPr>
                  </w:pPr>
                  <w:r>
                    <w:rPr>
                      <w:rFonts w:ascii="Times New Roman"/>
                      <w:b/>
                      <w:color w:val="auto"/>
                      <w:sz w:val="18"/>
                      <w:szCs w:val="18"/>
                      <w:lang w:val="en-US" w:eastAsia="zh-CN"/>
                    </w:rPr>
                    <w:t>监测项目</w:t>
                  </w:r>
                </w:p>
              </w:tc>
              <w:tc>
                <w:tcPr>
                  <w:tcW w:w="473" w:type="pct"/>
                  <w:noWrap w:val="0"/>
                  <w:vAlign w:val="center"/>
                </w:tcPr>
                <w:p>
                  <w:pPr>
                    <w:pStyle w:val="91"/>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ascii="Times New Roman"/>
                      <w:b/>
                      <w:color w:val="auto"/>
                      <w:sz w:val="18"/>
                      <w:szCs w:val="18"/>
                      <w:lang w:val="en-US" w:eastAsia="zh-CN"/>
                    </w:rPr>
                  </w:pPr>
                  <w:r>
                    <w:rPr>
                      <w:rFonts w:ascii="Times New Roman"/>
                      <w:b/>
                      <w:color w:val="auto"/>
                      <w:sz w:val="18"/>
                      <w:szCs w:val="18"/>
                      <w:lang w:val="en-US" w:eastAsia="zh-CN"/>
                    </w:rPr>
                    <w:t>频率</w:t>
                  </w:r>
                </w:p>
              </w:tc>
              <w:tc>
                <w:tcPr>
                  <w:tcW w:w="619" w:type="pct"/>
                  <w:tcBorders>
                    <w:bottom w:val="single" w:color="auto" w:sz="4" w:space="0"/>
                  </w:tcBorders>
                  <w:noWrap w:val="0"/>
                  <w:vAlign w:val="center"/>
                </w:tcPr>
                <w:p>
                  <w:pPr>
                    <w:pStyle w:val="91"/>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ascii="Times New Roman"/>
                      <w:b/>
                      <w:color w:val="auto"/>
                      <w:sz w:val="18"/>
                      <w:szCs w:val="18"/>
                      <w:lang w:val="en-US" w:eastAsia="zh-CN"/>
                    </w:rPr>
                  </w:pPr>
                  <w:r>
                    <w:rPr>
                      <w:rFonts w:ascii="Times New Roman"/>
                      <w:b/>
                      <w:color w:val="auto"/>
                      <w:sz w:val="18"/>
                      <w:szCs w:val="18"/>
                      <w:lang w:val="en-US" w:eastAsia="zh-CN"/>
                    </w:rPr>
                    <w:t>实施单位</w:t>
                  </w:r>
                </w:p>
              </w:tc>
              <w:tc>
                <w:tcPr>
                  <w:tcW w:w="1751" w:type="pct"/>
                  <w:tcBorders>
                    <w:bottom w:val="single" w:color="auto" w:sz="4" w:space="0"/>
                  </w:tcBorders>
                  <w:noWrap w:val="0"/>
                  <w:vAlign w:val="center"/>
                </w:tcPr>
                <w:p>
                  <w:pPr>
                    <w:pStyle w:val="91"/>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ascii="Times New Roman"/>
                      <w:b/>
                      <w:color w:val="auto"/>
                      <w:sz w:val="18"/>
                      <w:szCs w:val="18"/>
                      <w:lang w:val="en-US" w:eastAsia="zh-CN"/>
                    </w:rPr>
                  </w:pPr>
                  <w:r>
                    <w:rPr>
                      <w:rFonts w:ascii="Times New Roman"/>
                      <w:b/>
                      <w:color w:val="auto"/>
                      <w:sz w:val="18"/>
                      <w:szCs w:val="18"/>
                      <w:lang w:val="en-US" w:eastAsia="zh-CN"/>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57" w:type="pct"/>
                  <w:noWrap w:val="0"/>
                  <w:vAlign w:val="center"/>
                </w:tcPr>
                <w:p>
                  <w:pPr>
                    <w:pStyle w:val="91"/>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ascii="Times New Roman"/>
                      <w:bCs/>
                      <w:color w:val="auto"/>
                      <w:sz w:val="18"/>
                      <w:szCs w:val="18"/>
                      <w:lang w:val="en-US" w:eastAsia="zh-CN"/>
                    </w:rPr>
                  </w:pPr>
                  <w:r>
                    <w:rPr>
                      <w:rFonts w:ascii="Times New Roman"/>
                      <w:bCs/>
                      <w:color w:val="auto"/>
                      <w:sz w:val="18"/>
                      <w:szCs w:val="18"/>
                      <w:lang w:val="en-US" w:eastAsia="zh-CN"/>
                    </w:rPr>
                    <w:t>1</w:t>
                  </w:r>
                </w:p>
              </w:tc>
              <w:tc>
                <w:tcPr>
                  <w:tcW w:w="975" w:type="pct"/>
                  <w:noWrap w:val="0"/>
                  <w:vAlign w:val="center"/>
                </w:tcPr>
                <w:p>
                  <w:pPr>
                    <w:pStyle w:val="91"/>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Style w:val="56"/>
                      <w:rFonts w:ascii="Times New Roman"/>
                      <w:color w:val="auto"/>
                      <w:sz w:val="18"/>
                      <w:szCs w:val="18"/>
                      <w:lang w:val="en-US" w:eastAsia="zh-CN"/>
                    </w:rPr>
                  </w:pPr>
                  <w:r>
                    <w:rPr>
                      <w:rStyle w:val="56"/>
                      <w:rFonts w:ascii="Times New Roman"/>
                      <w:color w:val="auto"/>
                      <w:sz w:val="18"/>
                      <w:szCs w:val="18"/>
                      <w:lang w:val="en-US" w:eastAsia="zh-CN"/>
                    </w:rPr>
                    <w:t>项目四周，东南西北各一个监测点</w:t>
                  </w:r>
                </w:p>
              </w:tc>
              <w:tc>
                <w:tcPr>
                  <w:tcW w:w="721" w:type="pct"/>
                  <w:noWrap w:val="0"/>
                  <w:vAlign w:val="center"/>
                </w:tcPr>
                <w:p>
                  <w:pPr>
                    <w:pStyle w:val="91"/>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ascii="Times New Roman"/>
                      <w:bCs/>
                      <w:color w:val="auto"/>
                      <w:sz w:val="18"/>
                      <w:szCs w:val="18"/>
                      <w:lang w:val="en-US" w:eastAsia="zh-CN"/>
                    </w:rPr>
                  </w:pPr>
                  <w:r>
                    <w:rPr>
                      <w:rFonts w:ascii="Times New Roman"/>
                      <w:bCs/>
                      <w:color w:val="auto"/>
                      <w:sz w:val="18"/>
                      <w:szCs w:val="18"/>
                      <w:lang w:val="en-US" w:eastAsia="zh-CN"/>
                    </w:rPr>
                    <w:t>昼夜间厂界噪声</w:t>
                  </w:r>
                </w:p>
              </w:tc>
              <w:tc>
                <w:tcPr>
                  <w:tcW w:w="473" w:type="pct"/>
                  <w:noWrap w:val="0"/>
                  <w:vAlign w:val="center"/>
                </w:tcPr>
                <w:p>
                  <w:pPr>
                    <w:pStyle w:val="91"/>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ascii="Times New Roman"/>
                      <w:bCs/>
                      <w:color w:val="auto"/>
                      <w:sz w:val="18"/>
                      <w:szCs w:val="18"/>
                      <w:lang w:val="en-US" w:eastAsia="zh-CN"/>
                    </w:rPr>
                  </w:pPr>
                  <w:r>
                    <w:rPr>
                      <w:rFonts w:ascii="Times New Roman"/>
                      <w:bCs/>
                      <w:color w:val="auto"/>
                      <w:sz w:val="18"/>
                      <w:szCs w:val="18"/>
                      <w:lang w:val="en-US" w:eastAsia="zh-CN"/>
                    </w:rPr>
                    <w:t>1次/季</w:t>
                  </w:r>
                </w:p>
              </w:tc>
              <w:tc>
                <w:tcPr>
                  <w:tcW w:w="619" w:type="pct"/>
                  <w:noWrap w:val="0"/>
                  <w:vAlign w:val="center"/>
                </w:tcPr>
                <w:p>
                  <w:pPr>
                    <w:pStyle w:val="91"/>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ascii="Times New Roman"/>
                      <w:bCs/>
                      <w:color w:val="auto"/>
                      <w:sz w:val="18"/>
                      <w:szCs w:val="18"/>
                      <w:lang w:val="en-US" w:eastAsia="zh-CN"/>
                    </w:rPr>
                  </w:pPr>
                  <w:r>
                    <w:rPr>
                      <w:rFonts w:ascii="Times New Roman"/>
                      <w:bCs/>
                      <w:color w:val="auto"/>
                      <w:sz w:val="18"/>
                      <w:szCs w:val="18"/>
                      <w:lang w:val="en-US" w:eastAsia="zh-CN"/>
                    </w:rPr>
                    <w:t>有资质的监测单位</w:t>
                  </w:r>
                </w:p>
              </w:tc>
              <w:tc>
                <w:tcPr>
                  <w:tcW w:w="1751" w:type="pct"/>
                  <w:noWrap w:val="0"/>
                  <w:vAlign w:val="center"/>
                </w:tcPr>
                <w:p>
                  <w:pPr>
                    <w:pStyle w:val="91"/>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ascii="Times New Roman"/>
                      <w:bCs/>
                      <w:color w:val="auto"/>
                      <w:sz w:val="18"/>
                      <w:szCs w:val="18"/>
                      <w:lang w:val="en-US" w:eastAsia="zh-CN"/>
                    </w:rPr>
                  </w:pPr>
                  <w:r>
                    <w:rPr>
                      <w:rFonts w:ascii="Times New Roman"/>
                      <w:color w:val="auto"/>
                      <w:sz w:val="18"/>
                      <w:szCs w:val="18"/>
                      <w:lang w:val="en-US" w:eastAsia="zh-CN"/>
                    </w:rPr>
                    <w:t>《工业企业厂界环境噪声排放标准》（GB12348-2008）3类标准要求</w:t>
                  </w:r>
                </w:p>
              </w:tc>
            </w:tr>
          </w:tbl>
          <w:p>
            <w:pPr>
              <w:pStyle w:val="127"/>
              <w:spacing w:line="360" w:lineRule="auto"/>
              <w:ind w:firstLine="422" w:firstLineChars="200"/>
              <w:jc w:val="left"/>
              <w:rPr>
                <w:b/>
                <w:bCs/>
                <w:color w:val="auto"/>
                <w:kern w:val="0"/>
                <w:sz w:val="21"/>
                <w:szCs w:val="21"/>
              </w:rPr>
            </w:pPr>
            <w:r>
              <w:rPr>
                <w:rFonts w:hint="eastAsia"/>
                <w:b/>
                <w:bCs/>
                <w:color w:val="auto"/>
                <w:kern w:val="0"/>
                <w:sz w:val="21"/>
                <w:szCs w:val="21"/>
              </w:rPr>
              <w:t>四、</w:t>
            </w:r>
            <w:r>
              <w:rPr>
                <w:b/>
                <w:bCs/>
                <w:color w:val="auto"/>
                <w:kern w:val="0"/>
                <w:sz w:val="21"/>
                <w:szCs w:val="21"/>
              </w:rPr>
              <w:t>固体废物</w:t>
            </w:r>
          </w:p>
          <w:p>
            <w:pPr>
              <w:adjustRightInd w:val="0"/>
              <w:snapToGrid w:val="0"/>
              <w:spacing w:line="360" w:lineRule="auto"/>
              <w:ind w:firstLine="420" w:firstLineChars="200"/>
              <w:jc w:val="left"/>
              <w:rPr>
                <w:color w:val="auto"/>
                <w:kern w:val="0"/>
                <w:szCs w:val="21"/>
              </w:rPr>
            </w:pPr>
            <w:r>
              <w:rPr>
                <w:rFonts w:hint="eastAsia"/>
                <w:color w:val="auto"/>
                <w:szCs w:val="21"/>
              </w:rPr>
              <w:t>本项目产生的固体废弃物主要为</w:t>
            </w:r>
            <w:r>
              <w:rPr>
                <w:rFonts w:hint="eastAsia"/>
                <w:color w:val="auto"/>
                <w:szCs w:val="21"/>
                <w:lang w:val="en-US" w:eastAsia="zh-CN"/>
              </w:rPr>
              <w:t>一般固体废物、</w:t>
            </w:r>
            <w:r>
              <w:rPr>
                <w:rFonts w:hint="eastAsia"/>
                <w:color w:val="auto"/>
                <w:szCs w:val="21"/>
              </w:rPr>
              <w:t>危险废物</w:t>
            </w:r>
            <w:r>
              <w:rPr>
                <w:rFonts w:hint="eastAsia"/>
                <w:color w:val="auto"/>
                <w:szCs w:val="21"/>
                <w:lang w:val="en-US" w:eastAsia="zh-CN"/>
              </w:rPr>
              <w:t>和生活垃圾</w:t>
            </w:r>
            <w:r>
              <w:rPr>
                <w:rFonts w:hint="eastAsia"/>
                <w:color w:val="auto"/>
                <w:szCs w:val="21"/>
              </w:rPr>
              <w:t>，</w:t>
            </w:r>
            <w:r>
              <w:rPr>
                <w:rFonts w:hint="eastAsia"/>
                <w:color w:val="auto"/>
                <w:szCs w:val="21"/>
                <w:lang w:val="en-US" w:eastAsia="zh-CN"/>
              </w:rPr>
              <w:t>一般固废有纯水制备过程产生一般固废（</w:t>
            </w:r>
            <w:r>
              <w:rPr>
                <w:rFonts w:hint="eastAsia" w:ascii="Times New Roman" w:hAnsi="Times New Roman" w:eastAsia="宋体" w:cs="Times New Roman"/>
                <w:color w:val="auto"/>
                <w:kern w:val="0"/>
                <w:szCs w:val="21"/>
              </w:rPr>
              <w:t>废活性炭、废</w:t>
            </w:r>
            <w:r>
              <w:rPr>
                <w:rFonts w:hint="eastAsia" w:ascii="Times New Roman" w:hAnsi="Times New Roman" w:eastAsia="宋体" w:cs="Times New Roman"/>
                <w:color w:val="auto"/>
                <w:kern w:val="0"/>
                <w:szCs w:val="21"/>
                <w:lang w:val="en-US" w:eastAsia="zh-CN"/>
              </w:rPr>
              <w:t>石英砂、废过滤棉芯、废RO膜</w:t>
            </w:r>
            <w:r>
              <w:rPr>
                <w:rFonts w:hint="eastAsia"/>
                <w:color w:val="auto"/>
                <w:szCs w:val="21"/>
                <w:lang w:val="en-US" w:eastAsia="zh-CN"/>
              </w:rPr>
              <w:t>）</w:t>
            </w:r>
            <w:r>
              <w:rPr>
                <w:rFonts w:hint="eastAsia" w:ascii="Times New Roman" w:hAnsi="Times New Roman" w:eastAsia="宋体" w:cs="Times New Roman"/>
                <w:color w:val="auto"/>
                <w:kern w:val="0"/>
                <w:szCs w:val="21"/>
                <w:lang w:val="en-US" w:eastAsia="zh-CN"/>
              </w:rPr>
              <w:t>、原料使用产生废包装材料、下料环节产生边角料、机加工产生碎屑、收集粉尘；</w:t>
            </w:r>
            <w:r>
              <w:rPr>
                <w:rFonts w:hint="eastAsia"/>
                <w:color w:val="auto"/>
                <w:kern w:val="0"/>
                <w:szCs w:val="21"/>
              </w:rPr>
              <w:t>危险废物包括：</w:t>
            </w:r>
            <w:r>
              <w:rPr>
                <w:color w:val="auto"/>
                <w:kern w:val="0"/>
                <w:szCs w:val="21"/>
              </w:rPr>
              <w:t>废</w:t>
            </w:r>
            <w:r>
              <w:rPr>
                <w:rFonts w:hint="eastAsia"/>
                <w:color w:val="auto"/>
                <w:kern w:val="0"/>
                <w:szCs w:val="21"/>
                <w:lang w:val="en-US" w:eastAsia="zh-CN"/>
              </w:rPr>
              <w:t>切削液</w:t>
            </w:r>
            <w:r>
              <w:rPr>
                <w:color w:val="auto"/>
                <w:kern w:val="0"/>
                <w:szCs w:val="21"/>
              </w:rPr>
              <w:t>。</w:t>
            </w:r>
          </w:p>
          <w:p>
            <w:pPr>
              <w:spacing w:line="360" w:lineRule="auto"/>
              <w:ind w:firstLine="422" w:firstLineChars="200"/>
              <w:rPr>
                <w:rFonts w:hint="eastAsia"/>
                <w:b/>
                <w:bCs/>
                <w:color w:val="auto"/>
                <w:szCs w:val="21"/>
              </w:rPr>
            </w:pPr>
            <w:r>
              <w:rPr>
                <w:rFonts w:hint="eastAsia"/>
                <w:b/>
                <w:bCs/>
                <w:color w:val="auto"/>
                <w:szCs w:val="21"/>
              </w:rPr>
              <w:t>（1）</w:t>
            </w:r>
            <w:r>
              <w:rPr>
                <w:rFonts w:hint="eastAsia"/>
                <w:b/>
                <w:bCs/>
                <w:color w:val="auto"/>
                <w:szCs w:val="21"/>
                <w:lang w:val="en-US" w:eastAsia="zh-CN"/>
              </w:rPr>
              <w:t>一般固体废物</w:t>
            </w:r>
            <w:r>
              <w:rPr>
                <w:rFonts w:hint="eastAsia"/>
                <w:b/>
                <w:bCs/>
                <w:color w:val="auto"/>
                <w:szCs w:val="21"/>
              </w:rPr>
              <w:t>产生及处置情况</w:t>
            </w:r>
          </w:p>
          <w:p>
            <w:pPr>
              <w:spacing w:line="360" w:lineRule="auto"/>
              <w:ind w:firstLine="420" w:firstLineChars="200"/>
              <w:rPr>
                <w:rFonts w:hint="eastAsia"/>
                <w:color w:val="auto"/>
                <w:szCs w:val="21"/>
              </w:rPr>
            </w:pPr>
            <w:r>
              <w:rPr>
                <w:rFonts w:hint="eastAsia"/>
                <w:color w:val="auto"/>
                <w:szCs w:val="21"/>
              </w:rPr>
              <w:t>①</w:t>
            </w:r>
            <w:r>
              <w:rPr>
                <w:rFonts w:hint="eastAsia"/>
                <w:color w:val="auto"/>
                <w:szCs w:val="21"/>
                <w:lang w:val="en-US" w:eastAsia="zh-CN"/>
              </w:rPr>
              <w:t>纯水制备过程产生一般固废</w:t>
            </w:r>
            <w:r>
              <w:rPr>
                <w:rFonts w:hint="eastAsia"/>
                <w:color w:val="auto"/>
                <w:szCs w:val="21"/>
              </w:rPr>
              <w:t>：废石英砂：本项目纯水设备中定期更换过滤介质石英砂，根据设备厂家提供资料，更换频次为3~5年更换一次，一次更换量约为0.</w:t>
            </w:r>
            <w:r>
              <w:rPr>
                <w:rFonts w:hint="eastAsia"/>
                <w:color w:val="auto"/>
                <w:szCs w:val="21"/>
                <w:lang w:val="en-US" w:eastAsia="zh-CN"/>
              </w:rPr>
              <w:t>5</w:t>
            </w:r>
            <w:r>
              <w:rPr>
                <w:rFonts w:hint="eastAsia"/>
                <w:color w:val="auto"/>
                <w:szCs w:val="21"/>
              </w:rPr>
              <w:t>t。交由物资公司回收利用。废活性炭：本项目超纯水设备中定期更换过滤介质活性炭，根据设备厂家提供资料，更换频次为3~5年更换一次，一次更换量约为0.2t。交由物资公司回收利用。废RO反渗透膜：本项目超纯水设备中定期更换RO反渗透膜，根据设备厂家提供资料，更换频次为3~5年更换一次，每次更换</w:t>
            </w:r>
            <w:r>
              <w:rPr>
                <w:rFonts w:hint="eastAsia"/>
                <w:color w:val="auto"/>
                <w:szCs w:val="21"/>
                <w:lang w:val="en-US" w:eastAsia="zh-CN"/>
              </w:rPr>
              <w:t>8</w:t>
            </w:r>
            <w:r>
              <w:rPr>
                <w:rFonts w:hint="eastAsia"/>
                <w:color w:val="auto"/>
                <w:szCs w:val="21"/>
              </w:rPr>
              <w:t>支，一次更换量约为0.1t。交由物资公司回收利用。废过滤棉</w:t>
            </w:r>
            <w:r>
              <w:rPr>
                <w:rFonts w:hint="eastAsia"/>
                <w:color w:val="auto"/>
                <w:szCs w:val="21"/>
                <w:lang w:val="en-US" w:eastAsia="zh-CN"/>
              </w:rPr>
              <w:t>芯</w:t>
            </w:r>
            <w:r>
              <w:rPr>
                <w:rFonts w:hint="eastAsia"/>
                <w:color w:val="auto"/>
                <w:szCs w:val="21"/>
              </w:rPr>
              <w:t>：本项目超纯水设备中定期更换</w:t>
            </w:r>
            <w:r>
              <w:rPr>
                <w:rFonts w:hint="eastAsia"/>
                <w:color w:val="auto"/>
                <w:szCs w:val="21"/>
                <w:lang w:val="en-US" w:eastAsia="zh-CN"/>
              </w:rPr>
              <w:t>过滤棉</w:t>
            </w:r>
            <w:r>
              <w:rPr>
                <w:rFonts w:hint="eastAsia"/>
                <w:color w:val="auto"/>
                <w:szCs w:val="21"/>
              </w:rPr>
              <w:t>，根据设备厂家提供资料，更换频次为3~5年更换一次，一次更换量约为0.02t。交由物资公司回收利用。</w:t>
            </w:r>
          </w:p>
          <w:p>
            <w:pPr>
              <w:adjustRightInd w:val="0"/>
              <w:snapToGrid w:val="0"/>
              <w:spacing w:line="360" w:lineRule="auto"/>
              <w:ind w:firstLine="420" w:firstLineChars="200"/>
              <w:jc w:val="left"/>
              <w:rPr>
                <w:rFonts w:hint="eastAsia"/>
                <w:color w:val="auto"/>
                <w:szCs w:val="21"/>
              </w:rPr>
            </w:pPr>
            <w:r>
              <w:rPr>
                <w:rFonts w:hint="eastAsia"/>
                <w:color w:val="auto"/>
                <w:szCs w:val="21"/>
              </w:rPr>
              <w:t>②</w:t>
            </w:r>
            <w:r>
              <w:rPr>
                <w:color w:val="auto"/>
                <w:szCs w:val="21"/>
              </w:rPr>
              <w:t>废</w:t>
            </w:r>
            <w:r>
              <w:rPr>
                <w:rFonts w:hint="eastAsia"/>
                <w:color w:val="auto"/>
                <w:szCs w:val="21"/>
                <w:lang w:val="en-US" w:eastAsia="zh-CN"/>
              </w:rPr>
              <w:t>包装材料</w:t>
            </w:r>
            <w:r>
              <w:rPr>
                <w:rFonts w:hint="eastAsia"/>
                <w:color w:val="auto"/>
                <w:szCs w:val="21"/>
              </w:rPr>
              <w:t>：本项目</w:t>
            </w:r>
            <w:r>
              <w:rPr>
                <w:rFonts w:hint="eastAsia"/>
                <w:color w:val="auto"/>
                <w:szCs w:val="21"/>
                <w:lang w:val="en-US" w:eastAsia="zh-CN"/>
              </w:rPr>
              <w:t>使用元器件、胶带等</w:t>
            </w:r>
            <w:r>
              <w:rPr>
                <w:rFonts w:hint="eastAsia"/>
                <w:color w:val="auto"/>
                <w:szCs w:val="21"/>
              </w:rPr>
              <w:t>产生</w:t>
            </w:r>
            <w:r>
              <w:rPr>
                <w:rFonts w:hint="eastAsia"/>
                <w:color w:val="auto"/>
                <w:szCs w:val="21"/>
                <w:lang w:val="en-US" w:eastAsia="zh-CN"/>
              </w:rPr>
              <w:t>废包装材料，年产生量约为0.1t/a，收集后暂存一般固废间，定期外售物资回收部门。</w:t>
            </w:r>
          </w:p>
          <w:p>
            <w:pPr>
              <w:adjustRightInd w:val="0"/>
              <w:snapToGrid w:val="0"/>
              <w:spacing w:line="360" w:lineRule="auto"/>
              <w:ind w:firstLine="420" w:firstLineChars="200"/>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③</w:t>
            </w:r>
            <w:r>
              <w:rPr>
                <w:rFonts w:hint="eastAsia" w:ascii="Times New Roman" w:hAnsi="Times New Roman" w:eastAsia="宋体" w:cs="Times New Roman"/>
                <w:color w:val="auto"/>
                <w:szCs w:val="21"/>
                <w:lang w:val="en-US" w:eastAsia="zh-CN"/>
              </w:rPr>
              <w:t>边角料：本项目金属板材下料环节、塑料板材下料环节均产生边角料，根据企业生产经验，边角料产生量约为总用量的1%，则金属边角料产生量为0.2t/a，塑料边角料产生量为2t/a，收集于一般固废暂存间，定期外售物资回收部门。</w:t>
            </w:r>
          </w:p>
          <w:p>
            <w:pPr>
              <w:adjustRightInd w:val="0"/>
              <w:snapToGrid w:val="0"/>
              <w:spacing w:line="360" w:lineRule="auto"/>
              <w:ind w:firstLine="420" w:firstLineChars="200"/>
              <w:jc w:val="left"/>
              <w:rPr>
                <w:rFonts w:hint="eastAsia"/>
                <w:bCs w:val="0"/>
                <w:color w:val="FF0000"/>
                <w:lang w:val="en-US" w:eastAsia="zh-CN"/>
              </w:rPr>
            </w:pPr>
            <w:r>
              <w:rPr>
                <w:rFonts w:hint="eastAsia"/>
                <w:bCs w:val="0"/>
                <w:color w:val="auto"/>
                <w:lang w:val="en-US" w:eastAsia="zh-CN"/>
              </w:rPr>
              <w:t>④收集粉尘：根据工程分析，收集粉尘分为人工除尘器收集和烟尘净化器收集两部分，总计收集粉尘0.702t/a，分别收集后物质部门回收。</w:t>
            </w:r>
          </w:p>
          <w:p>
            <w:pPr>
              <w:adjustRightInd w:val="0"/>
              <w:snapToGrid w:val="0"/>
              <w:spacing w:line="360" w:lineRule="auto"/>
              <w:ind w:firstLine="420" w:firstLineChars="200"/>
              <w:jc w:val="left"/>
              <w:rPr>
                <w:rFonts w:hint="default" w:ascii="Times New Roman" w:hAnsi="Times New Roman" w:eastAsia="宋体" w:cs="Times New Roman"/>
                <w:bCs w:val="0"/>
                <w:color w:val="auto"/>
                <w:lang w:val="en-US" w:eastAsia="zh-CN"/>
              </w:rPr>
            </w:pPr>
            <w:r>
              <w:rPr>
                <w:rFonts w:hint="eastAsia"/>
                <w:bCs w:val="0"/>
                <w:color w:val="auto"/>
                <w:lang w:val="en-US" w:eastAsia="zh-CN"/>
              </w:rPr>
              <w:t>⑤机加工碎屑：本项目金属板材经切割后进入CNC立式加工中心进行湿式雕刻加工，产生碎屑采用乳化液喷淋，碎屑与乳化液一起进入</w:t>
            </w:r>
            <w:r>
              <w:rPr>
                <w:rFonts w:hint="eastAsia" w:ascii="Times New Roman" w:hAnsi="Times New Roman" w:eastAsia="宋体" w:cs="Times New Roman"/>
                <w:bCs w:val="0"/>
                <w:color w:val="auto"/>
                <w:lang w:val="en-US" w:eastAsia="zh-CN"/>
              </w:rPr>
              <w:t>沉淀槽内分离，</w:t>
            </w:r>
            <w:r>
              <w:rPr>
                <w:rFonts w:hint="default" w:ascii="Times New Roman" w:hAnsi="Times New Roman" w:eastAsia="宋体" w:cs="Times New Roman"/>
                <w:bCs w:val="0"/>
                <w:color w:val="auto"/>
                <w:lang w:val="en-US" w:eastAsia="zh-CN"/>
              </w:rPr>
              <w:t>采取静置</w:t>
            </w:r>
            <w:r>
              <w:rPr>
                <w:rFonts w:hint="eastAsia" w:cs="Times New Roman"/>
                <w:bCs w:val="0"/>
                <w:color w:val="auto"/>
                <w:lang w:val="en-US" w:eastAsia="zh-CN"/>
              </w:rPr>
              <w:t>（</w:t>
            </w:r>
            <w:r>
              <w:rPr>
                <w:rFonts w:hint="default" w:ascii="Times New Roman" w:hAnsi="Times New Roman" w:eastAsia="宋体" w:cs="Times New Roman"/>
                <w:bCs w:val="0"/>
                <w:color w:val="auto"/>
                <w:lang w:val="en-US" w:eastAsia="zh-CN"/>
              </w:rPr>
              <w:t>时间≥4h</w:t>
            </w:r>
            <w:r>
              <w:rPr>
                <w:rFonts w:hint="eastAsia" w:cs="Times New Roman"/>
                <w:bCs w:val="0"/>
                <w:color w:val="auto"/>
                <w:lang w:val="en-US" w:eastAsia="zh-CN"/>
              </w:rPr>
              <w:t>）</w:t>
            </w:r>
            <w:r>
              <w:rPr>
                <w:rFonts w:hint="default" w:ascii="Times New Roman" w:hAnsi="Times New Roman" w:eastAsia="宋体" w:cs="Times New Roman"/>
                <w:bCs w:val="0"/>
                <w:color w:val="auto"/>
                <w:lang w:val="en-US" w:eastAsia="zh-CN"/>
              </w:rPr>
              <w:t>+离心分离</w:t>
            </w:r>
            <w:r>
              <w:rPr>
                <w:rFonts w:hint="eastAsia" w:cs="Times New Roman"/>
                <w:bCs w:val="0"/>
                <w:color w:val="auto"/>
                <w:lang w:val="en-US" w:eastAsia="zh-CN"/>
              </w:rPr>
              <w:t>（</w:t>
            </w:r>
            <w:r>
              <w:rPr>
                <w:rFonts w:hint="default" w:ascii="Times New Roman" w:hAnsi="Times New Roman" w:eastAsia="宋体" w:cs="Times New Roman"/>
                <w:bCs w:val="0"/>
                <w:color w:val="auto"/>
                <w:lang w:val="en-US" w:eastAsia="zh-CN"/>
              </w:rPr>
              <w:t>转速≥1000r/min，分离时间≥3min，负载≤50%</w:t>
            </w:r>
            <w:r>
              <w:rPr>
                <w:rFonts w:hint="eastAsia" w:cs="Times New Roman"/>
                <w:bCs w:val="0"/>
                <w:color w:val="auto"/>
                <w:lang w:val="en-US" w:eastAsia="zh-CN"/>
              </w:rPr>
              <w:t>）</w:t>
            </w:r>
            <w:r>
              <w:rPr>
                <w:rFonts w:hint="default" w:ascii="Times New Roman" w:hAnsi="Times New Roman" w:eastAsia="宋体" w:cs="Times New Roman"/>
                <w:bCs w:val="0"/>
                <w:color w:val="auto"/>
                <w:lang w:val="en-US" w:eastAsia="zh-CN"/>
              </w:rPr>
              <w:t>，分离乳化液后，确保金属屑石油烃含量&lt;3%以下</w:t>
            </w:r>
            <w:r>
              <w:rPr>
                <w:rFonts w:hint="eastAsia" w:ascii="Times New Roman" w:hAnsi="Times New Roman" w:eastAsia="宋体" w:cs="Times New Roman"/>
                <w:bCs w:val="0"/>
                <w:color w:val="auto"/>
                <w:lang w:val="en-US" w:eastAsia="zh-CN"/>
              </w:rPr>
              <w:t>作为一般固废采用桶装收集暂存于一般固废暂存间，定期外售物质回收部门。碎屑产生量</w:t>
            </w:r>
            <w:r>
              <w:rPr>
                <w:rFonts w:hint="default" w:ascii="Times New Roman" w:hAnsi="Times New Roman" w:cs="Times New Roman"/>
                <w:bCs/>
                <w:color w:val="auto"/>
                <w:szCs w:val="21"/>
                <w:shd w:val="clear" w:color="auto" w:fill="FFFFFF"/>
                <w:lang w:val="en-US" w:eastAsia="zh-CN"/>
              </w:rPr>
              <w:t>根据《33-37，431-434机械行业系数手册》中04下料环节</w:t>
            </w:r>
            <w:r>
              <w:rPr>
                <w:rFonts w:hint="eastAsia" w:ascii="Times New Roman" w:hAnsi="Times New Roman" w:cs="Times New Roman"/>
                <w:bCs/>
                <w:color w:val="auto"/>
                <w:szCs w:val="21"/>
                <w:shd w:val="clear" w:color="auto" w:fill="FFFFFF"/>
                <w:lang w:val="en-US" w:eastAsia="zh-CN"/>
              </w:rPr>
              <w:t>进行核算</w:t>
            </w:r>
            <w:r>
              <w:rPr>
                <w:rFonts w:hint="default" w:ascii="Times New Roman" w:hAnsi="Times New Roman" w:cs="Times New Roman"/>
                <w:bCs/>
                <w:color w:val="auto"/>
                <w:szCs w:val="21"/>
                <w:shd w:val="clear" w:color="auto" w:fill="FFFFFF"/>
              </w:rPr>
              <w:t>：钢板-锯床、砂轮切割机切割—颗粒物产污系数：5.3kg/t-原料，本项目共计使用钢材20t</w:t>
            </w:r>
            <w:r>
              <w:rPr>
                <w:rFonts w:hint="default" w:ascii="Times New Roman" w:hAnsi="Times New Roman" w:cs="Times New Roman"/>
                <w:bCs/>
                <w:color w:val="auto"/>
                <w:szCs w:val="21"/>
                <w:shd w:val="clear" w:color="auto" w:fill="FFFFFF"/>
                <w:lang w:eastAsia="zh-CN"/>
              </w:rPr>
              <w:t>，</w:t>
            </w:r>
            <w:r>
              <w:rPr>
                <w:rFonts w:hint="default" w:ascii="Times New Roman" w:hAnsi="Times New Roman" w:cs="Times New Roman"/>
                <w:bCs/>
                <w:color w:val="auto"/>
                <w:szCs w:val="21"/>
                <w:shd w:val="clear" w:color="auto" w:fill="FFFFFF"/>
              </w:rPr>
              <w:t>则</w:t>
            </w:r>
            <w:r>
              <w:rPr>
                <w:rFonts w:hint="eastAsia" w:ascii="Times New Roman" w:hAnsi="Times New Roman" w:cs="Times New Roman"/>
                <w:bCs/>
                <w:color w:val="auto"/>
                <w:szCs w:val="21"/>
                <w:shd w:val="clear" w:color="auto" w:fill="FFFFFF"/>
                <w:lang w:val="en-US" w:eastAsia="zh-CN"/>
              </w:rPr>
              <w:t>碎屑</w:t>
            </w:r>
            <w:r>
              <w:rPr>
                <w:rFonts w:hint="default" w:ascii="Times New Roman" w:hAnsi="Times New Roman" w:cs="Times New Roman"/>
                <w:bCs/>
                <w:color w:val="auto"/>
                <w:szCs w:val="21"/>
                <w:shd w:val="clear" w:color="auto" w:fill="FFFFFF"/>
              </w:rPr>
              <w:t>产生量为0.106t/a，</w:t>
            </w:r>
            <w:r>
              <w:rPr>
                <w:rFonts w:hint="eastAsia" w:ascii="Times New Roman" w:hAnsi="Times New Roman" w:cs="Times New Roman"/>
                <w:bCs/>
                <w:color w:val="auto"/>
                <w:szCs w:val="21"/>
                <w:shd w:val="clear" w:color="auto" w:fill="FFFFFF"/>
                <w:lang w:val="en-US" w:eastAsia="zh-CN"/>
              </w:rPr>
              <w:t>因此机加工碎屑年产生量为0.106t/a。</w:t>
            </w:r>
          </w:p>
          <w:p>
            <w:pPr>
              <w:spacing w:line="240" w:lineRule="atLeast"/>
              <w:jc w:val="center"/>
              <w:rPr>
                <w:rFonts w:hint="eastAsia" w:hAnsi="宋体" w:eastAsia="宋体"/>
                <w:b/>
                <w:sz w:val="21"/>
                <w:szCs w:val="21"/>
                <w:lang w:eastAsia="zh-CN"/>
              </w:rPr>
            </w:pPr>
            <w:r>
              <w:rPr>
                <w:rFonts w:hint="eastAsia" w:hAnsi="宋体"/>
                <w:b/>
                <w:sz w:val="21"/>
                <w:szCs w:val="21"/>
              </w:rPr>
              <w:t>表4-1</w:t>
            </w:r>
            <w:r>
              <w:rPr>
                <w:rFonts w:hint="eastAsia" w:hAnsi="宋体"/>
                <w:b/>
                <w:sz w:val="21"/>
                <w:szCs w:val="21"/>
                <w:lang w:val="en-US" w:eastAsia="zh-CN"/>
              </w:rPr>
              <w:t xml:space="preserve">3  </w:t>
            </w:r>
            <w:r>
              <w:rPr>
                <w:rFonts w:hint="eastAsia" w:hAnsi="宋体"/>
                <w:b/>
                <w:sz w:val="21"/>
                <w:szCs w:val="21"/>
              </w:rPr>
              <w:t>本项目一般工业固废产生及处理处置措施</w:t>
            </w:r>
            <w:r>
              <w:rPr>
                <w:rFonts w:hint="eastAsia" w:hAnsi="宋体"/>
                <w:b/>
                <w:sz w:val="21"/>
                <w:szCs w:val="21"/>
                <w:lang w:eastAsia="zh-CN"/>
              </w:rPr>
              <w:t>（</w:t>
            </w:r>
            <w:r>
              <w:rPr>
                <w:rFonts w:hint="eastAsia" w:hAnsi="宋体"/>
                <w:b/>
                <w:sz w:val="21"/>
                <w:szCs w:val="21"/>
              </w:rPr>
              <w:t>单位：t/a</w:t>
            </w:r>
            <w:r>
              <w:rPr>
                <w:rFonts w:hint="eastAsia" w:hAnsi="宋体"/>
                <w:b/>
                <w:sz w:val="21"/>
                <w:szCs w:val="21"/>
                <w:lang w:eastAsia="zh-CN"/>
              </w:rPr>
              <w:t>）</w:t>
            </w:r>
          </w:p>
          <w:tbl>
            <w:tblPr>
              <w:tblStyle w:val="44"/>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67"/>
              <w:gridCol w:w="1432"/>
              <w:gridCol w:w="1230"/>
              <w:gridCol w:w="1275"/>
              <w:gridCol w:w="135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0" w:type="pct"/>
                  <w:noWrap w:val="0"/>
                  <w:vAlign w:val="center"/>
                </w:tcPr>
                <w:p>
                  <w:pPr>
                    <w:jc w:val="center"/>
                    <w:rPr>
                      <w:sz w:val="18"/>
                      <w:szCs w:val="18"/>
                    </w:rPr>
                  </w:pPr>
                  <w:r>
                    <w:rPr>
                      <w:sz w:val="18"/>
                      <w:szCs w:val="18"/>
                    </w:rPr>
                    <w:t>序号</w:t>
                  </w:r>
                </w:p>
              </w:tc>
              <w:tc>
                <w:tcPr>
                  <w:tcW w:w="830" w:type="pct"/>
                  <w:noWrap w:val="0"/>
                  <w:vAlign w:val="center"/>
                </w:tcPr>
                <w:p>
                  <w:pPr>
                    <w:jc w:val="center"/>
                    <w:rPr>
                      <w:sz w:val="18"/>
                      <w:szCs w:val="18"/>
                    </w:rPr>
                  </w:pPr>
                  <w:r>
                    <w:rPr>
                      <w:sz w:val="18"/>
                      <w:szCs w:val="18"/>
                    </w:rPr>
                    <w:t>废物名称</w:t>
                  </w:r>
                </w:p>
              </w:tc>
              <w:tc>
                <w:tcPr>
                  <w:tcW w:w="810" w:type="pct"/>
                  <w:noWrap w:val="0"/>
                  <w:vAlign w:val="center"/>
                </w:tcPr>
                <w:p>
                  <w:pPr>
                    <w:jc w:val="center"/>
                    <w:rPr>
                      <w:sz w:val="18"/>
                      <w:szCs w:val="18"/>
                    </w:rPr>
                  </w:pPr>
                  <w:r>
                    <w:rPr>
                      <w:sz w:val="18"/>
                      <w:szCs w:val="18"/>
                    </w:rPr>
                    <w:t>产物工序</w:t>
                  </w:r>
                </w:p>
              </w:tc>
              <w:tc>
                <w:tcPr>
                  <w:tcW w:w="696" w:type="pct"/>
                  <w:noWrap w:val="0"/>
                  <w:vAlign w:val="center"/>
                </w:tcPr>
                <w:p>
                  <w:pPr>
                    <w:jc w:val="center"/>
                    <w:rPr>
                      <w:sz w:val="18"/>
                      <w:szCs w:val="18"/>
                    </w:rPr>
                  </w:pPr>
                  <w:r>
                    <w:rPr>
                      <w:sz w:val="18"/>
                      <w:szCs w:val="18"/>
                    </w:rPr>
                    <w:t>类别</w:t>
                  </w:r>
                </w:p>
              </w:tc>
              <w:tc>
                <w:tcPr>
                  <w:tcW w:w="721" w:type="pct"/>
                  <w:noWrap w:val="0"/>
                  <w:vAlign w:val="center"/>
                </w:tcPr>
                <w:p>
                  <w:pPr>
                    <w:jc w:val="center"/>
                    <w:rPr>
                      <w:sz w:val="18"/>
                      <w:szCs w:val="18"/>
                    </w:rPr>
                  </w:pPr>
                  <w:r>
                    <w:rPr>
                      <w:sz w:val="18"/>
                      <w:szCs w:val="18"/>
                    </w:rPr>
                    <w:t>代码</w:t>
                  </w:r>
                </w:p>
              </w:tc>
              <w:tc>
                <w:tcPr>
                  <w:tcW w:w="764" w:type="pct"/>
                  <w:noWrap w:val="0"/>
                  <w:vAlign w:val="center"/>
                </w:tcPr>
                <w:p>
                  <w:pPr>
                    <w:jc w:val="center"/>
                    <w:rPr>
                      <w:sz w:val="18"/>
                      <w:szCs w:val="18"/>
                    </w:rPr>
                  </w:pPr>
                  <w:r>
                    <w:rPr>
                      <w:sz w:val="18"/>
                      <w:szCs w:val="18"/>
                    </w:rPr>
                    <w:t>产生量（t/a）</w:t>
                  </w:r>
                </w:p>
              </w:tc>
              <w:tc>
                <w:tcPr>
                  <w:tcW w:w="786" w:type="pct"/>
                  <w:noWrap w:val="0"/>
                  <w:vAlign w:val="center"/>
                </w:tcPr>
                <w:p>
                  <w:pPr>
                    <w:jc w:val="center"/>
                    <w:rPr>
                      <w:sz w:val="18"/>
                      <w:szCs w:val="18"/>
                    </w:rPr>
                  </w:pPr>
                  <w:r>
                    <w:rPr>
                      <w:sz w:val="18"/>
                      <w:szCs w:val="18"/>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0" w:type="pct"/>
                  <w:noWrap w:val="0"/>
                  <w:vAlign w:val="center"/>
                </w:tcPr>
                <w:p>
                  <w:pPr>
                    <w:jc w:val="center"/>
                    <w:rPr>
                      <w:sz w:val="18"/>
                      <w:szCs w:val="18"/>
                    </w:rPr>
                  </w:pPr>
                  <w:r>
                    <w:rPr>
                      <w:rFonts w:hint="eastAsia"/>
                      <w:sz w:val="18"/>
                      <w:szCs w:val="18"/>
                    </w:rPr>
                    <w:t>1</w:t>
                  </w:r>
                </w:p>
              </w:tc>
              <w:tc>
                <w:tcPr>
                  <w:tcW w:w="830" w:type="pct"/>
                  <w:noWrap w:val="0"/>
                  <w:vAlign w:val="center"/>
                </w:tcPr>
                <w:p>
                  <w:pPr>
                    <w:jc w:val="center"/>
                    <w:rPr>
                      <w:rFonts w:hint="default" w:eastAsia="宋体"/>
                      <w:sz w:val="18"/>
                      <w:szCs w:val="18"/>
                      <w:lang w:val="en-US" w:eastAsia="zh-CN"/>
                    </w:rPr>
                  </w:pPr>
                  <w:r>
                    <w:rPr>
                      <w:rFonts w:hint="eastAsia"/>
                      <w:sz w:val="18"/>
                      <w:szCs w:val="18"/>
                      <w:lang w:val="en-US" w:eastAsia="zh-CN"/>
                    </w:rPr>
                    <w:t>纯水制备废料</w:t>
                  </w:r>
                </w:p>
              </w:tc>
              <w:tc>
                <w:tcPr>
                  <w:tcW w:w="810" w:type="pct"/>
                  <w:noWrap w:val="0"/>
                  <w:vAlign w:val="center"/>
                </w:tcPr>
                <w:p>
                  <w:pPr>
                    <w:jc w:val="center"/>
                    <w:rPr>
                      <w:sz w:val="18"/>
                      <w:szCs w:val="18"/>
                    </w:rPr>
                  </w:pPr>
                  <w:r>
                    <w:rPr>
                      <w:rFonts w:hint="eastAsia"/>
                      <w:sz w:val="18"/>
                      <w:szCs w:val="18"/>
                      <w:lang w:val="en-US" w:eastAsia="zh-CN"/>
                    </w:rPr>
                    <w:t>纯水制备</w:t>
                  </w:r>
                </w:p>
              </w:tc>
              <w:tc>
                <w:tcPr>
                  <w:tcW w:w="696" w:type="pct"/>
                  <w:noWrap w:val="0"/>
                  <w:vAlign w:val="center"/>
                </w:tcPr>
                <w:p>
                  <w:pPr>
                    <w:jc w:val="center"/>
                    <w:rPr>
                      <w:sz w:val="18"/>
                      <w:szCs w:val="18"/>
                    </w:rPr>
                  </w:pPr>
                  <w:r>
                    <w:rPr>
                      <w:sz w:val="18"/>
                      <w:szCs w:val="18"/>
                    </w:rPr>
                    <w:t>一般固废</w:t>
                  </w:r>
                </w:p>
              </w:tc>
              <w:tc>
                <w:tcPr>
                  <w:tcW w:w="721" w:type="pct"/>
                  <w:noWrap w:val="0"/>
                  <w:vAlign w:val="center"/>
                </w:tcPr>
                <w:p>
                  <w:pPr>
                    <w:jc w:val="center"/>
                    <w:rPr>
                      <w:sz w:val="18"/>
                      <w:szCs w:val="18"/>
                    </w:rPr>
                  </w:pPr>
                  <w:r>
                    <w:rPr>
                      <w:rFonts w:hint="eastAsia"/>
                      <w:sz w:val="18"/>
                      <w:szCs w:val="18"/>
                      <w:lang w:val="en-US" w:eastAsia="zh-CN"/>
                    </w:rPr>
                    <w:t>356</w:t>
                  </w:r>
                  <w:r>
                    <w:rPr>
                      <w:rFonts w:hint="eastAsia"/>
                      <w:sz w:val="18"/>
                      <w:szCs w:val="18"/>
                    </w:rPr>
                    <w:t>-</w:t>
                  </w:r>
                  <w:r>
                    <w:rPr>
                      <w:rFonts w:hint="eastAsia"/>
                      <w:sz w:val="18"/>
                      <w:szCs w:val="18"/>
                      <w:lang w:val="en-US" w:eastAsia="zh-CN"/>
                    </w:rPr>
                    <w:t>002</w:t>
                  </w:r>
                  <w:r>
                    <w:rPr>
                      <w:rFonts w:hint="eastAsia"/>
                      <w:sz w:val="18"/>
                      <w:szCs w:val="18"/>
                    </w:rPr>
                    <w:t>-99</w:t>
                  </w:r>
                </w:p>
              </w:tc>
              <w:tc>
                <w:tcPr>
                  <w:tcW w:w="764" w:type="pct"/>
                  <w:noWrap w:val="0"/>
                  <w:vAlign w:val="center"/>
                </w:tcPr>
                <w:p>
                  <w:pPr>
                    <w:jc w:val="center"/>
                    <w:rPr>
                      <w:rFonts w:hint="default" w:eastAsia="宋体"/>
                      <w:sz w:val="18"/>
                      <w:szCs w:val="18"/>
                      <w:lang w:val="en-US" w:eastAsia="zh-CN"/>
                    </w:rPr>
                  </w:pPr>
                  <w:r>
                    <w:rPr>
                      <w:rFonts w:hint="eastAsia"/>
                      <w:sz w:val="18"/>
                      <w:szCs w:val="18"/>
                      <w:lang w:val="en-US" w:eastAsia="zh-CN"/>
                    </w:rPr>
                    <w:t>0.82（一次）</w:t>
                  </w:r>
                </w:p>
              </w:tc>
              <w:tc>
                <w:tcPr>
                  <w:tcW w:w="786" w:type="pct"/>
                  <w:noWrap w:val="0"/>
                  <w:vAlign w:val="center"/>
                </w:tcPr>
                <w:p>
                  <w:pPr>
                    <w:jc w:val="center"/>
                    <w:rPr>
                      <w:sz w:val="18"/>
                      <w:szCs w:val="18"/>
                    </w:rPr>
                  </w:pPr>
                  <w:r>
                    <w:rPr>
                      <w:rFonts w:hint="eastAsia"/>
                      <w:sz w:val="18"/>
                      <w:szCs w:val="18"/>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0" w:type="pct"/>
                  <w:noWrap w:val="0"/>
                  <w:vAlign w:val="center"/>
                </w:tcPr>
                <w:p>
                  <w:pPr>
                    <w:jc w:val="center"/>
                    <w:rPr>
                      <w:sz w:val="18"/>
                      <w:szCs w:val="18"/>
                    </w:rPr>
                  </w:pPr>
                  <w:r>
                    <w:rPr>
                      <w:rFonts w:hint="eastAsia"/>
                      <w:sz w:val="18"/>
                      <w:szCs w:val="18"/>
                    </w:rPr>
                    <w:t>2</w:t>
                  </w:r>
                </w:p>
              </w:tc>
              <w:tc>
                <w:tcPr>
                  <w:tcW w:w="830" w:type="pct"/>
                  <w:noWrap w:val="0"/>
                  <w:vAlign w:val="center"/>
                </w:tcPr>
                <w:p>
                  <w:pPr>
                    <w:jc w:val="center"/>
                    <w:rPr>
                      <w:rFonts w:hint="eastAsia" w:eastAsia="宋体"/>
                      <w:sz w:val="18"/>
                      <w:szCs w:val="18"/>
                      <w:lang w:eastAsia="zh-CN"/>
                    </w:rPr>
                  </w:pPr>
                  <w:r>
                    <w:rPr>
                      <w:rFonts w:hint="eastAsia"/>
                      <w:sz w:val="18"/>
                      <w:szCs w:val="18"/>
                      <w:lang w:val="en-US" w:eastAsia="zh-CN"/>
                    </w:rPr>
                    <w:t>废包装材料</w:t>
                  </w:r>
                </w:p>
              </w:tc>
              <w:tc>
                <w:tcPr>
                  <w:tcW w:w="810" w:type="pct"/>
                  <w:noWrap w:val="0"/>
                  <w:vAlign w:val="center"/>
                </w:tcPr>
                <w:p>
                  <w:pPr>
                    <w:jc w:val="center"/>
                    <w:rPr>
                      <w:rFonts w:hint="eastAsia" w:eastAsia="宋体"/>
                      <w:sz w:val="18"/>
                      <w:szCs w:val="18"/>
                      <w:lang w:eastAsia="zh-CN"/>
                    </w:rPr>
                  </w:pPr>
                  <w:r>
                    <w:rPr>
                      <w:rFonts w:hint="eastAsia"/>
                      <w:sz w:val="18"/>
                      <w:szCs w:val="18"/>
                      <w:lang w:val="en-US" w:eastAsia="zh-CN"/>
                    </w:rPr>
                    <w:t>原料使用</w:t>
                  </w:r>
                </w:p>
              </w:tc>
              <w:tc>
                <w:tcPr>
                  <w:tcW w:w="696" w:type="pct"/>
                  <w:noWrap w:val="0"/>
                  <w:vAlign w:val="center"/>
                </w:tcPr>
                <w:p>
                  <w:pPr>
                    <w:jc w:val="center"/>
                    <w:rPr>
                      <w:sz w:val="18"/>
                      <w:szCs w:val="18"/>
                    </w:rPr>
                  </w:pPr>
                  <w:r>
                    <w:rPr>
                      <w:sz w:val="18"/>
                      <w:szCs w:val="18"/>
                    </w:rPr>
                    <w:t>一般固废</w:t>
                  </w:r>
                </w:p>
              </w:tc>
              <w:tc>
                <w:tcPr>
                  <w:tcW w:w="721" w:type="pct"/>
                  <w:noWrap w:val="0"/>
                  <w:vAlign w:val="center"/>
                </w:tcPr>
                <w:p>
                  <w:pPr>
                    <w:jc w:val="center"/>
                    <w:rPr>
                      <w:sz w:val="18"/>
                      <w:szCs w:val="18"/>
                    </w:rPr>
                  </w:pPr>
                  <w:r>
                    <w:rPr>
                      <w:rFonts w:hint="eastAsia"/>
                      <w:sz w:val="18"/>
                      <w:szCs w:val="18"/>
                      <w:lang w:val="en-US" w:eastAsia="zh-CN"/>
                    </w:rPr>
                    <w:t>356</w:t>
                  </w:r>
                  <w:r>
                    <w:rPr>
                      <w:rFonts w:hint="eastAsia"/>
                      <w:sz w:val="18"/>
                      <w:szCs w:val="18"/>
                    </w:rPr>
                    <w:t>-</w:t>
                  </w:r>
                  <w:r>
                    <w:rPr>
                      <w:rFonts w:hint="eastAsia"/>
                      <w:sz w:val="18"/>
                      <w:szCs w:val="18"/>
                      <w:lang w:val="en-US" w:eastAsia="zh-CN"/>
                    </w:rPr>
                    <w:t>002</w:t>
                  </w:r>
                  <w:r>
                    <w:rPr>
                      <w:rFonts w:hint="eastAsia"/>
                      <w:sz w:val="18"/>
                      <w:szCs w:val="18"/>
                    </w:rPr>
                    <w:t>-</w:t>
                  </w:r>
                  <w:r>
                    <w:rPr>
                      <w:rFonts w:hint="eastAsia"/>
                      <w:sz w:val="18"/>
                      <w:szCs w:val="18"/>
                      <w:lang w:val="en-US" w:eastAsia="zh-CN"/>
                    </w:rPr>
                    <w:t>07</w:t>
                  </w:r>
                </w:p>
              </w:tc>
              <w:tc>
                <w:tcPr>
                  <w:tcW w:w="764" w:type="pct"/>
                  <w:noWrap w:val="0"/>
                  <w:vAlign w:val="center"/>
                </w:tcPr>
                <w:p>
                  <w:pPr>
                    <w:jc w:val="center"/>
                    <w:rPr>
                      <w:rFonts w:hint="default" w:eastAsia="宋体"/>
                      <w:sz w:val="18"/>
                      <w:szCs w:val="18"/>
                      <w:lang w:val="en-US" w:eastAsia="zh-CN"/>
                    </w:rPr>
                  </w:pPr>
                  <w:r>
                    <w:rPr>
                      <w:rFonts w:hint="eastAsia"/>
                      <w:sz w:val="18"/>
                      <w:szCs w:val="18"/>
                      <w:lang w:val="en-US" w:eastAsia="zh-CN"/>
                    </w:rPr>
                    <w:t>0.1</w:t>
                  </w:r>
                </w:p>
              </w:tc>
              <w:tc>
                <w:tcPr>
                  <w:tcW w:w="786" w:type="pct"/>
                  <w:noWrap w:val="0"/>
                  <w:vAlign w:val="center"/>
                </w:tcPr>
                <w:p>
                  <w:pPr>
                    <w:jc w:val="center"/>
                    <w:rPr>
                      <w:sz w:val="18"/>
                      <w:szCs w:val="18"/>
                    </w:rPr>
                  </w:pPr>
                  <w:r>
                    <w:rPr>
                      <w:rFonts w:hint="eastAsia"/>
                      <w:sz w:val="18"/>
                      <w:szCs w:val="18"/>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0" w:type="pct"/>
                  <w:noWrap w:val="0"/>
                  <w:vAlign w:val="center"/>
                </w:tcPr>
                <w:p>
                  <w:pPr>
                    <w:jc w:val="center"/>
                    <w:rPr>
                      <w:rFonts w:hint="eastAsia" w:eastAsia="宋体"/>
                      <w:sz w:val="18"/>
                      <w:szCs w:val="18"/>
                      <w:lang w:val="en-US" w:eastAsia="zh-CN"/>
                    </w:rPr>
                  </w:pPr>
                  <w:r>
                    <w:rPr>
                      <w:rFonts w:hint="eastAsia"/>
                      <w:sz w:val="18"/>
                      <w:szCs w:val="18"/>
                      <w:lang w:val="en-US" w:eastAsia="zh-CN"/>
                    </w:rPr>
                    <w:t>3</w:t>
                  </w:r>
                </w:p>
              </w:tc>
              <w:tc>
                <w:tcPr>
                  <w:tcW w:w="830" w:type="pct"/>
                  <w:noWrap w:val="0"/>
                  <w:vAlign w:val="center"/>
                </w:tcPr>
                <w:p>
                  <w:pPr>
                    <w:jc w:val="center"/>
                    <w:rPr>
                      <w:rFonts w:hint="eastAsia" w:eastAsia="宋体"/>
                      <w:sz w:val="18"/>
                      <w:szCs w:val="18"/>
                      <w:lang w:val="en-US" w:eastAsia="zh-CN"/>
                    </w:rPr>
                  </w:pPr>
                  <w:r>
                    <w:rPr>
                      <w:rFonts w:hint="eastAsia"/>
                      <w:sz w:val="18"/>
                      <w:szCs w:val="18"/>
                      <w:lang w:val="en-US" w:eastAsia="zh-CN"/>
                    </w:rPr>
                    <w:t>金属废边角料</w:t>
                  </w:r>
                </w:p>
              </w:tc>
              <w:tc>
                <w:tcPr>
                  <w:tcW w:w="810" w:type="pct"/>
                  <w:noWrap w:val="0"/>
                  <w:vAlign w:val="center"/>
                </w:tcPr>
                <w:p>
                  <w:pPr>
                    <w:jc w:val="center"/>
                    <w:rPr>
                      <w:rFonts w:hint="default" w:eastAsia="宋体"/>
                      <w:sz w:val="18"/>
                      <w:szCs w:val="18"/>
                      <w:lang w:val="en-US" w:eastAsia="zh-CN"/>
                    </w:rPr>
                  </w:pPr>
                  <w:r>
                    <w:rPr>
                      <w:rFonts w:hint="eastAsia"/>
                      <w:sz w:val="18"/>
                      <w:szCs w:val="18"/>
                      <w:lang w:val="en-US" w:eastAsia="zh-CN"/>
                    </w:rPr>
                    <w:t>金属裁切</w:t>
                  </w:r>
                </w:p>
              </w:tc>
              <w:tc>
                <w:tcPr>
                  <w:tcW w:w="696" w:type="pct"/>
                  <w:noWrap w:val="0"/>
                  <w:vAlign w:val="center"/>
                </w:tcPr>
                <w:p>
                  <w:pPr>
                    <w:jc w:val="center"/>
                    <w:rPr>
                      <w:sz w:val="18"/>
                      <w:szCs w:val="18"/>
                    </w:rPr>
                  </w:pPr>
                  <w:r>
                    <w:rPr>
                      <w:sz w:val="18"/>
                      <w:szCs w:val="18"/>
                    </w:rPr>
                    <w:t>一般固废</w:t>
                  </w:r>
                </w:p>
              </w:tc>
              <w:tc>
                <w:tcPr>
                  <w:tcW w:w="721" w:type="pct"/>
                  <w:noWrap w:val="0"/>
                  <w:vAlign w:val="center"/>
                </w:tcPr>
                <w:p>
                  <w:pPr>
                    <w:jc w:val="center"/>
                    <w:rPr>
                      <w:rFonts w:hint="eastAsia"/>
                      <w:sz w:val="18"/>
                      <w:szCs w:val="18"/>
                    </w:rPr>
                  </w:pPr>
                  <w:r>
                    <w:rPr>
                      <w:rFonts w:hint="eastAsia"/>
                      <w:sz w:val="18"/>
                      <w:szCs w:val="18"/>
                      <w:lang w:val="en-US" w:eastAsia="zh-CN"/>
                    </w:rPr>
                    <w:t>356</w:t>
                  </w:r>
                  <w:r>
                    <w:rPr>
                      <w:rFonts w:hint="eastAsia"/>
                      <w:sz w:val="18"/>
                      <w:szCs w:val="18"/>
                    </w:rPr>
                    <w:t>-</w:t>
                  </w:r>
                  <w:r>
                    <w:rPr>
                      <w:rFonts w:hint="eastAsia"/>
                      <w:sz w:val="18"/>
                      <w:szCs w:val="18"/>
                      <w:lang w:val="en-US" w:eastAsia="zh-CN"/>
                    </w:rPr>
                    <w:t>002</w:t>
                  </w:r>
                  <w:r>
                    <w:rPr>
                      <w:rFonts w:hint="eastAsia"/>
                      <w:sz w:val="18"/>
                      <w:szCs w:val="18"/>
                    </w:rPr>
                    <w:t>-</w:t>
                  </w:r>
                  <w:r>
                    <w:rPr>
                      <w:rFonts w:hint="eastAsia"/>
                      <w:sz w:val="18"/>
                      <w:szCs w:val="18"/>
                      <w:lang w:val="en-US" w:eastAsia="zh-CN"/>
                    </w:rPr>
                    <w:t>09</w:t>
                  </w:r>
                </w:p>
              </w:tc>
              <w:tc>
                <w:tcPr>
                  <w:tcW w:w="764" w:type="pct"/>
                  <w:noWrap w:val="0"/>
                  <w:vAlign w:val="center"/>
                </w:tcPr>
                <w:p>
                  <w:pPr>
                    <w:jc w:val="center"/>
                    <w:rPr>
                      <w:rFonts w:hint="default" w:eastAsia="宋体"/>
                      <w:sz w:val="18"/>
                      <w:szCs w:val="18"/>
                      <w:lang w:val="en-US" w:eastAsia="zh-CN"/>
                    </w:rPr>
                  </w:pPr>
                  <w:r>
                    <w:rPr>
                      <w:rFonts w:hint="eastAsia"/>
                      <w:sz w:val="18"/>
                      <w:szCs w:val="18"/>
                      <w:lang w:val="en-US" w:eastAsia="zh-CN"/>
                    </w:rPr>
                    <w:t>0.2</w:t>
                  </w:r>
                </w:p>
              </w:tc>
              <w:tc>
                <w:tcPr>
                  <w:tcW w:w="786" w:type="pct"/>
                  <w:noWrap w:val="0"/>
                  <w:vAlign w:val="center"/>
                </w:tcPr>
                <w:p>
                  <w:pPr>
                    <w:jc w:val="center"/>
                    <w:rPr>
                      <w:rFonts w:hint="eastAsia"/>
                      <w:sz w:val="18"/>
                      <w:szCs w:val="18"/>
                    </w:rPr>
                  </w:pPr>
                  <w:r>
                    <w:rPr>
                      <w:rFonts w:hint="eastAsia"/>
                      <w:sz w:val="18"/>
                      <w:szCs w:val="18"/>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0" w:type="pct"/>
                  <w:noWrap w:val="0"/>
                  <w:vAlign w:val="center"/>
                </w:tcPr>
                <w:p>
                  <w:pPr>
                    <w:jc w:val="center"/>
                    <w:rPr>
                      <w:rFonts w:hint="eastAsia" w:eastAsia="宋体"/>
                      <w:sz w:val="18"/>
                      <w:szCs w:val="18"/>
                      <w:lang w:val="en-US" w:eastAsia="zh-CN"/>
                    </w:rPr>
                  </w:pPr>
                  <w:r>
                    <w:rPr>
                      <w:rFonts w:hint="eastAsia"/>
                      <w:sz w:val="18"/>
                      <w:szCs w:val="18"/>
                      <w:lang w:val="en-US" w:eastAsia="zh-CN"/>
                    </w:rPr>
                    <w:t>4</w:t>
                  </w:r>
                </w:p>
              </w:tc>
              <w:tc>
                <w:tcPr>
                  <w:tcW w:w="830" w:type="pct"/>
                  <w:noWrap w:val="0"/>
                  <w:vAlign w:val="center"/>
                </w:tcPr>
                <w:p>
                  <w:pPr>
                    <w:jc w:val="center"/>
                    <w:rPr>
                      <w:rFonts w:hint="default" w:eastAsia="宋体"/>
                      <w:sz w:val="18"/>
                      <w:szCs w:val="18"/>
                      <w:lang w:val="en-US" w:eastAsia="zh-CN"/>
                    </w:rPr>
                  </w:pPr>
                  <w:r>
                    <w:rPr>
                      <w:rFonts w:hint="eastAsia"/>
                      <w:sz w:val="18"/>
                      <w:szCs w:val="18"/>
                      <w:lang w:val="en-US" w:eastAsia="zh-CN"/>
                    </w:rPr>
                    <w:t>塑料边角料</w:t>
                  </w:r>
                </w:p>
              </w:tc>
              <w:tc>
                <w:tcPr>
                  <w:tcW w:w="810" w:type="pct"/>
                  <w:noWrap w:val="0"/>
                  <w:vAlign w:val="center"/>
                </w:tcPr>
                <w:p>
                  <w:pPr>
                    <w:jc w:val="center"/>
                    <w:rPr>
                      <w:rFonts w:hint="default" w:eastAsia="宋体"/>
                      <w:sz w:val="18"/>
                      <w:szCs w:val="18"/>
                      <w:lang w:val="en-US" w:eastAsia="zh-CN"/>
                    </w:rPr>
                  </w:pPr>
                  <w:r>
                    <w:rPr>
                      <w:rFonts w:hint="eastAsia"/>
                      <w:sz w:val="18"/>
                      <w:szCs w:val="18"/>
                      <w:lang w:val="en-US" w:eastAsia="zh-CN"/>
                    </w:rPr>
                    <w:t>塑料裁切</w:t>
                  </w:r>
                </w:p>
              </w:tc>
              <w:tc>
                <w:tcPr>
                  <w:tcW w:w="696" w:type="pct"/>
                  <w:noWrap w:val="0"/>
                  <w:vAlign w:val="center"/>
                </w:tcPr>
                <w:p>
                  <w:pPr>
                    <w:jc w:val="center"/>
                    <w:rPr>
                      <w:sz w:val="18"/>
                      <w:szCs w:val="18"/>
                    </w:rPr>
                  </w:pPr>
                  <w:r>
                    <w:rPr>
                      <w:sz w:val="18"/>
                      <w:szCs w:val="18"/>
                    </w:rPr>
                    <w:t>一般固废</w:t>
                  </w:r>
                </w:p>
              </w:tc>
              <w:tc>
                <w:tcPr>
                  <w:tcW w:w="721" w:type="pct"/>
                  <w:noWrap w:val="0"/>
                  <w:vAlign w:val="center"/>
                </w:tcPr>
                <w:p>
                  <w:pPr>
                    <w:jc w:val="center"/>
                    <w:rPr>
                      <w:rFonts w:hint="eastAsia"/>
                      <w:sz w:val="18"/>
                      <w:szCs w:val="18"/>
                    </w:rPr>
                  </w:pPr>
                  <w:r>
                    <w:rPr>
                      <w:rFonts w:hint="eastAsia"/>
                      <w:sz w:val="18"/>
                      <w:szCs w:val="18"/>
                      <w:lang w:val="en-US" w:eastAsia="zh-CN"/>
                    </w:rPr>
                    <w:t>356</w:t>
                  </w:r>
                  <w:r>
                    <w:rPr>
                      <w:rFonts w:hint="eastAsia"/>
                      <w:sz w:val="18"/>
                      <w:szCs w:val="18"/>
                    </w:rPr>
                    <w:t>-</w:t>
                  </w:r>
                  <w:r>
                    <w:rPr>
                      <w:rFonts w:hint="eastAsia"/>
                      <w:sz w:val="18"/>
                      <w:szCs w:val="18"/>
                      <w:lang w:val="en-US" w:eastAsia="zh-CN"/>
                    </w:rPr>
                    <w:t>002</w:t>
                  </w:r>
                  <w:r>
                    <w:rPr>
                      <w:rFonts w:hint="eastAsia"/>
                      <w:sz w:val="18"/>
                      <w:szCs w:val="18"/>
                    </w:rPr>
                    <w:t>-</w:t>
                  </w:r>
                  <w:r>
                    <w:rPr>
                      <w:rFonts w:hint="eastAsia"/>
                      <w:sz w:val="18"/>
                      <w:szCs w:val="18"/>
                      <w:lang w:val="en-US" w:eastAsia="zh-CN"/>
                    </w:rPr>
                    <w:t>06</w:t>
                  </w:r>
                </w:p>
              </w:tc>
              <w:tc>
                <w:tcPr>
                  <w:tcW w:w="764" w:type="pct"/>
                  <w:noWrap w:val="0"/>
                  <w:vAlign w:val="center"/>
                </w:tcPr>
                <w:p>
                  <w:pPr>
                    <w:jc w:val="center"/>
                    <w:rPr>
                      <w:rFonts w:hint="eastAsia" w:eastAsia="宋体"/>
                      <w:sz w:val="18"/>
                      <w:szCs w:val="18"/>
                      <w:lang w:val="en-US" w:eastAsia="zh-CN"/>
                    </w:rPr>
                  </w:pPr>
                  <w:r>
                    <w:rPr>
                      <w:rFonts w:hint="eastAsia"/>
                      <w:sz w:val="18"/>
                      <w:szCs w:val="18"/>
                      <w:lang w:val="en-US" w:eastAsia="zh-CN"/>
                    </w:rPr>
                    <w:t>2</w:t>
                  </w:r>
                </w:p>
              </w:tc>
              <w:tc>
                <w:tcPr>
                  <w:tcW w:w="786" w:type="pct"/>
                  <w:noWrap w:val="0"/>
                  <w:vAlign w:val="center"/>
                </w:tcPr>
                <w:p>
                  <w:pPr>
                    <w:jc w:val="center"/>
                    <w:rPr>
                      <w:rFonts w:hint="eastAsia"/>
                      <w:sz w:val="18"/>
                      <w:szCs w:val="18"/>
                    </w:rPr>
                  </w:pPr>
                  <w:r>
                    <w:rPr>
                      <w:rFonts w:hint="eastAsia"/>
                      <w:sz w:val="18"/>
                      <w:szCs w:val="18"/>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0" w:type="pct"/>
                  <w:noWrap w:val="0"/>
                  <w:vAlign w:val="center"/>
                </w:tcPr>
                <w:p>
                  <w:pPr>
                    <w:jc w:val="center"/>
                    <w:rPr>
                      <w:rFonts w:hint="eastAsia" w:eastAsia="宋体"/>
                      <w:sz w:val="18"/>
                      <w:szCs w:val="18"/>
                      <w:lang w:val="en-US" w:eastAsia="zh-CN"/>
                    </w:rPr>
                  </w:pPr>
                  <w:r>
                    <w:rPr>
                      <w:rFonts w:hint="eastAsia"/>
                      <w:sz w:val="18"/>
                      <w:szCs w:val="18"/>
                      <w:lang w:val="en-US" w:eastAsia="zh-CN"/>
                    </w:rPr>
                    <w:t>5</w:t>
                  </w:r>
                </w:p>
              </w:tc>
              <w:tc>
                <w:tcPr>
                  <w:tcW w:w="830" w:type="pct"/>
                  <w:noWrap w:val="0"/>
                  <w:vAlign w:val="center"/>
                </w:tcPr>
                <w:p>
                  <w:pPr>
                    <w:jc w:val="center"/>
                    <w:rPr>
                      <w:rFonts w:hint="eastAsia" w:eastAsia="宋体"/>
                      <w:sz w:val="18"/>
                      <w:szCs w:val="18"/>
                      <w:lang w:val="en-US" w:eastAsia="zh-CN"/>
                    </w:rPr>
                  </w:pPr>
                  <w:r>
                    <w:rPr>
                      <w:rFonts w:hint="eastAsia"/>
                      <w:sz w:val="18"/>
                      <w:szCs w:val="18"/>
                      <w:lang w:val="en-US" w:eastAsia="zh-CN"/>
                    </w:rPr>
                    <w:t>收集粉尘</w:t>
                  </w:r>
                </w:p>
              </w:tc>
              <w:tc>
                <w:tcPr>
                  <w:tcW w:w="810" w:type="pct"/>
                  <w:noWrap w:val="0"/>
                  <w:vAlign w:val="center"/>
                </w:tcPr>
                <w:p>
                  <w:pPr>
                    <w:jc w:val="center"/>
                    <w:rPr>
                      <w:rFonts w:hint="default" w:eastAsia="宋体"/>
                      <w:sz w:val="18"/>
                      <w:szCs w:val="18"/>
                      <w:lang w:val="en-US" w:eastAsia="zh-CN"/>
                    </w:rPr>
                  </w:pPr>
                  <w:r>
                    <w:rPr>
                      <w:rFonts w:hint="eastAsia"/>
                      <w:sz w:val="18"/>
                      <w:szCs w:val="18"/>
                      <w:lang w:val="en-US" w:eastAsia="zh-CN"/>
                    </w:rPr>
                    <w:t>废气处理</w:t>
                  </w:r>
                </w:p>
              </w:tc>
              <w:tc>
                <w:tcPr>
                  <w:tcW w:w="696" w:type="pct"/>
                  <w:noWrap w:val="0"/>
                  <w:vAlign w:val="center"/>
                </w:tcPr>
                <w:p>
                  <w:pPr>
                    <w:jc w:val="center"/>
                    <w:rPr>
                      <w:sz w:val="18"/>
                      <w:szCs w:val="18"/>
                    </w:rPr>
                  </w:pPr>
                  <w:r>
                    <w:rPr>
                      <w:sz w:val="18"/>
                      <w:szCs w:val="18"/>
                    </w:rPr>
                    <w:t>一般固废</w:t>
                  </w:r>
                </w:p>
              </w:tc>
              <w:tc>
                <w:tcPr>
                  <w:tcW w:w="721" w:type="pct"/>
                  <w:noWrap w:val="0"/>
                  <w:vAlign w:val="center"/>
                </w:tcPr>
                <w:p>
                  <w:pPr>
                    <w:jc w:val="center"/>
                    <w:rPr>
                      <w:rFonts w:hint="default"/>
                      <w:sz w:val="18"/>
                      <w:szCs w:val="18"/>
                      <w:lang w:val="en-US"/>
                    </w:rPr>
                  </w:pPr>
                  <w:r>
                    <w:rPr>
                      <w:rFonts w:hint="eastAsia"/>
                      <w:sz w:val="18"/>
                      <w:szCs w:val="18"/>
                      <w:lang w:val="en-US" w:eastAsia="zh-CN"/>
                    </w:rPr>
                    <w:t>356</w:t>
                  </w:r>
                  <w:r>
                    <w:rPr>
                      <w:rFonts w:hint="eastAsia"/>
                      <w:sz w:val="18"/>
                      <w:szCs w:val="18"/>
                    </w:rPr>
                    <w:t>-</w:t>
                  </w:r>
                  <w:r>
                    <w:rPr>
                      <w:rFonts w:hint="eastAsia"/>
                      <w:sz w:val="18"/>
                      <w:szCs w:val="18"/>
                      <w:lang w:val="en-US" w:eastAsia="zh-CN"/>
                    </w:rPr>
                    <w:t>002</w:t>
                  </w:r>
                  <w:r>
                    <w:rPr>
                      <w:rFonts w:hint="eastAsia"/>
                      <w:sz w:val="18"/>
                      <w:szCs w:val="18"/>
                    </w:rPr>
                    <w:t>-</w:t>
                  </w:r>
                  <w:r>
                    <w:rPr>
                      <w:rFonts w:hint="eastAsia"/>
                      <w:sz w:val="18"/>
                      <w:szCs w:val="18"/>
                      <w:lang w:val="en-US" w:eastAsia="zh-CN"/>
                    </w:rPr>
                    <w:t>66</w:t>
                  </w:r>
                </w:p>
              </w:tc>
              <w:tc>
                <w:tcPr>
                  <w:tcW w:w="764" w:type="pct"/>
                  <w:noWrap w:val="0"/>
                  <w:vAlign w:val="center"/>
                </w:tcPr>
                <w:p>
                  <w:pPr>
                    <w:jc w:val="center"/>
                    <w:rPr>
                      <w:rFonts w:hint="default" w:eastAsia="宋体"/>
                      <w:sz w:val="18"/>
                      <w:szCs w:val="18"/>
                      <w:lang w:val="en-US" w:eastAsia="zh-CN"/>
                    </w:rPr>
                  </w:pPr>
                  <w:r>
                    <w:rPr>
                      <w:rFonts w:hint="eastAsia"/>
                      <w:sz w:val="18"/>
                      <w:szCs w:val="18"/>
                      <w:lang w:val="en-US" w:eastAsia="zh-CN"/>
                    </w:rPr>
                    <w:t>0.702</w:t>
                  </w:r>
                </w:p>
              </w:tc>
              <w:tc>
                <w:tcPr>
                  <w:tcW w:w="786" w:type="pct"/>
                  <w:noWrap w:val="0"/>
                  <w:vAlign w:val="center"/>
                </w:tcPr>
                <w:p>
                  <w:pPr>
                    <w:jc w:val="center"/>
                    <w:rPr>
                      <w:rFonts w:hint="eastAsia"/>
                      <w:sz w:val="18"/>
                      <w:szCs w:val="18"/>
                    </w:rPr>
                  </w:pPr>
                  <w:r>
                    <w:rPr>
                      <w:rFonts w:hint="eastAsia"/>
                      <w:sz w:val="18"/>
                      <w:szCs w:val="18"/>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0" w:type="pct"/>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6</w:t>
                  </w:r>
                </w:p>
              </w:tc>
              <w:tc>
                <w:tcPr>
                  <w:tcW w:w="830" w:type="pct"/>
                  <w:tcBorders>
                    <w:bottom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机加工碎屑</w:t>
                  </w:r>
                </w:p>
              </w:tc>
              <w:tc>
                <w:tcPr>
                  <w:tcW w:w="810" w:type="pct"/>
                  <w:tcBorders>
                    <w:bottom w:val="single" w:color="auto" w:sz="4" w:space="0"/>
                  </w:tcBorders>
                  <w:noWrap w:val="0"/>
                  <w:vAlign w:val="center"/>
                </w:tcPr>
                <w:p>
                  <w:pPr>
                    <w:jc w:val="center"/>
                    <w:rPr>
                      <w:rFonts w:hint="eastAsia" w:eastAsia="宋体"/>
                      <w:sz w:val="18"/>
                      <w:szCs w:val="18"/>
                      <w:lang w:val="en-US" w:eastAsia="zh-CN"/>
                    </w:rPr>
                  </w:pPr>
                  <w:r>
                    <w:rPr>
                      <w:rFonts w:hint="eastAsia"/>
                      <w:sz w:val="18"/>
                      <w:szCs w:val="18"/>
                      <w:lang w:val="en-US" w:eastAsia="zh-CN"/>
                    </w:rPr>
                    <w:t>机加工</w:t>
                  </w:r>
                </w:p>
              </w:tc>
              <w:tc>
                <w:tcPr>
                  <w:tcW w:w="696" w:type="pct"/>
                  <w:tcBorders>
                    <w:bottom w:val="single" w:color="auto" w:sz="4" w:space="0"/>
                  </w:tcBorders>
                  <w:noWrap w:val="0"/>
                  <w:vAlign w:val="center"/>
                </w:tcPr>
                <w:p>
                  <w:pPr>
                    <w:jc w:val="center"/>
                    <w:rPr>
                      <w:sz w:val="18"/>
                      <w:szCs w:val="18"/>
                    </w:rPr>
                  </w:pPr>
                  <w:r>
                    <w:rPr>
                      <w:sz w:val="18"/>
                      <w:szCs w:val="18"/>
                    </w:rPr>
                    <w:t>一般固废</w:t>
                  </w:r>
                </w:p>
              </w:tc>
              <w:tc>
                <w:tcPr>
                  <w:tcW w:w="721" w:type="pct"/>
                  <w:tcBorders>
                    <w:bottom w:val="single" w:color="auto" w:sz="4" w:space="0"/>
                  </w:tcBorders>
                  <w:noWrap w:val="0"/>
                  <w:vAlign w:val="center"/>
                </w:tcPr>
                <w:p>
                  <w:pPr>
                    <w:jc w:val="center"/>
                    <w:rPr>
                      <w:rFonts w:hint="eastAsia"/>
                      <w:sz w:val="18"/>
                      <w:szCs w:val="18"/>
                    </w:rPr>
                  </w:pPr>
                  <w:r>
                    <w:rPr>
                      <w:rFonts w:hint="eastAsia"/>
                      <w:sz w:val="18"/>
                      <w:szCs w:val="18"/>
                      <w:lang w:val="en-US" w:eastAsia="zh-CN"/>
                    </w:rPr>
                    <w:t>356</w:t>
                  </w:r>
                  <w:r>
                    <w:rPr>
                      <w:rFonts w:hint="eastAsia"/>
                      <w:sz w:val="18"/>
                      <w:szCs w:val="18"/>
                    </w:rPr>
                    <w:t>-</w:t>
                  </w:r>
                  <w:r>
                    <w:rPr>
                      <w:rFonts w:hint="eastAsia"/>
                      <w:sz w:val="18"/>
                      <w:szCs w:val="18"/>
                      <w:lang w:val="en-US" w:eastAsia="zh-CN"/>
                    </w:rPr>
                    <w:t>002</w:t>
                  </w:r>
                  <w:r>
                    <w:rPr>
                      <w:rFonts w:hint="eastAsia"/>
                      <w:sz w:val="18"/>
                      <w:szCs w:val="18"/>
                    </w:rPr>
                    <w:t>-</w:t>
                  </w:r>
                  <w:r>
                    <w:rPr>
                      <w:rFonts w:hint="eastAsia"/>
                      <w:sz w:val="18"/>
                      <w:szCs w:val="18"/>
                      <w:lang w:val="en-US" w:eastAsia="zh-CN"/>
                    </w:rPr>
                    <w:t>09</w:t>
                  </w:r>
                </w:p>
              </w:tc>
              <w:tc>
                <w:tcPr>
                  <w:tcW w:w="764" w:type="pct"/>
                  <w:tcBorders>
                    <w:bottom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0.106</w:t>
                  </w:r>
                </w:p>
              </w:tc>
              <w:tc>
                <w:tcPr>
                  <w:tcW w:w="786" w:type="pct"/>
                  <w:tcBorders>
                    <w:bottom w:val="single" w:color="auto" w:sz="4" w:space="0"/>
                  </w:tcBorders>
                  <w:noWrap w:val="0"/>
                  <w:vAlign w:val="center"/>
                </w:tcPr>
                <w:p>
                  <w:pPr>
                    <w:jc w:val="center"/>
                    <w:rPr>
                      <w:rFonts w:hint="eastAsia"/>
                      <w:sz w:val="18"/>
                      <w:szCs w:val="18"/>
                    </w:rPr>
                  </w:pPr>
                  <w:r>
                    <w:rPr>
                      <w:rFonts w:hint="eastAsia"/>
                      <w:sz w:val="18"/>
                      <w:szCs w:val="18"/>
                    </w:rPr>
                    <w:t>外售</w:t>
                  </w:r>
                </w:p>
              </w:tc>
            </w:tr>
          </w:tbl>
          <w:p>
            <w:pPr>
              <w:spacing w:line="360" w:lineRule="auto"/>
              <w:ind w:firstLine="420" w:firstLineChars="200"/>
              <w:jc w:val="left"/>
              <w:rPr>
                <w:szCs w:val="21"/>
              </w:rPr>
            </w:pPr>
            <w:r>
              <w:rPr>
                <w:szCs w:val="21"/>
              </w:rPr>
              <w:t>项目在厂房内建设1个一般固废仓库，并按《</w:t>
            </w:r>
            <w:r>
              <w:rPr>
                <w:rFonts w:hint="eastAsia"/>
                <w:szCs w:val="21"/>
              </w:rPr>
              <w:t>一般工业固体废物贮存和填埋污染控制标准</w:t>
            </w:r>
            <w:r>
              <w:rPr>
                <w:szCs w:val="21"/>
              </w:rPr>
              <w:t>》（GB18599-20</w:t>
            </w:r>
            <w:r>
              <w:rPr>
                <w:rFonts w:hint="eastAsia"/>
                <w:szCs w:val="21"/>
              </w:rPr>
              <w:t>20</w:t>
            </w:r>
            <w:r>
              <w:rPr>
                <w:szCs w:val="21"/>
              </w:rPr>
              <w:t>）相关规定进行建设，建成后用于一般工业固体废物临时贮存。建设项目一般固废的暂存区需按照《</w:t>
            </w:r>
            <w:r>
              <w:rPr>
                <w:rFonts w:hint="eastAsia"/>
                <w:szCs w:val="21"/>
              </w:rPr>
              <w:t>一般工业固体废物贮存和填埋污染控制标准</w:t>
            </w:r>
            <w:r>
              <w:rPr>
                <w:szCs w:val="21"/>
              </w:rPr>
              <w:t>》（GB18599-20</w:t>
            </w:r>
            <w:r>
              <w:rPr>
                <w:rFonts w:hint="eastAsia"/>
                <w:szCs w:val="21"/>
              </w:rPr>
              <w:t>20</w:t>
            </w:r>
            <w:r>
              <w:rPr>
                <w:szCs w:val="21"/>
              </w:rPr>
              <w:t>）要求建设，具体要求如下：</w:t>
            </w:r>
          </w:p>
          <w:p>
            <w:pPr>
              <w:spacing w:line="360" w:lineRule="auto"/>
              <w:ind w:firstLine="420" w:firstLineChars="200"/>
              <w:jc w:val="left"/>
              <w:rPr>
                <w:szCs w:val="21"/>
              </w:rPr>
            </w:pPr>
            <w:r>
              <w:rPr>
                <w:rFonts w:hint="eastAsia"/>
                <w:szCs w:val="21"/>
              </w:rPr>
              <w:t>①</w:t>
            </w:r>
            <w:r>
              <w:rPr>
                <w:szCs w:val="21"/>
              </w:rPr>
              <w:t>贮存、处置场的建设类型，必须与将要堆放的一般工业固体废物的类别相一致。</w:t>
            </w:r>
          </w:p>
          <w:p>
            <w:pPr>
              <w:spacing w:line="360" w:lineRule="auto"/>
              <w:ind w:firstLine="420" w:firstLineChars="200"/>
              <w:jc w:val="left"/>
              <w:rPr>
                <w:szCs w:val="21"/>
              </w:rPr>
            </w:pPr>
            <w:r>
              <w:rPr>
                <w:rFonts w:hint="eastAsia"/>
                <w:szCs w:val="21"/>
              </w:rPr>
              <w:t>②</w:t>
            </w:r>
            <w:r>
              <w:rPr>
                <w:szCs w:val="21"/>
              </w:rPr>
              <w:t>贮存、处置场应采取防止粉尘污染的措施。</w:t>
            </w:r>
          </w:p>
          <w:p>
            <w:pPr>
              <w:spacing w:line="360" w:lineRule="auto"/>
              <w:ind w:firstLine="420" w:firstLineChars="200"/>
              <w:rPr>
                <w:szCs w:val="21"/>
              </w:rPr>
            </w:pPr>
            <w:r>
              <w:rPr>
                <w:rFonts w:hint="eastAsia"/>
                <w:szCs w:val="21"/>
              </w:rPr>
              <w:t>③</w:t>
            </w:r>
            <w:r>
              <w:rPr>
                <w:szCs w:val="21"/>
              </w:rPr>
              <w:t>为防止雨水径流进入贮存、处置场内，避免渗滤液量增加和滑坡，贮存、处置场周边已设置导流渠。</w:t>
            </w:r>
          </w:p>
          <w:p>
            <w:pPr>
              <w:spacing w:line="360" w:lineRule="auto"/>
              <w:ind w:firstLine="420" w:firstLineChars="200"/>
              <w:rPr>
                <w:szCs w:val="21"/>
              </w:rPr>
            </w:pPr>
            <w:r>
              <w:rPr>
                <w:rFonts w:hint="eastAsia"/>
                <w:szCs w:val="21"/>
              </w:rPr>
              <w:t>④</w:t>
            </w:r>
            <w:r>
              <w:rPr>
                <w:szCs w:val="21"/>
              </w:rPr>
              <w:t>应设计渗滤液集排水设施。</w:t>
            </w:r>
          </w:p>
          <w:p>
            <w:pPr>
              <w:spacing w:line="360" w:lineRule="auto"/>
              <w:ind w:firstLine="420" w:firstLineChars="200"/>
              <w:rPr>
                <w:szCs w:val="21"/>
              </w:rPr>
            </w:pPr>
            <w:r>
              <w:rPr>
                <w:rFonts w:hint="eastAsia"/>
                <w:szCs w:val="21"/>
              </w:rPr>
              <w:t>⑤</w:t>
            </w:r>
            <w:r>
              <w:rPr>
                <w:szCs w:val="21"/>
              </w:rPr>
              <w:t>为防止一般工业固体废物和渗滤液的流失，应构筑堤、坝、挡土墙等设施。</w:t>
            </w:r>
          </w:p>
          <w:p>
            <w:pPr>
              <w:spacing w:line="360" w:lineRule="auto"/>
              <w:ind w:firstLine="420" w:firstLineChars="200"/>
              <w:rPr>
                <w:rFonts w:hint="eastAsia"/>
                <w:szCs w:val="21"/>
              </w:rPr>
            </w:pPr>
            <w:r>
              <w:rPr>
                <w:rFonts w:hint="eastAsia"/>
                <w:szCs w:val="21"/>
              </w:rPr>
              <w:t>⑥</w:t>
            </w:r>
            <w:r>
              <w:rPr>
                <w:szCs w:val="21"/>
              </w:rPr>
              <w:t>为保障设施、设备正常运营，必要时应采取措施防止地基下沉，尤其是防止不均匀或局部下沉。</w:t>
            </w:r>
          </w:p>
          <w:p>
            <w:pPr>
              <w:spacing w:line="360" w:lineRule="auto"/>
              <w:ind w:firstLine="420" w:firstLineChars="200"/>
              <w:rPr>
                <w:rFonts w:hint="eastAsia"/>
                <w:color w:val="auto"/>
                <w:szCs w:val="21"/>
              </w:rPr>
            </w:pPr>
            <w:r>
              <w:rPr>
                <w:rFonts w:hint="eastAsia"/>
                <w:color w:val="auto"/>
                <w:szCs w:val="21"/>
              </w:rPr>
              <w:t>（1）危险废物产生及处置情况</w:t>
            </w:r>
          </w:p>
          <w:p>
            <w:pPr>
              <w:tabs>
                <w:tab w:val="left" w:pos="2295"/>
              </w:tabs>
              <w:spacing w:line="360" w:lineRule="auto"/>
              <w:ind w:firstLine="420" w:firstLineChars="200"/>
              <w:jc w:val="left"/>
              <w:rPr>
                <w:rFonts w:hint="eastAsia"/>
                <w:color w:val="auto"/>
                <w:szCs w:val="21"/>
              </w:rPr>
            </w:pPr>
            <w:r>
              <w:rPr>
                <w:rFonts w:hint="eastAsia"/>
                <w:color w:val="auto"/>
                <w:szCs w:val="21"/>
              </w:rPr>
              <w:t>①废</w:t>
            </w:r>
            <w:r>
              <w:rPr>
                <w:rFonts w:hint="eastAsia"/>
                <w:color w:val="auto"/>
                <w:szCs w:val="21"/>
                <w:lang w:val="en-US" w:eastAsia="zh-CN"/>
              </w:rPr>
              <w:t>乳化</w:t>
            </w:r>
            <w:r>
              <w:rPr>
                <w:rFonts w:hint="eastAsia"/>
                <w:color w:val="auto"/>
                <w:szCs w:val="21"/>
              </w:rPr>
              <w:t>液：</w:t>
            </w:r>
            <w:r>
              <w:rPr>
                <w:rFonts w:hint="eastAsia"/>
                <w:color w:val="auto"/>
                <w:szCs w:val="21"/>
                <w:lang w:val="en-US" w:eastAsia="zh-CN"/>
              </w:rPr>
              <w:t>本项目切削液循环使用，根据使用频次，一般3个月更换一次，每次更换量为0.25t，年产生量为1t/a，废切削液属于</w:t>
            </w:r>
            <w:r>
              <w:rPr>
                <w:rFonts w:hint="eastAsia"/>
                <w:color w:val="auto"/>
                <w:szCs w:val="21"/>
              </w:rPr>
              <w:t>HW09油/水、烃/水混合物或乳化液</w:t>
            </w:r>
            <w:r>
              <w:rPr>
                <w:rFonts w:hint="eastAsia"/>
                <w:color w:val="auto"/>
                <w:szCs w:val="21"/>
                <w:lang w:eastAsia="zh-CN"/>
              </w:rPr>
              <w:t>，</w:t>
            </w:r>
            <w:r>
              <w:rPr>
                <w:rFonts w:hint="eastAsia"/>
                <w:color w:val="auto"/>
                <w:szCs w:val="21"/>
                <w:lang w:val="en-US" w:eastAsia="zh-CN"/>
              </w:rPr>
              <w:t>危废代码</w:t>
            </w:r>
            <w:r>
              <w:rPr>
                <w:rFonts w:hint="eastAsia"/>
                <w:color w:val="auto"/>
                <w:szCs w:val="21"/>
              </w:rPr>
              <w:t>900-006-09，使用桶装暂存于危废间，定期交由资质单位处理。</w:t>
            </w:r>
          </w:p>
          <w:p>
            <w:pPr>
              <w:tabs>
                <w:tab w:val="left" w:pos="2295"/>
              </w:tabs>
              <w:spacing w:line="360" w:lineRule="auto"/>
              <w:ind w:firstLine="420" w:firstLineChars="200"/>
              <w:jc w:val="left"/>
              <w:rPr>
                <w:rFonts w:hint="eastAsia"/>
                <w:color w:val="auto"/>
                <w:szCs w:val="21"/>
                <w:highlight w:val="none"/>
              </w:rPr>
            </w:pPr>
            <w:r>
              <w:rPr>
                <w:rFonts w:hint="eastAsia"/>
                <w:szCs w:val="21"/>
              </w:rPr>
              <w:t>②</w:t>
            </w:r>
            <w:r>
              <w:rPr>
                <w:rFonts w:hint="eastAsia"/>
                <w:szCs w:val="21"/>
                <w:lang w:val="en-US" w:eastAsia="zh-CN"/>
              </w:rPr>
              <w:t>废包装桶：</w:t>
            </w:r>
            <w:r>
              <w:rPr>
                <w:kern w:val="0"/>
                <w:szCs w:val="21"/>
              </w:rPr>
              <w:t>项目</w:t>
            </w:r>
            <w:r>
              <w:rPr>
                <w:rFonts w:hint="eastAsia"/>
                <w:color w:val="auto"/>
                <w:szCs w:val="21"/>
                <w:lang w:val="en-US" w:eastAsia="zh-CN"/>
              </w:rPr>
              <w:t>切削</w:t>
            </w:r>
            <w:r>
              <w:rPr>
                <w:rFonts w:hint="eastAsia"/>
                <w:kern w:val="0"/>
                <w:szCs w:val="21"/>
                <w:lang w:val="en-US" w:eastAsia="zh-CN"/>
              </w:rPr>
              <w:t>液、液压油</w:t>
            </w:r>
            <w:r>
              <w:rPr>
                <w:kern w:val="0"/>
                <w:szCs w:val="21"/>
              </w:rPr>
              <w:t>使用过程中会产生废</w:t>
            </w:r>
            <w:r>
              <w:rPr>
                <w:rFonts w:hint="eastAsia"/>
                <w:kern w:val="0"/>
                <w:szCs w:val="21"/>
              </w:rPr>
              <w:t>水</w:t>
            </w:r>
            <w:r>
              <w:rPr>
                <w:kern w:val="0"/>
                <w:szCs w:val="21"/>
              </w:rPr>
              <w:t>包装桶，产生量约0.</w:t>
            </w:r>
            <w:r>
              <w:rPr>
                <w:rFonts w:hint="eastAsia"/>
                <w:kern w:val="0"/>
                <w:szCs w:val="21"/>
                <w:lang w:val="en-US" w:eastAsia="zh-CN"/>
              </w:rPr>
              <w:t>2</w:t>
            </w:r>
            <w:r>
              <w:rPr>
                <w:kern w:val="0"/>
                <w:szCs w:val="21"/>
              </w:rPr>
              <w:t>t/a，产生的废包装桶属于危险废物，危废代码为HW49 900-041-49，收集后暂存于厂区危废仓库，</w:t>
            </w:r>
            <w:r>
              <w:rPr>
                <w:kern w:val="0"/>
                <w:szCs w:val="21"/>
                <w:highlight w:val="none"/>
              </w:rPr>
              <w:t>定期交由有资质的单位接收处理。</w:t>
            </w:r>
          </w:p>
          <w:p>
            <w:pPr>
              <w:pStyle w:val="149"/>
              <w:spacing w:line="300" w:lineRule="atLeast"/>
              <w:rPr>
                <w:rFonts w:hint="eastAsia" w:eastAsia="宋体"/>
                <w:color w:val="auto"/>
                <w:szCs w:val="21"/>
                <w:lang w:eastAsia="zh-CN"/>
              </w:rPr>
            </w:pPr>
            <w:r>
              <w:rPr>
                <w:color w:val="auto"/>
                <w:szCs w:val="21"/>
              </w:rPr>
              <w:t>表</w:t>
            </w:r>
            <w:r>
              <w:rPr>
                <w:rFonts w:hint="eastAsia"/>
                <w:color w:val="auto"/>
                <w:szCs w:val="21"/>
              </w:rPr>
              <w:t>4-1</w:t>
            </w:r>
            <w:r>
              <w:rPr>
                <w:rFonts w:hint="eastAsia"/>
                <w:color w:val="auto"/>
                <w:szCs w:val="21"/>
                <w:lang w:val="en-US" w:eastAsia="zh-CN"/>
              </w:rPr>
              <w:t>4</w:t>
            </w:r>
            <w:r>
              <w:rPr>
                <w:color w:val="auto"/>
                <w:szCs w:val="21"/>
              </w:rPr>
              <w:t xml:space="preserve"> </w:t>
            </w:r>
            <w:r>
              <w:rPr>
                <w:rFonts w:hint="eastAsia"/>
                <w:color w:val="auto"/>
                <w:szCs w:val="21"/>
                <w:lang w:val="en-US" w:eastAsia="zh-CN"/>
              </w:rPr>
              <w:t xml:space="preserve"> </w:t>
            </w:r>
            <w:r>
              <w:rPr>
                <w:color w:val="auto"/>
                <w:szCs w:val="21"/>
              </w:rPr>
              <w:t>危险废物产生一览表</w:t>
            </w:r>
            <w:r>
              <w:rPr>
                <w:rFonts w:hint="eastAsia"/>
                <w:color w:val="auto"/>
                <w:szCs w:val="21"/>
                <w:lang w:eastAsia="zh-CN"/>
              </w:rPr>
              <w:t>（</w:t>
            </w:r>
            <w:r>
              <w:rPr>
                <w:color w:val="auto"/>
                <w:szCs w:val="21"/>
              </w:rPr>
              <w:t>单位：t/a</w:t>
            </w:r>
            <w:r>
              <w:rPr>
                <w:rFonts w:hint="eastAsia"/>
                <w:color w:val="auto"/>
                <w:szCs w:val="21"/>
                <w:lang w:eastAsia="zh-CN"/>
              </w:rPr>
              <w:t>）</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960"/>
              <w:gridCol w:w="1397"/>
              <w:gridCol w:w="891"/>
              <w:gridCol w:w="985"/>
              <w:gridCol w:w="743"/>
              <w:gridCol w:w="861"/>
              <w:gridCol w:w="684"/>
              <w:gridCol w:w="69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3"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lang w:bidi="ar"/>
                    </w:rPr>
                    <w:t>序号</w:t>
                  </w:r>
                </w:p>
              </w:tc>
              <w:tc>
                <w:tcPr>
                  <w:tcW w:w="543"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lang w:bidi="ar"/>
                    </w:rPr>
                    <w:t>危险废物名称</w:t>
                  </w:r>
                </w:p>
              </w:tc>
              <w:tc>
                <w:tcPr>
                  <w:tcW w:w="790"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lang w:bidi="ar"/>
                    </w:rPr>
                    <w:t>危险废物类别</w:t>
                  </w:r>
                  <w:r>
                    <w:rPr>
                      <w:rFonts w:hint="eastAsia"/>
                      <w:color w:val="auto"/>
                      <w:kern w:val="0"/>
                      <w:sz w:val="21"/>
                      <w:szCs w:val="21"/>
                      <w:lang w:bidi="ar"/>
                    </w:rPr>
                    <w:t>及</w:t>
                  </w:r>
                  <w:r>
                    <w:rPr>
                      <w:color w:val="auto"/>
                      <w:kern w:val="0"/>
                      <w:sz w:val="21"/>
                      <w:szCs w:val="21"/>
                      <w:lang w:bidi="ar"/>
                    </w:rPr>
                    <w:t>代码</w:t>
                  </w:r>
                </w:p>
              </w:tc>
              <w:tc>
                <w:tcPr>
                  <w:tcW w:w="504"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lang w:bidi="ar"/>
                    </w:rPr>
                    <w:t>产生量</w:t>
                  </w:r>
                  <w:r>
                    <w:rPr>
                      <w:color w:val="auto"/>
                      <w:sz w:val="21"/>
                      <w:szCs w:val="21"/>
                    </w:rPr>
                    <w:t>t/a</w:t>
                  </w:r>
                </w:p>
              </w:tc>
              <w:tc>
                <w:tcPr>
                  <w:tcW w:w="557"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lang w:bidi="ar"/>
                    </w:rPr>
                    <w:t>产生工序及装置</w:t>
                  </w:r>
                </w:p>
              </w:tc>
              <w:tc>
                <w:tcPr>
                  <w:tcW w:w="420"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lang w:bidi="ar"/>
                    </w:rPr>
                    <w:t>形态</w:t>
                  </w:r>
                </w:p>
              </w:tc>
              <w:tc>
                <w:tcPr>
                  <w:tcW w:w="487"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lang w:bidi="ar"/>
                    </w:rPr>
                    <w:t>有害成分</w:t>
                  </w:r>
                </w:p>
              </w:tc>
              <w:tc>
                <w:tcPr>
                  <w:tcW w:w="387"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lang w:bidi="ar"/>
                    </w:rPr>
                    <w:t>产废周期</w:t>
                  </w:r>
                </w:p>
              </w:tc>
              <w:tc>
                <w:tcPr>
                  <w:tcW w:w="393"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lang w:bidi="ar"/>
                    </w:rPr>
                    <w:t>危险</w:t>
                  </w:r>
                </w:p>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lang w:bidi="ar"/>
                    </w:rPr>
                    <w:t>特性</w:t>
                  </w:r>
                </w:p>
              </w:tc>
              <w:tc>
                <w:tcPr>
                  <w:tcW w:w="601"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lang w:bidi="ar"/>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3"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lang w:bidi="ar"/>
                    </w:rPr>
                  </w:pPr>
                  <w:r>
                    <w:rPr>
                      <w:color w:val="auto"/>
                      <w:kern w:val="0"/>
                      <w:sz w:val="21"/>
                      <w:szCs w:val="21"/>
                      <w:lang w:bidi="ar"/>
                    </w:rPr>
                    <w:t>1</w:t>
                  </w:r>
                </w:p>
              </w:tc>
              <w:tc>
                <w:tcPr>
                  <w:tcW w:w="543"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hint="default"/>
                      <w:color w:val="auto"/>
                      <w:kern w:val="0"/>
                      <w:sz w:val="21"/>
                      <w:szCs w:val="21"/>
                      <w:lang w:val="en-US"/>
                    </w:rPr>
                  </w:pPr>
                  <w:r>
                    <w:rPr>
                      <w:rFonts w:hint="eastAsia"/>
                      <w:color w:val="auto"/>
                      <w:sz w:val="21"/>
                      <w:szCs w:val="21"/>
                    </w:rPr>
                    <w:t>废</w:t>
                  </w:r>
                  <w:r>
                    <w:rPr>
                      <w:rFonts w:hint="eastAsia"/>
                      <w:color w:val="auto"/>
                      <w:szCs w:val="21"/>
                      <w:lang w:val="en-US" w:eastAsia="zh-CN"/>
                    </w:rPr>
                    <w:t>切削液</w:t>
                  </w:r>
                </w:p>
              </w:tc>
              <w:tc>
                <w:tcPr>
                  <w:tcW w:w="790" w:type="pct"/>
                  <w:noWrap w:val="0"/>
                  <w:vAlign w:val="center"/>
                </w:tcPr>
                <w:p>
                  <w:pPr>
                    <w:keepNext w:val="0"/>
                    <w:keepLines w:val="0"/>
                    <w:pageBreakBefore w:val="0"/>
                    <w:kinsoku/>
                    <w:wordWrap/>
                    <w:overflowPunct/>
                    <w:autoSpaceDE/>
                    <w:autoSpaceDN/>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sz w:val="21"/>
                      <w:szCs w:val="21"/>
                    </w:rPr>
                    <w:t>HW</w:t>
                  </w:r>
                  <w:r>
                    <w:rPr>
                      <w:rFonts w:hint="eastAsia"/>
                      <w:color w:val="auto"/>
                      <w:sz w:val="21"/>
                      <w:szCs w:val="21"/>
                      <w:lang w:val="en-US" w:eastAsia="zh-CN"/>
                    </w:rPr>
                    <w:t>09</w:t>
                  </w:r>
                </w:p>
                <w:p>
                  <w:pPr>
                    <w:keepNext w:val="0"/>
                    <w:keepLines w:val="0"/>
                    <w:pageBreakBefore w:val="0"/>
                    <w:kinsoku/>
                    <w:wordWrap/>
                    <w:overflowPunct/>
                    <w:autoSpaceDE/>
                    <w:autoSpaceDN/>
                    <w:bidi w:val="0"/>
                    <w:adjustRightInd w:val="0"/>
                    <w:snapToGrid w:val="0"/>
                    <w:spacing w:line="240" w:lineRule="auto"/>
                    <w:jc w:val="center"/>
                    <w:textAlignment w:val="auto"/>
                    <w:rPr>
                      <w:color w:val="auto"/>
                      <w:kern w:val="0"/>
                      <w:sz w:val="21"/>
                      <w:szCs w:val="21"/>
                    </w:rPr>
                  </w:pPr>
                  <w:r>
                    <w:rPr>
                      <w:rFonts w:hint="eastAsia"/>
                      <w:color w:val="auto"/>
                      <w:szCs w:val="21"/>
                    </w:rPr>
                    <w:t>900-006-09</w:t>
                  </w:r>
                </w:p>
              </w:tc>
              <w:tc>
                <w:tcPr>
                  <w:tcW w:w="504" w:type="pct"/>
                  <w:noWrap w:val="0"/>
                  <w:vAlign w:val="center"/>
                </w:tcPr>
                <w:p>
                  <w:pPr>
                    <w:keepNext w:val="0"/>
                    <w:keepLines w:val="0"/>
                    <w:pageBreakBefore w:val="0"/>
                    <w:kinsoku/>
                    <w:wordWrap/>
                    <w:overflowPunct/>
                    <w:autoSpaceDE/>
                    <w:autoSpaceDN/>
                    <w:bidi w:val="0"/>
                    <w:adjustRightInd w:val="0"/>
                    <w:snapToGrid w:val="0"/>
                    <w:spacing w:line="240" w:lineRule="auto"/>
                    <w:jc w:val="center"/>
                    <w:textAlignment w:val="auto"/>
                    <w:rPr>
                      <w:rFonts w:hint="eastAsia" w:eastAsia="宋体"/>
                      <w:color w:val="auto"/>
                      <w:kern w:val="0"/>
                      <w:sz w:val="21"/>
                      <w:szCs w:val="21"/>
                      <w:lang w:eastAsia="zh-CN"/>
                    </w:rPr>
                  </w:pPr>
                  <w:r>
                    <w:rPr>
                      <w:rFonts w:hint="eastAsia"/>
                      <w:color w:val="auto"/>
                      <w:kern w:val="0"/>
                      <w:sz w:val="21"/>
                      <w:szCs w:val="21"/>
                      <w:lang w:val="en-US" w:eastAsia="zh-CN"/>
                    </w:rPr>
                    <w:t>1</w:t>
                  </w:r>
                </w:p>
              </w:tc>
              <w:tc>
                <w:tcPr>
                  <w:tcW w:w="557" w:type="pct"/>
                  <w:noWrap w:val="0"/>
                  <w:vAlign w:val="center"/>
                </w:tcPr>
                <w:p>
                  <w:pPr>
                    <w:keepNext w:val="0"/>
                    <w:keepLines w:val="0"/>
                    <w:pageBreakBefore w:val="0"/>
                    <w:tabs>
                      <w:tab w:val="left" w:pos="304"/>
                    </w:tabs>
                    <w:kinsoku/>
                    <w:wordWrap/>
                    <w:overflowPunct/>
                    <w:topLinePunct/>
                    <w:autoSpaceDE/>
                    <w:autoSpaceDN/>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辅料使用</w:t>
                  </w:r>
                </w:p>
              </w:tc>
              <w:tc>
                <w:tcPr>
                  <w:tcW w:w="420"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rFonts w:hint="eastAsia"/>
                      <w:color w:val="auto"/>
                      <w:kern w:val="0"/>
                      <w:sz w:val="21"/>
                      <w:szCs w:val="21"/>
                    </w:rPr>
                    <w:t>液</w:t>
                  </w:r>
                </w:p>
              </w:tc>
              <w:tc>
                <w:tcPr>
                  <w:tcW w:w="487"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rFonts w:hint="eastAsia"/>
                      <w:color w:val="auto"/>
                      <w:kern w:val="0"/>
                      <w:sz w:val="21"/>
                      <w:szCs w:val="21"/>
                    </w:rPr>
                    <w:t>有机物</w:t>
                  </w:r>
                </w:p>
              </w:tc>
              <w:tc>
                <w:tcPr>
                  <w:tcW w:w="387"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rFonts w:hint="eastAsia"/>
                      <w:color w:val="auto"/>
                      <w:kern w:val="0"/>
                      <w:sz w:val="21"/>
                      <w:szCs w:val="21"/>
                      <w:lang w:val="en-US" w:eastAsia="zh-CN"/>
                    </w:rPr>
                    <w:t>90</w:t>
                  </w:r>
                  <w:r>
                    <w:rPr>
                      <w:rFonts w:hint="eastAsia"/>
                      <w:color w:val="auto"/>
                      <w:kern w:val="0"/>
                      <w:sz w:val="21"/>
                      <w:szCs w:val="21"/>
                    </w:rPr>
                    <w:t>d</w:t>
                  </w:r>
                </w:p>
              </w:tc>
              <w:tc>
                <w:tcPr>
                  <w:tcW w:w="393"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rPr>
                  </w:pPr>
                  <w:r>
                    <w:rPr>
                      <w:rFonts w:hint="eastAsia"/>
                      <w:color w:val="auto"/>
                      <w:kern w:val="0"/>
                      <w:sz w:val="21"/>
                      <w:szCs w:val="21"/>
                    </w:rPr>
                    <w:t>T</w:t>
                  </w:r>
                </w:p>
              </w:tc>
              <w:tc>
                <w:tcPr>
                  <w:tcW w:w="601" w:type="pct"/>
                  <w:vMerge w:val="restart"/>
                  <w:noWrap w:val="0"/>
                  <w:vAlign w:val="center"/>
                </w:tcPr>
                <w:p>
                  <w:pPr>
                    <w:keepNext w:val="0"/>
                    <w:keepLines w:val="0"/>
                    <w:pageBreakBefore w:val="0"/>
                    <w:kinsoku/>
                    <w:wordWrap/>
                    <w:overflowPunct/>
                    <w:autoSpaceDE/>
                    <w:autoSpaceDN/>
                    <w:bidi w:val="0"/>
                    <w:adjustRightInd w:val="0"/>
                    <w:snapToGrid w:val="0"/>
                    <w:spacing w:line="240" w:lineRule="auto"/>
                    <w:jc w:val="center"/>
                    <w:textAlignment w:val="auto"/>
                    <w:rPr>
                      <w:color w:val="auto"/>
                      <w:sz w:val="21"/>
                      <w:szCs w:val="21"/>
                    </w:rPr>
                  </w:pPr>
                  <w:r>
                    <w:rPr>
                      <w:color w:val="auto"/>
                      <w:sz w:val="21"/>
                      <w:szCs w:val="21"/>
                    </w:rPr>
                    <w:t>厂区暂存后交由有资质的单位处理处置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3" w:type="pct"/>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hint="eastAsia"/>
                      <w:color w:val="auto"/>
                      <w:kern w:val="0"/>
                      <w:sz w:val="21"/>
                      <w:szCs w:val="21"/>
                      <w:lang w:bidi="ar"/>
                    </w:rPr>
                  </w:pPr>
                  <w:r>
                    <w:rPr>
                      <w:rFonts w:hint="eastAsia"/>
                      <w:color w:val="auto"/>
                      <w:kern w:val="0"/>
                      <w:sz w:val="21"/>
                      <w:szCs w:val="21"/>
                      <w:lang w:bidi="ar"/>
                    </w:rPr>
                    <w:t>4</w:t>
                  </w:r>
                </w:p>
              </w:tc>
              <w:tc>
                <w:tcPr>
                  <w:tcW w:w="543" w:type="pct"/>
                  <w:noWrap w:val="0"/>
                  <w:vAlign w:val="center"/>
                </w:tcPr>
                <w:p>
                  <w:pPr>
                    <w:keepNext w:val="0"/>
                    <w:keepLines w:val="0"/>
                    <w:pageBreakBefore w:val="0"/>
                    <w:widowControl/>
                    <w:kinsoku/>
                    <w:wordWrap/>
                    <w:overflowPunct/>
                    <w:autoSpaceDE/>
                    <w:autoSpaceDN/>
                    <w:bidi w:val="0"/>
                    <w:adjustRightInd w:val="0"/>
                    <w:snapToGrid w:val="0"/>
                    <w:spacing w:line="240" w:lineRule="auto"/>
                    <w:jc w:val="center"/>
                    <w:textAlignment w:val="auto"/>
                    <w:rPr>
                      <w:rFonts w:hint="eastAsia"/>
                      <w:color w:val="auto"/>
                      <w:kern w:val="0"/>
                      <w:sz w:val="21"/>
                      <w:szCs w:val="21"/>
                    </w:rPr>
                  </w:pPr>
                  <w:r>
                    <w:rPr>
                      <w:rFonts w:hint="eastAsia"/>
                      <w:bCs/>
                      <w:color w:val="auto"/>
                      <w:sz w:val="21"/>
                      <w:szCs w:val="21"/>
                    </w:rPr>
                    <w:t>废包装桶</w:t>
                  </w:r>
                </w:p>
              </w:tc>
              <w:tc>
                <w:tcPr>
                  <w:tcW w:w="790" w:type="pct"/>
                  <w:noWrap w:val="0"/>
                  <w:vAlign w:val="center"/>
                </w:tcPr>
                <w:p>
                  <w:pPr>
                    <w:keepNext w:val="0"/>
                    <w:keepLines w:val="0"/>
                    <w:pageBreakBefore w:val="0"/>
                    <w:widowControl/>
                    <w:kinsoku/>
                    <w:wordWrap/>
                    <w:overflowPunct/>
                    <w:autoSpaceDE/>
                    <w:autoSpaceDN/>
                    <w:bidi w:val="0"/>
                    <w:adjustRightInd w:val="0"/>
                    <w:snapToGrid w:val="0"/>
                    <w:spacing w:line="240" w:lineRule="auto"/>
                    <w:jc w:val="center"/>
                    <w:textAlignment w:val="auto"/>
                    <w:rPr>
                      <w:color w:val="auto"/>
                      <w:kern w:val="0"/>
                      <w:sz w:val="21"/>
                      <w:szCs w:val="21"/>
                    </w:rPr>
                  </w:pPr>
                  <w:r>
                    <w:rPr>
                      <w:rFonts w:hint="eastAsia"/>
                      <w:color w:val="auto"/>
                      <w:kern w:val="0"/>
                      <w:sz w:val="21"/>
                      <w:szCs w:val="21"/>
                    </w:rPr>
                    <w:t>HW49</w:t>
                  </w:r>
                </w:p>
                <w:p>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kern w:val="0"/>
                      <w:sz w:val="21"/>
                      <w:szCs w:val="21"/>
                    </w:rPr>
                  </w:pPr>
                  <w:r>
                    <w:rPr>
                      <w:rFonts w:hint="eastAsia"/>
                      <w:color w:val="auto"/>
                      <w:kern w:val="0"/>
                      <w:sz w:val="21"/>
                      <w:szCs w:val="21"/>
                    </w:rPr>
                    <w:t>900-041-49</w:t>
                  </w:r>
                </w:p>
              </w:tc>
              <w:tc>
                <w:tcPr>
                  <w:tcW w:w="504" w:type="pct"/>
                  <w:noWrap w:val="0"/>
                  <w:vAlign w:val="center"/>
                </w:tcPr>
                <w:p>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eastAsia" w:eastAsia="宋体"/>
                      <w:color w:val="auto"/>
                      <w:kern w:val="0"/>
                      <w:sz w:val="21"/>
                      <w:szCs w:val="21"/>
                      <w:lang w:eastAsia="zh-CN"/>
                    </w:rPr>
                  </w:pPr>
                  <w:r>
                    <w:rPr>
                      <w:rFonts w:hint="eastAsia"/>
                      <w:color w:val="auto"/>
                      <w:kern w:val="0"/>
                      <w:sz w:val="21"/>
                      <w:szCs w:val="21"/>
                    </w:rPr>
                    <w:t>0.</w:t>
                  </w:r>
                  <w:r>
                    <w:rPr>
                      <w:rFonts w:hint="eastAsia"/>
                      <w:color w:val="auto"/>
                      <w:kern w:val="0"/>
                      <w:sz w:val="21"/>
                      <w:szCs w:val="21"/>
                      <w:lang w:val="en-US" w:eastAsia="zh-CN"/>
                    </w:rPr>
                    <w:t>2</w:t>
                  </w:r>
                </w:p>
              </w:tc>
              <w:tc>
                <w:tcPr>
                  <w:tcW w:w="557" w:type="pct"/>
                  <w:noWrap w:val="0"/>
                  <w:vAlign w:val="center"/>
                </w:tcPr>
                <w:p>
                  <w:pPr>
                    <w:keepNext w:val="0"/>
                    <w:keepLines w:val="0"/>
                    <w:pageBreakBefore w:val="0"/>
                    <w:widowControl/>
                    <w:tabs>
                      <w:tab w:val="left" w:pos="304"/>
                    </w:tabs>
                    <w:kinsoku/>
                    <w:wordWrap/>
                    <w:overflowPunct/>
                    <w:topLinePunct/>
                    <w:autoSpaceDE/>
                    <w:autoSpaceDN/>
                    <w:bidi w:val="0"/>
                    <w:adjustRightInd w:val="0"/>
                    <w:snapToGrid w:val="0"/>
                    <w:spacing w:line="240" w:lineRule="auto"/>
                    <w:jc w:val="center"/>
                    <w:textAlignment w:val="auto"/>
                    <w:rPr>
                      <w:rFonts w:hint="eastAsia"/>
                      <w:color w:val="auto"/>
                      <w:kern w:val="0"/>
                      <w:sz w:val="21"/>
                      <w:szCs w:val="21"/>
                    </w:rPr>
                  </w:pPr>
                  <w:r>
                    <w:rPr>
                      <w:rFonts w:hint="eastAsia" w:ascii="宋体" w:hAnsi="宋体" w:cs="宋体"/>
                      <w:color w:val="auto"/>
                      <w:sz w:val="21"/>
                      <w:szCs w:val="21"/>
                    </w:rPr>
                    <w:t>辅料使用</w:t>
                  </w:r>
                </w:p>
              </w:tc>
              <w:tc>
                <w:tcPr>
                  <w:tcW w:w="420" w:type="pct"/>
                  <w:noWrap w:val="0"/>
                  <w:vAlign w:val="center"/>
                </w:tcPr>
                <w:p>
                  <w:pPr>
                    <w:keepNext w:val="0"/>
                    <w:keepLines w:val="0"/>
                    <w:pageBreakBefore w:val="0"/>
                    <w:widowControl/>
                    <w:kinsoku/>
                    <w:wordWrap/>
                    <w:overflowPunct/>
                    <w:autoSpaceDE/>
                    <w:autoSpaceDN/>
                    <w:bidi w:val="0"/>
                    <w:adjustRightInd w:val="0"/>
                    <w:snapToGrid w:val="0"/>
                    <w:spacing w:line="240" w:lineRule="auto"/>
                    <w:jc w:val="center"/>
                    <w:textAlignment w:val="auto"/>
                    <w:rPr>
                      <w:rFonts w:hint="eastAsia"/>
                      <w:color w:val="auto"/>
                      <w:kern w:val="0"/>
                      <w:sz w:val="21"/>
                      <w:szCs w:val="21"/>
                    </w:rPr>
                  </w:pPr>
                  <w:r>
                    <w:rPr>
                      <w:rFonts w:hint="eastAsia"/>
                      <w:color w:val="auto"/>
                      <w:kern w:val="0"/>
                      <w:sz w:val="21"/>
                      <w:szCs w:val="21"/>
                    </w:rPr>
                    <w:t>固</w:t>
                  </w:r>
                </w:p>
              </w:tc>
              <w:tc>
                <w:tcPr>
                  <w:tcW w:w="487" w:type="pct"/>
                  <w:noWrap w:val="0"/>
                  <w:vAlign w:val="center"/>
                </w:tcPr>
                <w:p>
                  <w:pPr>
                    <w:keepNext w:val="0"/>
                    <w:keepLines w:val="0"/>
                    <w:pageBreakBefore w:val="0"/>
                    <w:widowControl/>
                    <w:kinsoku/>
                    <w:wordWrap/>
                    <w:overflowPunct/>
                    <w:autoSpaceDE/>
                    <w:autoSpaceDN/>
                    <w:bidi w:val="0"/>
                    <w:adjustRightInd w:val="0"/>
                    <w:snapToGrid w:val="0"/>
                    <w:spacing w:line="240" w:lineRule="auto"/>
                    <w:jc w:val="center"/>
                    <w:textAlignment w:val="auto"/>
                    <w:rPr>
                      <w:color w:val="auto"/>
                      <w:kern w:val="0"/>
                      <w:sz w:val="21"/>
                      <w:szCs w:val="21"/>
                    </w:rPr>
                  </w:pPr>
                  <w:r>
                    <w:rPr>
                      <w:rFonts w:hint="eastAsia"/>
                      <w:color w:val="auto"/>
                      <w:kern w:val="0"/>
                      <w:sz w:val="21"/>
                      <w:szCs w:val="21"/>
                    </w:rPr>
                    <w:t>有机物</w:t>
                  </w:r>
                </w:p>
              </w:tc>
              <w:tc>
                <w:tcPr>
                  <w:tcW w:w="387" w:type="pct"/>
                  <w:noWrap w:val="0"/>
                  <w:vAlign w:val="center"/>
                </w:tcPr>
                <w:p>
                  <w:pPr>
                    <w:keepNext w:val="0"/>
                    <w:keepLines w:val="0"/>
                    <w:pageBreakBefore w:val="0"/>
                    <w:widowControl/>
                    <w:kinsoku/>
                    <w:wordWrap/>
                    <w:overflowPunct/>
                    <w:autoSpaceDE/>
                    <w:autoSpaceDN/>
                    <w:bidi w:val="0"/>
                    <w:adjustRightInd w:val="0"/>
                    <w:snapToGrid w:val="0"/>
                    <w:spacing w:line="240" w:lineRule="auto"/>
                    <w:jc w:val="center"/>
                    <w:textAlignment w:val="auto"/>
                    <w:rPr>
                      <w:color w:val="auto"/>
                      <w:kern w:val="0"/>
                      <w:sz w:val="21"/>
                      <w:szCs w:val="21"/>
                    </w:rPr>
                  </w:pPr>
                  <w:r>
                    <w:rPr>
                      <w:rFonts w:hint="eastAsia"/>
                      <w:color w:val="auto"/>
                      <w:kern w:val="0"/>
                      <w:sz w:val="21"/>
                      <w:szCs w:val="21"/>
                    </w:rPr>
                    <w:t>5d</w:t>
                  </w:r>
                </w:p>
              </w:tc>
              <w:tc>
                <w:tcPr>
                  <w:tcW w:w="393" w:type="pct"/>
                  <w:noWrap w:val="0"/>
                  <w:vAlign w:val="center"/>
                </w:tcPr>
                <w:p>
                  <w:pPr>
                    <w:keepNext w:val="0"/>
                    <w:keepLines w:val="0"/>
                    <w:pageBreakBefore w:val="0"/>
                    <w:widowControl/>
                    <w:kinsoku/>
                    <w:wordWrap/>
                    <w:overflowPunct/>
                    <w:autoSpaceDE/>
                    <w:autoSpaceDN/>
                    <w:bidi w:val="0"/>
                    <w:adjustRightInd w:val="0"/>
                    <w:snapToGrid w:val="0"/>
                    <w:spacing w:line="240" w:lineRule="auto"/>
                    <w:jc w:val="center"/>
                    <w:textAlignment w:val="auto"/>
                    <w:rPr>
                      <w:color w:val="auto"/>
                      <w:kern w:val="0"/>
                      <w:sz w:val="21"/>
                      <w:szCs w:val="21"/>
                    </w:rPr>
                  </w:pPr>
                  <w:r>
                    <w:rPr>
                      <w:rFonts w:hint="eastAsia"/>
                      <w:color w:val="auto"/>
                      <w:kern w:val="0"/>
                      <w:sz w:val="21"/>
                      <w:szCs w:val="21"/>
                    </w:rPr>
                    <w:t>T/I</w:t>
                  </w:r>
                </w:p>
              </w:tc>
              <w:tc>
                <w:tcPr>
                  <w:tcW w:w="601" w:type="pct"/>
                  <w:vMerge w:val="continue"/>
                  <w:noWrap w:val="0"/>
                  <w:vAlign w:val="center"/>
                </w:tcPr>
                <w:p>
                  <w:pPr>
                    <w:keepNext w:val="0"/>
                    <w:keepLines w:val="0"/>
                    <w:pageBreakBefore w:val="0"/>
                    <w:kinsoku/>
                    <w:wordWrap/>
                    <w:overflowPunct/>
                    <w:autoSpaceDE/>
                    <w:autoSpaceDN/>
                    <w:bidi w:val="0"/>
                    <w:adjustRightInd w:val="0"/>
                    <w:snapToGrid w:val="0"/>
                    <w:spacing w:line="240" w:lineRule="auto"/>
                    <w:jc w:val="center"/>
                    <w:textAlignment w:val="auto"/>
                    <w:rPr>
                      <w:color w:val="auto"/>
                      <w:sz w:val="21"/>
                      <w:szCs w:val="21"/>
                    </w:rPr>
                  </w:pPr>
                </w:p>
              </w:tc>
            </w:tr>
          </w:tbl>
          <w:p>
            <w:pPr>
              <w:pStyle w:val="127"/>
              <w:spacing w:line="360" w:lineRule="auto"/>
              <w:ind w:firstLine="420" w:firstLineChars="200"/>
              <w:rPr>
                <w:color w:val="FF0000"/>
                <w:sz w:val="21"/>
                <w:szCs w:val="21"/>
              </w:rPr>
            </w:pPr>
            <w:r>
              <w:rPr>
                <w:rFonts w:hint="eastAsia"/>
                <w:color w:val="auto"/>
                <w:sz w:val="21"/>
                <w:szCs w:val="21"/>
              </w:rPr>
              <w:t>1、</w:t>
            </w:r>
            <w:r>
              <w:rPr>
                <w:color w:val="auto"/>
                <w:sz w:val="21"/>
                <w:szCs w:val="21"/>
              </w:rPr>
              <w:t>危险废物贮存场所（设施）环境影响分析</w:t>
            </w:r>
          </w:p>
          <w:p>
            <w:pPr>
              <w:pStyle w:val="127"/>
              <w:spacing w:line="360" w:lineRule="auto"/>
              <w:ind w:firstLine="420" w:firstLineChars="200"/>
              <w:rPr>
                <w:rFonts w:hint="eastAsia"/>
                <w:color w:val="auto"/>
                <w:sz w:val="21"/>
                <w:szCs w:val="21"/>
              </w:rPr>
            </w:pPr>
            <w:r>
              <w:rPr>
                <w:rFonts w:hint="eastAsia"/>
                <w:color w:val="auto"/>
                <w:sz w:val="21"/>
                <w:szCs w:val="21"/>
              </w:rPr>
              <w:t>①选址可行性</w:t>
            </w:r>
          </w:p>
          <w:p>
            <w:pPr>
              <w:pStyle w:val="127"/>
              <w:spacing w:line="360" w:lineRule="auto"/>
              <w:ind w:firstLine="420" w:firstLineChars="200"/>
              <w:rPr>
                <w:color w:val="auto"/>
                <w:sz w:val="21"/>
                <w:szCs w:val="21"/>
              </w:rPr>
            </w:pPr>
            <w:r>
              <w:rPr>
                <w:rFonts w:hint="eastAsia"/>
                <w:color w:val="auto"/>
                <w:sz w:val="21"/>
                <w:szCs w:val="21"/>
                <w:highlight w:val="none"/>
              </w:rPr>
              <w:t>本项目危废暂存间位于</w:t>
            </w:r>
            <w:r>
              <w:rPr>
                <w:rFonts w:hint="eastAsia"/>
                <w:color w:val="auto"/>
                <w:sz w:val="21"/>
                <w:szCs w:val="21"/>
                <w:highlight w:val="none"/>
                <w:lang w:val="en-US" w:eastAsia="zh-CN"/>
              </w:rPr>
              <w:t>生产车间</w:t>
            </w:r>
            <w:r>
              <w:rPr>
                <w:rFonts w:hint="eastAsia"/>
                <w:color w:val="auto"/>
                <w:sz w:val="21"/>
                <w:szCs w:val="21"/>
                <w:highlight w:val="none"/>
              </w:rPr>
              <w:t>北侧</w:t>
            </w:r>
            <w:r>
              <w:rPr>
                <w:rFonts w:hint="eastAsia"/>
                <w:color w:val="auto"/>
                <w:sz w:val="21"/>
                <w:szCs w:val="21"/>
              </w:rPr>
              <w:t>，</w:t>
            </w:r>
            <w:r>
              <w:rPr>
                <w:color w:val="auto"/>
                <w:sz w:val="21"/>
                <w:szCs w:val="21"/>
              </w:rPr>
              <w:t>根据《危险废物贮存污染控制标准》（GB18597-20</w:t>
            </w:r>
            <w:r>
              <w:rPr>
                <w:rFonts w:hint="eastAsia"/>
                <w:color w:val="auto"/>
                <w:sz w:val="21"/>
                <w:szCs w:val="21"/>
              </w:rPr>
              <w:t>23</w:t>
            </w:r>
            <w:r>
              <w:rPr>
                <w:color w:val="auto"/>
                <w:sz w:val="21"/>
                <w:szCs w:val="21"/>
              </w:rPr>
              <w:t>）</w:t>
            </w:r>
            <w:r>
              <w:rPr>
                <w:rFonts w:hint="eastAsia"/>
                <w:color w:val="auto"/>
                <w:sz w:val="21"/>
                <w:szCs w:val="21"/>
              </w:rPr>
              <w:t>相关要求</w:t>
            </w:r>
            <w:r>
              <w:rPr>
                <w:color w:val="auto"/>
                <w:sz w:val="21"/>
                <w:szCs w:val="21"/>
              </w:rPr>
              <w:t>，本项目危险废物贮存场所选址相符性见下表。</w:t>
            </w:r>
          </w:p>
          <w:p>
            <w:pPr>
              <w:pStyle w:val="127"/>
              <w:ind w:firstLine="0"/>
              <w:jc w:val="center"/>
              <w:rPr>
                <w:b/>
                <w:color w:val="auto"/>
                <w:sz w:val="21"/>
                <w:szCs w:val="21"/>
              </w:rPr>
            </w:pPr>
            <w:r>
              <w:rPr>
                <w:b/>
                <w:color w:val="auto"/>
                <w:sz w:val="21"/>
                <w:szCs w:val="21"/>
              </w:rPr>
              <w:t>表</w:t>
            </w:r>
            <w:r>
              <w:rPr>
                <w:rFonts w:hint="eastAsia"/>
                <w:b/>
                <w:color w:val="auto"/>
                <w:sz w:val="21"/>
                <w:szCs w:val="21"/>
              </w:rPr>
              <w:t>4-1</w:t>
            </w:r>
            <w:r>
              <w:rPr>
                <w:rFonts w:hint="eastAsia"/>
                <w:b/>
                <w:color w:val="auto"/>
                <w:sz w:val="21"/>
                <w:szCs w:val="21"/>
                <w:lang w:val="en-US" w:eastAsia="zh-CN"/>
              </w:rPr>
              <w:t>5</w:t>
            </w:r>
            <w:r>
              <w:rPr>
                <w:b/>
                <w:color w:val="auto"/>
                <w:sz w:val="21"/>
                <w:szCs w:val="21"/>
              </w:rPr>
              <w:t xml:space="preserve"> </w:t>
            </w:r>
            <w:r>
              <w:rPr>
                <w:rFonts w:hint="eastAsia"/>
                <w:b/>
                <w:color w:val="auto"/>
                <w:sz w:val="21"/>
                <w:szCs w:val="21"/>
                <w:lang w:val="en-US" w:eastAsia="zh-CN"/>
              </w:rPr>
              <w:t xml:space="preserve"> </w:t>
            </w:r>
            <w:r>
              <w:rPr>
                <w:b/>
                <w:color w:val="auto"/>
                <w:sz w:val="21"/>
                <w:szCs w:val="21"/>
              </w:rPr>
              <w:t>危废暂存场选址符合性分析</w:t>
            </w:r>
          </w:p>
          <w:tbl>
            <w:tblPr>
              <w:tblStyle w:val="44"/>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1"/>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1" w:type="dxa"/>
                  <w:noWrap w:val="0"/>
                  <w:vAlign w:val="center"/>
                </w:tcPr>
                <w:p>
                  <w:pPr>
                    <w:widowControl/>
                    <w:spacing w:line="360" w:lineRule="exact"/>
                    <w:jc w:val="center"/>
                    <w:rPr>
                      <w:rFonts w:eastAsia="Times New Roman"/>
                      <w:color w:val="auto"/>
                      <w:szCs w:val="21"/>
                    </w:rPr>
                  </w:pPr>
                  <w:r>
                    <w:rPr>
                      <w:color w:val="auto"/>
                      <w:szCs w:val="21"/>
                    </w:rPr>
                    <w:t>GB18597-20</w:t>
                  </w:r>
                  <w:r>
                    <w:rPr>
                      <w:rFonts w:hint="eastAsia"/>
                      <w:color w:val="auto"/>
                      <w:szCs w:val="21"/>
                    </w:rPr>
                    <w:t>23</w:t>
                  </w:r>
                  <w:r>
                    <w:rPr>
                      <w:color w:val="auto"/>
                      <w:szCs w:val="21"/>
                    </w:rPr>
                    <w:t>中要求</w:t>
                  </w:r>
                </w:p>
              </w:tc>
              <w:tc>
                <w:tcPr>
                  <w:tcW w:w="2338" w:type="dxa"/>
                  <w:noWrap w:val="0"/>
                  <w:vAlign w:val="center"/>
                </w:tcPr>
                <w:p>
                  <w:pPr>
                    <w:widowControl/>
                    <w:spacing w:line="360" w:lineRule="exact"/>
                    <w:jc w:val="center"/>
                    <w:rPr>
                      <w:rFonts w:eastAsia="Times New Roman"/>
                      <w:color w:val="auto"/>
                      <w:szCs w:val="21"/>
                    </w:rPr>
                  </w:pPr>
                  <w:r>
                    <w:rPr>
                      <w:color w:val="auto"/>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1" w:type="dxa"/>
                  <w:noWrap w:val="0"/>
                  <w:vAlign w:val="center"/>
                </w:tcPr>
                <w:p>
                  <w:pPr>
                    <w:widowControl/>
                    <w:spacing w:line="360" w:lineRule="exact"/>
                    <w:jc w:val="left"/>
                    <w:rPr>
                      <w:rFonts w:hint="eastAsia" w:eastAsia="Times New Roman"/>
                      <w:color w:val="auto"/>
                      <w:kern w:val="0"/>
                      <w:szCs w:val="21"/>
                    </w:rPr>
                  </w:pPr>
                  <w:r>
                    <w:rPr>
                      <w:rFonts w:hint="eastAsia" w:eastAsia="Times New Roman"/>
                      <w:color w:val="auto"/>
                      <w:kern w:val="0"/>
                      <w:szCs w:val="21"/>
                    </w:rPr>
                    <w:t>1</w:t>
                  </w:r>
                  <w:r>
                    <w:rPr>
                      <w:rFonts w:hint="eastAsia" w:ascii="宋体" w:hAnsi="宋体" w:cs="宋体"/>
                      <w:color w:val="auto"/>
                      <w:kern w:val="0"/>
                      <w:szCs w:val="21"/>
                    </w:rPr>
                    <w:t>贮存设施选址应满足生态环境保护法律法规、规划和</w:t>
                  </w:r>
                  <w:r>
                    <w:rPr>
                      <w:rFonts w:hint="eastAsia"/>
                      <w:color w:val="auto"/>
                      <w:kern w:val="0"/>
                      <w:szCs w:val="21"/>
                      <w:lang w:eastAsia="zh-CN"/>
                    </w:rPr>
                    <w:t>“</w:t>
                  </w:r>
                  <w:r>
                    <w:rPr>
                      <w:rFonts w:hint="eastAsia" w:ascii="宋体" w:hAnsi="宋体" w:cs="宋体"/>
                      <w:color w:val="auto"/>
                      <w:kern w:val="0"/>
                      <w:szCs w:val="21"/>
                    </w:rPr>
                    <w:t>三线一单</w:t>
                  </w:r>
                  <w:r>
                    <w:rPr>
                      <w:rFonts w:hint="eastAsia"/>
                      <w:color w:val="auto"/>
                      <w:kern w:val="0"/>
                      <w:szCs w:val="21"/>
                      <w:lang w:eastAsia="zh-CN"/>
                    </w:rPr>
                    <w:t>”</w:t>
                  </w:r>
                  <w:r>
                    <w:rPr>
                      <w:rFonts w:hint="eastAsia" w:ascii="宋体" w:hAnsi="宋体" w:cs="宋体"/>
                      <w:color w:val="auto"/>
                      <w:kern w:val="0"/>
                      <w:szCs w:val="21"/>
                    </w:rPr>
                    <w:t>生态环境分区管控的要求，建设项目应依法进行环境影响评价。</w:t>
                  </w:r>
                </w:p>
                <w:p>
                  <w:pPr>
                    <w:widowControl/>
                    <w:spacing w:line="360" w:lineRule="exact"/>
                    <w:jc w:val="left"/>
                    <w:rPr>
                      <w:rFonts w:hint="eastAsia"/>
                      <w:color w:val="auto"/>
                      <w:kern w:val="0"/>
                      <w:szCs w:val="21"/>
                    </w:rPr>
                  </w:pPr>
                  <w:r>
                    <w:rPr>
                      <w:rFonts w:hint="eastAsia" w:eastAsia="Times New Roman"/>
                      <w:color w:val="auto"/>
                      <w:kern w:val="0"/>
                      <w:szCs w:val="21"/>
                    </w:rPr>
                    <w:t>2</w:t>
                  </w:r>
                  <w:r>
                    <w:rPr>
                      <w:rFonts w:hint="eastAsia" w:ascii="宋体" w:hAnsi="宋体" w:cs="宋体"/>
                      <w:color w:val="auto"/>
                      <w:kern w:val="0"/>
                      <w:szCs w:val="21"/>
                    </w:rPr>
                    <w:t>集中贮存设施不应选在生态保护红线区域、永久基本农田和其他需要特别保护的区域内，不应建在溶洞区或易遭受洪水、滑坡、泥石流、潮汐等严重自然灾害影响的地区。</w:t>
                  </w:r>
                </w:p>
                <w:p>
                  <w:pPr>
                    <w:widowControl/>
                    <w:spacing w:line="360" w:lineRule="exact"/>
                    <w:jc w:val="left"/>
                    <w:rPr>
                      <w:rFonts w:eastAsia="Times New Roman"/>
                      <w:color w:val="auto"/>
                      <w:kern w:val="0"/>
                      <w:szCs w:val="21"/>
                    </w:rPr>
                  </w:pPr>
                  <w:r>
                    <w:rPr>
                      <w:rFonts w:hint="eastAsia" w:eastAsia="Times New Roman"/>
                      <w:color w:val="auto"/>
                      <w:kern w:val="0"/>
                      <w:szCs w:val="21"/>
                    </w:rPr>
                    <w:t>3</w:t>
                  </w:r>
                  <w:r>
                    <w:rPr>
                      <w:rFonts w:hint="eastAsia" w:ascii="宋体" w:hAnsi="宋体" w:cs="宋体"/>
                      <w:color w:val="auto"/>
                      <w:kern w:val="0"/>
                      <w:szCs w:val="21"/>
                    </w:rPr>
                    <w:t>贮存设施不应选在江河、湖泊、运河、渠道、水库及其最高水位线以下的滩地和岸坡，以及法律法规规定禁止贮存危险废物的其他地点。</w:t>
                  </w:r>
                </w:p>
                <w:p>
                  <w:pPr>
                    <w:widowControl/>
                    <w:spacing w:line="360" w:lineRule="exact"/>
                    <w:jc w:val="left"/>
                    <w:rPr>
                      <w:rFonts w:eastAsia="Times New Roman"/>
                      <w:color w:val="auto"/>
                      <w:szCs w:val="21"/>
                    </w:rPr>
                  </w:pPr>
                  <w:r>
                    <w:rPr>
                      <w:rFonts w:hint="eastAsia" w:eastAsia="Times New Roman"/>
                      <w:color w:val="auto"/>
                      <w:kern w:val="0"/>
                      <w:szCs w:val="21"/>
                    </w:rPr>
                    <w:t>4</w:t>
                  </w:r>
                  <w:r>
                    <w:rPr>
                      <w:rFonts w:hint="eastAsia" w:ascii="宋体" w:hAnsi="宋体" w:cs="宋体"/>
                      <w:color w:val="auto"/>
                      <w:kern w:val="0"/>
                      <w:szCs w:val="21"/>
                    </w:rPr>
                    <w:t>贮存设施场址的位置以及其与周围环境敏感目标的距离应依据环境影响评价文件确定。</w:t>
                  </w:r>
                </w:p>
              </w:tc>
              <w:tc>
                <w:tcPr>
                  <w:tcW w:w="2338" w:type="dxa"/>
                  <w:noWrap w:val="0"/>
                  <w:vAlign w:val="center"/>
                </w:tcPr>
                <w:p>
                  <w:pPr>
                    <w:jc w:val="center"/>
                    <w:rPr>
                      <w:rFonts w:eastAsia="Times New Roman"/>
                      <w:color w:val="auto"/>
                      <w:szCs w:val="21"/>
                    </w:rPr>
                  </w:pPr>
                  <w:r>
                    <w:rPr>
                      <w:color w:val="auto"/>
                      <w:szCs w:val="21"/>
                    </w:rPr>
                    <w:t>本项目</w:t>
                  </w:r>
                  <w:r>
                    <w:rPr>
                      <w:rFonts w:hint="eastAsia"/>
                      <w:color w:val="auto"/>
                      <w:szCs w:val="21"/>
                    </w:rPr>
                    <w:t>危废暂存间不属于集中型暂存场所，目前履行环评手续，不在生态红线区域内，</w:t>
                  </w:r>
                  <w:r>
                    <w:rPr>
                      <w:color w:val="auto"/>
                      <w:szCs w:val="21"/>
                    </w:rPr>
                    <w:t>选址能够达到《危险废物贮存污染控制标准》（GB18597-20</w:t>
                  </w:r>
                  <w:r>
                    <w:rPr>
                      <w:rFonts w:hint="eastAsia"/>
                      <w:color w:val="auto"/>
                      <w:szCs w:val="21"/>
                    </w:rPr>
                    <w:t>23</w:t>
                  </w:r>
                  <w:r>
                    <w:rPr>
                      <w:color w:val="auto"/>
                      <w:szCs w:val="21"/>
                    </w:rPr>
                    <w:t>）相关要求。</w:t>
                  </w:r>
                </w:p>
              </w:tc>
            </w:tr>
          </w:tbl>
          <w:p>
            <w:pPr>
              <w:tabs>
                <w:tab w:val="left" w:pos="0"/>
              </w:tabs>
              <w:adjustRightInd w:val="0"/>
              <w:snapToGrid w:val="0"/>
              <w:spacing w:before="120" w:beforeLines="50" w:line="360" w:lineRule="auto"/>
              <w:ind w:right="-28" w:firstLine="482"/>
              <w:rPr>
                <w:rFonts w:hint="eastAsia"/>
                <w:color w:val="auto"/>
                <w:szCs w:val="21"/>
              </w:rPr>
            </w:pPr>
            <w:r>
              <w:rPr>
                <w:rFonts w:hint="eastAsia"/>
                <w:color w:val="auto"/>
                <w:szCs w:val="21"/>
              </w:rPr>
              <w:t>②存储能力可行性分析</w:t>
            </w:r>
          </w:p>
          <w:p>
            <w:pPr>
              <w:tabs>
                <w:tab w:val="left" w:pos="2295"/>
              </w:tabs>
              <w:spacing w:line="360" w:lineRule="auto"/>
              <w:ind w:firstLine="420" w:firstLineChars="200"/>
              <w:rPr>
                <w:rFonts w:hint="eastAsia"/>
                <w:color w:val="auto"/>
                <w:szCs w:val="21"/>
              </w:rPr>
            </w:pPr>
            <w:r>
              <w:rPr>
                <w:rFonts w:hint="eastAsia"/>
                <w:color w:val="auto"/>
                <w:szCs w:val="21"/>
              </w:rPr>
              <w:t>项目废</w:t>
            </w:r>
            <w:r>
              <w:rPr>
                <w:rFonts w:hint="eastAsia"/>
                <w:color w:val="auto"/>
                <w:szCs w:val="21"/>
                <w:lang w:val="en-US" w:eastAsia="zh-CN"/>
              </w:rPr>
              <w:t>切削液</w:t>
            </w:r>
            <w:r>
              <w:rPr>
                <w:rFonts w:hint="eastAsia"/>
                <w:color w:val="auto"/>
                <w:szCs w:val="21"/>
              </w:rPr>
              <w:t>采用</w:t>
            </w:r>
            <w:r>
              <w:rPr>
                <w:rFonts w:hint="eastAsia"/>
                <w:color w:val="auto"/>
                <w:szCs w:val="21"/>
                <w:lang w:val="en-US" w:eastAsia="zh-CN"/>
              </w:rPr>
              <w:t>100</w:t>
            </w:r>
            <w:r>
              <w:rPr>
                <w:color w:val="auto"/>
                <w:szCs w:val="21"/>
              </w:rPr>
              <w:t>kg/</w:t>
            </w:r>
            <w:r>
              <w:rPr>
                <w:rFonts w:hint="eastAsia"/>
                <w:color w:val="auto"/>
                <w:szCs w:val="21"/>
              </w:rPr>
              <w:t>桶（桶直径约为</w:t>
            </w:r>
            <w:r>
              <w:rPr>
                <w:color w:val="auto"/>
                <w:szCs w:val="21"/>
              </w:rPr>
              <w:t>0.</w:t>
            </w:r>
            <w:r>
              <w:rPr>
                <w:rFonts w:hint="eastAsia"/>
                <w:color w:val="auto"/>
                <w:szCs w:val="21"/>
                <w:lang w:val="en-US" w:eastAsia="zh-CN"/>
              </w:rPr>
              <w:t>4</w:t>
            </w:r>
            <w:r>
              <w:rPr>
                <w:color w:val="auto"/>
                <w:szCs w:val="21"/>
              </w:rPr>
              <w:t>m</w:t>
            </w:r>
            <w:r>
              <w:rPr>
                <w:rFonts w:hint="eastAsia"/>
                <w:color w:val="auto"/>
                <w:szCs w:val="21"/>
              </w:rPr>
              <w:t>，高</w:t>
            </w:r>
            <w:r>
              <w:rPr>
                <w:color w:val="auto"/>
                <w:szCs w:val="21"/>
              </w:rPr>
              <w:t>0.4m</w:t>
            </w:r>
            <w:r>
              <w:rPr>
                <w:rFonts w:hint="eastAsia"/>
                <w:color w:val="auto"/>
                <w:szCs w:val="21"/>
              </w:rPr>
              <w:t>）暂存，项目废</w:t>
            </w:r>
            <w:r>
              <w:rPr>
                <w:rFonts w:hint="eastAsia"/>
                <w:color w:val="auto"/>
                <w:szCs w:val="21"/>
                <w:lang w:val="en-US" w:eastAsia="zh-CN"/>
              </w:rPr>
              <w:t>切削液</w:t>
            </w:r>
            <w:r>
              <w:rPr>
                <w:rFonts w:hint="eastAsia"/>
                <w:color w:val="auto"/>
                <w:szCs w:val="21"/>
              </w:rPr>
              <w:t>产生量约</w:t>
            </w:r>
            <w:r>
              <w:rPr>
                <w:rFonts w:hint="eastAsia"/>
                <w:color w:val="auto"/>
                <w:szCs w:val="21"/>
                <w:lang w:val="en-US" w:eastAsia="zh-CN"/>
              </w:rPr>
              <w:t>1</w:t>
            </w:r>
            <w:r>
              <w:rPr>
                <w:color w:val="auto"/>
                <w:szCs w:val="21"/>
              </w:rPr>
              <w:t>t/a</w:t>
            </w:r>
            <w:r>
              <w:rPr>
                <w:rFonts w:hint="eastAsia"/>
                <w:color w:val="auto"/>
                <w:szCs w:val="21"/>
              </w:rPr>
              <w:t>，</w:t>
            </w:r>
            <w:r>
              <w:rPr>
                <w:rFonts w:hint="eastAsia"/>
                <w:color w:val="auto"/>
                <w:szCs w:val="21"/>
                <w:lang w:val="en-US" w:eastAsia="zh-CN"/>
              </w:rPr>
              <w:t>三个</w:t>
            </w:r>
            <w:r>
              <w:rPr>
                <w:rFonts w:hint="eastAsia"/>
                <w:color w:val="auto"/>
                <w:szCs w:val="21"/>
              </w:rPr>
              <w:t>清运一次，危废暂存间暂存废</w:t>
            </w:r>
            <w:r>
              <w:rPr>
                <w:rFonts w:hint="eastAsia"/>
                <w:color w:val="auto"/>
                <w:szCs w:val="21"/>
                <w:lang w:val="en-US" w:eastAsia="zh-CN"/>
              </w:rPr>
              <w:t>切削液</w:t>
            </w:r>
            <w:r>
              <w:rPr>
                <w:rFonts w:hint="eastAsia"/>
                <w:color w:val="auto"/>
                <w:szCs w:val="21"/>
              </w:rPr>
              <w:t>产生量约</w:t>
            </w:r>
            <w:r>
              <w:rPr>
                <w:rFonts w:hint="eastAsia"/>
                <w:color w:val="auto"/>
                <w:szCs w:val="21"/>
                <w:lang w:val="en-US" w:eastAsia="zh-CN"/>
              </w:rPr>
              <w:t>0.25t/a</w:t>
            </w:r>
            <w:r>
              <w:rPr>
                <w:rFonts w:hint="eastAsia"/>
                <w:color w:val="auto"/>
                <w:szCs w:val="21"/>
              </w:rPr>
              <w:t>，则需要3个包装桶（单桶占地面积约</w:t>
            </w:r>
            <w:r>
              <w:rPr>
                <w:color w:val="auto"/>
                <w:szCs w:val="21"/>
              </w:rPr>
              <w:t>0.</w:t>
            </w:r>
            <w:r>
              <w:rPr>
                <w:rFonts w:hint="eastAsia"/>
                <w:color w:val="auto"/>
                <w:szCs w:val="21"/>
                <w:lang w:val="en-US" w:eastAsia="zh-CN"/>
              </w:rPr>
              <w:t>1</w:t>
            </w:r>
            <w:r>
              <w:rPr>
                <w:rFonts w:hint="eastAsia"/>
                <w:color w:val="auto"/>
                <w:szCs w:val="21"/>
              </w:rPr>
              <w:t>3</w:t>
            </w:r>
            <w:r>
              <w:rPr>
                <w:color w:val="auto"/>
                <w:szCs w:val="21"/>
              </w:rPr>
              <w:t>m</w:t>
            </w:r>
            <w:r>
              <w:rPr>
                <w:color w:val="auto"/>
                <w:szCs w:val="21"/>
                <w:vertAlign w:val="superscript"/>
              </w:rPr>
              <w:t>2</w:t>
            </w:r>
            <w:r>
              <w:rPr>
                <w:rFonts w:hint="eastAsia"/>
                <w:color w:val="auto"/>
                <w:szCs w:val="21"/>
              </w:rPr>
              <w:t>），则废清洗液占地面积约0.</w:t>
            </w:r>
            <w:r>
              <w:rPr>
                <w:rFonts w:hint="eastAsia"/>
                <w:color w:val="auto"/>
                <w:szCs w:val="21"/>
                <w:lang w:val="en-US" w:eastAsia="zh-CN"/>
              </w:rPr>
              <w:t>3</w:t>
            </w:r>
            <w:r>
              <w:rPr>
                <w:rFonts w:hint="eastAsia"/>
                <w:color w:val="auto"/>
                <w:szCs w:val="21"/>
              </w:rPr>
              <w:t>9</w:t>
            </w:r>
            <w:r>
              <w:rPr>
                <w:color w:val="auto"/>
                <w:szCs w:val="21"/>
              </w:rPr>
              <w:t>m</w:t>
            </w:r>
            <w:r>
              <w:rPr>
                <w:color w:val="auto"/>
                <w:szCs w:val="21"/>
                <w:vertAlign w:val="superscript"/>
              </w:rPr>
              <w:t>2</w:t>
            </w:r>
            <w:r>
              <w:rPr>
                <w:rFonts w:hint="eastAsia"/>
                <w:color w:val="auto"/>
                <w:szCs w:val="21"/>
              </w:rPr>
              <w:t>。</w:t>
            </w:r>
          </w:p>
          <w:p>
            <w:pPr>
              <w:tabs>
                <w:tab w:val="left" w:pos="2295"/>
              </w:tabs>
              <w:spacing w:line="360" w:lineRule="auto"/>
              <w:ind w:firstLine="420" w:firstLineChars="200"/>
              <w:rPr>
                <w:rFonts w:hint="eastAsia"/>
                <w:color w:val="auto"/>
                <w:szCs w:val="21"/>
                <w:highlight w:val="none"/>
              </w:rPr>
            </w:pPr>
            <w:r>
              <w:rPr>
                <w:rFonts w:hint="eastAsia"/>
                <w:color w:val="auto"/>
                <w:szCs w:val="21"/>
              </w:rPr>
              <w:t>项目废包装桶</w:t>
            </w:r>
            <w:r>
              <w:rPr>
                <w:rFonts w:hint="eastAsia"/>
                <w:color w:val="auto"/>
                <w:szCs w:val="21"/>
                <w:lang w:val="en-US" w:eastAsia="zh-CN"/>
              </w:rPr>
              <w:t>50</w:t>
            </w:r>
            <w:r>
              <w:rPr>
                <w:rFonts w:hint="eastAsia"/>
                <w:color w:val="auto"/>
                <w:szCs w:val="21"/>
              </w:rPr>
              <w:t>个，</w:t>
            </w:r>
            <w:r>
              <w:rPr>
                <w:rFonts w:hint="eastAsia"/>
                <w:color w:val="auto"/>
                <w:szCs w:val="21"/>
                <w:highlight w:val="none"/>
              </w:rPr>
              <w:t>每</w:t>
            </w:r>
            <w:r>
              <w:rPr>
                <w:rFonts w:hint="eastAsia"/>
                <w:color w:val="auto"/>
                <w:szCs w:val="21"/>
                <w:highlight w:val="none"/>
                <w:lang w:val="en-US" w:eastAsia="zh-CN"/>
              </w:rPr>
              <w:t>半年</w:t>
            </w:r>
            <w:r>
              <w:rPr>
                <w:rFonts w:hint="eastAsia"/>
                <w:color w:val="auto"/>
                <w:szCs w:val="21"/>
                <w:highlight w:val="none"/>
              </w:rPr>
              <w:t>清运一次，单桶占地面积约</w:t>
            </w:r>
            <w:r>
              <w:rPr>
                <w:color w:val="auto"/>
                <w:szCs w:val="21"/>
                <w:highlight w:val="none"/>
              </w:rPr>
              <w:t>0.</w:t>
            </w:r>
            <w:r>
              <w:rPr>
                <w:rFonts w:hint="eastAsia"/>
                <w:color w:val="auto"/>
                <w:szCs w:val="21"/>
                <w:highlight w:val="none"/>
                <w:lang w:val="en-US" w:eastAsia="zh-CN"/>
              </w:rPr>
              <w:t>13</w:t>
            </w:r>
            <w:r>
              <w:rPr>
                <w:color w:val="auto"/>
                <w:szCs w:val="21"/>
                <w:highlight w:val="none"/>
              </w:rPr>
              <w:t>m</w:t>
            </w:r>
            <w:r>
              <w:rPr>
                <w:color w:val="auto"/>
                <w:szCs w:val="21"/>
                <w:highlight w:val="none"/>
                <w:vertAlign w:val="superscript"/>
              </w:rPr>
              <w:t>2</w:t>
            </w:r>
            <w:r>
              <w:rPr>
                <w:rFonts w:hint="eastAsia"/>
                <w:color w:val="auto"/>
                <w:szCs w:val="21"/>
                <w:highlight w:val="none"/>
              </w:rPr>
              <w:t>计，二层堆叠，则废包装桶占地面积为</w:t>
            </w:r>
            <w:r>
              <w:rPr>
                <w:rFonts w:hint="eastAsia"/>
                <w:color w:val="auto"/>
                <w:szCs w:val="21"/>
                <w:highlight w:val="none"/>
                <w:lang w:val="en-US" w:eastAsia="zh-CN"/>
              </w:rPr>
              <w:t>3.25</w:t>
            </w:r>
            <w:r>
              <w:rPr>
                <w:color w:val="auto"/>
                <w:szCs w:val="21"/>
                <w:highlight w:val="none"/>
              </w:rPr>
              <w:t>m</w:t>
            </w:r>
            <w:r>
              <w:rPr>
                <w:color w:val="auto"/>
                <w:szCs w:val="21"/>
                <w:highlight w:val="none"/>
                <w:vertAlign w:val="superscript"/>
              </w:rPr>
              <w:t>2</w:t>
            </w:r>
            <w:r>
              <w:rPr>
                <w:rFonts w:hint="eastAsia"/>
                <w:color w:val="auto"/>
                <w:szCs w:val="21"/>
                <w:highlight w:val="none"/>
              </w:rPr>
              <w:t>；</w:t>
            </w:r>
          </w:p>
          <w:p>
            <w:pPr>
              <w:tabs>
                <w:tab w:val="left" w:pos="2295"/>
              </w:tabs>
              <w:spacing w:line="360" w:lineRule="auto"/>
              <w:ind w:firstLine="420" w:firstLineChars="200"/>
              <w:rPr>
                <w:rFonts w:hint="eastAsia"/>
                <w:color w:val="auto"/>
                <w:szCs w:val="21"/>
              </w:rPr>
            </w:pPr>
            <w:r>
              <w:rPr>
                <w:rFonts w:hint="eastAsia"/>
                <w:color w:val="auto"/>
                <w:szCs w:val="21"/>
              </w:rPr>
              <w:t>则项目危废总占地面积约</w:t>
            </w:r>
            <w:r>
              <w:rPr>
                <w:rFonts w:hint="eastAsia"/>
                <w:color w:val="auto"/>
                <w:szCs w:val="21"/>
                <w:lang w:val="en-US" w:eastAsia="zh-CN"/>
              </w:rPr>
              <w:t>3.64</w:t>
            </w:r>
            <w:r>
              <w:rPr>
                <w:color w:val="auto"/>
                <w:szCs w:val="21"/>
              </w:rPr>
              <w:t>m</w:t>
            </w:r>
            <w:r>
              <w:rPr>
                <w:color w:val="auto"/>
                <w:szCs w:val="21"/>
                <w:vertAlign w:val="superscript"/>
              </w:rPr>
              <w:t>2</w:t>
            </w:r>
            <w:r>
              <w:rPr>
                <w:rFonts w:hint="eastAsia"/>
                <w:color w:val="auto"/>
                <w:szCs w:val="21"/>
              </w:rPr>
              <w:t>，本次新建</w:t>
            </w:r>
            <w:r>
              <w:rPr>
                <w:color w:val="auto"/>
                <w:szCs w:val="21"/>
              </w:rPr>
              <w:t>1座</w:t>
            </w:r>
            <w:r>
              <w:rPr>
                <w:rFonts w:hint="eastAsia"/>
                <w:color w:val="auto"/>
                <w:szCs w:val="21"/>
                <w:lang w:val="en-US" w:eastAsia="zh-CN"/>
              </w:rPr>
              <w:t>3</w:t>
            </w:r>
            <w:r>
              <w:rPr>
                <w:rFonts w:hint="eastAsia"/>
                <w:color w:val="auto"/>
                <w:szCs w:val="21"/>
              </w:rPr>
              <w:t>5</w:t>
            </w:r>
            <w:r>
              <w:rPr>
                <w:color w:val="auto"/>
                <w:szCs w:val="21"/>
              </w:rPr>
              <w:t>m</w:t>
            </w:r>
            <w:r>
              <w:rPr>
                <w:color w:val="auto"/>
                <w:szCs w:val="21"/>
                <w:vertAlign w:val="superscript"/>
              </w:rPr>
              <w:t>2</w:t>
            </w:r>
            <w:r>
              <w:rPr>
                <w:color w:val="auto"/>
                <w:szCs w:val="21"/>
              </w:rPr>
              <w:t>危险废物暂存场所</w:t>
            </w:r>
            <w:r>
              <w:rPr>
                <w:rFonts w:hint="eastAsia"/>
                <w:color w:val="auto"/>
                <w:szCs w:val="21"/>
              </w:rPr>
              <w:t>满足本项目危险废物暂存要求。</w:t>
            </w:r>
          </w:p>
          <w:p>
            <w:pPr>
              <w:tabs>
                <w:tab w:val="left" w:pos="0"/>
              </w:tabs>
              <w:adjustRightInd w:val="0"/>
              <w:snapToGrid w:val="0"/>
              <w:spacing w:line="360" w:lineRule="auto"/>
              <w:ind w:right="-28" w:firstLine="482"/>
              <w:rPr>
                <w:rFonts w:hint="eastAsia"/>
                <w:color w:val="auto"/>
                <w:szCs w:val="21"/>
              </w:rPr>
            </w:pPr>
            <w:r>
              <w:rPr>
                <w:rFonts w:hint="eastAsia"/>
                <w:color w:val="auto"/>
                <w:szCs w:val="21"/>
              </w:rPr>
              <w:t>③危废暂存场所内设置要求</w:t>
            </w:r>
          </w:p>
          <w:p>
            <w:pPr>
              <w:tabs>
                <w:tab w:val="left" w:pos="2295"/>
              </w:tabs>
              <w:spacing w:line="360" w:lineRule="auto"/>
              <w:ind w:firstLine="420" w:firstLineChars="200"/>
              <w:rPr>
                <w:rFonts w:hint="eastAsia"/>
                <w:color w:val="auto"/>
                <w:szCs w:val="21"/>
              </w:rPr>
            </w:pPr>
            <w:r>
              <w:rPr>
                <w:rFonts w:hint="eastAsia"/>
                <w:color w:val="auto"/>
                <w:szCs w:val="21"/>
              </w:rPr>
              <w:t>危废暂存场所地面与裙脚采用达到标准要求防渗的材料建造，渗透系数≤</w:t>
            </w:r>
            <w:r>
              <w:rPr>
                <w:color w:val="auto"/>
                <w:szCs w:val="21"/>
              </w:rPr>
              <w:t>10</w:t>
            </w:r>
            <w:r>
              <w:rPr>
                <w:color w:val="auto"/>
                <w:szCs w:val="21"/>
                <w:vertAlign w:val="superscript"/>
              </w:rPr>
              <w:t>-12</w:t>
            </w:r>
            <w:r>
              <w:rPr>
                <w:color w:val="auto"/>
                <w:szCs w:val="21"/>
              </w:rPr>
              <w:t>cm/s</w:t>
            </w:r>
            <w:r>
              <w:rPr>
                <w:rFonts w:hint="eastAsia"/>
                <w:color w:val="auto"/>
                <w:szCs w:val="21"/>
              </w:rPr>
              <w:t>，防渗建筑材料须与危险废物相容。</w:t>
            </w:r>
          </w:p>
          <w:p>
            <w:pPr>
              <w:tabs>
                <w:tab w:val="left" w:pos="2295"/>
              </w:tabs>
              <w:spacing w:line="360" w:lineRule="auto"/>
              <w:ind w:firstLine="420" w:firstLineChars="200"/>
              <w:rPr>
                <w:rFonts w:hint="eastAsia"/>
                <w:color w:val="auto"/>
                <w:szCs w:val="21"/>
              </w:rPr>
            </w:pPr>
            <w:r>
              <w:rPr>
                <w:rFonts w:hint="eastAsia"/>
                <w:color w:val="auto"/>
                <w:szCs w:val="21"/>
              </w:rPr>
              <w:t>危废暂存场所内设置有安全照明设施和观察窗口，场所四周设置边沟，建造径流疏导系统，同时做到</w:t>
            </w:r>
            <w:r>
              <w:rPr>
                <w:rFonts w:hint="eastAsia"/>
                <w:color w:val="auto"/>
                <w:szCs w:val="21"/>
                <w:lang w:eastAsia="zh-CN"/>
              </w:rPr>
              <w:t>“</w:t>
            </w:r>
            <w:r>
              <w:rPr>
                <w:rFonts w:hint="eastAsia"/>
                <w:color w:val="auto"/>
                <w:szCs w:val="21"/>
              </w:rPr>
              <w:t>五防</w:t>
            </w:r>
            <w:r>
              <w:rPr>
                <w:rFonts w:hint="eastAsia"/>
                <w:color w:val="auto"/>
                <w:szCs w:val="21"/>
                <w:lang w:eastAsia="zh-CN"/>
              </w:rPr>
              <w:t>”</w:t>
            </w:r>
            <w:r>
              <w:rPr>
                <w:rFonts w:hint="eastAsia"/>
                <w:color w:val="auto"/>
                <w:szCs w:val="21"/>
              </w:rPr>
              <w:t>（防风、防雨、防晒、防盗、防渗漏）要求。本项目危险废物暂存场所均按照</w:t>
            </w:r>
            <w:r>
              <w:rPr>
                <w:color w:val="auto"/>
                <w:szCs w:val="21"/>
              </w:rPr>
              <w:t>GB18597-20</w:t>
            </w:r>
            <w:r>
              <w:rPr>
                <w:rFonts w:hint="eastAsia"/>
                <w:color w:val="auto"/>
                <w:szCs w:val="21"/>
              </w:rPr>
              <w:t>23《危险废物贮存污染控制标准》的规定设置，通过规范设置危废暂存场所，可以保障危险废物暂存过程对周边环境不产生影响。</w:t>
            </w:r>
          </w:p>
          <w:p>
            <w:pPr>
              <w:adjustRightInd w:val="0"/>
              <w:snapToGrid w:val="0"/>
              <w:spacing w:line="360" w:lineRule="auto"/>
              <w:ind w:firstLine="420" w:firstLineChars="200"/>
              <w:rPr>
                <w:color w:val="auto"/>
                <w:szCs w:val="21"/>
              </w:rPr>
            </w:pPr>
            <w:r>
              <w:rPr>
                <w:color w:val="auto"/>
                <w:szCs w:val="21"/>
              </w:rPr>
              <w:t>项目产生的危废严格按照《危险废物污染防治技术政策》（环发</w:t>
            </w:r>
            <w:r>
              <w:rPr>
                <w:rFonts w:hint="eastAsia"/>
                <w:color w:val="auto"/>
                <w:szCs w:val="21"/>
                <w:lang w:eastAsia="zh-CN"/>
              </w:rPr>
              <w:t>〔</w:t>
            </w:r>
            <w:r>
              <w:rPr>
                <w:color w:val="auto"/>
                <w:szCs w:val="21"/>
              </w:rPr>
              <w:t>2001</w:t>
            </w:r>
            <w:r>
              <w:rPr>
                <w:rFonts w:hint="eastAsia"/>
                <w:color w:val="auto"/>
                <w:szCs w:val="21"/>
                <w:lang w:eastAsia="zh-CN"/>
              </w:rPr>
              <w:t>〕</w:t>
            </w:r>
            <w:r>
              <w:rPr>
                <w:color w:val="auto"/>
                <w:szCs w:val="21"/>
              </w:rPr>
              <w:t>199号）和《危险废物贮存污染控制标准》（GB18597-20</w:t>
            </w:r>
            <w:r>
              <w:rPr>
                <w:rFonts w:hint="eastAsia"/>
                <w:color w:val="auto"/>
                <w:szCs w:val="21"/>
              </w:rPr>
              <w:t>23</w:t>
            </w:r>
            <w:r>
              <w:rPr>
                <w:color w:val="auto"/>
                <w:szCs w:val="21"/>
              </w:rPr>
              <w:t>）等文件、技术规范要求进行暂存和转移。</w:t>
            </w:r>
          </w:p>
          <w:p>
            <w:pPr>
              <w:adjustRightInd w:val="0"/>
              <w:snapToGrid w:val="0"/>
              <w:spacing w:line="360" w:lineRule="auto"/>
              <w:ind w:firstLine="420" w:firstLineChars="200"/>
              <w:rPr>
                <w:color w:val="auto"/>
                <w:szCs w:val="21"/>
              </w:rPr>
            </w:pPr>
            <w:r>
              <w:rPr>
                <w:color w:val="auto"/>
                <w:szCs w:val="21"/>
              </w:rPr>
              <w:t>危险废物的贮存设施应满足以下要求：</w:t>
            </w:r>
          </w:p>
          <w:p>
            <w:pPr>
              <w:adjustRightInd w:val="0"/>
              <w:spacing w:line="360" w:lineRule="auto"/>
              <w:ind w:firstLine="482"/>
              <w:jc w:val="left"/>
              <w:rPr>
                <w:rFonts w:hint="eastAsia"/>
                <w:color w:val="auto"/>
                <w:szCs w:val="21"/>
              </w:rPr>
            </w:pPr>
            <w:r>
              <w:rPr>
                <w:rFonts w:hint="eastAsia"/>
                <w:color w:val="auto"/>
                <w:szCs w:val="21"/>
              </w:rPr>
              <w:t>①贮存设施应根据危险废物的形态、物理化学性质、包装形式和污染物迁移途径，采取必要的防风、防晒、防雨、防漏、防渗、防腐以及其他环境污染防治措施，不应露天堆放危险废物。</w:t>
            </w:r>
          </w:p>
          <w:p>
            <w:pPr>
              <w:adjustRightInd w:val="0"/>
              <w:spacing w:line="360" w:lineRule="auto"/>
              <w:ind w:firstLine="482"/>
              <w:jc w:val="left"/>
              <w:rPr>
                <w:rFonts w:hint="eastAsia"/>
                <w:color w:val="auto"/>
                <w:szCs w:val="21"/>
              </w:rPr>
            </w:pPr>
            <w:r>
              <w:rPr>
                <w:rFonts w:hint="eastAsia"/>
                <w:color w:val="auto"/>
                <w:szCs w:val="21"/>
              </w:rPr>
              <w:t>②贮存设施应根据危险废物的类别、数量、形态、物理化学性质和污染防治等要求设置必要的贮存分区，避免不相容的危险废物接触、混合。</w:t>
            </w:r>
          </w:p>
          <w:p>
            <w:pPr>
              <w:adjustRightInd w:val="0"/>
              <w:spacing w:line="360" w:lineRule="auto"/>
              <w:ind w:firstLine="482"/>
              <w:jc w:val="left"/>
              <w:rPr>
                <w:rFonts w:hint="eastAsia"/>
                <w:color w:val="auto"/>
                <w:szCs w:val="21"/>
              </w:rPr>
            </w:pPr>
            <w:r>
              <w:rPr>
                <w:rFonts w:hint="eastAsia"/>
                <w:color w:val="auto"/>
                <w:szCs w:val="21"/>
              </w:rPr>
              <w:t>③贮存设施或贮存分区内地面、墙面裙脚、堵截泄漏的围堰、接触危险废物的隔板和墙体等应采用坚固的材料建造，表面无裂缝。</w:t>
            </w:r>
          </w:p>
          <w:p>
            <w:pPr>
              <w:adjustRightInd w:val="0"/>
              <w:spacing w:line="360" w:lineRule="auto"/>
              <w:ind w:firstLine="482"/>
              <w:jc w:val="left"/>
              <w:rPr>
                <w:rFonts w:hint="eastAsia"/>
                <w:color w:val="auto"/>
                <w:szCs w:val="21"/>
              </w:rPr>
            </w:pPr>
            <w:r>
              <w:rPr>
                <w:rFonts w:hint="eastAsia"/>
                <w:color w:val="auto"/>
                <w:szCs w:val="21"/>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color w:val="auto"/>
                <w:szCs w:val="21"/>
                <w:vertAlign w:val="superscript"/>
              </w:rPr>
              <w:t>-7</w:t>
            </w:r>
            <w:r>
              <w:rPr>
                <w:rFonts w:hint="eastAsia"/>
                <w:color w:val="auto"/>
                <w:szCs w:val="21"/>
              </w:rPr>
              <w:t>cm/s），或至少2mm厚高密度聚乙烯膜等人工防渗材料（渗透系数不大于10</w:t>
            </w:r>
            <w:r>
              <w:rPr>
                <w:rFonts w:hint="eastAsia"/>
                <w:color w:val="auto"/>
                <w:szCs w:val="21"/>
                <w:vertAlign w:val="superscript"/>
              </w:rPr>
              <w:t>-10</w:t>
            </w:r>
            <w:r>
              <w:rPr>
                <w:rFonts w:hint="eastAsia"/>
                <w:color w:val="auto"/>
                <w:szCs w:val="21"/>
              </w:rPr>
              <w:t>cm/s），或其他防渗性能等效的材料。</w:t>
            </w:r>
          </w:p>
          <w:p>
            <w:pPr>
              <w:adjustRightInd w:val="0"/>
              <w:spacing w:line="360" w:lineRule="auto"/>
              <w:ind w:firstLine="482"/>
              <w:jc w:val="left"/>
              <w:rPr>
                <w:rFonts w:hint="eastAsia"/>
                <w:color w:val="auto"/>
                <w:szCs w:val="21"/>
              </w:rPr>
            </w:pPr>
            <w:r>
              <w:rPr>
                <w:rFonts w:hint="eastAsia"/>
                <w:color w:val="auto"/>
                <w:szCs w:val="21"/>
              </w:rPr>
              <w:t>⑤同一贮存设施宜采用相同的防渗、防腐工艺（包括防渗、防腐结构或材料），防渗、防腐材料应覆盖所有可能与废物及其渗滤液、渗漏液等接触的构筑物表面；采用不同防渗、防腐工艺应分别建设贮存分区。</w:t>
            </w:r>
          </w:p>
          <w:p>
            <w:pPr>
              <w:adjustRightInd w:val="0"/>
              <w:spacing w:line="360" w:lineRule="auto"/>
              <w:ind w:firstLine="482"/>
              <w:jc w:val="left"/>
              <w:rPr>
                <w:rFonts w:hint="eastAsia"/>
                <w:color w:val="auto"/>
                <w:szCs w:val="21"/>
              </w:rPr>
            </w:pPr>
            <w:r>
              <w:rPr>
                <w:rFonts w:hint="eastAsia"/>
                <w:color w:val="auto"/>
                <w:szCs w:val="21"/>
              </w:rPr>
              <w:t>⑥贮存设施应采取技术和管理措施防止无关人员进入。贮存库内不同贮存分区之间应采取隔离措施。隔离措施可根据危险废物特性采用过道、隔板或隔墙等方式。</w:t>
            </w:r>
          </w:p>
          <w:p>
            <w:pPr>
              <w:adjustRightInd w:val="0"/>
              <w:spacing w:line="360" w:lineRule="auto"/>
              <w:ind w:firstLine="482"/>
              <w:jc w:val="left"/>
              <w:rPr>
                <w:rFonts w:hint="eastAsia"/>
                <w:color w:val="auto"/>
                <w:szCs w:val="21"/>
              </w:rPr>
            </w:pPr>
            <w:r>
              <w:rPr>
                <w:rFonts w:hint="eastAsia"/>
                <w:color w:val="auto"/>
                <w:szCs w:val="21"/>
              </w:rPr>
              <w:t>⑦在贮存库内或通过贮存分区方式贮存液态危险废物的，应具有液体泄漏堵截设施，堵截设施最小容积不应低于对应贮存区域最大液态废物容器容积或液态废物总储量1/10（二者取较大者）；用于贮存可能产生渗滤液的危险废物的贮存库或贮存分区应设计渗滤液收集设施，收集设施容积应满足渗滤液的收集要求。</w:t>
            </w:r>
          </w:p>
          <w:p>
            <w:pPr>
              <w:adjustRightInd w:val="0"/>
              <w:spacing w:line="360" w:lineRule="auto"/>
              <w:ind w:firstLine="482"/>
              <w:jc w:val="left"/>
              <w:rPr>
                <w:color w:val="auto"/>
                <w:szCs w:val="21"/>
              </w:rPr>
            </w:pPr>
            <w:r>
              <w:rPr>
                <w:color w:val="auto"/>
                <w:szCs w:val="21"/>
              </w:rPr>
              <w:t>危险废物的贮存设施的选址与设计、运行与管理、安全防护、环境监测及应急措施</w:t>
            </w:r>
            <w:r>
              <w:rPr>
                <w:rFonts w:hint="eastAsia"/>
                <w:color w:val="auto"/>
                <w:szCs w:val="21"/>
                <w:lang w:eastAsia="zh-CN"/>
              </w:rPr>
              <w:t>，以及</w:t>
            </w:r>
            <w:r>
              <w:rPr>
                <w:color w:val="auto"/>
                <w:szCs w:val="21"/>
              </w:rPr>
              <w:t>关闭等须遵循《危险废物贮存污染控制标准》的规定。</w:t>
            </w:r>
          </w:p>
          <w:p>
            <w:pPr>
              <w:adjustRightInd w:val="0"/>
              <w:spacing w:line="360" w:lineRule="auto"/>
              <w:ind w:firstLine="482"/>
              <w:jc w:val="left"/>
              <w:rPr>
                <w:color w:val="auto"/>
                <w:szCs w:val="21"/>
              </w:rPr>
            </w:pPr>
            <w:r>
              <w:rPr>
                <w:color w:val="auto"/>
                <w:szCs w:val="21"/>
              </w:rPr>
              <w:t>企业按照《危险废物管理计划（大纲）（试行）》的要求做好危险废物计划和</w:t>
            </w:r>
            <w:r>
              <w:rPr>
                <w:rFonts w:hint="eastAsia"/>
                <w:color w:val="auto"/>
                <w:szCs w:val="21"/>
                <w:lang w:eastAsia="zh-CN"/>
              </w:rPr>
              <w:t>危险废物台账</w:t>
            </w:r>
            <w:r>
              <w:rPr>
                <w:color w:val="auto"/>
                <w:szCs w:val="21"/>
              </w:rPr>
              <w:t>。</w:t>
            </w:r>
          </w:p>
          <w:p>
            <w:pPr>
              <w:tabs>
                <w:tab w:val="left" w:pos="0"/>
              </w:tabs>
              <w:adjustRightInd w:val="0"/>
              <w:snapToGrid w:val="0"/>
              <w:spacing w:line="360" w:lineRule="auto"/>
              <w:ind w:right="-28" w:firstLine="482"/>
              <w:rPr>
                <w:color w:val="auto"/>
                <w:szCs w:val="21"/>
              </w:rPr>
            </w:pPr>
            <w:r>
              <w:rPr>
                <w:color w:val="auto"/>
                <w:szCs w:val="21"/>
              </w:rPr>
              <w:t>（</w:t>
            </w:r>
            <w:r>
              <w:rPr>
                <w:rFonts w:hint="eastAsia"/>
                <w:color w:val="auto"/>
                <w:szCs w:val="21"/>
              </w:rPr>
              <w:t>3</w:t>
            </w:r>
            <w:r>
              <w:rPr>
                <w:color w:val="auto"/>
                <w:szCs w:val="21"/>
              </w:rPr>
              <w:t>）污染防治措施</w:t>
            </w:r>
          </w:p>
          <w:p>
            <w:pPr>
              <w:tabs>
                <w:tab w:val="left" w:pos="0"/>
              </w:tabs>
              <w:adjustRightInd w:val="0"/>
              <w:snapToGrid w:val="0"/>
              <w:spacing w:line="360" w:lineRule="auto"/>
              <w:ind w:right="-28" w:firstLine="482"/>
              <w:rPr>
                <w:color w:val="auto"/>
                <w:szCs w:val="21"/>
              </w:rPr>
            </w:pPr>
            <w:r>
              <w:rPr>
                <w:color w:val="auto"/>
                <w:szCs w:val="21"/>
              </w:rPr>
              <w:t>①贮存场所（设施）污染防治措施</w:t>
            </w:r>
          </w:p>
          <w:p>
            <w:pPr>
              <w:tabs>
                <w:tab w:val="left" w:pos="0"/>
              </w:tabs>
              <w:adjustRightInd w:val="0"/>
              <w:snapToGrid w:val="0"/>
              <w:spacing w:line="360" w:lineRule="auto"/>
              <w:ind w:right="-28" w:firstLine="482"/>
              <w:rPr>
                <w:color w:val="auto"/>
                <w:szCs w:val="21"/>
              </w:rPr>
            </w:pPr>
            <w:r>
              <w:rPr>
                <w:color w:val="auto"/>
                <w:szCs w:val="21"/>
              </w:rPr>
              <w:t>所有纳入危险废物范畴的固体废物在企业内的存放地设置符合《危险废物贮存污染控制标准》（GB18597-20</w:t>
            </w:r>
            <w:r>
              <w:rPr>
                <w:rFonts w:hint="eastAsia"/>
                <w:color w:val="auto"/>
                <w:szCs w:val="21"/>
              </w:rPr>
              <w:t>23</w:t>
            </w:r>
            <w:r>
              <w:rPr>
                <w:color w:val="auto"/>
                <w:szCs w:val="21"/>
              </w:rPr>
              <w:t>）的专用标志。危险废物必须使用专用的容器贮存，除非在常温常压下不水解、不挥发的固体危险废物可在贮存设施内分别堆放。贮存容器应有明显标志，并且标明废物的特性，是否具有耐腐蚀、与所贮存的废物发生反应等特性。贮存场所严格按照</w:t>
            </w:r>
            <w:r>
              <w:rPr>
                <w:rFonts w:hint="eastAsia"/>
                <w:color w:val="auto"/>
                <w:szCs w:val="21"/>
                <w:lang w:eastAsia="zh-CN"/>
              </w:rPr>
              <w:t>“</w:t>
            </w:r>
            <w:r>
              <w:rPr>
                <w:rFonts w:hint="eastAsia"/>
                <w:color w:val="auto"/>
                <w:szCs w:val="21"/>
              </w:rPr>
              <w:t>五</w:t>
            </w:r>
            <w:r>
              <w:rPr>
                <w:color w:val="auto"/>
                <w:szCs w:val="21"/>
              </w:rPr>
              <w:t>防</w:t>
            </w:r>
            <w:r>
              <w:rPr>
                <w:rFonts w:hint="eastAsia"/>
                <w:color w:val="auto"/>
                <w:szCs w:val="21"/>
                <w:lang w:eastAsia="zh-CN"/>
              </w:rPr>
              <w:t>”</w:t>
            </w:r>
            <w:r>
              <w:rPr>
                <w:color w:val="auto"/>
                <w:szCs w:val="21"/>
              </w:rPr>
              <w:t>（防风、防雨、防晒、</w:t>
            </w:r>
            <w:r>
              <w:rPr>
                <w:rFonts w:hint="eastAsia"/>
                <w:color w:val="auto"/>
                <w:szCs w:val="21"/>
              </w:rPr>
              <w:t>防盗、</w:t>
            </w:r>
            <w:r>
              <w:rPr>
                <w:color w:val="auto"/>
                <w:szCs w:val="21"/>
              </w:rPr>
              <w:t>防渗漏）要求进行设置，有集排水设施且贮存场所符合消防要求，贮存场所内采用安全照明设施，并设置观察窗口。</w:t>
            </w:r>
          </w:p>
          <w:p>
            <w:pPr>
              <w:tabs>
                <w:tab w:val="left" w:pos="0"/>
              </w:tabs>
              <w:adjustRightInd w:val="0"/>
              <w:snapToGrid w:val="0"/>
              <w:spacing w:line="360" w:lineRule="auto"/>
              <w:ind w:right="-28" w:firstLine="482"/>
              <w:rPr>
                <w:color w:val="auto"/>
                <w:szCs w:val="21"/>
              </w:rPr>
            </w:pPr>
            <w:r>
              <w:rPr>
                <w:color w:val="auto"/>
                <w:szCs w:val="21"/>
              </w:rPr>
              <w:t>②运输过程的污染防治措施</w:t>
            </w:r>
          </w:p>
          <w:p>
            <w:pPr>
              <w:tabs>
                <w:tab w:val="left" w:pos="0"/>
              </w:tabs>
              <w:adjustRightInd w:val="0"/>
              <w:snapToGrid w:val="0"/>
              <w:spacing w:line="360" w:lineRule="auto"/>
              <w:ind w:right="-28" w:firstLine="482"/>
              <w:rPr>
                <w:color w:val="FF0000"/>
                <w:szCs w:val="21"/>
              </w:rPr>
            </w:pPr>
            <w:r>
              <w:rPr>
                <w:color w:val="auto"/>
                <w:szCs w:val="21"/>
              </w:rPr>
              <w:t>项目所处理的危险废物采用专门的车辆，密闭运输，严格禁止抛洒滴漏，杜绝在运输过程中造成环境的二次污染。在危险废物的运输中执行《危险废物转移联单管理办法》中有关的规定和要求。</w:t>
            </w:r>
          </w:p>
          <w:p>
            <w:pPr>
              <w:snapToGrid w:val="0"/>
              <w:spacing w:line="360" w:lineRule="auto"/>
              <w:ind w:firstLine="422" w:firstLineChars="200"/>
              <w:rPr>
                <w:rFonts w:hint="eastAsia"/>
                <w:color w:val="auto"/>
                <w:szCs w:val="21"/>
              </w:rPr>
            </w:pPr>
            <w:r>
              <w:rPr>
                <w:b/>
                <w:bCs/>
                <w:color w:val="auto"/>
                <w:szCs w:val="21"/>
              </w:rPr>
              <w:t>（</w:t>
            </w:r>
            <w:r>
              <w:rPr>
                <w:rFonts w:hint="eastAsia"/>
                <w:b/>
                <w:bCs/>
                <w:color w:val="auto"/>
                <w:szCs w:val="21"/>
              </w:rPr>
              <w:t>4</w:t>
            </w:r>
            <w:r>
              <w:rPr>
                <w:b/>
                <w:bCs/>
                <w:color w:val="auto"/>
                <w:szCs w:val="21"/>
              </w:rPr>
              <w:t>）环境管理要求</w:t>
            </w:r>
            <w:r>
              <w:rPr>
                <w:rFonts w:hint="eastAsia"/>
                <w:b/>
                <w:bCs/>
                <w:color w:val="auto"/>
                <w:szCs w:val="21"/>
              </w:rPr>
              <w:t>：</w:t>
            </w:r>
          </w:p>
          <w:p>
            <w:pPr>
              <w:snapToGrid w:val="0"/>
              <w:spacing w:line="360" w:lineRule="auto"/>
              <w:ind w:firstLine="420" w:firstLineChars="200"/>
              <w:rPr>
                <w:color w:val="auto"/>
                <w:szCs w:val="21"/>
              </w:rPr>
            </w:pPr>
            <w:r>
              <w:rPr>
                <w:color w:val="auto"/>
                <w:szCs w:val="21"/>
              </w:rPr>
              <w:t>针对本项目正常运行阶段所产生的危险废物的日常管理提出要求：</w:t>
            </w:r>
          </w:p>
          <w:p>
            <w:pPr>
              <w:snapToGrid w:val="0"/>
              <w:spacing w:line="360" w:lineRule="auto"/>
              <w:ind w:firstLine="420" w:firstLineChars="200"/>
              <w:rPr>
                <w:color w:val="auto"/>
                <w:szCs w:val="21"/>
              </w:rPr>
            </w:pPr>
            <w:r>
              <w:rPr>
                <w:color w:val="auto"/>
                <w:szCs w:val="21"/>
              </w:rPr>
              <w:t>1）履行申报登记制度；</w:t>
            </w:r>
          </w:p>
          <w:p>
            <w:pPr>
              <w:snapToGrid w:val="0"/>
              <w:spacing w:line="360" w:lineRule="auto"/>
              <w:ind w:firstLine="420" w:firstLineChars="200"/>
              <w:rPr>
                <w:color w:val="auto"/>
                <w:szCs w:val="21"/>
              </w:rPr>
            </w:pPr>
            <w:r>
              <w:rPr>
                <w:color w:val="auto"/>
                <w:szCs w:val="21"/>
              </w:rPr>
              <w:t>2）建立台账管理制度，企业须做好危险废物情况的记录，记录上需注明危险废物的名称、来源、数量、特性和包装容器的类别；</w:t>
            </w:r>
          </w:p>
          <w:p>
            <w:pPr>
              <w:snapToGrid w:val="0"/>
              <w:spacing w:line="360" w:lineRule="auto"/>
              <w:ind w:firstLine="420" w:firstLineChars="200"/>
              <w:rPr>
                <w:color w:val="auto"/>
                <w:szCs w:val="21"/>
              </w:rPr>
            </w:pPr>
            <w:r>
              <w:rPr>
                <w:color w:val="auto"/>
                <w:szCs w:val="21"/>
              </w:rPr>
              <w:t>3）委托处置应执行报批和转移联单等制度；</w:t>
            </w:r>
          </w:p>
          <w:p>
            <w:pPr>
              <w:snapToGrid w:val="0"/>
              <w:spacing w:line="360" w:lineRule="auto"/>
              <w:ind w:firstLine="420" w:firstLineChars="200"/>
              <w:rPr>
                <w:color w:val="auto"/>
                <w:szCs w:val="21"/>
              </w:rPr>
            </w:pPr>
            <w:r>
              <w:rPr>
                <w:color w:val="auto"/>
                <w:szCs w:val="21"/>
              </w:rPr>
              <w:t>4）定期对暂存的危险废物包装容器及贮存设施进行检查，及早发现破损，及时采取措施清理更换；</w:t>
            </w:r>
          </w:p>
          <w:p>
            <w:pPr>
              <w:snapToGrid w:val="0"/>
              <w:spacing w:line="360" w:lineRule="auto"/>
              <w:ind w:firstLine="420" w:firstLineChars="200"/>
              <w:rPr>
                <w:color w:val="FF0000"/>
                <w:szCs w:val="21"/>
              </w:rPr>
            </w:pPr>
            <w:r>
              <w:rPr>
                <w:color w:val="auto"/>
                <w:szCs w:val="21"/>
              </w:rPr>
              <w:t>5）直接从事收集、贮存、运输、利用、处置危险废物的人员，应当接受专业培训，经考核合格，方可从事该项工作。</w:t>
            </w:r>
          </w:p>
          <w:p>
            <w:pPr>
              <w:snapToGrid w:val="0"/>
              <w:spacing w:line="360" w:lineRule="auto"/>
              <w:ind w:firstLine="420" w:firstLineChars="200"/>
              <w:rPr>
                <w:color w:val="auto"/>
                <w:szCs w:val="21"/>
              </w:rPr>
            </w:pPr>
            <w:r>
              <w:rPr>
                <w:color w:val="auto"/>
                <w:szCs w:val="21"/>
              </w:rPr>
              <w:t>6）固废贮存（处置）场所规范化设置，固体废物贮存</w:t>
            </w:r>
            <w:r>
              <w:rPr>
                <w:rFonts w:hint="eastAsia"/>
                <w:color w:val="auto"/>
                <w:szCs w:val="21"/>
                <w:lang w:eastAsia="zh-CN"/>
              </w:rPr>
              <w:t>（</w:t>
            </w:r>
            <w:r>
              <w:rPr>
                <w:color w:val="auto"/>
                <w:szCs w:val="21"/>
              </w:rPr>
              <w:t>处置</w:t>
            </w:r>
            <w:r>
              <w:rPr>
                <w:rFonts w:hint="eastAsia"/>
                <w:color w:val="auto"/>
                <w:szCs w:val="21"/>
                <w:lang w:eastAsia="zh-CN"/>
              </w:rPr>
              <w:t>）</w:t>
            </w:r>
            <w:r>
              <w:rPr>
                <w:color w:val="auto"/>
                <w:szCs w:val="21"/>
              </w:rPr>
              <w:t>场所应在醒目处设置标志牌。</w:t>
            </w:r>
          </w:p>
          <w:p>
            <w:pPr>
              <w:snapToGrid w:val="0"/>
              <w:spacing w:line="360" w:lineRule="auto"/>
              <w:ind w:firstLine="420" w:firstLineChars="200"/>
              <w:rPr>
                <w:color w:val="auto"/>
                <w:szCs w:val="21"/>
              </w:rPr>
            </w:pPr>
            <w:r>
              <w:rPr>
                <w:color w:val="auto"/>
                <w:szCs w:val="21"/>
              </w:rPr>
              <w:t>7）危废应根据其化学特性选择合适的容器和存放地点，通过密闭容器存放，不可混合贮存，容器标签必须标明废物种类、贮存时间，定期处理。</w:t>
            </w:r>
          </w:p>
          <w:p>
            <w:pPr>
              <w:spacing w:line="360" w:lineRule="auto"/>
              <w:ind w:firstLine="411" w:firstLineChars="196"/>
              <w:rPr>
                <w:rFonts w:hint="eastAsia"/>
                <w:color w:val="auto"/>
                <w:szCs w:val="21"/>
              </w:rPr>
            </w:pPr>
            <w:r>
              <w:rPr>
                <w:color w:val="auto"/>
                <w:szCs w:val="21"/>
              </w:rPr>
              <w:t>8）危险废物产生单位在关键位置设置在线视频监控，企业应指定专人专职维护视频监控设施运行，定期巡视并做好相应的监控运行、维修、使用记录，保持摄像头表面整洁干净、监控拍摄位置正确、监控设施完好无损，确保视频传输图像清晰、监控设备正常稳定运行。</w:t>
            </w:r>
          </w:p>
          <w:p>
            <w:pPr>
              <w:pStyle w:val="127"/>
              <w:spacing w:line="360" w:lineRule="auto"/>
              <w:ind w:firstLine="420" w:firstLineChars="200"/>
              <w:rPr>
                <w:color w:val="auto"/>
                <w:sz w:val="21"/>
                <w:szCs w:val="21"/>
              </w:rPr>
            </w:pPr>
            <w:r>
              <w:rPr>
                <w:color w:val="auto"/>
                <w:sz w:val="21"/>
                <w:szCs w:val="21"/>
              </w:rPr>
              <w:t>项目强化废物产生、收集、贮运各环节的管理，厂区内固废分类收集暂存，分类进行有效处置。危险废物收集在厂内危险废物暂存库内，避免危险废物在厂区内散失、渗漏。做好固体废物在厂区内的收集和贮存相关防护工作，收集后进行有效处置。建设单位应建立完善的规章制度，以降低固体废物散落对周围环境的影响，固废经妥善处理、处置后，可以实现零排放，对周围环境及人体不会造成影响，亦不会对环境产生二次污染，所采取的治理措施是可行的。</w:t>
            </w:r>
          </w:p>
          <w:p>
            <w:pPr>
              <w:spacing w:line="360" w:lineRule="auto"/>
              <w:ind w:firstLine="420" w:firstLineChars="200"/>
              <w:rPr>
                <w:color w:val="auto"/>
                <w:szCs w:val="21"/>
              </w:rPr>
            </w:pPr>
            <w:r>
              <w:rPr>
                <w:color w:val="auto"/>
                <w:szCs w:val="21"/>
              </w:rPr>
              <w:t>建设项目强化废物产生、收集、贮运各环节的管理，杜绝固废在厂区内的散失、渗漏。做好固体废物在厂区内的收集和储存相关防护工作，收集后进行有效处置。建立完善的规章制度，以降低固体废物散落对周围环境的影响。</w:t>
            </w:r>
          </w:p>
          <w:p>
            <w:pPr>
              <w:spacing w:line="360" w:lineRule="auto"/>
              <w:ind w:firstLine="422" w:firstLineChars="200"/>
              <w:rPr>
                <w:b/>
                <w:kern w:val="0"/>
                <w:szCs w:val="21"/>
              </w:rPr>
            </w:pPr>
            <w:r>
              <w:rPr>
                <w:b/>
                <w:kern w:val="0"/>
                <w:szCs w:val="21"/>
              </w:rPr>
              <w:t>（3）生活垃圾</w:t>
            </w:r>
          </w:p>
          <w:p>
            <w:pPr>
              <w:spacing w:line="360" w:lineRule="auto"/>
              <w:ind w:firstLine="420" w:firstLineChars="200"/>
              <w:rPr>
                <w:kern w:val="0"/>
                <w:szCs w:val="21"/>
              </w:rPr>
            </w:pPr>
            <w:r>
              <w:rPr>
                <w:kern w:val="0"/>
                <w:szCs w:val="21"/>
              </w:rPr>
              <w:t>项目劳动定员</w:t>
            </w:r>
            <w:r>
              <w:rPr>
                <w:rFonts w:hint="eastAsia"/>
                <w:kern w:val="0"/>
                <w:szCs w:val="21"/>
              </w:rPr>
              <w:t>20</w:t>
            </w:r>
            <w:r>
              <w:rPr>
                <w:rFonts w:hint="eastAsia"/>
                <w:kern w:val="0"/>
                <w:szCs w:val="21"/>
                <w:lang w:val="en-US" w:eastAsia="zh-CN"/>
              </w:rPr>
              <w:t>0</w:t>
            </w:r>
            <w:r>
              <w:rPr>
                <w:kern w:val="0"/>
                <w:szCs w:val="21"/>
              </w:rPr>
              <w:t>人，生活垃圾产生系数按0.5kg/（人·d）计，则项目生活垃圾产生量约为</w:t>
            </w:r>
            <w:r>
              <w:rPr>
                <w:rFonts w:hint="eastAsia"/>
                <w:kern w:val="0"/>
                <w:szCs w:val="21"/>
              </w:rPr>
              <w:t>10</w:t>
            </w:r>
            <w:r>
              <w:rPr>
                <w:rFonts w:hint="eastAsia"/>
                <w:kern w:val="0"/>
                <w:szCs w:val="21"/>
                <w:lang w:val="en-US" w:eastAsia="zh-CN"/>
              </w:rPr>
              <w:t>0</w:t>
            </w:r>
            <w:r>
              <w:rPr>
                <w:kern w:val="0"/>
                <w:szCs w:val="21"/>
              </w:rPr>
              <w:t>kg/d、</w:t>
            </w:r>
            <w:r>
              <w:rPr>
                <w:rFonts w:hint="eastAsia"/>
                <w:kern w:val="0"/>
                <w:szCs w:val="21"/>
              </w:rPr>
              <w:t>3</w:t>
            </w:r>
            <w:r>
              <w:rPr>
                <w:rFonts w:hint="eastAsia"/>
                <w:kern w:val="0"/>
                <w:szCs w:val="21"/>
                <w:lang w:val="en-US" w:eastAsia="zh-CN"/>
              </w:rPr>
              <w:t>0</w:t>
            </w:r>
            <w:r>
              <w:rPr>
                <w:kern w:val="0"/>
                <w:szCs w:val="21"/>
              </w:rPr>
              <w:t>t/a。生活垃圾交由环卫部门统一清运。</w:t>
            </w:r>
          </w:p>
          <w:p>
            <w:pPr>
              <w:spacing w:line="360" w:lineRule="auto"/>
              <w:ind w:firstLine="420" w:firstLineChars="200"/>
              <w:rPr>
                <w:color w:val="FF0000"/>
                <w:szCs w:val="21"/>
              </w:rPr>
            </w:pPr>
            <w:r>
              <w:rPr>
                <w:color w:val="auto"/>
                <w:szCs w:val="21"/>
              </w:rPr>
              <w:t>综上所述，经采取上述措施后，本项目固废均可得到有效处置，处置率100%，符合环保要求，不会对周围环境造成不良影响。</w:t>
            </w:r>
          </w:p>
          <w:p>
            <w:pPr>
              <w:spacing w:line="360" w:lineRule="auto"/>
              <w:ind w:firstLine="413" w:firstLineChars="196"/>
              <w:rPr>
                <w:b/>
                <w:bCs/>
                <w:color w:val="auto"/>
                <w:szCs w:val="21"/>
              </w:rPr>
            </w:pPr>
            <w:r>
              <w:rPr>
                <w:rFonts w:hint="eastAsia"/>
                <w:b/>
                <w:bCs/>
                <w:color w:val="auto"/>
                <w:szCs w:val="21"/>
              </w:rPr>
              <w:t>五</w:t>
            </w:r>
            <w:r>
              <w:rPr>
                <w:b/>
                <w:bCs/>
                <w:color w:val="auto"/>
                <w:szCs w:val="21"/>
              </w:rPr>
              <w:t>、地下水</w:t>
            </w:r>
            <w:r>
              <w:rPr>
                <w:rFonts w:hint="eastAsia"/>
                <w:b/>
                <w:bCs/>
                <w:color w:val="auto"/>
                <w:szCs w:val="21"/>
              </w:rPr>
              <w:t>、土壤</w:t>
            </w:r>
            <w:r>
              <w:rPr>
                <w:b/>
                <w:bCs/>
                <w:color w:val="auto"/>
                <w:szCs w:val="21"/>
              </w:rPr>
              <w:t>环境影响分析</w:t>
            </w:r>
          </w:p>
          <w:p>
            <w:pPr>
              <w:spacing w:line="360" w:lineRule="auto"/>
              <w:ind w:firstLine="480"/>
              <w:rPr>
                <w:color w:val="auto"/>
                <w:szCs w:val="21"/>
              </w:rPr>
            </w:pPr>
            <w:r>
              <w:rPr>
                <w:rFonts w:hint="eastAsia"/>
                <w:color w:val="auto"/>
                <w:szCs w:val="21"/>
              </w:rPr>
              <w:t>1、地下水、土壤污染途径</w:t>
            </w:r>
          </w:p>
          <w:p>
            <w:pPr>
              <w:spacing w:line="360" w:lineRule="auto"/>
              <w:ind w:firstLine="480"/>
              <w:rPr>
                <w:color w:val="auto"/>
                <w:szCs w:val="21"/>
              </w:rPr>
            </w:pPr>
            <w:r>
              <w:rPr>
                <w:rFonts w:hint="eastAsia"/>
                <w:color w:val="auto"/>
                <w:szCs w:val="21"/>
              </w:rPr>
              <w:t>企业目前建立了完整的</w:t>
            </w:r>
            <w:r>
              <w:rPr>
                <w:rFonts w:hint="eastAsia"/>
                <w:color w:val="auto"/>
                <w:szCs w:val="21"/>
                <w:lang w:eastAsia="zh-CN"/>
              </w:rPr>
              <w:t>“</w:t>
            </w:r>
            <w:r>
              <w:rPr>
                <w:rFonts w:hint="eastAsia"/>
                <w:color w:val="auto"/>
                <w:szCs w:val="21"/>
              </w:rPr>
              <w:t>雨污分流、清污分流</w:t>
            </w:r>
            <w:r>
              <w:rPr>
                <w:rFonts w:hint="eastAsia"/>
                <w:color w:val="auto"/>
                <w:szCs w:val="21"/>
                <w:lang w:eastAsia="zh-CN"/>
              </w:rPr>
              <w:t>”</w:t>
            </w:r>
            <w:r>
              <w:rPr>
                <w:rFonts w:hint="eastAsia"/>
                <w:color w:val="auto"/>
                <w:szCs w:val="21"/>
              </w:rPr>
              <w:t>排水系统，雨水排入雨水管网。厂区内现有危废间已采取重点防渗措施，危废间设置满足相关要求。</w:t>
            </w:r>
          </w:p>
          <w:p>
            <w:pPr>
              <w:spacing w:line="360" w:lineRule="auto"/>
              <w:ind w:firstLine="480"/>
              <w:rPr>
                <w:color w:val="auto"/>
                <w:szCs w:val="21"/>
              </w:rPr>
            </w:pPr>
            <w:r>
              <w:rPr>
                <w:rFonts w:hint="eastAsia"/>
                <w:color w:val="auto"/>
                <w:szCs w:val="21"/>
              </w:rPr>
              <w:t>本项目可能造成土壤和地下水污染的为危废间和辅料库，辅料库中</w:t>
            </w:r>
            <w:r>
              <w:rPr>
                <w:rFonts w:hint="eastAsia"/>
                <w:color w:val="auto"/>
                <w:szCs w:val="21"/>
                <w:lang w:val="en-US" w:eastAsia="zh-CN"/>
              </w:rPr>
              <w:t>乳化液、液压油</w:t>
            </w:r>
            <w:r>
              <w:rPr>
                <w:rFonts w:hint="eastAsia"/>
                <w:color w:val="auto"/>
                <w:szCs w:val="21"/>
              </w:rPr>
              <w:t>和危废间中暂存的废</w:t>
            </w:r>
            <w:r>
              <w:rPr>
                <w:rFonts w:hint="eastAsia"/>
                <w:color w:val="auto"/>
                <w:szCs w:val="21"/>
                <w:lang w:val="en-US" w:eastAsia="zh-CN"/>
              </w:rPr>
              <w:t>乳化液</w:t>
            </w:r>
            <w:r>
              <w:rPr>
                <w:rFonts w:hint="eastAsia"/>
                <w:color w:val="auto"/>
                <w:szCs w:val="21"/>
              </w:rPr>
              <w:t>通过地面漫流或者垂直入渗的方式进入土壤和地下水中，导致土壤和地下水污染。</w:t>
            </w:r>
          </w:p>
          <w:p>
            <w:pPr>
              <w:spacing w:line="360" w:lineRule="auto"/>
              <w:ind w:firstLine="480"/>
              <w:rPr>
                <w:color w:val="auto"/>
                <w:szCs w:val="21"/>
              </w:rPr>
            </w:pPr>
            <w:r>
              <w:rPr>
                <w:rFonts w:hint="eastAsia"/>
                <w:color w:val="auto"/>
                <w:szCs w:val="21"/>
              </w:rPr>
              <w:t>本项目危废间、辅料库采取重点防渗措施，液态物料存储于密闭包装桶内，危废间地面设有边沟和集液池，以防止存储物料外泄进入外环境造成污染地下水和土壤造成污染。</w:t>
            </w:r>
          </w:p>
          <w:p>
            <w:pPr>
              <w:spacing w:line="360" w:lineRule="auto"/>
              <w:ind w:firstLine="480"/>
              <w:rPr>
                <w:color w:val="auto"/>
                <w:szCs w:val="21"/>
              </w:rPr>
            </w:pPr>
            <w:r>
              <w:rPr>
                <w:rFonts w:hint="eastAsia"/>
                <w:color w:val="auto"/>
                <w:szCs w:val="21"/>
              </w:rPr>
              <w:t>2、</w:t>
            </w:r>
            <w:r>
              <w:rPr>
                <w:color w:val="auto"/>
                <w:szCs w:val="21"/>
              </w:rPr>
              <w:t>污染防治措施</w:t>
            </w:r>
          </w:p>
          <w:p>
            <w:pPr>
              <w:spacing w:line="360" w:lineRule="auto"/>
              <w:ind w:firstLine="480"/>
              <w:rPr>
                <w:color w:val="auto"/>
                <w:szCs w:val="21"/>
              </w:rPr>
            </w:pPr>
            <w:r>
              <w:rPr>
                <w:rFonts w:hint="eastAsia"/>
                <w:color w:val="auto"/>
                <w:szCs w:val="21"/>
              </w:rPr>
              <w:t>（1）</w:t>
            </w:r>
            <w:r>
              <w:rPr>
                <w:color w:val="auto"/>
                <w:szCs w:val="21"/>
              </w:rPr>
              <w:t>源头控制措施</w:t>
            </w:r>
          </w:p>
          <w:p>
            <w:pPr>
              <w:spacing w:line="360" w:lineRule="auto"/>
              <w:ind w:firstLine="480"/>
              <w:rPr>
                <w:color w:val="auto"/>
                <w:szCs w:val="21"/>
              </w:rPr>
            </w:pPr>
            <w:r>
              <w:rPr>
                <w:color w:val="auto"/>
                <w:szCs w:val="21"/>
              </w:rPr>
              <w:fldChar w:fldCharType="begin"/>
            </w:r>
            <w:r>
              <w:rPr>
                <w:color w:val="auto"/>
                <w:szCs w:val="21"/>
              </w:rPr>
              <w:instrText xml:space="preserve"> </w:instrText>
            </w:r>
            <w:r>
              <w:rPr>
                <w:rFonts w:hint="eastAsia"/>
                <w:color w:val="auto"/>
                <w:szCs w:val="21"/>
              </w:rPr>
              <w:instrText xml:space="preserve">= 1 \* GB3</w:instrText>
            </w:r>
            <w:r>
              <w:rPr>
                <w:color w:val="auto"/>
                <w:szCs w:val="21"/>
              </w:rPr>
              <w:instrText xml:space="preserve"> </w:instrText>
            </w:r>
            <w:r>
              <w:rPr>
                <w:color w:val="auto"/>
                <w:szCs w:val="21"/>
              </w:rPr>
              <w:fldChar w:fldCharType="separate"/>
            </w:r>
            <w:r>
              <w:rPr>
                <w:rFonts w:hint="eastAsia"/>
                <w:color w:val="auto"/>
                <w:szCs w:val="21"/>
              </w:rPr>
              <w:t>①</w:t>
            </w:r>
            <w:r>
              <w:rPr>
                <w:color w:val="auto"/>
                <w:szCs w:val="21"/>
              </w:rPr>
              <w:fldChar w:fldCharType="end"/>
            </w:r>
            <w:r>
              <w:rPr>
                <w:color w:val="auto"/>
                <w:szCs w:val="21"/>
              </w:rPr>
              <w:t>严格按照国家相关规范要求，对厂区内</w:t>
            </w:r>
            <w:r>
              <w:rPr>
                <w:rFonts w:hint="eastAsia"/>
                <w:color w:val="auto"/>
                <w:szCs w:val="21"/>
              </w:rPr>
              <w:t>液态物料存储设施</w:t>
            </w:r>
            <w:r>
              <w:rPr>
                <w:color w:val="auto"/>
                <w:szCs w:val="21"/>
              </w:rPr>
              <w:t>等采取相应措施，以防止和降低污染物的跑、冒、滴、漏，将污染物泄漏的环境风险事故降到最低程度。</w:t>
            </w:r>
          </w:p>
          <w:p>
            <w:pPr>
              <w:spacing w:line="360" w:lineRule="auto"/>
              <w:ind w:firstLine="480"/>
              <w:rPr>
                <w:color w:val="auto"/>
                <w:szCs w:val="21"/>
              </w:rPr>
            </w:pPr>
            <w:r>
              <w:rPr>
                <w:color w:val="auto"/>
                <w:szCs w:val="21"/>
              </w:rPr>
              <w:fldChar w:fldCharType="begin"/>
            </w:r>
            <w:r>
              <w:rPr>
                <w:color w:val="auto"/>
                <w:szCs w:val="21"/>
              </w:rPr>
              <w:instrText xml:space="preserve"> </w:instrText>
            </w:r>
            <w:r>
              <w:rPr>
                <w:rFonts w:hint="eastAsia"/>
                <w:color w:val="auto"/>
                <w:szCs w:val="21"/>
              </w:rPr>
              <w:instrText xml:space="preserve">= 2 \* GB3</w:instrText>
            </w:r>
            <w:r>
              <w:rPr>
                <w:color w:val="auto"/>
                <w:szCs w:val="21"/>
              </w:rPr>
              <w:instrText xml:space="preserve"> </w:instrText>
            </w:r>
            <w:r>
              <w:rPr>
                <w:color w:val="auto"/>
                <w:szCs w:val="21"/>
              </w:rPr>
              <w:fldChar w:fldCharType="separate"/>
            </w:r>
            <w:r>
              <w:rPr>
                <w:rFonts w:hint="eastAsia"/>
                <w:color w:val="auto"/>
                <w:szCs w:val="21"/>
              </w:rPr>
              <w:t>②</w:t>
            </w:r>
            <w:r>
              <w:rPr>
                <w:color w:val="auto"/>
                <w:szCs w:val="21"/>
              </w:rPr>
              <w:fldChar w:fldCharType="end"/>
            </w:r>
            <w:r>
              <w:rPr>
                <w:color w:val="auto"/>
                <w:szCs w:val="21"/>
              </w:rPr>
              <w:t>设备和管线尽量采用</w:t>
            </w:r>
            <w:r>
              <w:rPr>
                <w:rFonts w:hint="eastAsia"/>
                <w:color w:val="auto"/>
                <w:szCs w:val="21"/>
                <w:lang w:eastAsia="zh-CN"/>
              </w:rPr>
              <w:t>“</w:t>
            </w:r>
            <w:r>
              <w:rPr>
                <w:color w:val="auto"/>
                <w:szCs w:val="21"/>
              </w:rPr>
              <w:t>可视化</w:t>
            </w:r>
            <w:r>
              <w:rPr>
                <w:rFonts w:hint="eastAsia"/>
                <w:color w:val="auto"/>
                <w:szCs w:val="21"/>
                <w:lang w:eastAsia="zh-CN"/>
              </w:rPr>
              <w:t>”</w:t>
            </w:r>
            <w:r>
              <w:rPr>
                <w:color w:val="auto"/>
                <w:szCs w:val="21"/>
              </w:rPr>
              <w:t>原则，即尽可能地上敷设和放置，做到污染物</w:t>
            </w:r>
            <w:r>
              <w:rPr>
                <w:rFonts w:hint="eastAsia"/>
                <w:color w:val="auto"/>
                <w:szCs w:val="21"/>
                <w:lang w:eastAsia="zh-CN"/>
              </w:rPr>
              <w:t>“</w:t>
            </w:r>
            <w:r>
              <w:rPr>
                <w:color w:val="auto"/>
                <w:szCs w:val="21"/>
              </w:rPr>
              <w:t>早发现、早处理</w:t>
            </w:r>
            <w:r>
              <w:rPr>
                <w:rFonts w:hint="eastAsia"/>
                <w:color w:val="auto"/>
                <w:szCs w:val="21"/>
                <w:lang w:eastAsia="zh-CN"/>
              </w:rPr>
              <w:t>”</w:t>
            </w:r>
            <w:r>
              <w:rPr>
                <w:color w:val="auto"/>
                <w:szCs w:val="21"/>
              </w:rPr>
              <w:t>，以减少由于埋地泄漏而可能造成的地下水污染。对地下管道、管道内外均采用防腐处理，定期对管道进行检漏，对出现泄漏处的土壤进行换土。</w:t>
            </w:r>
          </w:p>
          <w:p>
            <w:pPr>
              <w:spacing w:line="360" w:lineRule="auto"/>
              <w:ind w:firstLine="480"/>
              <w:rPr>
                <w:color w:val="auto"/>
                <w:szCs w:val="21"/>
              </w:rPr>
            </w:pPr>
            <w:r>
              <w:rPr>
                <w:color w:val="auto"/>
                <w:szCs w:val="21"/>
              </w:rPr>
              <w:fldChar w:fldCharType="begin"/>
            </w:r>
            <w:r>
              <w:rPr>
                <w:color w:val="auto"/>
                <w:szCs w:val="21"/>
              </w:rPr>
              <w:instrText xml:space="preserve"> </w:instrText>
            </w:r>
            <w:r>
              <w:rPr>
                <w:rFonts w:hint="eastAsia"/>
                <w:color w:val="auto"/>
                <w:szCs w:val="21"/>
              </w:rPr>
              <w:instrText xml:space="preserve">= 3 \* GB3</w:instrText>
            </w:r>
            <w:r>
              <w:rPr>
                <w:color w:val="auto"/>
                <w:szCs w:val="21"/>
              </w:rPr>
              <w:instrText xml:space="preserve"> </w:instrText>
            </w:r>
            <w:r>
              <w:rPr>
                <w:color w:val="auto"/>
                <w:szCs w:val="21"/>
              </w:rPr>
              <w:fldChar w:fldCharType="separate"/>
            </w:r>
            <w:r>
              <w:rPr>
                <w:rFonts w:hint="eastAsia"/>
                <w:color w:val="auto"/>
                <w:szCs w:val="21"/>
              </w:rPr>
              <w:t>③</w:t>
            </w:r>
            <w:r>
              <w:rPr>
                <w:color w:val="auto"/>
                <w:szCs w:val="21"/>
              </w:rPr>
              <w:fldChar w:fldCharType="end"/>
            </w:r>
            <w:r>
              <w:rPr>
                <w:color w:val="auto"/>
                <w:szCs w:val="21"/>
              </w:rPr>
              <w:t>严格固体废物管理，不接触外界降水，使其不产生淋滤液，严防污染物泄漏到地下水中。</w:t>
            </w:r>
          </w:p>
          <w:p>
            <w:pPr>
              <w:spacing w:line="360" w:lineRule="auto"/>
              <w:ind w:firstLine="480"/>
              <w:rPr>
                <w:color w:val="auto"/>
                <w:szCs w:val="21"/>
              </w:rPr>
            </w:pPr>
            <w:r>
              <w:rPr>
                <w:rFonts w:hint="eastAsia"/>
                <w:color w:val="auto"/>
                <w:szCs w:val="21"/>
              </w:rPr>
              <w:t>（2）</w:t>
            </w:r>
            <w:r>
              <w:rPr>
                <w:color w:val="auto"/>
                <w:szCs w:val="21"/>
              </w:rPr>
              <w:t>分区防渗措施</w:t>
            </w:r>
          </w:p>
          <w:p>
            <w:pPr>
              <w:spacing w:line="360" w:lineRule="auto"/>
              <w:ind w:firstLine="480"/>
              <w:rPr>
                <w:color w:val="auto"/>
                <w:szCs w:val="21"/>
              </w:rPr>
            </w:pPr>
            <w:r>
              <w:rPr>
                <w:color w:val="auto"/>
                <w:szCs w:val="21"/>
              </w:rPr>
              <w:t>针对可能对地下水</w:t>
            </w:r>
            <w:r>
              <w:rPr>
                <w:rFonts w:hint="eastAsia"/>
                <w:color w:val="auto"/>
                <w:szCs w:val="21"/>
              </w:rPr>
              <w:t>、土壤</w:t>
            </w:r>
            <w:r>
              <w:rPr>
                <w:color w:val="auto"/>
                <w:szCs w:val="21"/>
              </w:rPr>
              <w:t>造成影响的各环节，按照</w:t>
            </w:r>
            <w:r>
              <w:rPr>
                <w:rFonts w:hint="eastAsia"/>
                <w:color w:val="auto"/>
                <w:szCs w:val="21"/>
                <w:lang w:eastAsia="zh-CN"/>
              </w:rPr>
              <w:t>“</w:t>
            </w:r>
            <w:r>
              <w:rPr>
                <w:color w:val="auto"/>
                <w:szCs w:val="21"/>
              </w:rPr>
              <w:t>考虑重点，辐射全面</w:t>
            </w:r>
            <w:r>
              <w:rPr>
                <w:rFonts w:hint="eastAsia"/>
                <w:color w:val="auto"/>
                <w:szCs w:val="21"/>
                <w:lang w:eastAsia="zh-CN"/>
              </w:rPr>
              <w:t>”</w:t>
            </w:r>
            <w:r>
              <w:rPr>
                <w:color w:val="auto"/>
                <w:szCs w:val="21"/>
              </w:rPr>
              <w:t>的防腐防渗原则，按照《环境影响评价技术导则</w:t>
            </w:r>
            <w:r>
              <w:rPr>
                <w:rFonts w:hint="eastAsia"/>
                <w:color w:val="auto"/>
                <w:szCs w:val="21"/>
                <w:lang w:val="en-US" w:eastAsia="zh-CN"/>
              </w:rPr>
              <w:t>_</w:t>
            </w:r>
            <w:r>
              <w:rPr>
                <w:color w:val="auto"/>
                <w:szCs w:val="21"/>
              </w:rPr>
              <w:t>地下水环境》（HJ610-2016）中提出的根据建设项目场地天然包气带防污性能、污染控制难易程度和污染物特性，防渗技术要求进行划分。项目厂内不同区域实施分区防治，污染区划分为一般防渗区、重点防渗区、简单防渗区。</w:t>
            </w:r>
          </w:p>
          <w:p>
            <w:pPr>
              <w:spacing w:line="360" w:lineRule="auto"/>
              <w:ind w:firstLine="480"/>
              <w:rPr>
                <w:color w:val="auto"/>
                <w:szCs w:val="21"/>
              </w:rPr>
            </w:pPr>
            <w:r>
              <w:rPr>
                <w:color w:val="auto"/>
                <w:szCs w:val="21"/>
              </w:rPr>
              <w:fldChar w:fldCharType="begin"/>
            </w:r>
            <w:r>
              <w:rPr>
                <w:color w:val="auto"/>
                <w:szCs w:val="21"/>
              </w:rPr>
              <w:instrText xml:space="preserve"> = 1 \* GB3 </w:instrText>
            </w:r>
            <w:r>
              <w:rPr>
                <w:color w:val="auto"/>
                <w:szCs w:val="21"/>
              </w:rPr>
              <w:fldChar w:fldCharType="separate"/>
            </w:r>
            <w:r>
              <w:rPr>
                <w:rFonts w:hint="eastAsia"/>
                <w:color w:val="auto"/>
                <w:szCs w:val="21"/>
              </w:rPr>
              <w:t>①</w:t>
            </w:r>
            <w:r>
              <w:rPr>
                <w:color w:val="auto"/>
                <w:szCs w:val="21"/>
              </w:rPr>
              <w:fldChar w:fldCharType="end"/>
            </w:r>
            <w:r>
              <w:rPr>
                <w:color w:val="auto"/>
                <w:szCs w:val="21"/>
              </w:rPr>
              <w:t>重点防渗区</w:t>
            </w:r>
          </w:p>
          <w:p>
            <w:pPr>
              <w:spacing w:line="360" w:lineRule="auto"/>
              <w:ind w:firstLine="480"/>
              <w:rPr>
                <w:color w:val="auto"/>
                <w:szCs w:val="21"/>
              </w:rPr>
            </w:pPr>
            <w:r>
              <w:rPr>
                <w:color w:val="auto"/>
                <w:szCs w:val="21"/>
              </w:rPr>
              <w:t>重点污染防治区主要包括</w:t>
            </w:r>
            <w:r>
              <w:rPr>
                <w:rFonts w:hint="eastAsia"/>
                <w:color w:val="auto"/>
                <w:szCs w:val="21"/>
              </w:rPr>
              <w:t>危废</w:t>
            </w:r>
            <w:r>
              <w:rPr>
                <w:color w:val="auto"/>
                <w:szCs w:val="21"/>
              </w:rPr>
              <w:t>库</w:t>
            </w:r>
            <w:r>
              <w:rPr>
                <w:rFonts w:hint="eastAsia"/>
                <w:color w:val="auto"/>
                <w:szCs w:val="21"/>
              </w:rPr>
              <w:t>和辅料库</w:t>
            </w:r>
            <w:r>
              <w:rPr>
                <w:color w:val="auto"/>
                <w:szCs w:val="21"/>
              </w:rPr>
              <w:t>，防渗措施如下：</w:t>
            </w:r>
          </w:p>
          <w:p>
            <w:pPr>
              <w:spacing w:line="360" w:lineRule="auto"/>
              <w:ind w:firstLine="480"/>
              <w:rPr>
                <w:color w:val="auto"/>
                <w:szCs w:val="21"/>
              </w:rPr>
            </w:pPr>
            <w:r>
              <w:rPr>
                <w:rFonts w:hint="eastAsia"/>
                <w:color w:val="auto"/>
                <w:szCs w:val="21"/>
              </w:rPr>
              <w:t>危废</w:t>
            </w:r>
            <w:r>
              <w:rPr>
                <w:color w:val="auto"/>
                <w:szCs w:val="21"/>
              </w:rPr>
              <w:t>库</w:t>
            </w:r>
            <w:r>
              <w:rPr>
                <w:rFonts w:hint="eastAsia"/>
                <w:color w:val="auto"/>
                <w:szCs w:val="21"/>
              </w:rPr>
              <w:t>、喷漆房和辅料库采</w:t>
            </w:r>
            <w:r>
              <w:rPr>
                <w:color w:val="auto"/>
                <w:szCs w:val="21"/>
              </w:rPr>
              <w:t>用10</w:t>
            </w:r>
            <w:r>
              <w:rPr>
                <w:rFonts w:hint="eastAsia"/>
                <w:color w:val="auto"/>
                <w:szCs w:val="21"/>
                <w:lang w:eastAsia="zh-CN"/>
              </w:rPr>
              <w:t>—</w:t>
            </w:r>
            <w:r>
              <w:rPr>
                <w:color w:val="auto"/>
                <w:szCs w:val="21"/>
              </w:rPr>
              <w:t>15cm水泥硬化，表层涂</w:t>
            </w:r>
            <w:r>
              <w:rPr>
                <w:rFonts w:hint="eastAsia"/>
                <w:color w:val="auto"/>
                <w:szCs w:val="21"/>
                <w:lang w:eastAsia="zh-CN"/>
              </w:rPr>
              <w:t>环氧树脂</w:t>
            </w:r>
            <w:r>
              <w:rPr>
                <w:color w:val="auto"/>
                <w:szCs w:val="21"/>
              </w:rPr>
              <w:t>，以达到防腐、防渗漏目的，等效黏土防渗层Mb≥6.0m，渗透系数≤1.0×10</w:t>
            </w:r>
            <w:r>
              <w:rPr>
                <w:color w:val="auto"/>
                <w:szCs w:val="21"/>
                <w:vertAlign w:val="superscript"/>
              </w:rPr>
              <w:t>-7</w:t>
            </w:r>
            <w:r>
              <w:rPr>
                <w:color w:val="auto"/>
                <w:szCs w:val="21"/>
              </w:rPr>
              <w:t>cm/s。</w:t>
            </w:r>
          </w:p>
          <w:p>
            <w:pPr>
              <w:spacing w:line="360" w:lineRule="auto"/>
              <w:ind w:firstLine="480"/>
              <w:rPr>
                <w:color w:val="auto"/>
                <w:szCs w:val="21"/>
              </w:rPr>
            </w:pPr>
            <w:r>
              <w:rPr>
                <w:rFonts w:hint="eastAsia"/>
                <w:color w:val="auto"/>
                <w:szCs w:val="21"/>
              </w:rPr>
              <w:t>②</w:t>
            </w:r>
            <w:r>
              <w:rPr>
                <w:color w:val="auto"/>
                <w:szCs w:val="21"/>
              </w:rPr>
              <w:t>一般防渗区</w:t>
            </w:r>
          </w:p>
          <w:p>
            <w:pPr>
              <w:spacing w:line="360" w:lineRule="auto"/>
              <w:ind w:firstLine="480"/>
              <w:rPr>
                <w:color w:val="auto"/>
                <w:szCs w:val="21"/>
              </w:rPr>
            </w:pPr>
            <w:r>
              <w:rPr>
                <w:color w:val="auto"/>
                <w:szCs w:val="21"/>
              </w:rPr>
              <w:t>主要包括</w:t>
            </w:r>
            <w:r>
              <w:rPr>
                <w:rFonts w:hint="eastAsia"/>
                <w:color w:val="auto"/>
                <w:szCs w:val="21"/>
              </w:rPr>
              <w:t>生产厂房重点防渗区之外区域，采取</w:t>
            </w:r>
            <w:r>
              <w:rPr>
                <w:color w:val="auto"/>
                <w:szCs w:val="21"/>
              </w:rPr>
              <w:t>15</w:t>
            </w:r>
            <w:r>
              <w:rPr>
                <w:rFonts w:hint="eastAsia"/>
                <w:color w:val="auto"/>
                <w:szCs w:val="21"/>
                <w:lang w:eastAsia="zh-CN"/>
              </w:rPr>
              <w:t>—</w:t>
            </w:r>
            <w:r>
              <w:rPr>
                <w:color w:val="auto"/>
                <w:szCs w:val="21"/>
              </w:rPr>
              <w:t>20cm的水泥进行硬化。</w:t>
            </w:r>
            <w:r>
              <w:rPr>
                <w:rFonts w:hint="eastAsia"/>
                <w:color w:val="auto"/>
                <w:szCs w:val="21"/>
              </w:rPr>
              <w:t>根据现场实际踏勘，厂区一般防渗区主要包括一般固废间</w:t>
            </w:r>
            <w:r>
              <w:rPr>
                <w:rFonts w:hint="eastAsia"/>
                <w:color w:val="auto"/>
                <w:szCs w:val="21"/>
                <w:lang w:eastAsia="zh-CN"/>
              </w:rPr>
              <w:t>、</w:t>
            </w:r>
            <w:r>
              <w:rPr>
                <w:rFonts w:hint="eastAsia"/>
                <w:color w:val="auto"/>
                <w:szCs w:val="21"/>
                <w:lang w:val="en-US" w:eastAsia="zh-CN"/>
              </w:rPr>
              <w:t>车间地面</w:t>
            </w:r>
            <w:r>
              <w:rPr>
                <w:rFonts w:hint="eastAsia"/>
                <w:color w:val="auto"/>
                <w:szCs w:val="21"/>
              </w:rPr>
              <w:t>。</w:t>
            </w:r>
          </w:p>
          <w:p>
            <w:pPr>
              <w:spacing w:line="360" w:lineRule="auto"/>
              <w:ind w:firstLine="480"/>
              <w:rPr>
                <w:color w:val="auto"/>
                <w:szCs w:val="21"/>
              </w:rPr>
            </w:pPr>
            <w:r>
              <w:rPr>
                <w:rFonts w:hint="eastAsia"/>
                <w:color w:val="auto"/>
                <w:szCs w:val="21"/>
              </w:rPr>
              <w:t>③</w:t>
            </w:r>
            <w:r>
              <w:rPr>
                <w:color w:val="auto"/>
                <w:szCs w:val="21"/>
              </w:rPr>
              <w:t>简单防渗区</w:t>
            </w:r>
          </w:p>
          <w:p>
            <w:pPr>
              <w:spacing w:line="360" w:lineRule="auto"/>
              <w:ind w:firstLine="480"/>
              <w:rPr>
                <w:color w:val="auto"/>
                <w:szCs w:val="21"/>
              </w:rPr>
            </w:pPr>
            <w:r>
              <w:rPr>
                <w:color w:val="auto"/>
                <w:szCs w:val="21"/>
              </w:rPr>
              <w:t>主要包括厂区道路、绿化区等不会对地下水造成污染的区域，一般地面硬化的方式进行防渗处理。</w:t>
            </w:r>
            <w:r>
              <w:rPr>
                <w:rFonts w:hint="eastAsia"/>
                <w:color w:val="auto"/>
                <w:szCs w:val="21"/>
              </w:rPr>
              <w:t>经现场踏勘，厂区地面均已进行硬化处理。</w:t>
            </w:r>
          </w:p>
          <w:p>
            <w:pPr>
              <w:spacing w:line="360" w:lineRule="auto"/>
              <w:ind w:firstLine="480"/>
              <w:rPr>
                <w:color w:val="auto"/>
                <w:szCs w:val="21"/>
              </w:rPr>
            </w:pPr>
            <w:r>
              <w:rPr>
                <w:color w:val="auto"/>
                <w:szCs w:val="21"/>
              </w:rPr>
              <w:t>本项目地下水分区防渗措施见表</w:t>
            </w:r>
            <w:r>
              <w:rPr>
                <w:rFonts w:hint="eastAsia"/>
                <w:color w:val="auto"/>
                <w:szCs w:val="21"/>
              </w:rPr>
              <w:t>4</w:t>
            </w:r>
            <w:r>
              <w:rPr>
                <w:color w:val="auto"/>
                <w:szCs w:val="21"/>
              </w:rPr>
              <w:t>-</w:t>
            </w:r>
            <w:r>
              <w:rPr>
                <w:rFonts w:hint="eastAsia"/>
                <w:color w:val="auto"/>
                <w:szCs w:val="21"/>
              </w:rPr>
              <w:t>1</w:t>
            </w:r>
            <w:r>
              <w:rPr>
                <w:rFonts w:hint="eastAsia"/>
                <w:color w:val="auto"/>
                <w:szCs w:val="21"/>
                <w:lang w:val="en-US" w:eastAsia="zh-CN"/>
              </w:rPr>
              <w:t>6</w:t>
            </w:r>
            <w:r>
              <w:rPr>
                <w:color w:val="auto"/>
                <w:szCs w:val="21"/>
              </w:rPr>
              <w:t>。</w:t>
            </w:r>
          </w:p>
          <w:p>
            <w:pPr>
              <w:spacing w:line="360" w:lineRule="auto"/>
              <w:jc w:val="center"/>
              <w:rPr>
                <w:b/>
                <w:bCs/>
                <w:color w:val="auto"/>
                <w:sz w:val="21"/>
                <w:szCs w:val="21"/>
              </w:rPr>
            </w:pPr>
            <w:r>
              <w:rPr>
                <w:rFonts w:hint="eastAsia"/>
                <w:b/>
                <w:bCs/>
                <w:color w:val="auto"/>
                <w:sz w:val="21"/>
                <w:szCs w:val="21"/>
              </w:rPr>
              <w:t>表4-1</w:t>
            </w:r>
            <w:r>
              <w:rPr>
                <w:rFonts w:hint="eastAsia"/>
                <w:b/>
                <w:bCs/>
                <w:color w:val="auto"/>
                <w:sz w:val="21"/>
                <w:szCs w:val="21"/>
                <w:lang w:val="en-US" w:eastAsia="zh-CN"/>
              </w:rPr>
              <w:t>6</w:t>
            </w:r>
            <w:r>
              <w:rPr>
                <w:rFonts w:hint="eastAsia"/>
                <w:b/>
                <w:bCs/>
                <w:color w:val="auto"/>
                <w:sz w:val="21"/>
                <w:szCs w:val="21"/>
              </w:rPr>
              <w:t xml:space="preserve"> </w:t>
            </w:r>
            <w:r>
              <w:rPr>
                <w:rFonts w:hint="eastAsia"/>
                <w:b/>
                <w:bCs/>
                <w:color w:val="auto"/>
                <w:sz w:val="21"/>
                <w:szCs w:val="21"/>
                <w:lang w:val="en-US" w:eastAsia="zh-CN"/>
              </w:rPr>
              <w:t xml:space="preserve"> </w:t>
            </w:r>
            <w:r>
              <w:rPr>
                <w:rFonts w:hint="eastAsia"/>
                <w:b/>
                <w:bCs/>
                <w:color w:val="auto"/>
                <w:sz w:val="21"/>
                <w:szCs w:val="21"/>
              </w:rPr>
              <w:t>地下水分区防渗措施一览表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566"/>
              <w:gridCol w:w="20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84" w:type="pct"/>
                  <w:noWrap/>
                  <w:vAlign w:val="center"/>
                </w:tcPr>
                <w:p>
                  <w:pPr>
                    <w:jc w:val="center"/>
                    <w:rPr>
                      <w:rFonts w:hint="eastAsia"/>
                      <w:b/>
                      <w:bCs/>
                      <w:color w:val="auto"/>
                      <w:sz w:val="18"/>
                      <w:szCs w:val="18"/>
                    </w:rPr>
                  </w:pPr>
                  <w:r>
                    <w:rPr>
                      <w:rFonts w:hint="eastAsia"/>
                      <w:b/>
                      <w:bCs/>
                      <w:color w:val="auto"/>
                      <w:sz w:val="18"/>
                      <w:szCs w:val="18"/>
                    </w:rPr>
                    <w:t>污染区</w:t>
                  </w:r>
                </w:p>
              </w:tc>
              <w:tc>
                <w:tcPr>
                  <w:tcW w:w="1452" w:type="pct"/>
                  <w:noWrap/>
                  <w:vAlign w:val="center"/>
                </w:tcPr>
                <w:p>
                  <w:pPr>
                    <w:jc w:val="center"/>
                    <w:rPr>
                      <w:rFonts w:hint="eastAsia"/>
                      <w:b/>
                      <w:bCs/>
                      <w:color w:val="auto"/>
                      <w:sz w:val="18"/>
                      <w:szCs w:val="18"/>
                    </w:rPr>
                  </w:pPr>
                  <w:r>
                    <w:rPr>
                      <w:rFonts w:hint="eastAsia"/>
                      <w:b/>
                      <w:bCs/>
                      <w:color w:val="auto"/>
                      <w:sz w:val="18"/>
                      <w:szCs w:val="18"/>
                    </w:rPr>
                    <w:t>构筑物名称</w:t>
                  </w:r>
                </w:p>
              </w:tc>
              <w:tc>
                <w:tcPr>
                  <w:tcW w:w="1154" w:type="pct"/>
                  <w:noWrap/>
                  <w:vAlign w:val="center"/>
                </w:tcPr>
                <w:p>
                  <w:pPr>
                    <w:jc w:val="center"/>
                    <w:rPr>
                      <w:rFonts w:hint="eastAsia"/>
                      <w:b/>
                      <w:bCs/>
                      <w:color w:val="auto"/>
                      <w:sz w:val="18"/>
                      <w:szCs w:val="18"/>
                    </w:rPr>
                  </w:pPr>
                  <w:r>
                    <w:rPr>
                      <w:rFonts w:hint="eastAsia"/>
                      <w:b/>
                      <w:bCs/>
                      <w:color w:val="auto"/>
                      <w:sz w:val="18"/>
                      <w:szCs w:val="18"/>
                    </w:rPr>
                    <w:t>防腐防渗措施</w:t>
                  </w:r>
                </w:p>
              </w:tc>
              <w:tc>
                <w:tcPr>
                  <w:tcW w:w="1608" w:type="pct"/>
                  <w:noWrap w:val="0"/>
                  <w:vAlign w:val="center"/>
                </w:tcPr>
                <w:p>
                  <w:pPr>
                    <w:jc w:val="center"/>
                    <w:rPr>
                      <w:rFonts w:hint="eastAsia"/>
                      <w:b/>
                      <w:bCs/>
                      <w:color w:val="auto"/>
                      <w:sz w:val="18"/>
                      <w:szCs w:val="18"/>
                    </w:rPr>
                  </w:pPr>
                  <w:r>
                    <w:rPr>
                      <w:rFonts w:hint="eastAsia"/>
                      <w:b/>
                      <w:bCs/>
                      <w:color w:val="auto"/>
                      <w:sz w:val="18"/>
                      <w:szCs w:val="18"/>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4" w:type="pct"/>
                  <w:noWrap/>
                  <w:vAlign w:val="center"/>
                </w:tcPr>
                <w:p>
                  <w:pPr>
                    <w:jc w:val="center"/>
                    <w:rPr>
                      <w:rFonts w:hint="eastAsia"/>
                      <w:color w:val="auto"/>
                      <w:sz w:val="18"/>
                      <w:szCs w:val="18"/>
                    </w:rPr>
                  </w:pPr>
                  <w:r>
                    <w:rPr>
                      <w:rFonts w:hint="eastAsia"/>
                      <w:color w:val="auto"/>
                      <w:sz w:val="18"/>
                      <w:szCs w:val="18"/>
                    </w:rPr>
                    <w:t>简单防渗区</w:t>
                  </w:r>
                </w:p>
              </w:tc>
              <w:tc>
                <w:tcPr>
                  <w:tcW w:w="1452" w:type="pct"/>
                  <w:noWrap/>
                  <w:vAlign w:val="center"/>
                </w:tcPr>
                <w:p>
                  <w:pPr>
                    <w:jc w:val="center"/>
                    <w:rPr>
                      <w:rFonts w:hint="eastAsia"/>
                      <w:color w:val="auto"/>
                      <w:sz w:val="18"/>
                      <w:szCs w:val="18"/>
                    </w:rPr>
                  </w:pPr>
                  <w:r>
                    <w:rPr>
                      <w:rFonts w:hint="eastAsia"/>
                      <w:color w:val="auto"/>
                      <w:sz w:val="18"/>
                      <w:szCs w:val="18"/>
                    </w:rPr>
                    <w:t>厂区道路、绿化区</w:t>
                  </w:r>
                </w:p>
              </w:tc>
              <w:tc>
                <w:tcPr>
                  <w:tcW w:w="1154" w:type="pct"/>
                  <w:noWrap/>
                  <w:vAlign w:val="center"/>
                </w:tcPr>
                <w:p>
                  <w:pPr>
                    <w:jc w:val="center"/>
                    <w:rPr>
                      <w:rFonts w:hint="eastAsia"/>
                      <w:color w:val="auto"/>
                      <w:sz w:val="18"/>
                      <w:szCs w:val="18"/>
                    </w:rPr>
                  </w:pPr>
                  <w:r>
                    <w:rPr>
                      <w:rFonts w:hint="eastAsia"/>
                      <w:color w:val="auto"/>
                      <w:sz w:val="18"/>
                      <w:szCs w:val="18"/>
                    </w:rPr>
                    <w:t>天然</w:t>
                  </w:r>
                  <w:r>
                    <w:rPr>
                      <w:rFonts w:hint="eastAsia"/>
                      <w:color w:val="auto"/>
                      <w:sz w:val="18"/>
                      <w:szCs w:val="18"/>
                      <w:lang w:eastAsia="zh-CN"/>
                    </w:rPr>
                    <w:t>黏土层</w:t>
                  </w:r>
                  <w:r>
                    <w:rPr>
                      <w:rFonts w:hint="eastAsia"/>
                      <w:color w:val="auto"/>
                      <w:sz w:val="18"/>
                      <w:szCs w:val="18"/>
                    </w:rPr>
                    <w:t>+一般地面硬化</w:t>
                  </w:r>
                </w:p>
              </w:tc>
              <w:tc>
                <w:tcPr>
                  <w:tcW w:w="1608" w:type="pct"/>
                  <w:noWrap w:val="0"/>
                  <w:vAlign w:val="center"/>
                </w:tcPr>
                <w:p>
                  <w:pPr>
                    <w:jc w:val="center"/>
                    <w:rPr>
                      <w:rFonts w:hint="eastAsia"/>
                      <w:color w:val="auto"/>
                      <w:sz w:val="18"/>
                      <w:szCs w:val="18"/>
                    </w:rPr>
                  </w:pPr>
                  <w:r>
                    <w:rPr>
                      <w:rFonts w:hint="eastAsia"/>
                      <w:color w:val="auto"/>
                      <w:sz w:val="18"/>
                      <w:szCs w:val="18"/>
                    </w:rPr>
                    <w:t>一般地面硬化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4" w:type="pct"/>
                  <w:noWrap/>
                  <w:vAlign w:val="center"/>
                </w:tcPr>
                <w:p>
                  <w:pPr>
                    <w:jc w:val="center"/>
                    <w:rPr>
                      <w:rFonts w:hint="eastAsia"/>
                      <w:color w:val="auto"/>
                      <w:sz w:val="18"/>
                      <w:szCs w:val="18"/>
                    </w:rPr>
                  </w:pPr>
                  <w:r>
                    <w:rPr>
                      <w:rFonts w:hint="eastAsia"/>
                      <w:color w:val="auto"/>
                      <w:sz w:val="18"/>
                      <w:szCs w:val="18"/>
                    </w:rPr>
                    <w:t>一般防渗区</w:t>
                  </w:r>
                </w:p>
              </w:tc>
              <w:tc>
                <w:tcPr>
                  <w:tcW w:w="1452" w:type="pct"/>
                  <w:noWrap/>
                  <w:vAlign w:val="center"/>
                </w:tcPr>
                <w:p>
                  <w:pPr>
                    <w:jc w:val="center"/>
                    <w:rPr>
                      <w:rFonts w:hint="default" w:eastAsia="宋体"/>
                      <w:color w:val="auto"/>
                      <w:sz w:val="18"/>
                      <w:szCs w:val="18"/>
                      <w:lang w:val="en-US" w:eastAsia="zh-CN"/>
                    </w:rPr>
                  </w:pPr>
                  <w:r>
                    <w:rPr>
                      <w:rFonts w:hint="eastAsia"/>
                      <w:color w:val="auto"/>
                      <w:sz w:val="18"/>
                      <w:szCs w:val="18"/>
                      <w:lang w:val="en-US" w:eastAsia="zh-CN"/>
                    </w:rPr>
                    <w:t>车间地面、一般固废间</w:t>
                  </w:r>
                </w:p>
              </w:tc>
              <w:tc>
                <w:tcPr>
                  <w:tcW w:w="1154" w:type="pct"/>
                  <w:noWrap/>
                  <w:vAlign w:val="center"/>
                </w:tcPr>
                <w:p>
                  <w:pPr>
                    <w:jc w:val="center"/>
                    <w:rPr>
                      <w:rFonts w:hint="eastAsia"/>
                      <w:color w:val="auto"/>
                      <w:sz w:val="18"/>
                      <w:szCs w:val="18"/>
                    </w:rPr>
                  </w:pPr>
                  <w:r>
                    <w:rPr>
                      <w:rFonts w:hint="eastAsia"/>
                      <w:color w:val="auto"/>
                      <w:sz w:val="18"/>
                      <w:szCs w:val="18"/>
                    </w:rPr>
                    <w:t>15</w:t>
                  </w:r>
                  <w:r>
                    <w:rPr>
                      <w:rFonts w:hint="eastAsia"/>
                      <w:color w:val="auto"/>
                      <w:sz w:val="18"/>
                      <w:szCs w:val="18"/>
                      <w:lang w:eastAsia="zh-CN"/>
                    </w:rPr>
                    <w:t>—</w:t>
                  </w:r>
                  <w:r>
                    <w:rPr>
                      <w:rFonts w:hint="eastAsia"/>
                      <w:color w:val="auto"/>
                      <w:sz w:val="18"/>
                      <w:szCs w:val="18"/>
                    </w:rPr>
                    <w:t>20cm的水泥进行硬化</w:t>
                  </w:r>
                </w:p>
              </w:tc>
              <w:tc>
                <w:tcPr>
                  <w:tcW w:w="1608" w:type="pct"/>
                  <w:noWrap w:val="0"/>
                  <w:vAlign w:val="center"/>
                </w:tcPr>
                <w:p>
                  <w:pPr>
                    <w:jc w:val="center"/>
                    <w:rPr>
                      <w:rFonts w:hint="eastAsia"/>
                      <w:color w:val="auto"/>
                      <w:sz w:val="18"/>
                      <w:szCs w:val="18"/>
                    </w:rPr>
                  </w:pPr>
                  <w:r>
                    <w:rPr>
                      <w:rFonts w:hint="eastAsia"/>
                      <w:color w:val="auto"/>
                      <w:sz w:val="18"/>
                      <w:szCs w:val="18"/>
                    </w:rPr>
                    <w:t>等效黏土防渗层Mb≥1.5m，K≤10</w:t>
                  </w:r>
                  <w:r>
                    <w:rPr>
                      <w:rFonts w:hint="eastAsia"/>
                      <w:color w:val="auto"/>
                      <w:sz w:val="18"/>
                      <w:szCs w:val="18"/>
                      <w:vertAlign w:val="superscript"/>
                    </w:rPr>
                    <w:t>-7</w:t>
                  </w:r>
                  <w:r>
                    <w:rPr>
                      <w:rFonts w:hint="eastAsia"/>
                      <w:color w:val="auto"/>
                      <w:sz w:val="18"/>
                      <w:szCs w:val="18"/>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4" w:type="pct"/>
                  <w:noWrap/>
                  <w:vAlign w:val="center"/>
                </w:tcPr>
                <w:p>
                  <w:pPr>
                    <w:jc w:val="center"/>
                    <w:rPr>
                      <w:rFonts w:hint="eastAsia"/>
                      <w:color w:val="auto"/>
                      <w:sz w:val="18"/>
                      <w:szCs w:val="18"/>
                    </w:rPr>
                  </w:pPr>
                  <w:r>
                    <w:rPr>
                      <w:rFonts w:hint="eastAsia"/>
                      <w:color w:val="auto"/>
                      <w:sz w:val="18"/>
                      <w:szCs w:val="18"/>
                    </w:rPr>
                    <w:t>重点防渗区</w:t>
                  </w:r>
                </w:p>
              </w:tc>
              <w:tc>
                <w:tcPr>
                  <w:tcW w:w="1452" w:type="pct"/>
                  <w:noWrap/>
                  <w:vAlign w:val="center"/>
                </w:tcPr>
                <w:p>
                  <w:pPr>
                    <w:jc w:val="center"/>
                    <w:rPr>
                      <w:color w:val="auto"/>
                      <w:sz w:val="18"/>
                      <w:szCs w:val="18"/>
                    </w:rPr>
                  </w:pPr>
                  <w:r>
                    <w:rPr>
                      <w:rFonts w:hint="eastAsia"/>
                      <w:color w:val="auto"/>
                      <w:sz w:val="18"/>
                      <w:szCs w:val="18"/>
                    </w:rPr>
                    <w:t>危废</w:t>
                  </w:r>
                  <w:r>
                    <w:rPr>
                      <w:color w:val="auto"/>
                      <w:sz w:val="18"/>
                      <w:szCs w:val="18"/>
                    </w:rPr>
                    <w:t>库</w:t>
                  </w:r>
                  <w:r>
                    <w:rPr>
                      <w:rFonts w:hint="eastAsia"/>
                      <w:color w:val="auto"/>
                      <w:sz w:val="18"/>
                      <w:szCs w:val="18"/>
                    </w:rPr>
                    <w:t>和辅料库</w:t>
                  </w:r>
                </w:p>
              </w:tc>
              <w:tc>
                <w:tcPr>
                  <w:tcW w:w="1154" w:type="pct"/>
                  <w:noWrap/>
                  <w:vAlign w:val="center"/>
                </w:tcPr>
                <w:p>
                  <w:pPr>
                    <w:jc w:val="center"/>
                    <w:rPr>
                      <w:rFonts w:hint="eastAsia"/>
                      <w:color w:val="auto"/>
                      <w:sz w:val="18"/>
                      <w:szCs w:val="18"/>
                    </w:rPr>
                  </w:pPr>
                  <w:r>
                    <w:rPr>
                      <w:rFonts w:hint="eastAsia"/>
                      <w:color w:val="auto"/>
                      <w:sz w:val="18"/>
                      <w:szCs w:val="18"/>
                    </w:rPr>
                    <w:t>采用10</w:t>
                  </w:r>
                  <w:r>
                    <w:rPr>
                      <w:rFonts w:hint="eastAsia"/>
                      <w:color w:val="auto"/>
                      <w:sz w:val="18"/>
                      <w:szCs w:val="18"/>
                      <w:lang w:eastAsia="zh-CN"/>
                    </w:rPr>
                    <w:t>—</w:t>
                  </w:r>
                  <w:r>
                    <w:rPr>
                      <w:rFonts w:hint="eastAsia"/>
                      <w:color w:val="auto"/>
                      <w:sz w:val="18"/>
                      <w:szCs w:val="18"/>
                    </w:rPr>
                    <w:t>15cm水泥硬化，表层涂</w:t>
                  </w:r>
                  <w:r>
                    <w:rPr>
                      <w:rFonts w:hint="eastAsia"/>
                      <w:color w:val="auto"/>
                      <w:sz w:val="18"/>
                      <w:szCs w:val="18"/>
                      <w:lang w:eastAsia="zh-CN"/>
                    </w:rPr>
                    <w:t>环氧树脂</w:t>
                  </w:r>
                </w:p>
              </w:tc>
              <w:tc>
                <w:tcPr>
                  <w:tcW w:w="1608" w:type="pct"/>
                  <w:noWrap w:val="0"/>
                  <w:vAlign w:val="center"/>
                </w:tcPr>
                <w:p>
                  <w:pPr>
                    <w:jc w:val="center"/>
                    <w:rPr>
                      <w:rFonts w:hint="eastAsia"/>
                      <w:color w:val="auto"/>
                      <w:sz w:val="18"/>
                      <w:szCs w:val="18"/>
                    </w:rPr>
                  </w:pPr>
                  <w:r>
                    <w:rPr>
                      <w:rFonts w:hint="eastAsia"/>
                      <w:color w:val="auto"/>
                      <w:sz w:val="18"/>
                      <w:szCs w:val="18"/>
                    </w:rPr>
                    <w:t>等效黏土防渗层Mb≥6.0m，K≤10</w:t>
                  </w:r>
                  <w:r>
                    <w:rPr>
                      <w:rFonts w:hint="eastAsia"/>
                      <w:color w:val="auto"/>
                      <w:sz w:val="18"/>
                      <w:szCs w:val="18"/>
                      <w:vertAlign w:val="superscript"/>
                    </w:rPr>
                    <w:t>-7</w:t>
                  </w:r>
                  <w:r>
                    <w:rPr>
                      <w:rFonts w:hint="eastAsia"/>
                      <w:color w:val="auto"/>
                      <w:sz w:val="18"/>
                      <w:szCs w:val="18"/>
                    </w:rPr>
                    <w:t>cm/s；或参照GB18598执行</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rPr>
            </w:pPr>
            <w:r>
              <w:rPr>
                <w:color w:val="auto"/>
                <w:szCs w:val="21"/>
              </w:rPr>
              <w:t>（</w:t>
            </w:r>
            <w:r>
              <w:rPr>
                <w:rFonts w:hint="eastAsia"/>
                <w:color w:val="auto"/>
                <w:szCs w:val="21"/>
                <w:lang w:val="en-US" w:eastAsia="zh-CN"/>
              </w:rPr>
              <w:t>3</w:t>
            </w:r>
            <w:r>
              <w:rPr>
                <w:color w:val="auto"/>
                <w:szCs w:val="21"/>
              </w:rPr>
              <w:t>）日常检查工作：加强地下水污染源的日常管理与维护，尤其是重点防治区域，发现防渗性能有明显下降时应及时补修；定期检查项目各污水、废水管道、</w:t>
            </w:r>
            <w:r>
              <w:rPr>
                <w:rFonts w:hint="eastAsia"/>
                <w:color w:val="auto"/>
                <w:szCs w:val="21"/>
              </w:rPr>
              <w:t>防渗措施</w:t>
            </w:r>
            <w:r>
              <w:rPr>
                <w:color w:val="auto"/>
                <w:szCs w:val="21"/>
              </w:rPr>
              <w:t>的完好性，厂区排水沟定期清淤，发现</w:t>
            </w:r>
            <w:r>
              <w:rPr>
                <w:rFonts w:hint="eastAsia"/>
                <w:color w:val="auto"/>
                <w:szCs w:val="21"/>
                <w:lang w:eastAsia="zh-CN"/>
              </w:rPr>
              <w:t>泄漏</w:t>
            </w:r>
            <w:r>
              <w:rPr>
                <w:color w:val="auto"/>
                <w:szCs w:val="21"/>
              </w:rPr>
              <w:t>时应及时维修。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采取上述措施后，本项目营运期基本不会对地下水水质造成影响。</w:t>
            </w:r>
          </w:p>
          <w:p>
            <w:pPr>
              <w:spacing w:line="360" w:lineRule="auto"/>
              <w:ind w:firstLine="422" w:firstLineChars="200"/>
              <w:rPr>
                <w:b/>
                <w:bCs/>
                <w:color w:val="auto"/>
                <w:szCs w:val="21"/>
              </w:rPr>
            </w:pPr>
            <w:r>
              <w:rPr>
                <w:rFonts w:hint="eastAsia"/>
                <w:b/>
                <w:bCs/>
                <w:color w:val="auto"/>
                <w:szCs w:val="21"/>
              </w:rPr>
              <w:t>六</w:t>
            </w:r>
            <w:r>
              <w:rPr>
                <w:b/>
                <w:bCs/>
                <w:color w:val="auto"/>
                <w:szCs w:val="21"/>
              </w:rPr>
              <w:t>、环境风险分析</w:t>
            </w:r>
          </w:p>
          <w:p>
            <w:pPr>
              <w:pStyle w:val="147"/>
              <w:ind w:firstLine="422"/>
              <w:rPr>
                <w:b/>
                <w:bCs w:val="0"/>
                <w:color w:val="auto"/>
                <w:lang w:val="en-US" w:eastAsia="zh-CN"/>
              </w:rPr>
            </w:pPr>
            <w:r>
              <w:rPr>
                <w:rFonts w:hint="eastAsia"/>
                <w:b/>
                <w:bCs w:val="0"/>
                <w:color w:val="auto"/>
                <w:lang w:val="en-US" w:eastAsia="zh-CN"/>
              </w:rPr>
              <w:t>（1）物质危险性识别</w:t>
            </w:r>
          </w:p>
          <w:p>
            <w:pPr>
              <w:pStyle w:val="147"/>
              <w:rPr>
                <w:rFonts w:hint="eastAsia"/>
                <w:bCs w:val="0"/>
                <w:color w:val="auto"/>
                <w:lang w:val="en-US" w:eastAsia="zh-CN"/>
              </w:rPr>
            </w:pPr>
            <w:r>
              <w:rPr>
                <w:rFonts w:hint="eastAsia"/>
                <w:bCs w:val="0"/>
                <w:color w:val="auto"/>
                <w:lang w:val="en-US" w:eastAsia="zh-CN"/>
              </w:rPr>
              <w:t>根据风险导则识别有毒有害和易燃易爆危险物质，通过对全厂涉及的原料、辅料、产品及废物等物质进行调查，涉及的危险物质主要有：柴油、废乳化液。</w:t>
            </w:r>
          </w:p>
          <w:p>
            <w:pPr>
              <w:pStyle w:val="147"/>
              <w:ind w:firstLine="422"/>
              <w:rPr>
                <w:b/>
                <w:bCs w:val="0"/>
                <w:color w:val="auto"/>
                <w:lang w:val="en-US" w:eastAsia="zh-CN"/>
              </w:rPr>
            </w:pPr>
            <w:r>
              <w:rPr>
                <w:rFonts w:hint="eastAsia"/>
                <w:b/>
                <w:bCs w:val="0"/>
                <w:color w:val="auto"/>
                <w:lang w:val="en-US" w:eastAsia="zh-CN"/>
              </w:rPr>
              <w:t>（2）生产系统危险性识别</w:t>
            </w:r>
          </w:p>
          <w:p>
            <w:pPr>
              <w:pStyle w:val="147"/>
              <w:rPr>
                <w:bCs w:val="0"/>
                <w:color w:val="auto"/>
                <w:lang w:val="en-US" w:eastAsia="zh-CN"/>
              </w:rPr>
            </w:pPr>
            <w:r>
              <w:rPr>
                <w:rFonts w:hint="eastAsia"/>
                <w:bCs w:val="0"/>
                <w:color w:val="auto"/>
                <w:lang w:val="en-US" w:eastAsia="zh-CN"/>
              </w:rPr>
              <w:t>本项目涉及危险物质的危险单元主要为生产车间等。</w:t>
            </w:r>
            <w:r>
              <w:rPr>
                <w:bCs w:val="0"/>
                <w:color w:val="auto"/>
                <w:lang w:val="en-US" w:eastAsia="zh-CN"/>
              </w:rPr>
              <w:t>根据《建设项目环境风险评价技术导则》（HJ/T169－2018）附录</w:t>
            </w:r>
            <w:r>
              <w:rPr>
                <w:rFonts w:hint="eastAsia"/>
                <w:bCs w:val="0"/>
                <w:color w:val="auto"/>
                <w:lang w:val="en-US" w:eastAsia="zh-CN"/>
              </w:rPr>
              <w:t>C</w:t>
            </w:r>
            <w:r>
              <w:rPr>
                <w:bCs w:val="0"/>
                <w:color w:val="auto"/>
                <w:lang w:val="en-US" w:eastAsia="zh-CN"/>
              </w:rPr>
              <w:t>，Q按下式进行计算：</w:t>
            </w:r>
          </w:p>
          <w:p>
            <w:pPr>
              <w:adjustRightInd w:val="0"/>
              <w:snapToGrid w:val="0"/>
              <w:spacing w:before="24" w:after="24"/>
              <w:jc w:val="center"/>
              <w:rPr>
                <w:color w:val="auto"/>
                <w:sz w:val="24"/>
              </w:rPr>
            </w:pPr>
            <w:r>
              <w:rPr>
                <w:color w:val="auto"/>
              </w:rPr>
              <w:drawing>
                <wp:inline distT="0" distB="0" distL="114300" distR="114300">
                  <wp:extent cx="1891665" cy="471170"/>
                  <wp:effectExtent l="0" t="0" r="13335" b="5080"/>
                  <wp:docPr id="7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0"/>
                          <pic:cNvPicPr>
                            <a:picLocks noChangeAspect="1"/>
                          </pic:cNvPicPr>
                        </pic:nvPicPr>
                        <pic:blipFill>
                          <a:blip r:embed="rId21"/>
                          <a:stretch>
                            <a:fillRect/>
                          </a:stretch>
                        </pic:blipFill>
                        <pic:spPr>
                          <a:xfrm>
                            <a:off x="0" y="0"/>
                            <a:ext cx="1891665" cy="471170"/>
                          </a:xfrm>
                          <a:prstGeom prst="rect">
                            <a:avLst/>
                          </a:prstGeom>
                          <a:noFill/>
                          <a:ln>
                            <a:noFill/>
                          </a:ln>
                        </pic:spPr>
                      </pic:pic>
                    </a:graphicData>
                  </a:graphic>
                </wp:inline>
              </w:drawing>
            </w:r>
          </w:p>
          <w:p>
            <w:pPr>
              <w:pStyle w:val="147"/>
              <w:rPr>
                <w:bCs w:val="0"/>
                <w:color w:val="auto"/>
                <w:lang w:val="en-US" w:eastAsia="zh-CN"/>
              </w:rPr>
            </w:pPr>
            <w:r>
              <w:rPr>
                <w:bCs w:val="0"/>
                <w:color w:val="auto"/>
                <w:lang w:val="en-US" w:eastAsia="zh-CN"/>
              </w:rPr>
              <w:t>式中：q1，q2……qn—每种危险物质的最大存在量，t；</w:t>
            </w:r>
          </w:p>
          <w:p>
            <w:pPr>
              <w:pStyle w:val="147"/>
              <w:rPr>
                <w:bCs w:val="0"/>
                <w:color w:val="auto"/>
                <w:lang w:val="en-US" w:eastAsia="zh-CN"/>
              </w:rPr>
            </w:pPr>
            <w:r>
              <w:rPr>
                <w:bCs w:val="0"/>
                <w:color w:val="auto"/>
                <w:lang w:val="en-US" w:eastAsia="zh-CN"/>
              </w:rPr>
              <w:t>Q1，Q2…Qn—每种危险物质的临界量，t。</w:t>
            </w:r>
          </w:p>
          <w:p>
            <w:pPr>
              <w:pStyle w:val="147"/>
              <w:rPr>
                <w:bCs w:val="0"/>
                <w:color w:val="auto"/>
                <w:lang w:val="en-US" w:eastAsia="zh-CN"/>
              </w:rPr>
            </w:pPr>
            <w:r>
              <w:rPr>
                <w:bCs w:val="0"/>
                <w:color w:val="auto"/>
                <w:lang w:val="en-US" w:eastAsia="zh-CN"/>
              </w:rPr>
              <w:t>当Q＜1时，该项目环境风险潜势为I。</w:t>
            </w:r>
          </w:p>
          <w:p>
            <w:pPr>
              <w:pStyle w:val="147"/>
              <w:rPr>
                <w:bCs w:val="0"/>
                <w:color w:val="auto"/>
                <w:lang w:val="en-US" w:eastAsia="zh-CN"/>
              </w:rPr>
            </w:pPr>
            <w:r>
              <w:rPr>
                <w:bCs w:val="0"/>
                <w:color w:val="auto"/>
                <w:lang w:val="en-US" w:eastAsia="zh-CN"/>
              </w:rPr>
              <w:t>当Q≥1时，将Q值划分为：（1）1≤Q＜10；（2）10≤Q＜100；（3）Q≥100。</w:t>
            </w:r>
          </w:p>
          <w:p>
            <w:pPr>
              <w:pStyle w:val="147"/>
              <w:rPr>
                <w:bCs w:val="0"/>
                <w:color w:val="auto"/>
                <w:lang w:val="en-US" w:eastAsia="zh-CN"/>
              </w:rPr>
            </w:pPr>
            <w:r>
              <w:rPr>
                <w:bCs w:val="0"/>
                <w:color w:val="auto"/>
                <w:lang w:val="en-US" w:eastAsia="zh-CN"/>
              </w:rPr>
              <w:t>计算结果如下表所示：</w:t>
            </w:r>
          </w:p>
          <w:p>
            <w:pPr>
              <w:pStyle w:val="149"/>
              <w:spacing w:line="240" w:lineRule="auto"/>
              <w:ind w:firstLine="420"/>
              <w:rPr>
                <w:color w:val="auto"/>
              </w:rPr>
            </w:pPr>
            <w:r>
              <w:rPr>
                <w:color w:val="auto"/>
              </w:rPr>
              <w:t>表4-</w:t>
            </w:r>
            <w:r>
              <w:rPr>
                <w:rFonts w:hint="eastAsia"/>
                <w:color w:val="auto"/>
              </w:rPr>
              <w:t>1</w:t>
            </w:r>
            <w:r>
              <w:rPr>
                <w:rFonts w:hint="eastAsia"/>
                <w:color w:val="auto"/>
                <w:lang w:val="en-US" w:eastAsia="zh-CN"/>
              </w:rPr>
              <w:t xml:space="preserve">7 </w:t>
            </w:r>
            <w:r>
              <w:rPr>
                <w:color w:val="auto"/>
              </w:rPr>
              <w:t xml:space="preserve"> </w:t>
            </w:r>
            <w:r>
              <w:rPr>
                <w:rFonts w:hint="eastAsia"/>
                <w:color w:val="auto"/>
              </w:rPr>
              <w:t>全厂危险物质Q值</w:t>
            </w:r>
            <w:r>
              <w:rPr>
                <w:color w:val="auto"/>
              </w:rPr>
              <w:t>计算一览表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164"/>
              <w:gridCol w:w="2945"/>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 w:type="pct"/>
                  <w:noWrap w:val="0"/>
                  <w:vAlign w:val="center"/>
                </w:tcPr>
                <w:p>
                  <w:pPr>
                    <w:snapToGrid w:val="0"/>
                    <w:jc w:val="center"/>
                    <w:rPr>
                      <w:color w:val="auto"/>
                      <w:szCs w:val="21"/>
                    </w:rPr>
                  </w:pPr>
                  <w:r>
                    <w:rPr>
                      <w:color w:val="auto"/>
                      <w:szCs w:val="21"/>
                    </w:rPr>
                    <w:t>序号</w:t>
                  </w:r>
                </w:p>
              </w:tc>
              <w:tc>
                <w:tcPr>
                  <w:tcW w:w="1224" w:type="pct"/>
                  <w:noWrap w:val="0"/>
                  <w:vAlign w:val="center"/>
                </w:tcPr>
                <w:p>
                  <w:pPr>
                    <w:snapToGrid w:val="0"/>
                    <w:jc w:val="center"/>
                    <w:rPr>
                      <w:color w:val="auto"/>
                      <w:szCs w:val="21"/>
                    </w:rPr>
                  </w:pPr>
                  <w:r>
                    <w:rPr>
                      <w:color w:val="auto"/>
                      <w:szCs w:val="21"/>
                    </w:rPr>
                    <w:t>危险物质名称</w:t>
                  </w:r>
                </w:p>
              </w:tc>
              <w:tc>
                <w:tcPr>
                  <w:tcW w:w="1667" w:type="pct"/>
                  <w:noWrap w:val="0"/>
                  <w:vAlign w:val="center"/>
                </w:tcPr>
                <w:p>
                  <w:pPr>
                    <w:snapToGrid w:val="0"/>
                    <w:jc w:val="center"/>
                    <w:rPr>
                      <w:rFonts w:hint="eastAsia" w:eastAsia="宋体"/>
                      <w:color w:val="auto"/>
                      <w:szCs w:val="21"/>
                      <w:lang w:val="en-US" w:eastAsia="zh-CN"/>
                    </w:rPr>
                  </w:pPr>
                  <w:r>
                    <w:rPr>
                      <w:color w:val="auto"/>
                      <w:szCs w:val="21"/>
                    </w:rPr>
                    <w:t>最大暂存量</w:t>
                  </w:r>
                  <w:r>
                    <w:rPr>
                      <w:rFonts w:hint="eastAsia"/>
                      <w:color w:val="auto"/>
                      <w:szCs w:val="21"/>
                      <w:lang w:val="en-US" w:eastAsia="zh-CN"/>
                    </w:rPr>
                    <w:t>t</w:t>
                  </w:r>
                </w:p>
              </w:tc>
              <w:tc>
                <w:tcPr>
                  <w:tcW w:w="1728" w:type="pct"/>
                  <w:noWrap w:val="0"/>
                  <w:vAlign w:val="center"/>
                </w:tcPr>
                <w:p>
                  <w:pPr>
                    <w:snapToGrid w:val="0"/>
                    <w:jc w:val="center"/>
                    <w:rPr>
                      <w:color w:val="auto"/>
                      <w:szCs w:val="21"/>
                    </w:rPr>
                  </w:pPr>
                  <w:r>
                    <w:rPr>
                      <w:color w:val="auto"/>
                      <w:szCs w:val="21"/>
                    </w:rPr>
                    <w:t>临界量Q</w:t>
                  </w:r>
                  <w:r>
                    <w:rPr>
                      <w:color w:val="auto"/>
                      <w:szCs w:val="21"/>
                      <w:vertAlign w:val="subscript"/>
                    </w:rPr>
                    <w:t>n</w:t>
                  </w:r>
                  <w:r>
                    <w:rPr>
                      <w:color w:val="auto"/>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 w:type="pct"/>
                  <w:noWrap w:val="0"/>
                  <w:vAlign w:val="center"/>
                </w:tcPr>
                <w:p>
                  <w:pPr>
                    <w:snapToGrid w:val="0"/>
                    <w:jc w:val="center"/>
                    <w:rPr>
                      <w:color w:val="auto"/>
                      <w:szCs w:val="21"/>
                    </w:rPr>
                  </w:pPr>
                  <w:r>
                    <w:rPr>
                      <w:rFonts w:hint="eastAsia"/>
                      <w:color w:val="auto"/>
                      <w:szCs w:val="21"/>
                    </w:rPr>
                    <w:t>1</w:t>
                  </w:r>
                </w:p>
              </w:tc>
              <w:tc>
                <w:tcPr>
                  <w:tcW w:w="1224" w:type="pct"/>
                  <w:noWrap w:val="0"/>
                  <w:vAlign w:val="center"/>
                </w:tcPr>
                <w:p>
                  <w:pPr>
                    <w:snapToGrid w:val="0"/>
                    <w:jc w:val="center"/>
                    <w:rPr>
                      <w:rFonts w:hint="eastAsia" w:eastAsia="宋体"/>
                      <w:color w:val="auto"/>
                      <w:szCs w:val="21"/>
                      <w:lang w:eastAsia="zh-CN"/>
                    </w:rPr>
                  </w:pPr>
                  <w:r>
                    <w:rPr>
                      <w:rFonts w:hint="eastAsia"/>
                      <w:color w:val="auto"/>
                      <w:szCs w:val="21"/>
                    </w:rPr>
                    <w:t>废</w:t>
                  </w:r>
                  <w:r>
                    <w:rPr>
                      <w:rFonts w:hint="eastAsia"/>
                      <w:color w:val="auto"/>
                      <w:szCs w:val="21"/>
                      <w:lang w:val="en-US" w:eastAsia="zh-CN"/>
                    </w:rPr>
                    <w:t>切削液</w:t>
                  </w:r>
                </w:p>
              </w:tc>
              <w:tc>
                <w:tcPr>
                  <w:tcW w:w="1667" w:type="pct"/>
                  <w:noWrap w:val="0"/>
                  <w:vAlign w:val="center"/>
                </w:tcPr>
                <w:p>
                  <w:pPr>
                    <w:snapToGrid w:val="0"/>
                    <w:jc w:val="center"/>
                    <w:rPr>
                      <w:rFonts w:hint="default" w:eastAsia="宋体"/>
                      <w:color w:val="auto"/>
                      <w:szCs w:val="21"/>
                      <w:lang w:val="en-US" w:eastAsia="zh-CN"/>
                    </w:rPr>
                  </w:pPr>
                  <w:r>
                    <w:rPr>
                      <w:rFonts w:hint="eastAsia"/>
                      <w:color w:val="auto"/>
                      <w:szCs w:val="21"/>
                    </w:rPr>
                    <w:t>0.</w:t>
                  </w:r>
                  <w:r>
                    <w:rPr>
                      <w:rFonts w:hint="eastAsia"/>
                      <w:color w:val="auto"/>
                      <w:szCs w:val="21"/>
                      <w:lang w:val="en-US" w:eastAsia="zh-CN"/>
                    </w:rPr>
                    <w:t>25</w:t>
                  </w:r>
                </w:p>
              </w:tc>
              <w:tc>
                <w:tcPr>
                  <w:tcW w:w="1728" w:type="pct"/>
                  <w:noWrap w:val="0"/>
                  <w:vAlign w:val="center"/>
                </w:tcPr>
                <w:p>
                  <w:pPr>
                    <w:snapToGrid w:val="0"/>
                    <w:jc w:val="center"/>
                    <w:rPr>
                      <w:rFonts w:hint="default" w:eastAsia="宋体"/>
                      <w:color w:val="auto"/>
                      <w:szCs w:val="21"/>
                      <w:lang w:val="en-US" w:eastAsia="zh-CN"/>
                    </w:rPr>
                  </w:pPr>
                  <w:r>
                    <w:rPr>
                      <w:rFonts w:hint="eastAsia"/>
                      <w:color w:val="auto"/>
                      <w:szCs w:val="21"/>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 w:type="pct"/>
                  <w:noWrap w:val="0"/>
                  <w:vAlign w:val="center"/>
                </w:tcPr>
                <w:p>
                  <w:pPr>
                    <w:snapToGrid w:val="0"/>
                    <w:jc w:val="center"/>
                    <w:rPr>
                      <w:rFonts w:hint="eastAsia"/>
                      <w:color w:val="auto"/>
                      <w:szCs w:val="21"/>
                    </w:rPr>
                  </w:pPr>
                  <w:r>
                    <w:rPr>
                      <w:rFonts w:hint="eastAsia"/>
                      <w:color w:val="auto"/>
                      <w:szCs w:val="21"/>
                    </w:rPr>
                    <w:t>2</w:t>
                  </w:r>
                </w:p>
              </w:tc>
              <w:tc>
                <w:tcPr>
                  <w:tcW w:w="1224" w:type="pct"/>
                  <w:noWrap w:val="0"/>
                  <w:vAlign w:val="center"/>
                </w:tcPr>
                <w:p>
                  <w:pPr>
                    <w:snapToGrid w:val="0"/>
                    <w:jc w:val="center"/>
                    <w:rPr>
                      <w:rFonts w:hint="default" w:eastAsia="宋体"/>
                      <w:color w:val="auto"/>
                      <w:szCs w:val="21"/>
                      <w:lang w:val="en-US" w:eastAsia="zh-CN"/>
                    </w:rPr>
                  </w:pPr>
                  <w:r>
                    <w:rPr>
                      <w:rFonts w:hint="eastAsia"/>
                      <w:color w:val="auto"/>
                      <w:szCs w:val="21"/>
                      <w:lang w:val="en-US" w:eastAsia="zh-CN"/>
                    </w:rPr>
                    <w:t>柴油</w:t>
                  </w:r>
                </w:p>
              </w:tc>
              <w:tc>
                <w:tcPr>
                  <w:tcW w:w="1667" w:type="pct"/>
                  <w:noWrap w:val="0"/>
                  <w:vAlign w:val="center"/>
                </w:tcPr>
                <w:p>
                  <w:pPr>
                    <w:snapToGrid w:val="0"/>
                    <w:jc w:val="center"/>
                    <w:rPr>
                      <w:rFonts w:hint="default" w:eastAsia="宋体"/>
                      <w:color w:val="auto"/>
                      <w:sz w:val="21"/>
                      <w:szCs w:val="21"/>
                      <w:lang w:val="en-US" w:eastAsia="zh-CN"/>
                    </w:rPr>
                  </w:pPr>
                  <w:r>
                    <w:rPr>
                      <w:rFonts w:hint="eastAsia"/>
                      <w:color w:val="auto"/>
                      <w:sz w:val="21"/>
                      <w:szCs w:val="21"/>
                      <w:lang w:val="en-US" w:eastAsia="zh-CN"/>
                    </w:rPr>
                    <w:t>0.5m</w:t>
                  </w:r>
                  <w:r>
                    <w:rPr>
                      <w:rFonts w:hint="eastAsia"/>
                      <w:color w:val="auto"/>
                      <w:sz w:val="21"/>
                      <w:szCs w:val="21"/>
                      <w:vertAlign w:val="superscript"/>
                      <w:lang w:val="en-US" w:eastAsia="zh-CN"/>
                    </w:rPr>
                    <w:t>3</w:t>
                  </w:r>
                  <w:r>
                    <w:rPr>
                      <w:rFonts w:hint="eastAsia"/>
                      <w:color w:val="auto"/>
                      <w:sz w:val="21"/>
                      <w:szCs w:val="21"/>
                      <w:vertAlign w:val="baseline"/>
                      <w:lang w:val="en-US" w:eastAsia="zh-CN"/>
                    </w:rPr>
                    <w:t>×835kg/m</w:t>
                  </w:r>
                  <w:r>
                    <w:rPr>
                      <w:rFonts w:hint="eastAsia"/>
                      <w:color w:val="auto"/>
                      <w:sz w:val="21"/>
                      <w:szCs w:val="21"/>
                      <w:vertAlign w:val="superscript"/>
                      <w:lang w:val="en-US" w:eastAsia="zh-CN"/>
                    </w:rPr>
                    <w:t>3</w:t>
                  </w:r>
                  <w:r>
                    <w:rPr>
                      <w:rFonts w:hint="eastAsia"/>
                      <w:color w:val="auto"/>
                      <w:sz w:val="21"/>
                      <w:szCs w:val="21"/>
                      <w:vertAlign w:val="baseline"/>
                      <w:lang w:val="en-US" w:eastAsia="zh-CN"/>
                    </w:rPr>
                    <w:t>×10</w:t>
                  </w:r>
                  <w:r>
                    <w:rPr>
                      <w:rFonts w:hint="eastAsia"/>
                      <w:color w:val="auto"/>
                      <w:sz w:val="21"/>
                      <w:szCs w:val="21"/>
                      <w:vertAlign w:val="superscript"/>
                      <w:lang w:val="en-US" w:eastAsia="zh-CN"/>
                    </w:rPr>
                    <w:t>-3</w:t>
                  </w:r>
                </w:p>
              </w:tc>
              <w:tc>
                <w:tcPr>
                  <w:tcW w:w="1728" w:type="pct"/>
                  <w:noWrap w:val="0"/>
                  <w:vAlign w:val="center"/>
                </w:tcPr>
                <w:p>
                  <w:pPr>
                    <w:snapToGrid w:val="0"/>
                    <w:jc w:val="center"/>
                    <w:rPr>
                      <w:rFonts w:hint="eastAsia"/>
                      <w:color w:val="auto"/>
                      <w:szCs w:val="21"/>
                    </w:rPr>
                  </w:pPr>
                  <w:r>
                    <w:rPr>
                      <w:rFonts w:hint="eastAsia"/>
                      <w:color w:val="auto"/>
                      <w:szCs w:val="21"/>
                      <w:lang w:val="en-US" w:eastAsia="zh-CN"/>
                    </w:rPr>
                    <w:t>250</w:t>
                  </w: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 w:type="pct"/>
                  <w:noWrap w:val="0"/>
                  <w:vAlign w:val="center"/>
                </w:tcPr>
                <w:p>
                  <w:pPr>
                    <w:snapToGrid w:val="0"/>
                    <w:jc w:val="center"/>
                    <w:rPr>
                      <w:rFonts w:hint="eastAsia" w:eastAsia="宋体"/>
                      <w:color w:val="auto"/>
                      <w:szCs w:val="21"/>
                      <w:lang w:val="en-US" w:eastAsia="zh-CN"/>
                    </w:rPr>
                  </w:pPr>
                  <w:r>
                    <w:rPr>
                      <w:rFonts w:hint="eastAsia"/>
                      <w:color w:val="auto"/>
                      <w:szCs w:val="21"/>
                      <w:lang w:val="en-US" w:eastAsia="zh-CN"/>
                    </w:rPr>
                    <w:t>3</w:t>
                  </w:r>
                </w:p>
              </w:tc>
              <w:tc>
                <w:tcPr>
                  <w:tcW w:w="1224" w:type="pct"/>
                  <w:noWrap w:val="0"/>
                  <w:vAlign w:val="center"/>
                </w:tcPr>
                <w:p>
                  <w:pPr>
                    <w:snapToGrid w:val="0"/>
                    <w:jc w:val="center"/>
                    <w:rPr>
                      <w:rFonts w:hint="default"/>
                      <w:color w:val="auto"/>
                      <w:szCs w:val="21"/>
                      <w:lang w:val="en-US" w:eastAsia="zh-CN"/>
                    </w:rPr>
                  </w:pPr>
                  <w:r>
                    <w:rPr>
                      <w:rFonts w:hint="eastAsia"/>
                      <w:color w:val="auto"/>
                      <w:szCs w:val="21"/>
                      <w:lang w:val="en-US" w:eastAsia="zh-CN"/>
                    </w:rPr>
                    <w:t>液压油</w:t>
                  </w:r>
                </w:p>
              </w:tc>
              <w:tc>
                <w:tcPr>
                  <w:tcW w:w="1667" w:type="pct"/>
                  <w:noWrap w:val="0"/>
                  <w:vAlign w:val="center"/>
                </w:tcPr>
                <w:p>
                  <w:pPr>
                    <w:snapToGrid w:val="0"/>
                    <w:jc w:val="center"/>
                    <w:rPr>
                      <w:rFonts w:hint="default"/>
                      <w:color w:val="auto"/>
                      <w:sz w:val="21"/>
                      <w:szCs w:val="21"/>
                      <w:lang w:val="en-US" w:eastAsia="zh-CN"/>
                    </w:rPr>
                  </w:pPr>
                  <w:r>
                    <w:rPr>
                      <w:rFonts w:hint="eastAsia"/>
                      <w:color w:val="auto"/>
                      <w:sz w:val="21"/>
                      <w:szCs w:val="21"/>
                      <w:lang w:val="en-US" w:eastAsia="zh-CN"/>
                    </w:rPr>
                    <w:t>90L</w:t>
                  </w:r>
                  <w:r>
                    <w:rPr>
                      <w:rFonts w:hint="eastAsia"/>
                      <w:color w:val="auto"/>
                      <w:sz w:val="21"/>
                      <w:szCs w:val="21"/>
                      <w:vertAlign w:val="baseline"/>
                      <w:lang w:val="en-US" w:eastAsia="zh-CN"/>
                    </w:rPr>
                    <w:t>×860g/L×10</w:t>
                  </w:r>
                  <w:r>
                    <w:rPr>
                      <w:rFonts w:hint="eastAsia"/>
                      <w:color w:val="auto"/>
                      <w:sz w:val="21"/>
                      <w:szCs w:val="21"/>
                      <w:vertAlign w:val="superscript"/>
                      <w:lang w:val="en-US" w:eastAsia="zh-CN"/>
                    </w:rPr>
                    <w:t>-6</w:t>
                  </w:r>
                </w:p>
              </w:tc>
              <w:tc>
                <w:tcPr>
                  <w:tcW w:w="1728" w:type="pct"/>
                  <w:noWrap w:val="0"/>
                  <w:vAlign w:val="center"/>
                </w:tcPr>
                <w:p>
                  <w:pPr>
                    <w:snapToGrid w:val="0"/>
                    <w:jc w:val="center"/>
                    <w:rPr>
                      <w:rFonts w:hint="eastAsia"/>
                      <w:color w:val="auto"/>
                      <w:szCs w:val="21"/>
                      <w:lang w:val="en-US" w:eastAsia="zh-CN"/>
                    </w:rPr>
                  </w:pPr>
                  <w:r>
                    <w:rPr>
                      <w:rFonts w:hint="eastAsia"/>
                      <w:color w:val="auto"/>
                      <w:szCs w:val="21"/>
                      <w:lang w:val="en-US" w:eastAsia="zh-CN"/>
                    </w:rPr>
                    <w:t>250</w:t>
                  </w: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1" w:type="pct"/>
                  <w:gridSpan w:val="3"/>
                  <w:noWrap w:val="0"/>
                  <w:vAlign w:val="center"/>
                </w:tcPr>
                <w:p>
                  <w:pPr>
                    <w:snapToGrid w:val="0"/>
                    <w:jc w:val="center"/>
                    <w:rPr>
                      <w:color w:val="auto"/>
                      <w:szCs w:val="21"/>
                    </w:rPr>
                  </w:pPr>
                  <w:r>
                    <w:rPr>
                      <w:color w:val="auto"/>
                      <w:szCs w:val="21"/>
                    </w:rPr>
                    <w:t>项目Q值Σ</w:t>
                  </w:r>
                </w:p>
              </w:tc>
              <w:tc>
                <w:tcPr>
                  <w:tcW w:w="1728" w:type="pct"/>
                  <w:noWrap w:val="0"/>
                  <w:vAlign w:val="center"/>
                </w:tcPr>
                <w:p>
                  <w:pPr>
                    <w:snapToGrid w:val="0"/>
                    <w:jc w:val="center"/>
                    <w:rPr>
                      <w:rFonts w:hint="default" w:eastAsia="宋体"/>
                      <w:color w:val="auto"/>
                      <w:szCs w:val="21"/>
                      <w:lang w:val="en-US" w:eastAsia="zh-CN"/>
                    </w:rPr>
                  </w:pPr>
                  <w:r>
                    <w:rPr>
                      <w:rFonts w:hint="eastAsia"/>
                      <w:bCs/>
                      <w:color w:val="auto"/>
                    </w:rPr>
                    <w:t>0.0</w:t>
                  </w:r>
                  <w:r>
                    <w:rPr>
                      <w:rFonts w:hint="eastAsia"/>
                      <w:bCs/>
                      <w:color w:val="auto"/>
                      <w:lang w:val="en-US" w:eastAsia="zh-CN"/>
                    </w:rPr>
                    <w:t>003</w:t>
                  </w:r>
                </w:p>
              </w:tc>
            </w:tr>
          </w:tbl>
          <w:p>
            <w:pPr>
              <w:pStyle w:val="147"/>
              <w:rPr>
                <w:rFonts w:hint="eastAsia"/>
                <w:bCs w:val="0"/>
                <w:color w:val="auto"/>
                <w:lang w:val="en-US" w:eastAsia="zh-CN"/>
              </w:rPr>
            </w:pPr>
            <w:r>
              <w:rPr>
                <w:rFonts w:hint="eastAsia"/>
                <w:bCs w:val="0"/>
                <w:color w:val="auto"/>
                <w:lang w:val="en-US" w:eastAsia="zh-CN"/>
              </w:rPr>
              <w:t>根据</w:t>
            </w:r>
            <w:r>
              <w:rPr>
                <w:bCs w:val="0"/>
                <w:color w:val="auto"/>
                <w:lang w:val="en-US" w:eastAsia="zh-CN"/>
              </w:rPr>
              <w:t>《建设项目环境风险评价技术导则》</w:t>
            </w:r>
            <w:r>
              <w:rPr>
                <w:rFonts w:hint="eastAsia"/>
                <w:bCs w:val="0"/>
                <w:color w:val="auto"/>
                <w:lang w:val="en-US" w:eastAsia="zh-CN"/>
              </w:rPr>
              <w:t>（</w:t>
            </w:r>
            <w:r>
              <w:rPr>
                <w:bCs w:val="0"/>
                <w:color w:val="auto"/>
                <w:lang w:val="en-US" w:eastAsia="zh-CN"/>
              </w:rPr>
              <w:t>HJ169-2018</w:t>
            </w:r>
            <w:r>
              <w:rPr>
                <w:rFonts w:hint="eastAsia"/>
                <w:bCs w:val="0"/>
                <w:color w:val="auto"/>
                <w:lang w:val="en-US" w:eastAsia="zh-CN"/>
              </w:rPr>
              <w:t>）油类物质临界量2500t，危废废切削液按照油类物质折算。</w:t>
            </w:r>
          </w:p>
          <w:p>
            <w:pPr>
              <w:pStyle w:val="147"/>
              <w:rPr>
                <w:color w:val="auto"/>
                <w:lang w:bidi="ar"/>
              </w:rPr>
            </w:pPr>
            <w:r>
              <w:rPr>
                <w:bCs w:val="0"/>
                <w:color w:val="auto"/>
                <w:lang w:val="en-US" w:eastAsia="zh-CN"/>
              </w:rPr>
              <w:t>根据《建设项目环境风险评价技术导则》(HJ169-2018)，当Q＜1时，项目环境风险潜势为I</w:t>
            </w:r>
            <w:r>
              <w:rPr>
                <w:color w:val="auto"/>
                <w:lang w:bidi="ar"/>
              </w:rPr>
              <w:t>，评价工作等级为简单分析。</w:t>
            </w:r>
          </w:p>
          <w:p>
            <w:pPr>
              <w:pStyle w:val="39"/>
              <w:spacing w:line="360" w:lineRule="auto"/>
              <w:ind w:firstLine="422" w:firstLineChars="200"/>
              <w:rPr>
                <w:color w:val="auto"/>
                <w:sz w:val="21"/>
                <w:szCs w:val="21"/>
                <w:lang w:bidi="ar"/>
              </w:rPr>
            </w:pPr>
            <w:r>
              <w:rPr>
                <w:color w:val="auto"/>
                <w:sz w:val="21"/>
                <w:szCs w:val="21"/>
                <w:lang w:bidi="ar"/>
              </w:rPr>
              <w:t>（</w:t>
            </w:r>
            <w:r>
              <w:rPr>
                <w:rFonts w:hint="eastAsia"/>
                <w:color w:val="auto"/>
                <w:sz w:val="21"/>
                <w:szCs w:val="21"/>
                <w:lang w:bidi="ar"/>
              </w:rPr>
              <w:t>3</w:t>
            </w:r>
            <w:r>
              <w:rPr>
                <w:color w:val="auto"/>
                <w:sz w:val="21"/>
                <w:szCs w:val="21"/>
                <w:lang w:bidi="ar"/>
              </w:rPr>
              <w:t>）环境风险</w:t>
            </w:r>
            <w:r>
              <w:rPr>
                <w:rFonts w:hint="eastAsia"/>
                <w:color w:val="auto"/>
                <w:sz w:val="21"/>
                <w:szCs w:val="21"/>
                <w:lang w:bidi="ar"/>
              </w:rPr>
              <w:t>类型</w:t>
            </w:r>
            <w:r>
              <w:rPr>
                <w:color w:val="auto"/>
                <w:sz w:val="21"/>
                <w:szCs w:val="21"/>
                <w:lang w:bidi="ar"/>
              </w:rPr>
              <w:t>分析</w:t>
            </w:r>
          </w:p>
          <w:p>
            <w:pPr>
              <w:spacing w:line="360" w:lineRule="auto"/>
              <w:ind w:firstLine="420" w:firstLineChars="200"/>
              <w:rPr>
                <w:color w:val="auto"/>
                <w:szCs w:val="21"/>
                <w:lang w:bidi="ar"/>
              </w:rPr>
            </w:pPr>
            <w:r>
              <w:rPr>
                <w:color w:val="auto"/>
                <w:szCs w:val="21"/>
                <w:lang w:bidi="ar"/>
              </w:rPr>
              <w:t>根据调查，项目生产、使用、存储过程中涉及的有毒有害、易燃易爆物质为废</w:t>
            </w:r>
            <w:r>
              <w:rPr>
                <w:rFonts w:hint="eastAsia"/>
                <w:color w:val="auto"/>
                <w:szCs w:val="21"/>
                <w:lang w:val="en-US" w:eastAsia="zh-CN" w:bidi="ar"/>
              </w:rPr>
              <w:t>乳化液</w:t>
            </w:r>
            <w:r>
              <w:rPr>
                <w:rFonts w:hint="eastAsia"/>
                <w:color w:val="auto"/>
                <w:szCs w:val="21"/>
                <w:lang w:bidi="ar"/>
              </w:rPr>
              <w:t>、</w:t>
            </w:r>
            <w:r>
              <w:rPr>
                <w:rFonts w:hint="eastAsia"/>
                <w:color w:val="auto"/>
                <w:szCs w:val="21"/>
                <w:lang w:val="en-US" w:eastAsia="zh-CN" w:bidi="ar"/>
              </w:rPr>
              <w:t>柴油</w:t>
            </w:r>
            <w:r>
              <w:rPr>
                <w:rFonts w:hint="eastAsia"/>
                <w:color w:val="auto"/>
                <w:szCs w:val="21"/>
                <w:lang w:bidi="ar"/>
              </w:rPr>
              <w:t>、</w:t>
            </w:r>
            <w:r>
              <w:rPr>
                <w:rFonts w:hint="eastAsia"/>
                <w:color w:val="auto"/>
                <w:szCs w:val="21"/>
                <w:lang w:val="en-US" w:eastAsia="zh-CN" w:bidi="ar"/>
              </w:rPr>
              <w:t>液压油</w:t>
            </w:r>
            <w:r>
              <w:rPr>
                <w:rFonts w:hint="eastAsia"/>
                <w:color w:val="auto"/>
                <w:szCs w:val="21"/>
                <w:lang w:bidi="ar"/>
              </w:rPr>
              <w:t>。</w:t>
            </w:r>
            <w:r>
              <w:rPr>
                <w:rFonts w:hint="eastAsia"/>
                <w:color w:val="auto"/>
                <w:szCs w:val="21"/>
                <w:lang w:val="en-US" w:eastAsia="zh-CN" w:bidi="ar"/>
              </w:rPr>
              <w:t>柴油位于独立储油间，与其他风险物质分开存放。</w:t>
            </w:r>
            <w:r>
              <w:rPr>
                <w:rFonts w:hint="eastAsia"/>
                <w:color w:val="auto"/>
                <w:szCs w:val="21"/>
                <w:lang w:bidi="ar"/>
              </w:rPr>
              <w:t>本项目风险事故类型：</w:t>
            </w:r>
          </w:p>
          <w:p>
            <w:pPr>
              <w:spacing w:line="360" w:lineRule="auto"/>
              <w:ind w:firstLine="420" w:firstLineChars="200"/>
              <w:rPr>
                <w:color w:val="auto"/>
                <w:szCs w:val="21"/>
                <w:lang w:bidi="ar"/>
              </w:rPr>
            </w:pPr>
            <w:r>
              <w:rPr>
                <w:color w:val="auto"/>
                <w:szCs w:val="21"/>
                <w:lang w:bidi="ar"/>
              </w:rPr>
              <w:t>①原辅材料区发生</w:t>
            </w:r>
            <w:r>
              <w:rPr>
                <w:rFonts w:hint="eastAsia"/>
                <w:color w:val="auto"/>
                <w:szCs w:val="21"/>
                <w:lang w:val="en-US" w:eastAsia="zh-CN" w:bidi="ar"/>
              </w:rPr>
              <w:t>泄漏、火灾</w:t>
            </w:r>
            <w:r>
              <w:rPr>
                <w:color w:val="auto"/>
                <w:szCs w:val="21"/>
                <w:lang w:bidi="ar"/>
              </w:rPr>
              <w:t>伴生环境事件；</w:t>
            </w:r>
          </w:p>
          <w:p>
            <w:pPr>
              <w:spacing w:line="360" w:lineRule="auto"/>
              <w:ind w:firstLine="420" w:firstLineChars="200"/>
              <w:rPr>
                <w:color w:val="FF0000"/>
                <w:szCs w:val="21"/>
                <w:lang w:bidi="ar"/>
              </w:rPr>
            </w:pPr>
            <w:r>
              <w:rPr>
                <w:color w:val="auto"/>
                <w:szCs w:val="21"/>
                <w:lang w:bidi="ar"/>
              </w:rPr>
              <w:t>②废</w:t>
            </w:r>
            <w:r>
              <w:rPr>
                <w:rFonts w:hint="eastAsia"/>
                <w:color w:val="auto"/>
                <w:szCs w:val="21"/>
                <w:lang w:val="en-US" w:eastAsia="zh-CN" w:bidi="ar"/>
              </w:rPr>
              <w:t>切削液</w:t>
            </w:r>
            <w:r>
              <w:rPr>
                <w:color w:val="auto"/>
                <w:szCs w:val="21"/>
                <w:lang w:bidi="ar"/>
              </w:rPr>
              <w:t>泄漏；</w:t>
            </w:r>
          </w:p>
          <w:p>
            <w:pPr>
              <w:tabs>
                <w:tab w:val="left" w:pos="1063"/>
              </w:tabs>
              <w:jc w:val="center"/>
              <w:rPr>
                <w:b/>
                <w:color w:val="auto"/>
                <w:szCs w:val="21"/>
              </w:rPr>
            </w:pPr>
            <w:r>
              <w:rPr>
                <w:b/>
                <w:color w:val="auto"/>
                <w:szCs w:val="21"/>
              </w:rPr>
              <w:t>表</w:t>
            </w:r>
            <w:r>
              <w:rPr>
                <w:rFonts w:hint="eastAsia"/>
                <w:b/>
                <w:color w:val="auto"/>
                <w:szCs w:val="21"/>
              </w:rPr>
              <w:t>4</w:t>
            </w:r>
            <w:r>
              <w:rPr>
                <w:b/>
                <w:color w:val="auto"/>
                <w:szCs w:val="21"/>
              </w:rPr>
              <w:t>-</w:t>
            </w:r>
            <w:r>
              <w:rPr>
                <w:rFonts w:hint="eastAsia"/>
                <w:b/>
                <w:color w:val="auto"/>
                <w:szCs w:val="21"/>
              </w:rPr>
              <w:t>1</w:t>
            </w:r>
            <w:r>
              <w:rPr>
                <w:rFonts w:hint="eastAsia"/>
                <w:b/>
                <w:color w:val="auto"/>
                <w:szCs w:val="21"/>
                <w:lang w:val="en-US" w:eastAsia="zh-CN"/>
              </w:rPr>
              <w:t xml:space="preserve">8 </w:t>
            </w:r>
            <w:r>
              <w:rPr>
                <w:b/>
                <w:color w:val="auto"/>
                <w:szCs w:val="21"/>
              </w:rPr>
              <w:t xml:space="preserve"> 本工程风险类型一览表</w:t>
            </w:r>
          </w:p>
          <w:tbl>
            <w:tblPr>
              <w:tblStyle w:val="4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3"/>
              <w:gridCol w:w="795"/>
              <w:gridCol w:w="2550"/>
              <w:gridCol w:w="960"/>
              <w:gridCol w:w="3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3" w:type="dxa"/>
                  <w:vMerge w:val="restart"/>
                  <w:noWrap w:val="0"/>
                  <w:vAlign w:val="center"/>
                </w:tcPr>
                <w:p>
                  <w:pPr>
                    <w:pStyle w:val="141"/>
                    <w:spacing w:before="0"/>
                    <w:ind w:left="0"/>
                    <w:jc w:val="center"/>
                    <w:rPr>
                      <w:rFonts w:ascii="Times New Roman" w:hAnsi="Times New Roman" w:cs="Times New Roman"/>
                      <w:color w:val="auto"/>
                      <w:sz w:val="18"/>
                      <w:szCs w:val="18"/>
                    </w:rPr>
                  </w:pPr>
                  <w:r>
                    <w:rPr>
                      <w:rFonts w:ascii="Times New Roman" w:hAnsi="Times New Roman" w:cs="Times New Roman"/>
                      <w:color w:val="auto"/>
                      <w:sz w:val="18"/>
                      <w:szCs w:val="18"/>
                    </w:rPr>
                    <w:t>关键功能单元</w:t>
                  </w:r>
                </w:p>
              </w:tc>
              <w:tc>
                <w:tcPr>
                  <w:tcW w:w="795" w:type="dxa"/>
                  <w:vMerge w:val="restart"/>
                  <w:noWrap w:val="0"/>
                  <w:vAlign w:val="center"/>
                </w:tcPr>
                <w:p>
                  <w:pPr>
                    <w:pStyle w:val="141"/>
                    <w:spacing w:before="0"/>
                    <w:ind w:left="0"/>
                    <w:jc w:val="center"/>
                    <w:rPr>
                      <w:rFonts w:ascii="Times New Roman" w:hAnsi="Times New Roman" w:cs="Times New Roman"/>
                      <w:color w:val="auto"/>
                      <w:sz w:val="18"/>
                      <w:szCs w:val="18"/>
                    </w:rPr>
                  </w:pPr>
                  <w:r>
                    <w:rPr>
                      <w:rFonts w:ascii="Times New Roman" w:hAnsi="Times New Roman" w:cs="Times New Roman"/>
                      <w:color w:val="auto"/>
                      <w:sz w:val="18"/>
                      <w:szCs w:val="18"/>
                    </w:rPr>
                    <w:t>薄弱环节</w:t>
                  </w:r>
                </w:p>
              </w:tc>
              <w:tc>
                <w:tcPr>
                  <w:tcW w:w="6895" w:type="dxa"/>
                  <w:gridSpan w:val="3"/>
                  <w:noWrap w:val="0"/>
                  <w:vAlign w:val="center"/>
                </w:tcPr>
                <w:p>
                  <w:pPr>
                    <w:pStyle w:val="141"/>
                    <w:spacing w:before="0"/>
                    <w:ind w:left="0"/>
                    <w:jc w:val="center"/>
                    <w:rPr>
                      <w:rFonts w:ascii="Times New Roman" w:hAnsi="Times New Roman" w:cs="Times New Roman"/>
                      <w:color w:val="auto"/>
                      <w:sz w:val="18"/>
                      <w:szCs w:val="18"/>
                    </w:rPr>
                  </w:pPr>
                  <w:r>
                    <w:rPr>
                      <w:rFonts w:ascii="Times New Roman" w:hAnsi="Times New Roman" w:cs="Times New Roman"/>
                      <w:color w:val="auto"/>
                      <w:sz w:val="18"/>
                      <w:szCs w:val="18"/>
                    </w:rPr>
                    <w:t>可能发生的事故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3" w:type="dxa"/>
                  <w:vMerge w:val="continue"/>
                  <w:noWrap w:val="0"/>
                  <w:vAlign w:val="center"/>
                </w:tcPr>
                <w:p>
                  <w:pPr>
                    <w:jc w:val="center"/>
                    <w:rPr>
                      <w:color w:val="auto"/>
                      <w:sz w:val="18"/>
                      <w:szCs w:val="18"/>
                    </w:rPr>
                  </w:pPr>
                </w:p>
              </w:tc>
              <w:tc>
                <w:tcPr>
                  <w:tcW w:w="795" w:type="dxa"/>
                  <w:vMerge w:val="continue"/>
                  <w:noWrap w:val="0"/>
                  <w:vAlign w:val="center"/>
                </w:tcPr>
                <w:p>
                  <w:pPr>
                    <w:jc w:val="center"/>
                    <w:rPr>
                      <w:color w:val="auto"/>
                      <w:sz w:val="18"/>
                      <w:szCs w:val="18"/>
                    </w:rPr>
                  </w:pPr>
                </w:p>
              </w:tc>
              <w:tc>
                <w:tcPr>
                  <w:tcW w:w="2550" w:type="dxa"/>
                  <w:noWrap w:val="0"/>
                  <w:vAlign w:val="center"/>
                </w:tcPr>
                <w:p>
                  <w:pPr>
                    <w:pStyle w:val="141"/>
                    <w:spacing w:before="0"/>
                    <w:ind w:left="0"/>
                    <w:jc w:val="center"/>
                    <w:rPr>
                      <w:rFonts w:ascii="Times New Roman" w:hAnsi="Times New Roman" w:cs="Times New Roman"/>
                      <w:color w:val="auto"/>
                      <w:sz w:val="18"/>
                      <w:szCs w:val="18"/>
                    </w:rPr>
                  </w:pPr>
                  <w:r>
                    <w:rPr>
                      <w:rFonts w:ascii="Times New Roman" w:hAnsi="Times New Roman" w:cs="Times New Roman"/>
                      <w:color w:val="auto"/>
                      <w:sz w:val="18"/>
                      <w:szCs w:val="18"/>
                    </w:rPr>
                    <w:t>原因</w:t>
                  </w:r>
                </w:p>
              </w:tc>
              <w:tc>
                <w:tcPr>
                  <w:tcW w:w="960" w:type="dxa"/>
                  <w:noWrap w:val="0"/>
                  <w:vAlign w:val="center"/>
                </w:tcPr>
                <w:p>
                  <w:pPr>
                    <w:pStyle w:val="141"/>
                    <w:spacing w:before="0"/>
                    <w:ind w:left="0"/>
                    <w:jc w:val="center"/>
                    <w:rPr>
                      <w:rFonts w:ascii="Times New Roman" w:hAnsi="Times New Roman" w:cs="Times New Roman"/>
                      <w:color w:val="auto"/>
                      <w:sz w:val="18"/>
                      <w:szCs w:val="18"/>
                    </w:rPr>
                  </w:pPr>
                  <w:r>
                    <w:rPr>
                      <w:rFonts w:ascii="Times New Roman" w:hAnsi="Times New Roman" w:cs="Times New Roman"/>
                      <w:color w:val="auto"/>
                      <w:sz w:val="18"/>
                      <w:szCs w:val="18"/>
                    </w:rPr>
                    <w:t>类型</w:t>
                  </w:r>
                </w:p>
              </w:tc>
              <w:tc>
                <w:tcPr>
                  <w:tcW w:w="3385" w:type="dxa"/>
                  <w:noWrap w:val="0"/>
                  <w:vAlign w:val="center"/>
                </w:tcPr>
                <w:p>
                  <w:pPr>
                    <w:pStyle w:val="141"/>
                    <w:spacing w:before="0"/>
                    <w:ind w:left="0"/>
                    <w:jc w:val="center"/>
                    <w:rPr>
                      <w:rFonts w:ascii="Times New Roman" w:hAnsi="Times New Roman" w:cs="Times New Roman"/>
                      <w:color w:val="auto"/>
                      <w:sz w:val="18"/>
                      <w:szCs w:val="18"/>
                    </w:rPr>
                  </w:pPr>
                  <w:r>
                    <w:rPr>
                      <w:rFonts w:ascii="Times New Roman" w:hAnsi="Times New Roman" w:cs="Times New Roman"/>
                      <w:color w:val="auto"/>
                      <w:sz w:val="18"/>
                      <w:szCs w:val="18"/>
                    </w:rPr>
                    <w:t>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3" w:type="dxa"/>
                  <w:noWrap w:val="0"/>
                  <w:vAlign w:val="center"/>
                </w:tcPr>
                <w:p>
                  <w:pPr>
                    <w:pStyle w:val="141"/>
                    <w:spacing w:before="0"/>
                    <w:ind w:left="0"/>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原料库</w:t>
                  </w:r>
                </w:p>
              </w:tc>
              <w:tc>
                <w:tcPr>
                  <w:tcW w:w="795" w:type="dxa"/>
                  <w:noWrap w:val="0"/>
                  <w:vAlign w:val="center"/>
                </w:tcPr>
                <w:p>
                  <w:pPr>
                    <w:pStyle w:val="141"/>
                    <w:spacing w:before="0"/>
                    <w:ind w:left="0"/>
                    <w:jc w:val="center"/>
                    <w:rPr>
                      <w:rFonts w:ascii="Times New Roman" w:hAnsi="Times New Roman" w:cs="Times New Roman"/>
                      <w:color w:val="auto"/>
                      <w:sz w:val="18"/>
                      <w:szCs w:val="18"/>
                      <w:lang w:val="en-US"/>
                    </w:rPr>
                  </w:pPr>
                  <w:r>
                    <w:rPr>
                      <w:rFonts w:hint="eastAsia" w:ascii="Times New Roman" w:hAnsi="Times New Roman" w:cs="Times New Roman"/>
                      <w:color w:val="auto"/>
                      <w:sz w:val="18"/>
                      <w:szCs w:val="18"/>
                      <w:lang w:val="en-US"/>
                    </w:rPr>
                    <w:t>仓库</w:t>
                  </w:r>
                </w:p>
              </w:tc>
              <w:tc>
                <w:tcPr>
                  <w:tcW w:w="2550" w:type="dxa"/>
                  <w:noWrap w:val="0"/>
                  <w:vAlign w:val="center"/>
                </w:tcPr>
                <w:p>
                  <w:pPr>
                    <w:pStyle w:val="141"/>
                    <w:spacing w:before="0"/>
                    <w:ind w:left="0"/>
                    <w:jc w:val="center"/>
                    <w:rPr>
                      <w:rFonts w:ascii="Times New Roman" w:hAnsi="Times New Roman" w:cs="Times New Roman"/>
                      <w:color w:val="auto"/>
                      <w:sz w:val="18"/>
                      <w:szCs w:val="18"/>
                      <w:lang w:val="en-US"/>
                    </w:rPr>
                  </w:pPr>
                  <w:r>
                    <w:rPr>
                      <w:rFonts w:ascii="Times New Roman" w:hAnsi="Times New Roman" w:cs="Times New Roman"/>
                      <w:color w:val="auto"/>
                      <w:sz w:val="18"/>
                      <w:szCs w:val="18"/>
                    </w:rPr>
                    <w:t>操作失误维护保养不当</w:t>
                  </w:r>
                  <w:r>
                    <w:rPr>
                      <w:rFonts w:ascii="Times New Roman" w:hAnsi="Times New Roman" w:cs="Times New Roman"/>
                      <w:color w:val="auto"/>
                      <w:sz w:val="18"/>
                      <w:szCs w:val="18"/>
                      <w:lang w:val="en-US"/>
                    </w:rPr>
                    <w:t>引发火灾</w:t>
                  </w:r>
                </w:p>
              </w:tc>
              <w:tc>
                <w:tcPr>
                  <w:tcW w:w="960" w:type="dxa"/>
                  <w:noWrap w:val="0"/>
                  <w:vAlign w:val="center"/>
                </w:tcPr>
                <w:p>
                  <w:pPr>
                    <w:pStyle w:val="141"/>
                    <w:spacing w:before="0"/>
                    <w:ind w:left="0"/>
                    <w:jc w:val="center"/>
                    <w:rPr>
                      <w:rFonts w:ascii="Times New Roman" w:hAnsi="Times New Roman" w:cs="Times New Roman"/>
                      <w:color w:val="auto"/>
                      <w:sz w:val="18"/>
                      <w:szCs w:val="18"/>
                    </w:rPr>
                  </w:pPr>
                  <w:r>
                    <w:rPr>
                      <w:rFonts w:ascii="Times New Roman" w:hAnsi="Times New Roman" w:cs="Times New Roman"/>
                      <w:color w:val="auto"/>
                      <w:sz w:val="18"/>
                      <w:szCs w:val="18"/>
                      <w:lang w:val="en-US"/>
                    </w:rPr>
                    <w:t>火灾</w:t>
                  </w:r>
                  <w:r>
                    <w:rPr>
                      <w:rFonts w:ascii="Times New Roman" w:hAnsi="Times New Roman" w:cs="Times New Roman"/>
                      <w:color w:val="auto"/>
                      <w:sz w:val="18"/>
                      <w:szCs w:val="18"/>
                    </w:rPr>
                    <w:t>事件</w:t>
                  </w:r>
                </w:p>
              </w:tc>
              <w:tc>
                <w:tcPr>
                  <w:tcW w:w="3385" w:type="dxa"/>
                  <w:noWrap w:val="0"/>
                  <w:vAlign w:val="center"/>
                </w:tcPr>
                <w:p>
                  <w:pPr>
                    <w:pStyle w:val="141"/>
                    <w:spacing w:before="0"/>
                    <w:ind w:left="0"/>
                    <w:jc w:val="center"/>
                    <w:rPr>
                      <w:rFonts w:ascii="Times New Roman" w:hAnsi="Times New Roman" w:cs="Times New Roman"/>
                      <w:color w:val="auto"/>
                      <w:sz w:val="18"/>
                      <w:szCs w:val="18"/>
                    </w:rPr>
                  </w:pPr>
                  <w:r>
                    <w:rPr>
                      <w:rFonts w:ascii="Times New Roman" w:hAnsi="Times New Roman" w:cs="Times New Roman"/>
                      <w:color w:val="auto"/>
                      <w:sz w:val="18"/>
                      <w:szCs w:val="18"/>
                    </w:rPr>
                    <w:t>遇火源发生火灾；燃烧后有害气体释放，含有毒有害物质的消防废水随雨水管网外排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3" w:type="dxa"/>
                  <w:noWrap w:val="0"/>
                  <w:vAlign w:val="center"/>
                </w:tcPr>
                <w:p>
                  <w:pPr>
                    <w:pStyle w:val="141"/>
                    <w:spacing w:before="0"/>
                    <w:ind w:left="0"/>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危废暂存间</w:t>
                  </w:r>
                </w:p>
              </w:tc>
              <w:tc>
                <w:tcPr>
                  <w:tcW w:w="795" w:type="dxa"/>
                  <w:noWrap w:val="0"/>
                  <w:vAlign w:val="center"/>
                </w:tcPr>
                <w:p>
                  <w:pPr>
                    <w:pStyle w:val="141"/>
                    <w:spacing w:before="0"/>
                    <w:ind w:left="0"/>
                    <w:jc w:val="center"/>
                    <w:rPr>
                      <w:rFonts w:ascii="Times New Roman" w:hAnsi="Times New Roman" w:cs="Times New Roman"/>
                      <w:color w:val="auto"/>
                      <w:sz w:val="18"/>
                      <w:szCs w:val="18"/>
                    </w:rPr>
                  </w:pPr>
                  <w:r>
                    <w:rPr>
                      <w:rFonts w:ascii="Times New Roman" w:hAnsi="Times New Roman" w:cs="Times New Roman"/>
                      <w:color w:val="auto"/>
                      <w:sz w:val="18"/>
                      <w:szCs w:val="18"/>
                    </w:rPr>
                    <w:t>泄漏</w:t>
                  </w:r>
                </w:p>
              </w:tc>
              <w:tc>
                <w:tcPr>
                  <w:tcW w:w="2550" w:type="dxa"/>
                  <w:noWrap w:val="0"/>
                  <w:vAlign w:val="center"/>
                </w:tcPr>
                <w:p>
                  <w:pPr>
                    <w:pStyle w:val="141"/>
                    <w:spacing w:before="0"/>
                    <w:ind w:left="0"/>
                    <w:jc w:val="center"/>
                    <w:rPr>
                      <w:rFonts w:ascii="Times New Roman" w:hAnsi="Times New Roman" w:cs="Times New Roman"/>
                      <w:color w:val="auto"/>
                      <w:sz w:val="18"/>
                      <w:szCs w:val="18"/>
                    </w:rPr>
                  </w:pPr>
                  <w:r>
                    <w:rPr>
                      <w:rFonts w:ascii="Times New Roman" w:hAnsi="Times New Roman" w:cs="Times New Roman"/>
                      <w:color w:val="auto"/>
                      <w:sz w:val="18"/>
                      <w:szCs w:val="18"/>
                    </w:rPr>
                    <w:t>处置不当</w:t>
                  </w:r>
                </w:p>
              </w:tc>
              <w:tc>
                <w:tcPr>
                  <w:tcW w:w="960" w:type="dxa"/>
                  <w:noWrap w:val="0"/>
                  <w:vAlign w:val="center"/>
                </w:tcPr>
                <w:p>
                  <w:pPr>
                    <w:pStyle w:val="141"/>
                    <w:spacing w:before="0"/>
                    <w:ind w:left="0"/>
                    <w:jc w:val="center"/>
                    <w:rPr>
                      <w:rFonts w:ascii="Times New Roman" w:hAnsi="Times New Roman" w:cs="Times New Roman"/>
                      <w:color w:val="auto"/>
                      <w:sz w:val="18"/>
                      <w:szCs w:val="18"/>
                    </w:rPr>
                  </w:pPr>
                  <w:r>
                    <w:rPr>
                      <w:rFonts w:ascii="Times New Roman" w:hAnsi="Times New Roman" w:cs="Times New Roman"/>
                      <w:color w:val="auto"/>
                      <w:sz w:val="18"/>
                      <w:szCs w:val="18"/>
                    </w:rPr>
                    <w:t>泄漏、火灾</w:t>
                  </w:r>
                </w:p>
              </w:tc>
              <w:tc>
                <w:tcPr>
                  <w:tcW w:w="3385" w:type="dxa"/>
                  <w:noWrap w:val="0"/>
                  <w:vAlign w:val="center"/>
                </w:tcPr>
                <w:p>
                  <w:pPr>
                    <w:pStyle w:val="141"/>
                    <w:spacing w:before="0"/>
                    <w:ind w:left="0"/>
                    <w:jc w:val="center"/>
                    <w:rPr>
                      <w:rFonts w:ascii="Times New Roman" w:hAnsi="Times New Roman" w:cs="Times New Roman"/>
                      <w:color w:val="auto"/>
                      <w:sz w:val="18"/>
                      <w:szCs w:val="18"/>
                      <w:lang w:val="en-US"/>
                    </w:rPr>
                  </w:pPr>
                  <w:r>
                    <w:rPr>
                      <w:rFonts w:ascii="Times New Roman" w:hAnsi="Times New Roman" w:cs="Times New Roman"/>
                      <w:color w:val="auto"/>
                      <w:sz w:val="18"/>
                      <w:szCs w:val="18"/>
                    </w:rPr>
                    <w:t>遇火源发生火灾，燃烧后有害气体释放，含有毒有害物质的消防废水随雨水管网外排；泄漏地表污染地下水和土壤</w:t>
                  </w:r>
                </w:p>
              </w:tc>
            </w:tr>
          </w:tbl>
          <w:p>
            <w:pPr>
              <w:pStyle w:val="39"/>
              <w:spacing w:before="120" w:beforeLines="50" w:line="360" w:lineRule="auto"/>
              <w:ind w:firstLine="422" w:firstLineChars="200"/>
              <w:rPr>
                <w:rFonts w:hint="eastAsia"/>
                <w:color w:val="auto"/>
                <w:sz w:val="21"/>
                <w:szCs w:val="21"/>
              </w:rPr>
            </w:pPr>
            <w:r>
              <w:rPr>
                <w:color w:val="auto"/>
                <w:sz w:val="21"/>
                <w:szCs w:val="21"/>
              </w:rPr>
              <w:t>（</w:t>
            </w:r>
            <w:r>
              <w:rPr>
                <w:rFonts w:hint="eastAsia"/>
                <w:color w:val="auto"/>
                <w:sz w:val="21"/>
                <w:szCs w:val="21"/>
              </w:rPr>
              <w:t>4</w:t>
            </w:r>
            <w:r>
              <w:rPr>
                <w:color w:val="auto"/>
                <w:sz w:val="21"/>
                <w:szCs w:val="21"/>
              </w:rPr>
              <w:t>）环境风险防范措施</w:t>
            </w:r>
          </w:p>
          <w:p>
            <w:pPr>
              <w:pStyle w:val="129"/>
              <w:ind w:firstLine="420"/>
              <w:jc w:val="left"/>
              <w:rPr>
                <w:rFonts w:hint="eastAsia"/>
                <w:snapToGrid w:val="0"/>
                <w:color w:val="auto"/>
                <w:sz w:val="21"/>
                <w:szCs w:val="21"/>
              </w:rPr>
            </w:pPr>
            <w:r>
              <w:rPr>
                <w:rFonts w:eastAsia="Times New Roman"/>
                <w:snapToGrid w:val="0"/>
                <w:color w:val="auto"/>
                <w:sz w:val="21"/>
                <w:szCs w:val="21"/>
              </w:rPr>
              <w:t>1</w:t>
            </w:r>
            <w:r>
              <w:rPr>
                <w:rFonts w:hint="eastAsia"/>
                <w:snapToGrid w:val="0"/>
                <w:color w:val="auto"/>
                <w:sz w:val="21"/>
                <w:szCs w:val="21"/>
              </w:rPr>
              <w:t>）远离火种、热源。</w:t>
            </w:r>
          </w:p>
          <w:p>
            <w:pPr>
              <w:pStyle w:val="129"/>
              <w:ind w:firstLine="420"/>
              <w:jc w:val="left"/>
              <w:rPr>
                <w:rFonts w:hint="eastAsia"/>
                <w:snapToGrid w:val="0"/>
                <w:color w:val="auto"/>
                <w:sz w:val="21"/>
                <w:szCs w:val="21"/>
              </w:rPr>
            </w:pPr>
            <w:r>
              <w:rPr>
                <w:rFonts w:eastAsia="Times New Roman"/>
                <w:snapToGrid w:val="0"/>
                <w:color w:val="auto"/>
                <w:sz w:val="21"/>
                <w:szCs w:val="21"/>
              </w:rPr>
              <w:t>2</w:t>
            </w:r>
            <w:r>
              <w:rPr>
                <w:rFonts w:hint="eastAsia"/>
                <w:snapToGrid w:val="0"/>
                <w:color w:val="auto"/>
                <w:sz w:val="21"/>
                <w:szCs w:val="21"/>
              </w:rPr>
              <w:t>）周围采用防爆型照明、通风设施。</w:t>
            </w:r>
          </w:p>
          <w:p>
            <w:pPr>
              <w:pStyle w:val="129"/>
              <w:ind w:firstLine="420"/>
              <w:jc w:val="left"/>
              <w:rPr>
                <w:rFonts w:hint="eastAsia"/>
                <w:snapToGrid w:val="0"/>
                <w:color w:val="auto"/>
                <w:sz w:val="21"/>
                <w:szCs w:val="21"/>
              </w:rPr>
            </w:pPr>
            <w:r>
              <w:rPr>
                <w:rFonts w:eastAsia="Times New Roman"/>
                <w:snapToGrid w:val="0"/>
                <w:color w:val="auto"/>
                <w:sz w:val="21"/>
                <w:szCs w:val="21"/>
              </w:rPr>
              <w:t>3</w:t>
            </w:r>
            <w:r>
              <w:rPr>
                <w:rFonts w:hint="eastAsia"/>
                <w:snapToGrid w:val="0"/>
                <w:color w:val="auto"/>
                <w:sz w:val="21"/>
                <w:szCs w:val="21"/>
              </w:rPr>
              <w:t>）禁止使用易产生火花的设备和工具。</w:t>
            </w:r>
          </w:p>
          <w:p>
            <w:pPr>
              <w:pStyle w:val="129"/>
              <w:ind w:firstLine="420"/>
              <w:jc w:val="left"/>
              <w:rPr>
                <w:rFonts w:hint="eastAsia"/>
                <w:snapToGrid w:val="0"/>
                <w:color w:val="auto"/>
                <w:sz w:val="21"/>
                <w:szCs w:val="21"/>
              </w:rPr>
            </w:pPr>
            <w:r>
              <w:rPr>
                <w:rFonts w:eastAsia="Times New Roman"/>
                <w:snapToGrid w:val="0"/>
                <w:color w:val="auto"/>
                <w:sz w:val="21"/>
                <w:szCs w:val="21"/>
              </w:rPr>
              <w:t>4</w:t>
            </w:r>
            <w:r>
              <w:rPr>
                <w:rFonts w:hint="eastAsia"/>
                <w:snapToGrid w:val="0"/>
                <w:color w:val="auto"/>
                <w:sz w:val="21"/>
                <w:szCs w:val="21"/>
              </w:rPr>
              <w:t>）储存区应备有泄漏应急处理设备和合适的收容材料。</w:t>
            </w:r>
          </w:p>
          <w:p>
            <w:pPr>
              <w:pStyle w:val="129"/>
              <w:ind w:firstLine="420"/>
              <w:jc w:val="left"/>
              <w:rPr>
                <w:rFonts w:hint="eastAsia"/>
                <w:snapToGrid w:val="0"/>
                <w:color w:val="auto"/>
                <w:sz w:val="21"/>
                <w:szCs w:val="21"/>
              </w:rPr>
            </w:pPr>
            <w:r>
              <w:rPr>
                <w:rFonts w:eastAsia="Times New Roman"/>
                <w:snapToGrid w:val="0"/>
                <w:color w:val="auto"/>
                <w:sz w:val="21"/>
                <w:szCs w:val="21"/>
              </w:rPr>
              <w:t>5</w:t>
            </w:r>
            <w:r>
              <w:rPr>
                <w:rFonts w:hint="eastAsia"/>
                <w:snapToGrid w:val="0"/>
                <w:color w:val="auto"/>
                <w:sz w:val="21"/>
                <w:szCs w:val="21"/>
              </w:rPr>
              <w:t>）贴有安全事故告知标识、区域安全提示牌、</w:t>
            </w:r>
            <w:r>
              <w:rPr>
                <w:rFonts w:hint="eastAsia"/>
                <w:snapToGrid w:val="0"/>
                <w:color w:val="auto"/>
                <w:sz w:val="21"/>
                <w:szCs w:val="21"/>
                <w:lang w:eastAsia="zh-CN"/>
              </w:rPr>
              <w:t>“</w:t>
            </w:r>
            <w:r>
              <w:rPr>
                <w:rFonts w:hint="eastAsia"/>
                <w:snapToGrid w:val="0"/>
                <w:color w:val="auto"/>
                <w:sz w:val="21"/>
                <w:szCs w:val="21"/>
              </w:rPr>
              <w:t>禁止烟火</w:t>
            </w:r>
            <w:r>
              <w:rPr>
                <w:rFonts w:hint="eastAsia"/>
                <w:snapToGrid w:val="0"/>
                <w:color w:val="auto"/>
                <w:sz w:val="21"/>
                <w:szCs w:val="21"/>
                <w:lang w:eastAsia="zh-CN"/>
              </w:rPr>
              <w:t>”“</w:t>
            </w:r>
            <w:r>
              <w:rPr>
                <w:rFonts w:hint="eastAsia"/>
                <w:snapToGrid w:val="0"/>
                <w:color w:val="auto"/>
                <w:sz w:val="21"/>
                <w:szCs w:val="21"/>
              </w:rPr>
              <w:t>职业病危害告知</w:t>
            </w:r>
            <w:r>
              <w:rPr>
                <w:rFonts w:hint="eastAsia"/>
                <w:snapToGrid w:val="0"/>
                <w:color w:val="auto"/>
                <w:sz w:val="21"/>
                <w:szCs w:val="21"/>
                <w:lang w:eastAsia="zh-CN"/>
              </w:rPr>
              <w:t>”</w:t>
            </w:r>
            <w:r>
              <w:rPr>
                <w:rFonts w:hint="eastAsia"/>
                <w:snapToGrid w:val="0"/>
                <w:color w:val="auto"/>
                <w:sz w:val="21"/>
                <w:szCs w:val="21"/>
              </w:rPr>
              <w:t>等制度及标识。</w:t>
            </w:r>
          </w:p>
          <w:p>
            <w:pPr>
              <w:pStyle w:val="129"/>
              <w:ind w:firstLine="420"/>
              <w:jc w:val="left"/>
              <w:rPr>
                <w:color w:val="auto"/>
                <w:sz w:val="21"/>
                <w:szCs w:val="21"/>
              </w:rPr>
            </w:pPr>
            <w:r>
              <w:rPr>
                <w:rFonts w:eastAsia="Times New Roman"/>
                <w:snapToGrid w:val="0"/>
                <w:color w:val="auto"/>
                <w:sz w:val="21"/>
                <w:szCs w:val="21"/>
              </w:rPr>
              <w:t>6</w:t>
            </w:r>
            <w:r>
              <w:rPr>
                <w:rFonts w:hint="eastAsia"/>
                <w:snapToGrid w:val="0"/>
                <w:color w:val="auto"/>
                <w:sz w:val="21"/>
                <w:szCs w:val="21"/>
              </w:rPr>
              <w:t>）加强生产设备、环保设备运行管理，厂区各设施及生产、危废存储区均按照相关标准及规范设置。从物品存储、运输等全过程控制产品泄漏，采取行之有效的防渗措施，定期检查，及时消除污染隐患，杜绝跑冒滴漏现象：发现有污染物泄漏或渗漏，及时清理污染物和修补漏洞等补救措施。废气处理设备和生产设备同步投入运行，废气处理设备发生故障时，企业采取停止生产的措施。</w:t>
            </w:r>
          </w:p>
          <w:p>
            <w:pPr>
              <w:pStyle w:val="85"/>
              <w:keepNext w:val="0"/>
              <w:keepLines w:val="0"/>
              <w:numPr>
                <w:ilvl w:val="0"/>
                <w:numId w:val="0"/>
              </w:numPr>
              <w:adjustRightInd/>
              <w:spacing w:line="360" w:lineRule="auto"/>
              <w:ind w:firstLine="420" w:firstLineChars="200"/>
              <w:jc w:val="left"/>
              <w:outlineLvl w:val="9"/>
              <w:rPr>
                <w:rFonts w:ascii="Times New Roman"/>
                <w:b w:val="0"/>
                <w:bCs w:val="0"/>
                <w:color w:val="auto"/>
                <w:sz w:val="21"/>
                <w:szCs w:val="21"/>
                <w:lang w:val="en-US" w:eastAsia="zh-CN"/>
              </w:rPr>
            </w:pPr>
            <w:r>
              <w:rPr>
                <w:rFonts w:ascii="Times New Roman"/>
                <w:b w:val="0"/>
                <w:bCs w:val="0"/>
                <w:color w:val="auto"/>
                <w:sz w:val="21"/>
                <w:szCs w:val="21"/>
                <w:lang w:val="en-US" w:eastAsia="zh-CN"/>
              </w:rPr>
              <w:t>综上，本项目风险潜势为I，环境风险影响较小。项目可能发生的风险事故为原料库火灾</w:t>
            </w:r>
            <w:r>
              <w:rPr>
                <w:rFonts w:hint="eastAsia" w:ascii="Times New Roman"/>
                <w:b w:val="0"/>
                <w:bCs w:val="0"/>
                <w:color w:val="auto"/>
                <w:sz w:val="21"/>
                <w:szCs w:val="21"/>
                <w:lang w:val="en-US" w:eastAsia="zh-CN"/>
              </w:rPr>
              <w:t>和废机油泄漏</w:t>
            </w:r>
            <w:r>
              <w:rPr>
                <w:rFonts w:ascii="Times New Roman"/>
                <w:b w:val="0"/>
                <w:bCs w:val="0"/>
                <w:color w:val="auto"/>
                <w:sz w:val="21"/>
                <w:szCs w:val="21"/>
                <w:lang w:val="en-US" w:eastAsia="zh-CN"/>
              </w:rPr>
              <w:t>，通过采取风险防治措施，可有效降低事故发生概率，对外环境造成环境可接受。因此，本项目的环境风险可防控。</w:t>
            </w: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ascii="Times New Roman"/>
                <w:b w:val="0"/>
                <w:bCs w:val="0"/>
                <w:color w:val="auto"/>
                <w:sz w:val="21"/>
                <w:szCs w:val="21"/>
                <w:lang w:val="en-US" w:eastAsia="zh-CN"/>
              </w:rPr>
            </w:pPr>
          </w:p>
          <w:p>
            <w:pPr>
              <w:pStyle w:val="87"/>
              <w:rPr>
                <w:rFonts w:hint="eastAsia" w:ascii="Times New Roman"/>
                <w:b w:val="0"/>
                <w:bCs w:val="0"/>
                <w:color w:val="auto"/>
                <w:sz w:val="21"/>
                <w:szCs w:val="21"/>
                <w:lang w:val="en-US" w:eastAsia="zh-CN"/>
              </w:rPr>
            </w:pPr>
          </w:p>
        </w:tc>
      </w:tr>
    </w:tbl>
    <w:p>
      <w:pPr>
        <w:adjustRightInd w:val="0"/>
        <w:snapToGrid w:val="0"/>
        <w:spacing w:line="360" w:lineRule="auto"/>
        <w:rPr>
          <w:b/>
          <w:color w:val="FF0000"/>
          <w:kern w:val="0"/>
          <w:szCs w:val="21"/>
        </w:rPr>
        <w:sectPr>
          <w:pgSz w:w="11907" w:h="16840"/>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auto"/>
          <w:sz w:val="28"/>
          <w:szCs w:val="28"/>
        </w:rPr>
      </w:pPr>
      <w:r>
        <w:rPr>
          <w:rFonts w:ascii="Times New Roman" w:hAnsi="Times New Roman" w:eastAsia="黑体"/>
          <w:snapToGrid w:val="0"/>
          <w:color w:val="auto"/>
          <w:sz w:val="28"/>
          <w:szCs w:val="28"/>
        </w:rPr>
        <w:t>五、</w:t>
      </w:r>
      <w:bookmarkStart w:id="5" w:name="_Hlk54167917"/>
      <w:r>
        <w:rPr>
          <w:rFonts w:ascii="Times New Roman" w:hAnsi="Times New Roman" w:eastAsia="黑体"/>
          <w:snapToGrid w:val="0"/>
          <w:color w:val="auto"/>
          <w:sz w:val="28"/>
          <w:szCs w:val="28"/>
        </w:rPr>
        <w:t>环境保护措施监督检查清单</w:t>
      </w:r>
      <w:bookmarkEnd w:id="5"/>
    </w:p>
    <w:tbl>
      <w:tblPr>
        <w:tblStyle w:val="44"/>
        <w:tblW w:w="92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748"/>
        <w:gridCol w:w="1223"/>
        <w:gridCol w:w="2580"/>
        <w:gridCol w:w="22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tcBorders>
              <w:tl2br w:val="single" w:color="auto" w:sz="4" w:space="0"/>
            </w:tcBorders>
            <w:noWrap w:val="0"/>
            <w:vAlign w:val="top"/>
          </w:tcPr>
          <w:p>
            <w:pPr>
              <w:adjustRightInd w:val="0"/>
              <w:snapToGrid w:val="0"/>
              <w:ind w:firstLine="630" w:firstLineChars="300"/>
              <w:rPr>
                <w:color w:val="auto"/>
                <w:szCs w:val="21"/>
              </w:rPr>
            </w:pPr>
            <w:r>
              <w:rPr>
                <w:color w:val="auto"/>
                <w:szCs w:val="21"/>
              </w:rPr>
              <w:t>内容</w:t>
            </w:r>
          </w:p>
          <w:p>
            <w:pPr>
              <w:adjustRightInd w:val="0"/>
              <w:snapToGrid w:val="0"/>
              <w:rPr>
                <w:color w:val="auto"/>
                <w:szCs w:val="21"/>
              </w:rPr>
            </w:pPr>
            <w:r>
              <w:rPr>
                <w:color w:val="auto"/>
                <w:szCs w:val="21"/>
              </w:rPr>
              <w:t>要素</w:t>
            </w:r>
          </w:p>
        </w:tc>
        <w:tc>
          <w:tcPr>
            <w:tcW w:w="1748" w:type="dxa"/>
            <w:noWrap w:val="0"/>
            <w:vAlign w:val="center"/>
          </w:tcPr>
          <w:p>
            <w:pPr>
              <w:adjustRightInd w:val="0"/>
              <w:snapToGrid w:val="0"/>
              <w:jc w:val="center"/>
              <w:rPr>
                <w:color w:val="auto"/>
                <w:szCs w:val="21"/>
              </w:rPr>
            </w:pPr>
            <w:r>
              <w:rPr>
                <w:color w:val="auto"/>
                <w:szCs w:val="21"/>
              </w:rPr>
              <w:t>排放口</w:t>
            </w:r>
            <w:r>
              <w:rPr>
                <w:rFonts w:hint="eastAsia"/>
                <w:color w:val="auto"/>
                <w:szCs w:val="21"/>
                <w:lang w:eastAsia="zh-CN"/>
              </w:rPr>
              <w:t>（</w:t>
            </w:r>
            <w:r>
              <w:rPr>
                <w:color w:val="auto"/>
                <w:szCs w:val="21"/>
              </w:rPr>
              <w:t>编号、</w:t>
            </w:r>
          </w:p>
          <w:p>
            <w:pPr>
              <w:adjustRightInd w:val="0"/>
              <w:snapToGrid w:val="0"/>
              <w:jc w:val="center"/>
              <w:rPr>
                <w:color w:val="auto"/>
                <w:szCs w:val="21"/>
              </w:rPr>
            </w:pPr>
            <w:r>
              <w:rPr>
                <w:color w:val="auto"/>
                <w:szCs w:val="21"/>
              </w:rPr>
              <w:t>名称</w:t>
            </w:r>
            <w:r>
              <w:rPr>
                <w:rFonts w:hint="eastAsia"/>
                <w:color w:val="auto"/>
                <w:szCs w:val="21"/>
                <w:lang w:eastAsia="zh-CN"/>
              </w:rPr>
              <w:t>）</w:t>
            </w:r>
            <w:r>
              <w:rPr>
                <w:color w:val="auto"/>
                <w:szCs w:val="21"/>
              </w:rPr>
              <w:t>/污染源</w:t>
            </w:r>
          </w:p>
        </w:tc>
        <w:tc>
          <w:tcPr>
            <w:tcW w:w="1223" w:type="dxa"/>
            <w:noWrap w:val="0"/>
            <w:vAlign w:val="center"/>
          </w:tcPr>
          <w:p>
            <w:pPr>
              <w:adjustRightInd w:val="0"/>
              <w:snapToGrid w:val="0"/>
              <w:jc w:val="center"/>
              <w:rPr>
                <w:color w:val="auto"/>
                <w:szCs w:val="21"/>
              </w:rPr>
            </w:pPr>
            <w:r>
              <w:rPr>
                <w:color w:val="auto"/>
                <w:szCs w:val="21"/>
              </w:rPr>
              <w:t>污染物</w:t>
            </w:r>
          </w:p>
          <w:p>
            <w:pPr>
              <w:adjustRightInd w:val="0"/>
              <w:snapToGrid w:val="0"/>
              <w:jc w:val="center"/>
              <w:rPr>
                <w:color w:val="auto"/>
                <w:szCs w:val="21"/>
              </w:rPr>
            </w:pPr>
            <w:r>
              <w:rPr>
                <w:color w:val="auto"/>
                <w:szCs w:val="21"/>
              </w:rPr>
              <w:t>项目</w:t>
            </w:r>
          </w:p>
        </w:tc>
        <w:tc>
          <w:tcPr>
            <w:tcW w:w="2580" w:type="dxa"/>
            <w:noWrap w:val="0"/>
            <w:vAlign w:val="center"/>
          </w:tcPr>
          <w:p>
            <w:pPr>
              <w:adjustRightInd w:val="0"/>
              <w:snapToGrid w:val="0"/>
              <w:jc w:val="center"/>
              <w:rPr>
                <w:color w:val="auto"/>
                <w:szCs w:val="21"/>
              </w:rPr>
            </w:pPr>
            <w:r>
              <w:rPr>
                <w:color w:val="auto"/>
                <w:szCs w:val="21"/>
              </w:rPr>
              <w:t>环境保护措施</w:t>
            </w:r>
          </w:p>
        </w:tc>
        <w:tc>
          <w:tcPr>
            <w:tcW w:w="2245" w:type="dxa"/>
            <w:noWrap w:val="0"/>
            <w:vAlign w:val="center"/>
          </w:tcPr>
          <w:p>
            <w:pPr>
              <w:adjustRightInd w:val="0"/>
              <w:snapToGrid w:val="0"/>
              <w:jc w:val="center"/>
              <w:rPr>
                <w:color w:val="auto"/>
                <w:szCs w:val="21"/>
              </w:rPr>
            </w:pPr>
            <w:r>
              <w:rPr>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vMerge w:val="restart"/>
            <w:noWrap w:val="0"/>
            <w:vAlign w:val="center"/>
          </w:tcPr>
          <w:p>
            <w:pPr>
              <w:adjustRightInd w:val="0"/>
              <w:snapToGrid w:val="0"/>
              <w:jc w:val="center"/>
              <w:rPr>
                <w:color w:val="auto"/>
                <w:szCs w:val="21"/>
              </w:rPr>
            </w:pPr>
            <w:r>
              <w:rPr>
                <w:color w:val="auto"/>
                <w:szCs w:val="21"/>
              </w:rPr>
              <w:t>大气环境</w:t>
            </w:r>
          </w:p>
        </w:tc>
        <w:tc>
          <w:tcPr>
            <w:tcW w:w="1748" w:type="dxa"/>
            <w:vMerge w:val="restart"/>
            <w:noWrap w:val="0"/>
            <w:vAlign w:val="center"/>
          </w:tcPr>
          <w:p>
            <w:pPr>
              <w:jc w:val="center"/>
              <w:rPr>
                <w:rFonts w:hint="eastAsia" w:eastAsia="宋体"/>
                <w:snapToGrid w:val="0"/>
                <w:color w:val="auto"/>
                <w:kern w:val="0"/>
                <w:szCs w:val="21"/>
                <w:lang w:val="en-US" w:eastAsia="zh-CN"/>
              </w:rPr>
            </w:pPr>
            <w:r>
              <w:rPr>
                <w:rFonts w:hint="eastAsia"/>
                <w:snapToGrid w:val="0"/>
                <w:color w:val="auto"/>
                <w:kern w:val="0"/>
                <w:szCs w:val="21"/>
                <w:lang w:val="en-US" w:eastAsia="zh-CN"/>
              </w:rPr>
              <w:t>厂界</w:t>
            </w:r>
          </w:p>
        </w:tc>
        <w:tc>
          <w:tcPr>
            <w:tcW w:w="1223" w:type="dxa"/>
            <w:noWrap w:val="0"/>
            <w:vAlign w:val="center"/>
          </w:tcPr>
          <w:p>
            <w:pPr>
              <w:jc w:val="center"/>
              <w:rPr>
                <w:snapToGrid w:val="0"/>
                <w:color w:val="auto"/>
                <w:kern w:val="0"/>
                <w:szCs w:val="21"/>
              </w:rPr>
            </w:pPr>
            <w:r>
              <w:rPr>
                <w:rFonts w:hint="eastAsia"/>
                <w:color w:val="auto"/>
                <w:szCs w:val="21"/>
              </w:rPr>
              <w:t>颗粒物</w:t>
            </w:r>
          </w:p>
        </w:tc>
        <w:tc>
          <w:tcPr>
            <w:tcW w:w="2580" w:type="dxa"/>
            <w:noWrap w:val="0"/>
            <w:vAlign w:val="center"/>
          </w:tcPr>
          <w:p>
            <w:pPr>
              <w:jc w:val="center"/>
              <w:rPr>
                <w:rFonts w:hint="default" w:eastAsia="宋体"/>
                <w:snapToGrid w:val="0"/>
                <w:color w:val="auto"/>
                <w:kern w:val="0"/>
                <w:szCs w:val="21"/>
                <w:lang w:val="en-US" w:eastAsia="zh-CN"/>
              </w:rPr>
            </w:pPr>
            <w:r>
              <w:rPr>
                <w:rFonts w:hint="eastAsia"/>
                <w:snapToGrid w:val="0"/>
                <w:color w:val="auto"/>
                <w:kern w:val="0"/>
                <w:szCs w:val="21"/>
                <w:lang w:val="en-US" w:eastAsia="zh-CN"/>
              </w:rPr>
              <w:t>车间密闭，焊接烟尘采用移动式烟尘净化器</w:t>
            </w:r>
          </w:p>
        </w:tc>
        <w:tc>
          <w:tcPr>
            <w:tcW w:w="2245" w:type="dxa"/>
            <w:vMerge w:val="restart"/>
            <w:noWrap w:val="0"/>
            <w:vAlign w:val="center"/>
          </w:tcPr>
          <w:p>
            <w:pPr>
              <w:jc w:val="center"/>
              <w:rPr>
                <w:color w:val="auto"/>
                <w:szCs w:val="21"/>
              </w:rPr>
            </w:pPr>
            <w:r>
              <w:rPr>
                <w:bCs/>
                <w:color w:val="auto"/>
                <w:szCs w:val="21"/>
                <w:lang w:bidi="ar"/>
              </w:rPr>
              <w:t>《</w:t>
            </w:r>
            <w:r>
              <w:rPr>
                <w:rFonts w:hint="eastAsia"/>
                <w:bCs/>
                <w:color w:val="auto"/>
                <w:szCs w:val="21"/>
                <w:lang w:bidi="ar"/>
              </w:rPr>
              <w:t>大气污染物综合排放标准</w:t>
            </w:r>
            <w:r>
              <w:rPr>
                <w:bCs/>
                <w:color w:val="auto"/>
                <w:szCs w:val="21"/>
                <w:lang w:bidi="ar"/>
              </w:rPr>
              <w:t>》（GB</w:t>
            </w:r>
            <w:r>
              <w:rPr>
                <w:rFonts w:hint="eastAsia"/>
                <w:bCs/>
                <w:color w:val="auto"/>
                <w:szCs w:val="21"/>
                <w:lang w:bidi="ar"/>
              </w:rPr>
              <w:t>16297-1996</w:t>
            </w:r>
            <w:r>
              <w:rPr>
                <w:bCs/>
                <w:color w:val="auto"/>
                <w:szCs w:val="21"/>
                <w:lang w:bidi="ar"/>
              </w:rPr>
              <w:t>）表</w:t>
            </w:r>
            <w:r>
              <w:rPr>
                <w:rFonts w:hint="eastAsia"/>
                <w:bCs/>
                <w:color w:val="auto"/>
                <w:szCs w:val="21"/>
                <w:lang w:bidi="ar"/>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vMerge w:val="continue"/>
            <w:noWrap w:val="0"/>
            <w:vAlign w:val="center"/>
          </w:tcPr>
          <w:p>
            <w:pPr>
              <w:adjustRightInd w:val="0"/>
              <w:snapToGrid w:val="0"/>
              <w:jc w:val="center"/>
              <w:rPr>
                <w:color w:val="auto"/>
                <w:szCs w:val="21"/>
              </w:rPr>
            </w:pPr>
          </w:p>
        </w:tc>
        <w:tc>
          <w:tcPr>
            <w:tcW w:w="1748" w:type="dxa"/>
            <w:vMerge w:val="continue"/>
            <w:noWrap w:val="0"/>
            <w:vAlign w:val="center"/>
          </w:tcPr>
          <w:p>
            <w:pPr>
              <w:jc w:val="center"/>
              <w:rPr>
                <w:rFonts w:hint="eastAsia"/>
                <w:color w:val="auto"/>
                <w:szCs w:val="21"/>
              </w:rPr>
            </w:pPr>
          </w:p>
        </w:tc>
        <w:tc>
          <w:tcPr>
            <w:tcW w:w="1223" w:type="dxa"/>
            <w:noWrap w:val="0"/>
            <w:vAlign w:val="center"/>
          </w:tcPr>
          <w:p>
            <w:pPr>
              <w:jc w:val="center"/>
              <w:rPr>
                <w:rFonts w:hint="eastAsia"/>
                <w:color w:val="auto"/>
                <w:szCs w:val="21"/>
              </w:rPr>
            </w:pPr>
            <w:r>
              <w:rPr>
                <w:rFonts w:hint="eastAsia"/>
                <w:color w:val="auto"/>
                <w:szCs w:val="21"/>
              </w:rPr>
              <w:t>非甲烷总烃</w:t>
            </w:r>
          </w:p>
        </w:tc>
        <w:tc>
          <w:tcPr>
            <w:tcW w:w="2580" w:type="dxa"/>
            <w:noWrap w:val="0"/>
            <w:vAlign w:val="center"/>
          </w:tcPr>
          <w:p>
            <w:pPr>
              <w:widowControl/>
              <w:jc w:val="center"/>
              <w:rPr>
                <w:rFonts w:hint="eastAsia"/>
                <w:bCs/>
                <w:color w:val="auto"/>
                <w:szCs w:val="21"/>
              </w:rPr>
            </w:pPr>
            <w:r>
              <w:rPr>
                <w:rFonts w:hint="eastAsia"/>
                <w:bCs/>
                <w:color w:val="auto"/>
                <w:szCs w:val="21"/>
                <w:lang w:val="en-US" w:eastAsia="zh-CN"/>
              </w:rPr>
              <w:t>选用低VOC含量胶黏剂（质量百分比小于10%）</w:t>
            </w:r>
          </w:p>
        </w:tc>
        <w:tc>
          <w:tcPr>
            <w:tcW w:w="2245" w:type="dxa"/>
            <w:vMerge w:val="continue"/>
            <w:noWrap w:val="0"/>
            <w:vAlign w:val="center"/>
          </w:tcPr>
          <w:p>
            <w:pPr>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vMerge w:val="continue"/>
            <w:noWrap w:val="0"/>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厂界</w:t>
            </w:r>
          </w:p>
        </w:tc>
        <w:tc>
          <w:tcPr>
            <w:tcW w:w="1748" w:type="dxa"/>
            <w:noWrap w:val="0"/>
            <w:vAlign w:val="center"/>
          </w:tcPr>
          <w:p>
            <w:pPr>
              <w:jc w:val="center"/>
              <w:rPr>
                <w:rFonts w:hint="eastAsia"/>
                <w:color w:val="auto"/>
                <w:szCs w:val="21"/>
              </w:rPr>
            </w:pPr>
            <w:r>
              <w:rPr>
                <w:rFonts w:hint="eastAsia"/>
                <w:color w:val="auto"/>
                <w:szCs w:val="21"/>
              </w:rPr>
              <w:t>厂区内</w:t>
            </w:r>
          </w:p>
        </w:tc>
        <w:tc>
          <w:tcPr>
            <w:tcW w:w="1223" w:type="dxa"/>
            <w:tcBorders>
              <w:top w:val="single" w:color="auto" w:sz="4" w:space="0"/>
            </w:tcBorders>
            <w:noWrap w:val="0"/>
            <w:vAlign w:val="center"/>
          </w:tcPr>
          <w:p>
            <w:pPr>
              <w:jc w:val="center"/>
              <w:rPr>
                <w:rFonts w:hint="eastAsia"/>
                <w:color w:val="auto"/>
                <w:szCs w:val="21"/>
              </w:rPr>
            </w:pPr>
            <w:r>
              <w:rPr>
                <w:rFonts w:hint="eastAsia"/>
                <w:color w:val="auto"/>
                <w:szCs w:val="21"/>
              </w:rPr>
              <w:t>非甲烷总烃</w:t>
            </w:r>
          </w:p>
        </w:tc>
        <w:tc>
          <w:tcPr>
            <w:tcW w:w="2580" w:type="dxa"/>
            <w:noWrap w:val="0"/>
            <w:vAlign w:val="center"/>
          </w:tcPr>
          <w:p>
            <w:pPr>
              <w:widowControl/>
              <w:jc w:val="center"/>
              <w:rPr>
                <w:color w:val="auto"/>
                <w:szCs w:val="21"/>
              </w:rPr>
            </w:pPr>
            <w:r>
              <w:rPr>
                <w:color w:val="auto"/>
                <w:szCs w:val="21"/>
              </w:rPr>
              <w:t>密闭车间，提高废气收集效率，减少无组织排放</w:t>
            </w:r>
            <w:r>
              <w:rPr>
                <w:rFonts w:hint="eastAsia"/>
                <w:color w:val="auto"/>
                <w:szCs w:val="21"/>
              </w:rPr>
              <w:t>，</w:t>
            </w:r>
          </w:p>
        </w:tc>
        <w:tc>
          <w:tcPr>
            <w:tcW w:w="2245" w:type="dxa"/>
            <w:noWrap w:val="0"/>
            <w:vAlign w:val="center"/>
          </w:tcPr>
          <w:p>
            <w:pPr>
              <w:jc w:val="center"/>
              <w:rPr>
                <w:bCs/>
                <w:color w:val="auto"/>
                <w:szCs w:val="21"/>
                <w:lang w:bidi="ar"/>
              </w:rPr>
            </w:pPr>
            <w:r>
              <w:rPr>
                <w:rFonts w:hint="eastAsia"/>
                <w:bCs/>
                <w:color w:val="auto"/>
                <w:szCs w:val="21"/>
                <w:lang w:bidi="ar"/>
              </w:rPr>
              <w:t>《挥发性有机物无组织排放控制标准》（</w:t>
            </w:r>
            <w:r>
              <w:rPr>
                <w:bCs/>
                <w:color w:val="auto"/>
                <w:szCs w:val="21"/>
                <w:lang w:bidi="ar"/>
              </w:rPr>
              <w:t>GB37822-2019</w:t>
            </w:r>
            <w:r>
              <w:rPr>
                <w:rFonts w:hint="eastAsia"/>
                <w:bCs/>
                <w:color w:val="auto"/>
                <w:szCs w:val="21"/>
                <w:lang w:bidi="ar"/>
              </w:rPr>
              <w:t>）中表A.1标准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noWrap w:val="0"/>
            <w:vAlign w:val="center"/>
          </w:tcPr>
          <w:p>
            <w:pPr>
              <w:adjustRightInd w:val="0"/>
              <w:snapToGrid w:val="0"/>
              <w:jc w:val="center"/>
              <w:rPr>
                <w:color w:val="auto"/>
                <w:szCs w:val="21"/>
              </w:rPr>
            </w:pPr>
            <w:r>
              <w:rPr>
                <w:color w:val="auto"/>
                <w:szCs w:val="21"/>
              </w:rPr>
              <w:t>地表水环境</w:t>
            </w:r>
          </w:p>
        </w:tc>
        <w:tc>
          <w:tcPr>
            <w:tcW w:w="1748" w:type="dxa"/>
            <w:noWrap w:val="0"/>
            <w:vAlign w:val="center"/>
          </w:tcPr>
          <w:p>
            <w:pPr>
              <w:jc w:val="center"/>
              <w:rPr>
                <w:color w:val="auto"/>
                <w:szCs w:val="21"/>
              </w:rPr>
            </w:pPr>
            <w:r>
              <w:rPr>
                <w:rFonts w:hint="eastAsia"/>
                <w:bCs/>
                <w:color w:val="auto"/>
                <w:szCs w:val="21"/>
              </w:rPr>
              <w:t>/</w:t>
            </w:r>
          </w:p>
        </w:tc>
        <w:tc>
          <w:tcPr>
            <w:tcW w:w="1223" w:type="dxa"/>
            <w:noWrap w:val="0"/>
            <w:vAlign w:val="center"/>
          </w:tcPr>
          <w:p>
            <w:pPr>
              <w:jc w:val="center"/>
              <w:rPr>
                <w:color w:val="auto"/>
                <w:szCs w:val="21"/>
              </w:rPr>
            </w:pPr>
            <w:r>
              <w:rPr>
                <w:rFonts w:hint="eastAsia"/>
                <w:bCs/>
                <w:color w:val="auto"/>
                <w:kern w:val="24"/>
                <w:szCs w:val="21"/>
              </w:rPr>
              <w:t>/</w:t>
            </w:r>
          </w:p>
        </w:tc>
        <w:tc>
          <w:tcPr>
            <w:tcW w:w="2580" w:type="dxa"/>
            <w:noWrap w:val="0"/>
            <w:vAlign w:val="center"/>
          </w:tcPr>
          <w:p>
            <w:pPr>
              <w:jc w:val="center"/>
              <w:rPr>
                <w:color w:val="auto"/>
                <w:szCs w:val="21"/>
              </w:rPr>
            </w:pPr>
            <w:r>
              <w:rPr>
                <w:rFonts w:hint="eastAsia"/>
                <w:color w:val="auto"/>
                <w:szCs w:val="21"/>
              </w:rPr>
              <w:t>/</w:t>
            </w:r>
          </w:p>
        </w:tc>
        <w:tc>
          <w:tcPr>
            <w:tcW w:w="2245" w:type="dxa"/>
            <w:noWrap w:val="0"/>
            <w:vAlign w:val="center"/>
          </w:tcPr>
          <w:p>
            <w:pPr>
              <w:jc w:val="center"/>
              <w:rPr>
                <w:color w:val="auto"/>
                <w:szCs w:val="21"/>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noWrap w:val="0"/>
            <w:vAlign w:val="center"/>
          </w:tcPr>
          <w:p>
            <w:pPr>
              <w:adjustRightInd w:val="0"/>
              <w:snapToGrid w:val="0"/>
              <w:jc w:val="center"/>
              <w:rPr>
                <w:color w:val="auto"/>
                <w:szCs w:val="21"/>
              </w:rPr>
            </w:pPr>
            <w:r>
              <w:rPr>
                <w:color w:val="auto"/>
                <w:szCs w:val="21"/>
              </w:rPr>
              <w:t>声环境</w:t>
            </w:r>
          </w:p>
        </w:tc>
        <w:tc>
          <w:tcPr>
            <w:tcW w:w="1748" w:type="dxa"/>
            <w:noWrap w:val="0"/>
            <w:vAlign w:val="center"/>
          </w:tcPr>
          <w:p>
            <w:pPr>
              <w:adjustRightInd w:val="0"/>
              <w:snapToGrid w:val="0"/>
              <w:jc w:val="center"/>
              <w:rPr>
                <w:color w:val="auto"/>
                <w:szCs w:val="21"/>
              </w:rPr>
            </w:pPr>
            <w:r>
              <w:rPr>
                <w:color w:val="auto"/>
                <w:szCs w:val="21"/>
              </w:rPr>
              <w:t>厂界</w:t>
            </w:r>
            <w:r>
              <w:rPr>
                <w:rFonts w:hint="eastAsia"/>
                <w:color w:val="auto"/>
                <w:szCs w:val="21"/>
              </w:rPr>
              <w:t>1m</w:t>
            </w:r>
          </w:p>
        </w:tc>
        <w:tc>
          <w:tcPr>
            <w:tcW w:w="1223" w:type="dxa"/>
            <w:noWrap w:val="0"/>
            <w:vAlign w:val="center"/>
          </w:tcPr>
          <w:p>
            <w:pPr>
              <w:adjustRightInd w:val="0"/>
              <w:snapToGrid w:val="0"/>
              <w:jc w:val="center"/>
              <w:rPr>
                <w:color w:val="auto"/>
                <w:szCs w:val="21"/>
              </w:rPr>
            </w:pPr>
            <w:r>
              <w:rPr>
                <w:color w:val="auto"/>
                <w:szCs w:val="21"/>
              </w:rPr>
              <w:t>设备噪声</w:t>
            </w:r>
          </w:p>
        </w:tc>
        <w:tc>
          <w:tcPr>
            <w:tcW w:w="2580" w:type="dxa"/>
            <w:noWrap w:val="0"/>
            <w:vAlign w:val="center"/>
          </w:tcPr>
          <w:p>
            <w:pPr>
              <w:adjustRightInd w:val="0"/>
              <w:snapToGrid w:val="0"/>
              <w:jc w:val="center"/>
              <w:rPr>
                <w:rFonts w:hint="eastAsia" w:eastAsia="宋体"/>
                <w:color w:val="auto"/>
                <w:szCs w:val="21"/>
                <w:lang w:eastAsia="zh-CN"/>
              </w:rPr>
            </w:pPr>
            <w:r>
              <w:rPr>
                <w:color w:val="auto"/>
                <w:szCs w:val="21"/>
              </w:rPr>
              <w:t>优先选用低噪声设备，</w:t>
            </w:r>
            <w:r>
              <w:rPr>
                <w:rFonts w:hint="eastAsia"/>
                <w:color w:val="auto"/>
                <w:szCs w:val="21"/>
              </w:rPr>
              <w:t>安装隔声罩，厂界墙体隔声</w:t>
            </w:r>
          </w:p>
        </w:tc>
        <w:tc>
          <w:tcPr>
            <w:tcW w:w="2245" w:type="dxa"/>
            <w:noWrap w:val="0"/>
            <w:vAlign w:val="center"/>
          </w:tcPr>
          <w:p>
            <w:pPr>
              <w:adjustRightInd w:val="0"/>
              <w:snapToGrid w:val="0"/>
              <w:jc w:val="center"/>
              <w:rPr>
                <w:color w:val="auto"/>
                <w:szCs w:val="21"/>
              </w:rPr>
            </w:pPr>
            <w:r>
              <w:rPr>
                <w:color w:val="auto"/>
                <w:szCs w:val="21"/>
              </w:rPr>
              <w:t>GB12348-2008《工业企业厂界环境噪声排放标准》中</w:t>
            </w:r>
            <w:r>
              <w:rPr>
                <w:rFonts w:hint="eastAsia"/>
                <w:color w:val="auto"/>
                <w:szCs w:val="21"/>
              </w:rPr>
              <w:t>3</w:t>
            </w:r>
            <w:r>
              <w:rPr>
                <w:color w:val="auto"/>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noWrap w:val="0"/>
            <w:vAlign w:val="center"/>
          </w:tcPr>
          <w:p>
            <w:pPr>
              <w:adjustRightInd w:val="0"/>
              <w:snapToGrid w:val="0"/>
              <w:jc w:val="center"/>
              <w:rPr>
                <w:color w:val="auto"/>
                <w:szCs w:val="21"/>
              </w:rPr>
            </w:pPr>
            <w:r>
              <w:rPr>
                <w:color w:val="auto"/>
                <w:szCs w:val="21"/>
              </w:rPr>
              <w:t>电磁辐射</w:t>
            </w:r>
          </w:p>
        </w:tc>
        <w:tc>
          <w:tcPr>
            <w:tcW w:w="1748" w:type="dxa"/>
            <w:noWrap w:val="0"/>
            <w:vAlign w:val="center"/>
          </w:tcPr>
          <w:p>
            <w:pPr>
              <w:adjustRightInd w:val="0"/>
              <w:snapToGrid w:val="0"/>
              <w:jc w:val="center"/>
              <w:rPr>
                <w:color w:val="auto"/>
                <w:szCs w:val="21"/>
              </w:rPr>
            </w:pPr>
            <w:r>
              <w:rPr>
                <w:color w:val="auto"/>
                <w:szCs w:val="21"/>
              </w:rPr>
              <w:t>/</w:t>
            </w:r>
          </w:p>
        </w:tc>
        <w:tc>
          <w:tcPr>
            <w:tcW w:w="1223" w:type="dxa"/>
            <w:noWrap w:val="0"/>
            <w:vAlign w:val="center"/>
          </w:tcPr>
          <w:p>
            <w:pPr>
              <w:adjustRightInd w:val="0"/>
              <w:snapToGrid w:val="0"/>
              <w:jc w:val="center"/>
              <w:rPr>
                <w:color w:val="auto"/>
                <w:szCs w:val="21"/>
              </w:rPr>
            </w:pPr>
            <w:r>
              <w:rPr>
                <w:color w:val="auto"/>
                <w:szCs w:val="21"/>
              </w:rPr>
              <w:t>/</w:t>
            </w:r>
          </w:p>
        </w:tc>
        <w:tc>
          <w:tcPr>
            <w:tcW w:w="2580" w:type="dxa"/>
            <w:noWrap w:val="0"/>
            <w:vAlign w:val="center"/>
          </w:tcPr>
          <w:p>
            <w:pPr>
              <w:adjustRightInd w:val="0"/>
              <w:snapToGrid w:val="0"/>
              <w:jc w:val="center"/>
              <w:rPr>
                <w:color w:val="auto"/>
                <w:szCs w:val="21"/>
              </w:rPr>
            </w:pPr>
            <w:r>
              <w:rPr>
                <w:color w:val="auto"/>
                <w:szCs w:val="21"/>
              </w:rPr>
              <w:t>/</w:t>
            </w:r>
          </w:p>
        </w:tc>
        <w:tc>
          <w:tcPr>
            <w:tcW w:w="2245" w:type="dxa"/>
            <w:noWrap w:val="0"/>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noWrap w:val="0"/>
            <w:vAlign w:val="center"/>
          </w:tcPr>
          <w:p>
            <w:pPr>
              <w:adjustRightInd w:val="0"/>
              <w:snapToGrid w:val="0"/>
              <w:jc w:val="center"/>
              <w:rPr>
                <w:color w:val="auto"/>
                <w:szCs w:val="21"/>
              </w:rPr>
            </w:pPr>
            <w:r>
              <w:rPr>
                <w:color w:val="auto"/>
                <w:szCs w:val="21"/>
              </w:rPr>
              <w:t>固体废物</w:t>
            </w:r>
          </w:p>
        </w:tc>
        <w:tc>
          <w:tcPr>
            <w:tcW w:w="7796" w:type="dxa"/>
            <w:gridSpan w:val="4"/>
            <w:noWrap w:val="0"/>
            <w:vAlign w:val="center"/>
          </w:tcPr>
          <w:p>
            <w:pPr>
              <w:adjustRightInd w:val="0"/>
              <w:snapToGrid w:val="0"/>
              <w:jc w:val="center"/>
              <w:rPr>
                <w:rFonts w:hint="default" w:eastAsia="宋体"/>
                <w:color w:val="auto"/>
                <w:szCs w:val="21"/>
                <w:lang w:val="en-US" w:eastAsia="zh-CN"/>
              </w:rPr>
            </w:pPr>
            <w:r>
              <w:rPr>
                <w:rFonts w:hint="eastAsia"/>
                <w:color w:val="auto"/>
                <w:szCs w:val="21"/>
              </w:rPr>
              <w:t>本项目</w:t>
            </w:r>
            <w:r>
              <w:rPr>
                <w:color w:val="auto"/>
                <w:szCs w:val="21"/>
              </w:rPr>
              <w:t>危险废物废</w:t>
            </w:r>
            <w:r>
              <w:rPr>
                <w:rFonts w:hint="eastAsia"/>
                <w:color w:val="auto"/>
                <w:szCs w:val="21"/>
                <w:lang w:val="en-US" w:eastAsia="zh-CN"/>
              </w:rPr>
              <w:t>切削液</w:t>
            </w:r>
            <w:r>
              <w:rPr>
                <w:color w:val="auto"/>
                <w:szCs w:val="21"/>
              </w:rPr>
              <w:t>、</w:t>
            </w:r>
            <w:r>
              <w:rPr>
                <w:rFonts w:hint="eastAsia"/>
                <w:color w:val="auto"/>
                <w:szCs w:val="21"/>
              </w:rPr>
              <w:t>废包装桶</w:t>
            </w:r>
            <w:r>
              <w:rPr>
                <w:color w:val="auto"/>
                <w:szCs w:val="21"/>
              </w:rPr>
              <w:t>按照危险废物管理要求收集暂存于</w:t>
            </w:r>
            <w:r>
              <w:rPr>
                <w:rFonts w:hint="eastAsia"/>
                <w:color w:val="auto"/>
                <w:szCs w:val="21"/>
              </w:rPr>
              <w:t>厂区北侧</w:t>
            </w:r>
            <w:r>
              <w:rPr>
                <w:rFonts w:hint="eastAsia"/>
                <w:color w:val="auto"/>
                <w:szCs w:val="21"/>
                <w:lang w:val="en-US" w:eastAsia="zh-CN"/>
              </w:rPr>
              <w:t>3</w:t>
            </w:r>
            <w:r>
              <w:rPr>
                <w:rFonts w:hint="eastAsia"/>
                <w:color w:val="auto"/>
                <w:szCs w:val="21"/>
              </w:rPr>
              <w:t>5m</w:t>
            </w:r>
            <w:r>
              <w:rPr>
                <w:rFonts w:hint="eastAsia"/>
                <w:color w:val="auto"/>
                <w:szCs w:val="21"/>
                <w:vertAlign w:val="superscript"/>
              </w:rPr>
              <w:t>2</w:t>
            </w:r>
            <w:r>
              <w:rPr>
                <w:rFonts w:hint="eastAsia"/>
                <w:color w:val="auto"/>
                <w:szCs w:val="21"/>
              </w:rPr>
              <w:t>危废暂存间，定期交由资质单位处理处置。</w:t>
            </w:r>
            <w:r>
              <w:rPr>
                <w:rFonts w:hint="eastAsia"/>
                <w:color w:val="auto"/>
                <w:szCs w:val="21"/>
                <w:lang w:val="en-US" w:eastAsia="zh-CN"/>
              </w:rPr>
              <w:t>一般固废分类收集暂存于一般固废间内，定期外售物资回收部门。生活垃圾交由环卫部门统一清运。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noWrap w:val="0"/>
            <w:vAlign w:val="center"/>
          </w:tcPr>
          <w:p>
            <w:pPr>
              <w:adjustRightInd w:val="0"/>
              <w:snapToGrid w:val="0"/>
              <w:jc w:val="center"/>
              <w:rPr>
                <w:color w:val="auto"/>
                <w:szCs w:val="21"/>
              </w:rPr>
            </w:pPr>
            <w:r>
              <w:rPr>
                <w:color w:val="auto"/>
                <w:szCs w:val="21"/>
              </w:rPr>
              <w:t>土壤及地</w:t>
            </w:r>
          </w:p>
          <w:p>
            <w:pPr>
              <w:adjustRightInd w:val="0"/>
              <w:snapToGrid w:val="0"/>
              <w:jc w:val="center"/>
              <w:rPr>
                <w:color w:val="auto"/>
                <w:szCs w:val="21"/>
              </w:rPr>
            </w:pPr>
            <w:r>
              <w:rPr>
                <w:color w:val="auto"/>
                <w:szCs w:val="21"/>
              </w:rPr>
              <w:t>下水污染防治措施</w:t>
            </w:r>
          </w:p>
        </w:tc>
        <w:tc>
          <w:tcPr>
            <w:tcW w:w="7796" w:type="dxa"/>
            <w:gridSpan w:val="4"/>
            <w:noWrap w:val="0"/>
            <w:vAlign w:val="center"/>
          </w:tcPr>
          <w:p>
            <w:pPr>
              <w:adjustRightInd w:val="0"/>
              <w:snapToGrid w:val="0"/>
              <w:jc w:val="center"/>
              <w:rPr>
                <w:color w:val="auto"/>
                <w:szCs w:val="21"/>
              </w:rPr>
            </w:pPr>
            <w:r>
              <w:rPr>
                <w:rFonts w:hint="eastAsia"/>
                <w:bCs/>
                <w:color w:val="auto"/>
                <w:szCs w:val="21"/>
              </w:rPr>
              <w:t>危废暂存间、辅料库重点防渗；车间地面一般防渗；厂区车间及路面简单防渗；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noWrap w:val="0"/>
            <w:vAlign w:val="center"/>
          </w:tcPr>
          <w:p>
            <w:pPr>
              <w:adjustRightInd w:val="0"/>
              <w:snapToGrid w:val="0"/>
              <w:jc w:val="center"/>
              <w:rPr>
                <w:color w:val="auto"/>
                <w:szCs w:val="21"/>
              </w:rPr>
            </w:pPr>
            <w:r>
              <w:rPr>
                <w:color w:val="auto"/>
                <w:szCs w:val="21"/>
              </w:rPr>
              <w:t>生态保护</w:t>
            </w:r>
          </w:p>
          <w:p>
            <w:pPr>
              <w:adjustRightInd w:val="0"/>
              <w:snapToGrid w:val="0"/>
              <w:jc w:val="center"/>
              <w:rPr>
                <w:color w:val="auto"/>
                <w:szCs w:val="21"/>
              </w:rPr>
            </w:pPr>
            <w:r>
              <w:rPr>
                <w:color w:val="auto"/>
                <w:szCs w:val="21"/>
              </w:rPr>
              <w:t>措施</w:t>
            </w:r>
          </w:p>
        </w:tc>
        <w:tc>
          <w:tcPr>
            <w:tcW w:w="7796" w:type="dxa"/>
            <w:gridSpan w:val="4"/>
            <w:noWrap w:val="0"/>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noWrap w:val="0"/>
            <w:vAlign w:val="center"/>
          </w:tcPr>
          <w:p>
            <w:pPr>
              <w:adjustRightInd w:val="0"/>
              <w:snapToGrid w:val="0"/>
              <w:jc w:val="center"/>
              <w:rPr>
                <w:color w:val="auto"/>
                <w:spacing w:val="-8"/>
                <w:szCs w:val="21"/>
              </w:rPr>
            </w:pPr>
            <w:r>
              <w:rPr>
                <w:color w:val="auto"/>
                <w:spacing w:val="-8"/>
                <w:szCs w:val="21"/>
              </w:rPr>
              <w:t>环境风险</w:t>
            </w:r>
          </w:p>
          <w:p>
            <w:pPr>
              <w:adjustRightInd w:val="0"/>
              <w:snapToGrid w:val="0"/>
              <w:jc w:val="center"/>
              <w:rPr>
                <w:color w:val="auto"/>
                <w:spacing w:val="-8"/>
                <w:szCs w:val="21"/>
              </w:rPr>
            </w:pPr>
            <w:r>
              <w:rPr>
                <w:color w:val="auto"/>
                <w:spacing w:val="-8"/>
                <w:szCs w:val="21"/>
              </w:rPr>
              <w:t>防范措施</w:t>
            </w:r>
          </w:p>
        </w:tc>
        <w:tc>
          <w:tcPr>
            <w:tcW w:w="7796" w:type="dxa"/>
            <w:gridSpan w:val="4"/>
            <w:noWrap w:val="0"/>
            <w:vAlign w:val="center"/>
          </w:tcPr>
          <w:p>
            <w:pPr>
              <w:adjustRightInd w:val="0"/>
              <w:snapToGrid w:val="0"/>
              <w:jc w:val="center"/>
              <w:rPr>
                <w:color w:val="auto"/>
                <w:kern w:val="0"/>
                <w:szCs w:val="21"/>
                <w:lang w:bidi="ar"/>
              </w:rPr>
            </w:pPr>
            <w:r>
              <w:rPr>
                <w:color w:val="auto"/>
                <w:kern w:val="0"/>
                <w:szCs w:val="21"/>
                <w:lang w:bidi="ar"/>
              </w:rPr>
              <w:t>加强安全教育培训和宣传；配备完善的消防措施</w:t>
            </w:r>
            <w:r>
              <w:rPr>
                <w:rFonts w:hint="eastAsia"/>
                <w:color w:val="auto"/>
                <w:kern w:val="0"/>
                <w:szCs w:val="21"/>
                <w:lang w:bidi="ar"/>
              </w:rPr>
              <w:t>；储备应急物资，危废间规范化建设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noWrap w:val="0"/>
            <w:vAlign w:val="center"/>
          </w:tcPr>
          <w:p>
            <w:pPr>
              <w:adjustRightInd w:val="0"/>
              <w:snapToGrid w:val="0"/>
              <w:jc w:val="center"/>
              <w:rPr>
                <w:color w:val="auto"/>
                <w:spacing w:val="-8"/>
                <w:szCs w:val="21"/>
              </w:rPr>
            </w:pPr>
            <w:r>
              <w:rPr>
                <w:color w:val="auto"/>
                <w:spacing w:val="-8"/>
                <w:szCs w:val="21"/>
              </w:rPr>
              <w:t>其他环境</w:t>
            </w:r>
          </w:p>
          <w:p>
            <w:pPr>
              <w:adjustRightInd w:val="0"/>
              <w:snapToGrid w:val="0"/>
              <w:jc w:val="center"/>
              <w:rPr>
                <w:color w:val="FF0000"/>
                <w:spacing w:val="-8"/>
                <w:szCs w:val="21"/>
              </w:rPr>
            </w:pPr>
            <w:r>
              <w:rPr>
                <w:color w:val="auto"/>
                <w:spacing w:val="-8"/>
                <w:szCs w:val="21"/>
              </w:rPr>
              <w:t>管理要求</w:t>
            </w:r>
          </w:p>
        </w:tc>
        <w:tc>
          <w:tcPr>
            <w:tcW w:w="7796" w:type="dxa"/>
            <w:gridSpan w:val="4"/>
            <w:noWrap w:val="0"/>
            <w:vAlign w:val="center"/>
          </w:tcPr>
          <w:p>
            <w:pPr>
              <w:spacing w:line="360" w:lineRule="auto"/>
              <w:ind w:firstLine="480"/>
              <w:jc w:val="left"/>
              <w:rPr>
                <w:b/>
                <w:bCs/>
                <w:color w:val="auto"/>
                <w:szCs w:val="21"/>
              </w:rPr>
            </w:pPr>
            <w:r>
              <w:rPr>
                <w:rFonts w:hint="eastAsia"/>
                <w:color w:val="auto"/>
                <w:szCs w:val="21"/>
              </w:rPr>
              <w:t>（1）</w:t>
            </w:r>
            <w:r>
              <w:rPr>
                <w:rFonts w:hint="eastAsia"/>
                <w:b/>
                <w:bCs/>
                <w:color w:val="auto"/>
                <w:szCs w:val="21"/>
              </w:rPr>
              <w:t>与《安徽省生态环境厅关于统筹做好固定污染源排污许可日常监管工作的通知》（皖环发</w:t>
            </w:r>
            <w:r>
              <w:rPr>
                <w:rFonts w:hint="eastAsia"/>
                <w:b/>
                <w:bCs/>
                <w:color w:val="auto"/>
                <w:szCs w:val="21"/>
                <w:lang w:eastAsia="zh-CN"/>
              </w:rPr>
              <w:t>〔</w:t>
            </w:r>
            <w:r>
              <w:rPr>
                <w:b/>
                <w:bCs/>
                <w:color w:val="auto"/>
                <w:szCs w:val="21"/>
              </w:rPr>
              <w:t>2021</w:t>
            </w:r>
            <w:r>
              <w:rPr>
                <w:rFonts w:hint="eastAsia"/>
                <w:b/>
                <w:bCs/>
                <w:color w:val="auto"/>
                <w:szCs w:val="21"/>
                <w:lang w:eastAsia="zh-CN"/>
              </w:rPr>
              <w:t>〕</w:t>
            </w:r>
            <w:r>
              <w:rPr>
                <w:b/>
                <w:bCs/>
                <w:color w:val="auto"/>
                <w:szCs w:val="21"/>
              </w:rPr>
              <w:t>7</w:t>
            </w:r>
            <w:r>
              <w:rPr>
                <w:rFonts w:hint="eastAsia"/>
                <w:b/>
                <w:bCs/>
                <w:color w:val="auto"/>
                <w:szCs w:val="21"/>
              </w:rPr>
              <w:t>号）的衔接</w:t>
            </w:r>
          </w:p>
          <w:p>
            <w:pPr>
              <w:adjustRightInd w:val="0"/>
              <w:snapToGrid w:val="0"/>
              <w:spacing w:line="360" w:lineRule="auto"/>
              <w:ind w:firstLine="420" w:firstLineChars="200"/>
              <w:jc w:val="left"/>
              <w:rPr>
                <w:rFonts w:hint="eastAsia"/>
                <w:bCs/>
                <w:color w:val="auto"/>
                <w:szCs w:val="21"/>
              </w:rPr>
            </w:pPr>
            <w:r>
              <w:rPr>
                <w:rFonts w:hint="eastAsia"/>
                <w:bCs/>
                <w:color w:val="auto"/>
                <w:szCs w:val="21"/>
              </w:rPr>
              <w:t>（</w:t>
            </w:r>
            <w:r>
              <w:rPr>
                <w:bCs/>
                <w:color w:val="auto"/>
                <w:szCs w:val="21"/>
              </w:rPr>
              <w:t>1</w:t>
            </w:r>
            <w:r>
              <w:rPr>
                <w:rFonts w:hint="eastAsia"/>
                <w:bCs/>
                <w:color w:val="auto"/>
                <w:szCs w:val="21"/>
              </w:rPr>
              <w:t>）根据《</w:t>
            </w:r>
            <w:r>
              <w:rPr>
                <w:bCs/>
                <w:color w:val="auto"/>
                <w:szCs w:val="21"/>
              </w:rPr>
              <w:t>2017</w:t>
            </w:r>
            <w:r>
              <w:rPr>
                <w:rFonts w:hint="eastAsia"/>
                <w:bCs/>
                <w:color w:val="auto"/>
                <w:szCs w:val="21"/>
              </w:rPr>
              <w:t>年国民经济行业分类注释》（按第</w:t>
            </w:r>
            <w:r>
              <w:rPr>
                <w:bCs/>
                <w:color w:val="auto"/>
                <w:szCs w:val="21"/>
              </w:rPr>
              <w:t>1</w:t>
            </w:r>
            <w:r>
              <w:rPr>
                <w:rFonts w:hint="eastAsia"/>
                <w:bCs/>
                <w:color w:val="auto"/>
                <w:szCs w:val="21"/>
              </w:rPr>
              <w:t>号修改单修订），本次工程属于</w:t>
            </w:r>
            <w:r>
              <w:rPr>
                <w:rFonts w:hint="eastAsia"/>
                <w:bCs/>
                <w:color w:val="auto"/>
                <w:szCs w:val="21"/>
                <w:lang w:eastAsia="zh-CN"/>
              </w:rPr>
              <w:t>“</w:t>
            </w:r>
            <w:r>
              <w:rPr>
                <w:color w:val="auto"/>
                <w:szCs w:val="21"/>
              </w:rPr>
              <w:t>C</w:t>
            </w:r>
            <w:r>
              <w:rPr>
                <w:rFonts w:hint="eastAsia"/>
                <w:color w:val="auto"/>
                <w:szCs w:val="21"/>
              </w:rPr>
              <w:t>3</w:t>
            </w:r>
            <w:r>
              <w:rPr>
                <w:rFonts w:hint="eastAsia"/>
                <w:color w:val="auto"/>
                <w:szCs w:val="21"/>
                <w:lang w:val="en-US" w:eastAsia="zh-CN"/>
              </w:rPr>
              <w:t>562</w:t>
            </w:r>
            <w:r>
              <w:rPr>
                <w:rFonts w:hint="eastAsia"/>
                <w:color w:val="auto"/>
                <w:szCs w:val="21"/>
              </w:rPr>
              <w:t>半导体器件专用设备制造</w:t>
            </w:r>
            <w:r>
              <w:rPr>
                <w:rFonts w:hint="eastAsia"/>
                <w:bCs/>
                <w:color w:val="auto"/>
                <w:szCs w:val="21"/>
                <w:lang w:eastAsia="zh-CN"/>
              </w:rPr>
              <w:t>”</w:t>
            </w:r>
            <w:r>
              <w:rPr>
                <w:rFonts w:hint="eastAsia"/>
                <w:bCs/>
                <w:color w:val="auto"/>
                <w:szCs w:val="21"/>
              </w:rPr>
              <w:t>，</w:t>
            </w:r>
            <w:r>
              <w:rPr>
                <w:rFonts w:hint="eastAsia"/>
                <w:bCs/>
                <w:color w:val="auto"/>
                <w:szCs w:val="21"/>
                <w:lang w:val="en-US" w:eastAsia="zh-CN"/>
              </w:rPr>
              <w:t>不涉及通用工序，</w:t>
            </w:r>
            <w:r>
              <w:rPr>
                <w:rFonts w:hint="eastAsia"/>
                <w:bCs/>
                <w:color w:val="auto"/>
                <w:szCs w:val="21"/>
              </w:rPr>
              <w:t>按照《固定污染源排污许可分类管理名录（</w:t>
            </w:r>
            <w:r>
              <w:rPr>
                <w:bCs/>
                <w:color w:val="auto"/>
                <w:szCs w:val="21"/>
              </w:rPr>
              <w:t>2019</w:t>
            </w:r>
            <w:r>
              <w:rPr>
                <w:rFonts w:hint="eastAsia"/>
                <w:bCs/>
                <w:color w:val="auto"/>
                <w:szCs w:val="21"/>
              </w:rPr>
              <w:t>版）》（生态环境部令</w:t>
            </w:r>
            <w:r>
              <w:rPr>
                <w:bCs/>
                <w:color w:val="auto"/>
                <w:szCs w:val="21"/>
              </w:rPr>
              <w:t>2019</w:t>
            </w:r>
            <w:r>
              <w:rPr>
                <w:rFonts w:hint="eastAsia"/>
                <w:bCs/>
                <w:color w:val="auto"/>
                <w:szCs w:val="21"/>
              </w:rPr>
              <w:t>第</w:t>
            </w:r>
            <w:r>
              <w:rPr>
                <w:bCs/>
                <w:color w:val="auto"/>
                <w:szCs w:val="21"/>
              </w:rPr>
              <w:t>11</w:t>
            </w:r>
            <w:r>
              <w:rPr>
                <w:rFonts w:hint="eastAsia"/>
                <w:bCs/>
                <w:color w:val="auto"/>
                <w:szCs w:val="21"/>
              </w:rPr>
              <w:t>号），本项目为登记管理；不涉及通用工序重点管理、简化管理的，应为登记管理。</w:t>
            </w:r>
          </w:p>
          <w:p>
            <w:pPr>
              <w:adjustRightInd w:val="0"/>
              <w:snapToGrid w:val="0"/>
              <w:spacing w:line="360" w:lineRule="auto"/>
              <w:ind w:firstLine="420" w:firstLineChars="200"/>
              <w:jc w:val="left"/>
              <w:rPr>
                <w:bCs/>
                <w:color w:val="auto"/>
                <w:szCs w:val="21"/>
              </w:rPr>
            </w:pPr>
            <w:r>
              <w:rPr>
                <w:rFonts w:hint="eastAsia"/>
                <w:bCs/>
                <w:color w:val="auto"/>
                <w:szCs w:val="21"/>
              </w:rPr>
              <w:t>（</w:t>
            </w:r>
            <w:r>
              <w:rPr>
                <w:bCs/>
                <w:color w:val="auto"/>
                <w:szCs w:val="21"/>
              </w:rPr>
              <w:t>2</w:t>
            </w:r>
            <w:r>
              <w:rPr>
                <w:rFonts w:hint="eastAsia"/>
                <w:bCs/>
                <w:color w:val="auto"/>
                <w:szCs w:val="21"/>
              </w:rPr>
              <w:t>）项目环保竣工验收：建设单位应根据环保竣工验收相关要求，自主开展环境保护竣工验收相关工作。建设项目配套建设的环境保护设施经验收合格，方可投入生产或者使用，未经验收或者验收不合格的，不得投入生产或者使用。</w:t>
            </w:r>
          </w:p>
          <w:p>
            <w:pPr>
              <w:pStyle w:val="126"/>
              <w:ind w:firstLine="420"/>
              <w:rPr>
                <w:color w:val="FF0000"/>
                <w:sz w:val="21"/>
                <w:szCs w:val="21"/>
              </w:rPr>
            </w:pPr>
          </w:p>
        </w:tc>
      </w:tr>
    </w:tbl>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auto"/>
          <w:sz w:val="28"/>
          <w:szCs w:val="28"/>
        </w:rPr>
      </w:pPr>
      <w:r>
        <w:rPr>
          <w:rFonts w:ascii="Times New Roman" w:hAnsi="Times New Roman"/>
          <w:snapToGrid w:val="0"/>
          <w:color w:val="FF0000"/>
          <w:sz w:val="21"/>
          <w:szCs w:val="21"/>
        </w:rPr>
        <w:br w:type="page"/>
      </w:r>
      <w:r>
        <w:rPr>
          <w:rFonts w:ascii="Times New Roman" w:hAnsi="Times New Roman" w:eastAsia="黑体"/>
          <w:snapToGrid w:val="0"/>
          <w:color w:val="auto"/>
          <w:sz w:val="28"/>
          <w:szCs w:val="28"/>
        </w:rPr>
        <w:t>六、结论</w:t>
      </w:r>
    </w:p>
    <w:tbl>
      <w:tblPr>
        <w:tblStyle w:val="4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11" w:hRule="atLeast"/>
          <w:jc w:val="center"/>
        </w:trPr>
        <w:tc>
          <w:tcPr>
            <w:tcW w:w="8865" w:type="dxa"/>
            <w:noWrap w:val="0"/>
            <w:vAlign w:val="top"/>
          </w:tcPr>
          <w:p>
            <w:pPr>
              <w:spacing w:line="360" w:lineRule="auto"/>
              <w:ind w:firstLine="420" w:firstLineChars="200"/>
              <w:jc w:val="both"/>
              <w:rPr>
                <w:color w:val="auto"/>
                <w:szCs w:val="21"/>
              </w:rPr>
            </w:pPr>
            <w:r>
              <w:rPr>
                <w:snapToGrid w:val="0"/>
                <w:color w:val="auto"/>
                <w:kern w:val="0"/>
                <w:szCs w:val="21"/>
              </w:rPr>
              <w:t>本项目为</w:t>
            </w:r>
            <w:r>
              <w:rPr>
                <w:rFonts w:hint="eastAsia"/>
                <w:color w:val="auto"/>
                <w:kern w:val="0"/>
                <w:szCs w:val="21"/>
              </w:rPr>
              <w:t>科沛达半导体清洗设备制造项目</w:t>
            </w:r>
            <w:r>
              <w:rPr>
                <w:snapToGrid w:val="0"/>
                <w:color w:val="auto"/>
                <w:kern w:val="0"/>
                <w:szCs w:val="21"/>
              </w:rPr>
              <w:t>，选址于</w:t>
            </w:r>
            <w:r>
              <w:rPr>
                <w:rFonts w:hint="eastAsia"/>
                <w:color w:val="auto"/>
                <w:kern w:val="0"/>
                <w:szCs w:val="21"/>
              </w:rPr>
              <w:t>淮南安成经济开发区</w:t>
            </w:r>
            <w:r>
              <w:rPr>
                <w:snapToGrid w:val="0"/>
                <w:color w:val="auto"/>
                <w:kern w:val="0"/>
                <w:szCs w:val="21"/>
              </w:rPr>
              <w:t>，</w:t>
            </w:r>
            <w:r>
              <w:rPr>
                <w:rFonts w:hint="eastAsia"/>
                <w:snapToGrid w:val="0"/>
                <w:color w:val="auto"/>
                <w:kern w:val="0"/>
                <w:szCs w:val="21"/>
                <w:lang w:val="en-US" w:eastAsia="zh-CN"/>
              </w:rPr>
              <w:t>项目</w:t>
            </w:r>
            <w:r>
              <w:rPr>
                <w:snapToGrid w:val="0"/>
                <w:color w:val="auto"/>
                <w:kern w:val="0"/>
                <w:szCs w:val="21"/>
              </w:rPr>
              <w:t>符合国家及地方产业政策，选址符合用地规划要求；项目生产过程中产生的污染在采取有效的治理措施之后，对周围环境影响较小，不会改变当地环境质量现状；同时本项目对周边环境产生的影响较小，事故风险水平可被接受。因此，从环保的角度出发，该项目在坚持</w:t>
            </w:r>
            <w:r>
              <w:rPr>
                <w:rFonts w:hint="eastAsia"/>
                <w:snapToGrid w:val="0"/>
                <w:color w:val="auto"/>
                <w:kern w:val="0"/>
                <w:szCs w:val="21"/>
                <w:lang w:eastAsia="zh-CN"/>
              </w:rPr>
              <w:t>“</w:t>
            </w:r>
            <w:r>
              <w:rPr>
                <w:snapToGrid w:val="0"/>
                <w:color w:val="auto"/>
                <w:kern w:val="0"/>
                <w:szCs w:val="21"/>
              </w:rPr>
              <w:t>三同时</w:t>
            </w:r>
            <w:r>
              <w:rPr>
                <w:rFonts w:hint="eastAsia"/>
                <w:snapToGrid w:val="0"/>
                <w:color w:val="auto"/>
                <w:kern w:val="0"/>
                <w:szCs w:val="21"/>
                <w:lang w:eastAsia="zh-CN"/>
              </w:rPr>
              <w:t>”</w:t>
            </w:r>
            <w:r>
              <w:rPr>
                <w:snapToGrid w:val="0"/>
                <w:color w:val="auto"/>
                <w:kern w:val="0"/>
                <w:szCs w:val="21"/>
              </w:rPr>
              <w:t>原则并按照本报告中提出的各项环保措施治理后是可行的。</w:t>
            </w:r>
          </w:p>
        </w:tc>
      </w:tr>
    </w:tbl>
    <w:p>
      <w:pPr>
        <w:rPr>
          <w:color w:val="FF0000"/>
        </w:rPr>
        <w:sectPr>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pPr>
        <w:bidi w:val="0"/>
        <w:rPr>
          <w:rFonts w:hint="eastAsia" w:ascii="黑体" w:hAnsi="黑体" w:eastAsia="黑体" w:cs="黑体"/>
          <w:color w:val="auto"/>
          <w:sz w:val="32"/>
          <w:szCs w:val="32"/>
        </w:rPr>
      </w:pPr>
      <w:r>
        <w:rPr>
          <w:rFonts w:hint="eastAsia" w:ascii="黑体" w:hAnsi="黑体" w:eastAsia="黑体" w:cs="黑体"/>
          <w:color w:val="auto"/>
          <w:sz w:val="32"/>
          <w:szCs w:val="32"/>
        </w:rPr>
        <w:t>附表</w:t>
      </w:r>
    </w:p>
    <w:p>
      <w:pPr>
        <w:bidi w:val="0"/>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建设项目污染物排放量汇总表</w:t>
      </w:r>
    </w:p>
    <w:tbl>
      <w:tblPr>
        <w:tblStyle w:val="44"/>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634"/>
        <w:gridCol w:w="1626"/>
        <w:gridCol w:w="1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588" w:type="dxa"/>
            <w:tcBorders>
              <w:tl2br w:val="single" w:color="auto" w:sz="4" w:space="0"/>
            </w:tcBorders>
            <w:noWrap w:val="0"/>
            <w:tcMar>
              <w:left w:w="28" w:type="dxa"/>
              <w:right w:w="28" w:type="dxa"/>
            </w:tcMar>
            <w:vAlign w:val="center"/>
          </w:tcPr>
          <w:p>
            <w:pPr>
              <w:bidi w:val="0"/>
              <w:jc w:val="right"/>
              <w:rPr>
                <w:color w:val="auto"/>
                <w:lang w:val="en-US" w:eastAsia="zh-CN"/>
              </w:rPr>
            </w:pPr>
            <w:r>
              <w:rPr>
                <w:color w:val="auto"/>
                <w:lang w:val="en-US" w:eastAsia="zh-CN"/>
              </w:rPr>
              <w:t>项目</w:t>
            </w:r>
          </w:p>
          <w:p>
            <w:pPr>
              <w:bidi w:val="0"/>
              <w:jc w:val="left"/>
              <w:rPr>
                <w:color w:val="auto"/>
                <w:lang w:val="en-US" w:eastAsia="zh-CN"/>
              </w:rPr>
            </w:pPr>
            <w:r>
              <w:rPr>
                <w:color w:val="auto"/>
                <w:lang w:val="en-US" w:eastAsia="zh-CN"/>
              </w:rPr>
              <w:t>分类</w:t>
            </w:r>
          </w:p>
        </w:tc>
        <w:tc>
          <w:tcPr>
            <w:tcW w:w="1417" w:type="dxa"/>
            <w:noWrap w:val="0"/>
            <w:tcMar>
              <w:left w:w="28" w:type="dxa"/>
              <w:right w:w="28" w:type="dxa"/>
            </w:tcMar>
            <w:vAlign w:val="center"/>
          </w:tcPr>
          <w:p>
            <w:pPr>
              <w:bidi w:val="0"/>
              <w:jc w:val="center"/>
              <w:rPr>
                <w:color w:val="auto"/>
                <w:lang w:val="en-US" w:eastAsia="zh-CN"/>
              </w:rPr>
            </w:pPr>
            <w:r>
              <w:rPr>
                <w:color w:val="auto"/>
                <w:lang w:val="en-US" w:eastAsia="zh-CN"/>
              </w:rPr>
              <w:t>污染物名称</w:t>
            </w:r>
          </w:p>
        </w:tc>
        <w:tc>
          <w:tcPr>
            <w:tcW w:w="1701" w:type="dxa"/>
            <w:noWrap w:val="0"/>
            <w:tcMar>
              <w:left w:w="28" w:type="dxa"/>
              <w:right w:w="28" w:type="dxa"/>
            </w:tcMar>
            <w:vAlign w:val="center"/>
          </w:tcPr>
          <w:p>
            <w:pPr>
              <w:bidi w:val="0"/>
              <w:jc w:val="center"/>
              <w:rPr>
                <w:color w:val="auto"/>
                <w:lang w:val="en-US" w:eastAsia="zh-CN"/>
              </w:rPr>
            </w:pPr>
            <w:r>
              <w:rPr>
                <w:color w:val="auto"/>
                <w:lang w:val="en-US" w:eastAsia="zh-CN"/>
              </w:rPr>
              <w:t>现有工程排放量（固体废物产生量）</w:t>
            </w:r>
            <w:r>
              <w:rPr>
                <w:color w:val="auto"/>
                <w:lang w:val="en-US" w:eastAsia="zh-CN"/>
              </w:rPr>
              <w:fldChar w:fldCharType="begin"/>
            </w:r>
            <w:r>
              <w:rPr>
                <w:color w:val="auto"/>
                <w:lang w:val="en-US" w:eastAsia="zh-CN"/>
              </w:rPr>
              <w:instrText xml:space="preserve"> = 1 \* GB3 \* MERGEFORMAT </w:instrText>
            </w:r>
            <w:r>
              <w:rPr>
                <w:color w:val="auto"/>
                <w:lang w:val="en-US" w:eastAsia="zh-CN"/>
              </w:rPr>
              <w:fldChar w:fldCharType="separate"/>
            </w:r>
            <w:r>
              <w:rPr>
                <w:rFonts w:hint="eastAsia"/>
                <w:color w:val="auto"/>
                <w:lang w:val="en-US" w:eastAsia="zh-CN"/>
              </w:rPr>
              <w:t>①</w:t>
            </w:r>
            <w:r>
              <w:rPr>
                <w:color w:val="auto"/>
                <w:lang w:val="en-US" w:eastAsia="zh-CN"/>
              </w:rPr>
              <w:fldChar w:fldCharType="end"/>
            </w:r>
          </w:p>
        </w:tc>
        <w:tc>
          <w:tcPr>
            <w:tcW w:w="1276" w:type="dxa"/>
            <w:noWrap w:val="0"/>
            <w:tcMar>
              <w:left w:w="28" w:type="dxa"/>
              <w:right w:w="28" w:type="dxa"/>
            </w:tcMar>
            <w:vAlign w:val="center"/>
          </w:tcPr>
          <w:p>
            <w:pPr>
              <w:bidi w:val="0"/>
              <w:jc w:val="center"/>
              <w:rPr>
                <w:color w:val="auto"/>
                <w:lang w:val="en-US" w:eastAsia="zh-CN"/>
              </w:rPr>
            </w:pPr>
            <w:r>
              <w:rPr>
                <w:color w:val="auto"/>
                <w:lang w:val="en-US" w:eastAsia="zh-CN"/>
              </w:rPr>
              <w:t>现有工程许可排放量</w:t>
            </w:r>
          </w:p>
          <w:p>
            <w:pPr>
              <w:bidi w:val="0"/>
              <w:jc w:val="center"/>
              <w:rPr>
                <w:color w:val="auto"/>
                <w:lang w:val="en-US" w:eastAsia="zh-CN"/>
              </w:rPr>
            </w:pPr>
            <w:r>
              <w:rPr>
                <w:color w:val="auto"/>
                <w:lang w:val="en-US" w:eastAsia="zh-CN"/>
              </w:rPr>
              <w:fldChar w:fldCharType="begin"/>
            </w:r>
            <w:r>
              <w:rPr>
                <w:color w:val="auto"/>
                <w:lang w:val="en-US" w:eastAsia="zh-CN"/>
              </w:rPr>
              <w:instrText xml:space="preserve"> = 2 \* GB3 \* MERGEFORMAT </w:instrText>
            </w:r>
            <w:r>
              <w:rPr>
                <w:color w:val="auto"/>
                <w:lang w:val="en-US" w:eastAsia="zh-CN"/>
              </w:rPr>
              <w:fldChar w:fldCharType="separate"/>
            </w:r>
            <w:r>
              <w:rPr>
                <w:rFonts w:hint="eastAsia"/>
                <w:color w:val="auto"/>
                <w:lang w:val="en-US" w:eastAsia="zh-CN"/>
              </w:rPr>
              <w:t>②</w:t>
            </w:r>
            <w:r>
              <w:rPr>
                <w:color w:val="auto"/>
                <w:lang w:val="en-US" w:eastAsia="zh-CN"/>
              </w:rPr>
              <w:fldChar w:fldCharType="end"/>
            </w:r>
          </w:p>
        </w:tc>
        <w:tc>
          <w:tcPr>
            <w:tcW w:w="1701" w:type="dxa"/>
            <w:noWrap w:val="0"/>
            <w:tcMar>
              <w:left w:w="28" w:type="dxa"/>
              <w:right w:w="28" w:type="dxa"/>
            </w:tcMar>
            <w:vAlign w:val="center"/>
          </w:tcPr>
          <w:p>
            <w:pPr>
              <w:bidi w:val="0"/>
              <w:jc w:val="center"/>
              <w:rPr>
                <w:color w:val="auto"/>
                <w:lang w:val="en-US" w:eastAsia="zh-CN"/>
              </w:rPr>
            </w:pPr>
            <w:r>
              <w:rPr>
                <w:color w:val="auto"/>
                <w:lang w:val="en-US" w:eastAsia="zh-CN"/>
              </w:rPr>
              <w:t>在建工程排放量（固体废物产生量）</w:t>
            </w:r>
            <w:r>
              <w:rPr>
                <w:color w:val="auto"/>
                <w:lang w:val="en-US" w:eastAsia="zh-CN"/>
              </w:rPr>
              <w:fldChar w:fldCharType="begin"/>
            </w:r>
            <w:r>
              <w:rPr>
                <w:color w:val="auto"/>
                <w:lang w:val="en-US" w:eastAsia="zh-CN"/>
              </w:rPr>
              <w:instrText xml:space="preserve"> = 3 \* GB3 \* MERGEFORMAT </w:instrText>
            </w:r>
            <w:r>
              <w:rPr>
                <w:color w:val="auto"/>
                <w:lang w:val="en-US" w:eastAsia="zh-CN"/>
              </w:rPr>
              <w:fldChar w:fldCharType="separate"/>
            </w:r>
            <w:r>
              <w:rPr>
                <w:rFonts w:hint="eastAsia"/>
                <w:color w:val="auto"/>
                <w:lang w:val="en-US" w:eastAsia="zh-CN"/>
              </w:rPr>
              <w:t>③</w:t>
            </w:r>
            <w:r>
              <w:rPr>
                <w:color w:val="auto"/>
                <w:lang w:val="en-US" w:eastAsia="zh-CN"/>
              </w:rPr>
              <w:fldChar w:fldCharType="end"/>
            </w:r>
          </w:p>
        </w:tc>
        <w:tc>
          <w:tcPr>
            <w:tcW w:w="1559" w:type="dxa"/>
            <w:noWrap w:val="0"/>
            <w:tcMar>
              <w:left w:w="28" w:type="dxa"/>
              <w:right w:w="28" w:type="dxa"/>
            </w:tcMar>
            <w:vAlign w:val="center"/>
          </w:tcPr>
          <w:p>
            <w:pPr>
              <w:bidi w:val="0"/>
              <w:jc w:val="center"/>
              <w:rPr>
                <w:color w:val="auto"/>
                <w:lang w:val="en-US" w:eastAsia="zh-CN"/>
              </w:rPr>
            </w:pPr>
            <w:r>
              <w:rPr>
                <w:color w:val="auto"/>
                <w:lang w:val="en-US" w:eastAsia="zh-CN"/>
              </w:rPr>
              <w:t>本项目排放量（固体废物产生量）</w:t>
            </w:r>
            <w:r>
              <w:rPr>
                <w:color w:val="auto"/>
                <w:lang w:val="en-US" w:eastAsia="zh-CN"/>
              </w:rPr>
              <w:fldChar w:fldCharType="begin"/>
            </w:r>
            <w:r>
              <w:rPr>
                <w:color w:val="auto"/>
                <w:lang w:val="en-US" w:eastAsia="zh-CN"/>
              </w:rPr>
              <w:instrText xml:space="preserve"> = 4 \* GB3 \* MERGEFORMAT </w:instrText>
            </w:r>
            <w:r>
              <w:rPr>
                <w:color w:val="auto"/>
                <w:lang w:val="en-US" w:eastAsia="zh-CN"/>
              </w:rPr>
              <w:fldChar w:fldCharType="separate"/>
            </w:r>
            <w:r>
              <w:rPr>
                <w:rFonts w:hint="eastAsia"/>
                <w:color w:val="auto"/>
                <w:lang w:val="en-US" w:eastAsia="zh-CN"/>
              </w:rPr>
              <w:t>④</w:t>
            </w:r>
            <w:r>
              <w:rPr>
                <w:color w:val="auto"/>
                <w:lang w:val="en-US" w:eastAsia="zh-CN"/>
              </w:rPr>
              <w:fldChar w:fldCharType="end"/>
            </w:r>
          </w:p>
        </w:tc>
        <w:tc>
          <w:tcPr>
            <w:tcW w:w="1634" w:type="dxa"/>
            <w:noWrap w:val="0"/>
            <w:tcMar>
              <w:left w:w="28" w:type="dxa"/>
              <w:right w:w="28" w:type="dxa"/>
            </w:tcMar>
            <w:vAlign w:val="center"/>
          </w:tcPr>
          <w:p>
            <w:pPr>
              <w:bidi w:val="0"/>
              <w:jc w:val="center"/>
              <w:rPr>
                <w:color w:val="auto"/>
                <w:lang w:val="en-US" w:eastAsia="zh-CN"/>
              </w:rPr>
            </w:pPr>
            <w:r>
              <w:rPr>
                <w:color w:val="auto"/>
                <w:lang w:val="en-US" w:eastAsia="zh-CN"/>
              </w:rPr>
              <w:t>以新带老削减量（新建项目不填）</w:t>
            </w:r>
            <w:r>
              <w:rPr>
                <w:color w:val="auto"/>
                <w:lang w:val="en-US" w:eastAsia="zh-CN"/>
              </w:rPr>
              <w:fldChar w:fldCharType="begin"/>
            </w:r>
            <w:r>
              <w:rPr>
                <w:color w:val="auto"/>
                <w:lang w:val="en-US" w:eastAsia="zh-CN"/>
              </w:rPr>
              <w:instrText xml:space="preserve"> = 5 \* GB3 \* MERGEFORMAT </w:instrText>
            </w:r>
            <w:r>
              <w:rPr>
                <w:color w:val="auto"/>
                <w:lang w:val="en-US" w:eastAsia="zh-CN"/>
              </w:rPr>
              <w:fldChar w:fldCharType="separate"/>
            </w:r>
            <w:r>
              <w:rPr>
                <w:rFonts w:hint="eastAsia"/>
                <w:color w:val="auto"/>
                <w:lang w:val="en-US" w:eastAsia="zh-CN"/>
              </w:rPr>
              <w:t>⑤</w:t>
            </w:r>
            <w:r>
              <w:rPr>
                <w:color w:val="auto"/>
                <w:lang w:val="en-US" w:eastAsia="zh-CN"/>
              </w:rPr>
              <w:fldChar w:fldCharType="end"/>
            </w:r>
          </w:p>
        </w:tc>
        <w:tc>
          <w:tcPr>
            <w:tcW w:w="1626" w:type="dxa"/>
            <w:noWrap w:val="0"/>
            <w:tcMar>
              <w:left w:w="28" w:type="dxa"/>
              <w:right w:w="28" w:type="dxa"/>
            </w:tcMar>
            <w:vAlign w:val="center"/>
          </w:tcPr>
          <w:p>
            <w:pPr>
              <w:bidi w:val="0"/>
              <w:jc w:val="center"/>
              <w:rPr>
                <w:color w:val="auto"/>
                <w:lang w:val="en-US" w:eastAsia="zh-CN"/>
              </w:rPr>
            </w:pPr>
            <w:r>
              <w:rPr>
                <w:color w:val="auto"/>
                <w:lang w:val="en-US" w:eastAsia="zh-CN"/>
              </w:rPr>
              <w:t>本项目建成后全厂排放量（固体废物产生量）</w:t>
            </w:r>
            <w:r>
              <w:rPr>
                <w:color w:val="auto"/>
                <w:lang w:val="en-US" w:eastAsia="zh-CN"/>
              </w:rPr>
              <w:fldChar w:fldCharType="begin"/>
            </w:r>
            <w:r>
              <w:rPr>
                <w:color w:val="auto"/>
                <w:lang w:val="en-US" w:eastAsia="zh-CN"/>
              </w:rPr>
              <w:instrText xml:space="preserve"> = 6 \* GB3 \* MERGEFORMAT </w:instrText>
            </w:r>
            <w:r>
              <w:rPr>
                <w:color w:val="auto"/>
                <w:lang w:val="en-US" w:eastAsia="zh-CN"/>
              </w:rPr>
              <w:fldChar w:fldCharType="separate"/>
            </w:r>
            <w:r>
              <w:rPr>
                <w:rFonts w:hint="eastAsia"/>
                <w:color w:val="auto"/>
                <w:lang w:val="en-US" w:eastAsia="zh-CN"/>
              </w:rPr>
              <w:t>⑥</w:t>
            </w:r>
            <w:r>
              <w:rPr>
                <w:color w:val="auto"/>
                <w:lang w:val="en-US" w:eastAsia="zh-CN"/>
              </w:rPr>
              <w:fldChar w:fldCharType="end"/>
            </w:r>
          </w:p>
        </w:tc>
        <w:tc>
          <w:tcPr>
            <w:tcW w:w="1286" w:type="dxa"/>
            <w:noWrap w:val="0"/>
            <w:tcMar>
              <w:left w:w="28" w:type="dxa"/>
              <w:right w:w="28" w:type="dxa"/>
            </w:tcMar>
            <w:vAlign w:val="center"/>
          </w:tcPr>
          <w:p>
            <w:pPr>
              <w:bidi w:val="0"/>
              <w:jc w:val="center"/>
              <w:rPr>
                <w:color w:val="auto"/>
                <w:lang w:val="en-US" w:eastAsia="zh-CN"/>
              </w:rPr>
            </w:pPr>
            <w:r>
              <w:rPr>
                <w:color w:val="auto"/>
                <w:lang w:val="en-US" w:eastAsia="zh-CN"/>
              </w:rPr>
              <w:t>变化量</w:t>
            </w:r>
            <w:r>
              <w:rPr>
                <w:color w:val="auto"/>
                <w:lang w:val="en-US" w:eastAsia="zh-CN"/>
              </w:rPr>
              <w:fldChar w:fldCharType="begin"/>
            </w:r>
            <w:r>
              <w:rPr>
                <w:color w:val="auto"/>
                <w:lang w:val="en-US" w:eastAsia="zh-CN"/>
              </w:rPr>
              <w:instrText xml:space="preserve"> = 7 \* GB3 \* MERGEFORMAT </w:instrText>
            </w:r>
            <w:r>
              <w:rPr>
                <w:color w:val="auto"/>
                <w:lang w:val="en-US" w:eastAsia="zh-CN"/>
              </w:rPr>
              <w:fldChar w:fldCharType="separate"/>
            </w:r>
            <w:r>
              <w:rPr>
                <w:rFonts w:hint="eastAsia"/>
                <w:color w:val="auto"/>
                <w:lang w:val="en-US" w:eastAsia="zh-CN"/>
              </w:rPr>
              <w:t>⑦</w:t>
            </w:r>
            <w:r>
              <w:rPr>
                <w:color w:val="auto"/>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restart"/>
            <w:noWrap w:val="0"/>
            <w:vAlign w:val="center"/>
          </w:tcPr>
          <w:p>
            <w:pPr>
              <w:bidi w:val="0"/>
              <w:jc w:val="center"/>
              <w:rPr>
                <w:color w:val="auto"/>
              </w:rPr>
            </w:pPr>
            <w:r>
              <w:rPr>
                <w:color w:val="auto"/>
              </w:rPr>
              <w:t>废气</w:t>
            </w:r>
          </w:p>
        </w:tc>
        <w:tc>
          <w:tcPr>
            <w:tcW w:w="1417" w:type="dxa"/>
            <w:noWrap w:val="0"/>
            <w:vAlign w:val="center"/>
          </w:tcPr>
          <w:p>
            <w:pPr>
              <w:bidi w:val="0"/>
              <w:jc w:val="center"/>
              <w:rPr>
                <w:rFonts w:hint="eastAsia"/>
                <w:color w:val="auto"/>
              </w:rPr>
            </w:pPr>
            <w:r>
              <w:rPr>
                <w:rFonts w:hint="eastAsia"/>
                <w:color w:val="auto"/>
              </w:rPr>
              <w:t>颗粒物</w:t>
            </w:r>
          </w:p>
        </w:tc>
        <w:tc>
          <w:tcPr>
            <w:tcW w:w="1701" w:type="dxa"/>
            <w:noWrap w:val="0"/>
            <w:vAlign w:val="center"/>
          </w:tcPr>
          <w:p>
            <w:pPr>
              <w:bidi w:val="0"/>
              <w:jc w:val="center"/>
              <w:rPr>
                <w:color w:val="auto"/>
                <w:lang w:val="en-US" w:eastAsia="zh-CN"/>
              </w:rPr>
            </w:pPr>
            <w:r>
              <w:rPr>
                <w:rFonts w:hint="eastAsia"/>
                <w:color w:val="auto"/>
                <w:lang w:val="en-US" w:eastAsia="zh-CN"/>
              </w:rPr>
              <w:t>/</w:t>
            </w:r>
          </w:p>
        </w:tc>
        <w:tc>
          <w:tcPr>
            <w:tcW w:w="1276" w:type="dxa"/>
            <w:noWrap w:val="0"/>
            <w:vAlign w:val="center"/>
          </w:tcPr>
          <w:p>
            <w:pPr>
              <w:bidi w:val="0"/>
              <w:jc w:val="center"/>
              <w:rPr>
                <w:color w:val="auto"/>
                <w:lang w:val="en-US" w:eastAsia="zh-CN"/>
              </w:rPr>
            </w:pPr>
            <w:r>
              <w:rPr>
                <w:rFonts w:hint="eastAsia"/>
                <w:color w:val="auto"/>
                <w:lang w:val="en-US" w:eastAsia="zh-CN"/>
              </w:rPr>
              <w:t>/</w:t>
            </w:r>
          </w:p>
        </w:tc>
        <w:tc>
          <w:tcPr>
            <w:tcW w:w="1701" w:type="dxa"/>
            <w:noWrap w:val="0"/>
            <w:vAlign w:val="center"/>
          </w:tcPr>
          <w:p>
            <w:pPr>
              <w:bidi w:val="0"/>
              <w:jc w:val="center"/>
              <w:rPr>
                <w:color w:val="auto"/>
                <w:lang w:val="en-US" w:eastAsia="zh-CN"/>
              </w:rPr>
            </w:pPr>
            <w:r>
              <w:rPr>
                <w:rFonts w:hint="eastAsia"/>
                <w:color w:val="auto"/>
                <w:lang w:val="en-US" w:eastAsia="zh-CN"/>
              </w:rPr>
              <w:t>/</w:t>
            </w:r>
          </w:p>
        </w:tc>
        <w:tc>
          <w:tcPr>
            <w:tcW w:w="1559" w:type="dxa"/>
            <w:noWrap w:val="0"/>
            <w:vAlign w:val="center"/>
          </w:tcPr>
          <w:p>
            <w:pPr>
              <w:bidi w:val="0"/>
              <w:jc w:val="center"/>
              <w:rPr>
                <w:rFonts w:hint="default"/>
                <w:color w:val="auto"/>
                <w:lang w:val="en-US" w:eastAsia="zh-CN"/>
              </w:rPr>
            </w:pPr>
            <w:r>
              <w:rPr>
                <w:rFonts w:hint="eastAsia"/>
                <w:color w:val="auto"/>
                <w:lang w:val="en-US" w:eastAsia="zh-CN"/>
              </w:rPr>
              <w:t>0.4668</w:t>
            </w:r>
          </w:p>
        </w:tc>
        <w:tc>
          <w:tcPr>
            <w:tcW w:w="1634" w:type="dxa"/>
            <w:noWrap w:val="0"/>
            <w:vAlign w:val="center"/>
          </w:tcPr>
          <w:p>
            <w:pPr>
              <w:bidi w:val="0"/>
              <w:jc w:val="center"/>
              <w:rPr>
                <w:color w:val="auto"/>
                <w:lang w:val="en-US" w:eastAsia="zh-CN"/>
              </w:rPr>
            </w:pPr>
            <w:r>
              <w:rPr>
                <w:rFonts w:hint="eastAsia"/>
                <w:color w:val="auto"/>
                <w:lang w:val="en-US" w:eastAsia="zh-CN"/>
              </w:rPr>
              <w:t>/</w:t>
            </w:r>
          </w:p>
        </w:tc>
        <w:tc>
          <w:tcPr>
            <w:tcW w:w="1626" w:type="dxa"/>
            <w:noWrap w:val="0"/>
            <w:vAlign w:val="center"/>
          </w:tcPr>
          <w:p>
            <w:pPr>
              <w:bidi w:val="0"/>
              <w:jc w:val="center"/>
              <w:rPr>
                <w:color w:val="auto"/>
                <w:lang w:eastAsia="zh-CN"/>
              </w:rPr>
            </w:pPr>
            <w:r>
              <w:rPr>
                <w:rFonts w:hint="eastAsia"/>
                <w:color w:val="auto"/>
                <w:lang w:val="en-US" w:eastAsia="zh-CN"/>
              </w:rPr>
              <w:t>0.4668</w:t>
            </w:r>
          </w:p>
        </w:tc>
        <w:tc>
          <w:tcPr>
            <w:tcW w:w="1286" w:type="dxa"/>
            <w:noWrap w:val="0"/>
            <w:vAlign w:val="center"/>
          </w:tcPr>
          <w:p>
            <w:pPr>
              <w:bidi w:val="0"/>
              <w:jc w:val="center"/>
              <w:rPr>
                <w:color w:val="auto"/>
                <w:lang w:eastAsia="zh-CN"/>
              </w:rPr>
            </w:pPr>
            <w:r>
              <w:rPr>
                <w:color w:val="auto"/>
              </w:rPr>
              <w:t>+</w:t>
            </w:r>
            <w:r>
              <w:rPr>
                <w:rFonts w:hint="eastAsia"/>
                <w:color w:val="auto"/>
                <w:lang w:val="en-US" w:eastAsia="zh-CN"/>
              </w:rPr>
              <w:t>0.4668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continue"/>
            <w:noWrap w:val="0"/>
            <w:vAlign w:val="center"/>
          </w:tcPr>
          <w:p>
            <w:pPr>
              <w:bidi w:val="0"/>
              <w:jc w:val="center"/>
              <w:rPr>
                <w:color w:val="auto"/>
              </w:rPr>
            </w:pPr>
          </w:p>
        </w:tc>
        <w:tc>
          <w:tcPr>
            <w:tcW w:w="1417" w:type="dxa"/>
            <w:noWrap w:val="0"/>
            <w:vAlign w:val="center"/>
          </w:tcPr>
          <w:p>
            <w:pPr>
              <w:bidi w:val="0"/>
              <w:jc w:val="center"/>
              <w:rPr>
                <w:rFonts w:hint="eastAsia"/>
                <w:color w:val="auto"/>
              </w:rPr>
            </w:pPr>
            <w:r>
              <w:rPr>
                <w:rFonts w:hint="eastAsia"/>
                <w:color w:val="auto"/>
              </w:rPr>
              <w:t>非甲烷总烃</w:t>
            </w:r>
          </w:p>
        </w:tc>
        <w:tc>
          <w:tcPr>
            <w:tcW w:w="1701" w:type="dxa"/>
            <w:noWrap w:val="0"/>
            <w:vAlign w:val="center"/>
          </w:tcPr>
          <w:p>
            <w:pPr>
              <w:bidi w:val="0"/>
              <w:jc w:val="center"/>
              <w:rPr>
                <w:rFonts w:hint="eastAsia"/>
                <w:color w:val="auto"/>
                <w:lang w:val="en-US" w:eastAsia="zh-CN"/>
              </w:rPr>
            </w:pPr>
            <w:r>
              <w:rPr>
                <w:rFonts w:hint="eastAsia"/>
                <w:color w:val="auto"/>
                <w:lang w:val="en-US" w:eastAsia="zh-CN"/>
              </w:rPr>
              <w:t>/</w:t>
            </w:r>
          </w:p>
        </w:tc>
        <w:tc>
          <w:tcPr>
            <w:tcW w:w="1276" w:type="dxa"/>
            <w:noWrap w:val="0"/>
            <w:vAlign w:val="center"/>
          </w:tcPr>
          <w:p>
            <w:pPr>
              <w:bidi w:val="0"/>
              <w:jc w:val="center"/>
              <w:rPr>
                <w:rFonts w:hint="eastAsia"/>
                <w:color w:val="auto"/>
                <w:lang w:val="en-US" w:eastAsia="zh-CN"/>
              </w:rPr>
            </w:pPr>
            <w:r>
              <w:rPr>
                <w:rFonts w:hint="eastAsia"/>
                <w:color w:val="auto"/>
                <w:lang w:val="en-US" w:eastAsia="zh-CN"/>
              </w:rPr>
              <w:t>/</w:t>
            </w:r>
          </w:p>
        </w:tc>
        <w:tc>
          <w:tcPr>
            <w:tcW w:w="1701" w:type="dxa"/>
            <w:noWrap w:val="0"/>
            <w:vAlign w:val="center"/>
          </w:tcPr>
          <w:p>
            <w:pPr>
              <w:bidi w:val="0"/>
              <w:jc w:val="center"/>
              <w:rPr>
                <w:rFonts w:hint="eastAsia"/>
                <w:color w:val="auto"/>
                <w:lang w:val="en-US" w:eastAsia="zh-CN"/>
              </w:rPr>
            </w:pPr>
            <w:r>
              <w:rPr>
                <w:rFonts w:hint="eastAsia"/>
                <w:color w:val="auto"/>
                <w:lang w:val="en-US" w:eastAsia="zh-CN"/>
              </w:rPr>
              <w:t>/</w:t>
            </w:r>
          </w:p>
        </w:tc>
        <w:tc>
          <w:tcPr>
            <w:tcW w:w="1559" w:type="dxa"/>
            <w:noWrap w:val="0"/>
            <w:vAlign w:val="center"/>
          </w:tcPr>
          <w:p>
            <w:pPr>
              <w:bidi w:val="0"/>
              <w:jc w:val="center"/>
              <w:rPr>
                <w:rFonts w:hint="default"/>
                <w:color w:val="auto"/>
                <w:lang w:val="en-US" w:eastAsia="zh-CN"/>
              </w:rPr>
            </w:pPr>
            <w:r>
              <w:rPr>
                <w:rFonts w:hint="eastAsia"/>
                <w:color w:val="auto"/>
                <w:lang w:val="en-US" w:eastAsia="zh-CN"/>
              </w:rPr>
              <w:t>0.0216</w:t>
            </w:r>
          </w:p>
        </w:tc>
        <w:tc>
          <w:tcPr>
            <w:tcW w:w="1634" w:type="dxa"/>
            <w:noWrap w:val="0"/>
            <w:vAlign w:val="center"/>
          </w:tcPr>
          <w:p>
            <w:pPr>
              <w:bidi w:val="0"/>
              <w:jc w:val="center"/>
              <w:rPr>
                <w:rFonts w:hint="eastAsia"/>
                <w:color w:val="auto"/>
                <w:lang w:val="en-US" w:eastAsia="zh-CN"/>
              </w:rPr>
            </w:pPr>
            <w:r>
              <w:rPr>
                <w:rFonts w:hint="eastAsia"/>
                <w:color w:val="auto"/>
                <w:lang w:val="en-US" w:eastAsia="zh-CN"/>
              </w:rPr>
              <w:t>/</w:t>
            </w:r>
          </w:p>
        </w:tc>
        <w:tc>
          <w:tcPr>
            <w:tcW w:w="1626" w:type="dxa"/>
            <w:noWrap w:val="0"/>
            <w:vAlign w:val="center"/>
          </w:tcPr>
          <w:p>
            <w:pPr>
              <w:bidi w:val="0"/>
              <w:jc w:val="center"/>
              <w:rPr>
                <w:rFonts w:hint="eastAsia"/>
                <w:color w:val="auto"/>
                <w:lang w:eastAsia="zh-CN"/>
              </w:rPr>
            </w:pPr>
            <w:r>
              <w:rPr>
                <w:rFonts w:hint="eastAsia"/>
                <w:color w:val="auto"/>
                <w:lang w:val="en-US" w:eastAsia="zh-CN"/>
              </w:rPr>
              <w:t>0.0216</w:t>
            </w:r>
          </w:p>
        </w:tc>
        <w:tc>
          <w:tcPr>
            <w:tcW w:w="1286" w:type="dxa"/>
            <w:noWrap w:val="0"/>
            <w:vAlign w:val="center"/>
          </w:tcPr>
          <w:p>
            <w:pPr>
              <w:bidi w:val="0"/>
              <w:jc w:val="center"/>
              <w:rPr>
                <w:rFonts w:hint="eastAsia"/>
                <w:color w:val="auto"/>
                <w:lang w:eastAsia="zh-CN"/>
              </w:rPr>
            </w:pPr>
            <w:r>
              <w:rPr>
                <w:color w:val="auto"/>
              </w:rPr>
              <w:t>+</w:t>
            </w:r>
            <w:r>
              <w:rPr>
                <w:rFonts w:hint="eastAsia"/>
                <w:color w:val="auto"/>
                <w:lang w:val="en-US" w:eastAsia="zh-CN"/>
              </w:rPr>
              <w:t>0.0216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continue"/>
            <w:noWrap w:val="0"/>
            <w:vAlign w:val="center"/>
          </w:tcPr>
          <w:p>
            <w:pPr>
              <w:bidi w:val="0"/>
              <w:jc w:val="center"/>
              <w:rPr>
                <w:color w:val="auto"/>
              </w:rPr>
            </w:pPr>
          </w:p>
        </w:tc>
        <w:tc>
          <w:tcPr>
            <w:tcW w:w="1417" w:type="dxa"/>
            <w:noWrap w:val="0"/>
            <w:vAlign w:val="center"/>
          </w:tcPr>
          <w:p>
            <w:pPr>
              <w:bidi w:val="0"/>
              <w:jc w:val="center"/>
              <w:rPr>
                <w:rFonts w:hint="eastAsia" w:eastAsia="宋体"/>
                <w:color w:val="auto"/>
                <w:lang w:val="en-US" w:eastAsia="zh-CN"/>
              </w:rPr>
            </w:pPr>
            <w:r>
              <w:rPr>
                <w:rFonts w:hint="eastAsia"/>
                <w:color w:val="auto"/>
                <w:lang w:val="en-US" w:eastAsia="zh-CN"/>
              </w:rPr>
              <w:t>油烟</w:t>
            </w:r>
          </w:p>
        </w:tc>
        <w:tc>
          <w:tcPr>
            <w:tcW w:w="1701" w:type="dxa"/>
            <w:noWrap w:val="0"/>
            <w:vAlign w:val="center"/>
          </w:tcPr>
          <w:p>
            <w:pPr>
              <w:bidi w:val="0"/>
              <w:jc w:val="center"/>
              <w:rPr>
                <w:rFonts w:hint="eastAsia"/>
                <w:color w:val="auto"/>
                <w:lang w:val="en-US" w:eastAsia="zh-CN"/>
              </w:rPr>
            </w:pPr>
            <w:r>
              <w:rPr>
                <w:rFonts w:hint="eastAsia"/>
                <w:color w:val="auto"/>
                <w:lang w:val="en-US" w:eastAsia="zh-CN"/>
              </w:rPr>
              <w:t>/</w:t>
            </w:r>
          </w:p>
        </w:tc>
        <w:tc>
          <w:tcPr>
            <w:tcW w:w="1276" w:type="dxa"/>
            <w:noWrap w:val="0"/>
            <w:vAlign w:val="center"/>
          </w:tcPr>
          <w:p>
            <w:pPr>
              <w:bidi w:val="0"/>
              <w:jc w:val="center"/>
              <w:rPr>
                <w:rFonts w:hint="eastAsia"/>
                <w:color w:val="auto"/>
                <w:lang w:val="en-US" w:eastAsia="zh-CN"/>
              </w:rPr>
            </w:pPr>
            <w:r>
              <w:rPr>
                <w:rFonts w:hint="eastAsia"/>
                <w:color w:val="auto"/>
                <w:lang w:val="en-US" w:eastAsia="zh-CN"/>
              </w:rPr>
              <w:t>/</w:t>
            </w:r>
          </w:p>
        </w:tc>
        <w:tc>
          <w:tcPr>
            <w:tcW w:w="1701" w:type="dxa"/>
            <w:noWrap w:val="0"/>
            <w:vAlign w:val="center"/>
          </w:tcPr>
          <w:p>
            <w:pPr>
              <w:bidi w:val="0"/>
              <w:jc w:val="center"/>
              <w:rPr>
                <w:rFonts w:hint="eastAsia"/>
                <w:color w:val="auto"/>
                <w:lang w:val="en-US" w:eastAsia="zh-CN"/>
              </w:rPr>
            </w:pPr>
            <w:r>
              <w:rPr>
                <w:rFonts w:hint="eastAsia"/>
                <w:color w:val="auto"/>
                <w:lang w:val="en-US" w:eastAsia="zh-CN"/>
              </w:rPr>
              <w:t>/</w:t>
            </w:r>
          </w:p>
        </w:tc>
        <w:tc>
          <w:tcPr>
            <w:tcW w:w="1559" w:type="dxa"/>
            <w:noWrap w:val="0"/>
            <w:vAlign w:val="center"/>
          </w:tcPr>
          <w:p>
            <w:pPr>
              <w:bidi w:val="0"/>
              <w:jc w:val="center"/>
              <w:rPr>
                <w:rFonts w:hint="eastAsia"/>
                <w:color w:val="auto"/>
                <w:lang w:eastAsia="zh-CN"/>
              </w:rPr>
            </w:pPr>
            <w:r>
              <w:rPr>
                <w:rFonts w:hint="eastAsia"/>
                <w:color w:val="auto"/>
                <w:sz w:val="18"/>
                <w:szCs w:val="18"/>
                <w:lang w:val="en-US" w:eastAsia="zh-CN"/>
              </w:rPr>
              <w:t>2.16×10</w:t>
            </w:r>
            <w:r>
              <w:rPr>
                <w:rFonts w:hint="eastAsia"/>
                <w:color w:val="auto"/>
                <w:sz w:val="18"/>
                <w:szCs w:val="18"/>
                <w:vertAlign w:val="superscript"/>
                <w:lang w:val="en-US" w:eastAsia="zh-CN"/>
              </w:rPr>
              <w:t>-3</w:t>
            </w:r>
          </w:p>
        </w:tc>
        <w:tc>
          <w:tcPr>
            <w:tcW w:w="1634" w:type="dxa"/>
            <w:noWrap w:val="0"/>
            <w:vAlign w:val="center"/>
          </w:tcPr>
          <w:p>
            <w:pPr>
              <w:bidi w:val="0"/>
              <w:jc w:val="center"/>
              <w:rPr>
                <w:rFonts w:hint="eastAsia"/>
                <w:color w:val="auto"/>
                <w:lang w:val="en-US" w:eastAsia="zh-CN"/>
              </w:rPr>
            </w:pPr>
            <w:r>
              <w:rPr>
                <w:rFonts w:hint="eastAsia"/>
                <w:color w:val="auto"/>
                <w:lang w:val="en-US" w:eastAsia="zh-CN"/>
              </w:rPr>
              <w:t>/</w:t>
            </w:r>
          </w:p>
        </w:tc>
        <w:tc>
          <w:tcPr>
            <w:tcW w:w="1626" w:type="dxa"/>
            <w:noWrap w:val="0"/>
            <w:vAlign w:val="center"/>
          </w:tcPr>
          <w:p>
            <w:pPr>
              <w:bidi w:val="0"/>
              <w:jc w:val="center"/>
              <w:rPr>
                <w:rFonts w:hint="eastAsia"/>
                <w:color w:val="auto"/>
                <w:lang w:eastAsia="zh-CN"/>
              </w:rPr>
            </w:pPr>
            <w:r>
              <w:rPr>
                <w:rFonts w:hint="eastAsia"/>
                <w:color w:val="auto"/>
                <w:sz w:val="18"/>
                <w:szCs w:val="18"/>
                <w:lang w:val="en-US" w:eastAsia="zh-CN"/>
              </w:rPr>
              <w:t>2.16×10</w:t>
            </w:r>
            <w:r>
              <w:rPr>
                <w:rFonts w:hint="eastAsia"/>
                <w:color w:val="auto"/>
                <w:sz w:val="18"/>
                <w:szCs w:val="18"/>
                <w:vertAlign w:val="superscript"/>
                <w:lang w:val="en-US" w:eastAsia="zh-CN"/>
              </w:rPr>
              <w:t>-3</w:t>
            </w:r>
          </w:p>
        </w:tc>
        <w:tc>
          <w:tcPr>
            <w:tcW w:w="1286" w:type="dxa"/>
            <w:noWrap w:val="0"/>
            <w:vAlign w:val="center"/>
          </w:tcPr>
          <w:p>
            <w:pPr>
              <w:bidi w:val="0"/>
              <w:jc w:val="center"/>
              <w:rPr>
                <w:color w:val="auto"/>
              </w:rPr>
            </w:pPr>
            <w:r>
              <w:rPr>
                <w:color w:val="auto"/>
              </w:rPr>
              <w:t>+</w:t>
            </w:r>
            <w:r>
              <w:rPr>
                <w:rFonts w:hint="eastAsia"/>
                <w:color w:val="auto"/>
                <w:sz w:val="18"/>
                <w:szCs w:val="18"/>
                <w:lang w:val="en-US" w:eastAsia="zh-CN"/>
              </w:rPr>
              <w:t>2.16×10</w:t>
            </w:r>
            <w:r>
              <w:rPr>
                <w:rFonts w:hint="eastAsia"/>
                <w:color w:val="auto"/>
                <w:sz w:val="18"/>
                <w:szCs w:val="18"/>
                <w:vertAlign w:val="superscript"/>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restart"/>
            <w:noWrap w:val="0"/>
            <w:vAlign w:val="center"/>
          </w:tcPr>
          <w:p>
            <w:pPr>
              <w:bidi w:val="0"/>
              <w:jc w:val="center"/>
              <w:rPr>
                <w:color w:val="auto"/>
              </w:rPr>
            </w:pPr>
            <w:r>
              <w:rPr>
                <w:color w:val="auto"/>
              </w:rPr>
              <w:t>废水</w:t>
            </w:r>
          </w:p>
        </w:tc>
        <w:tc>
          <w:tcPr>
            <w:tcW w:w="1417" w:type="dxa"/>
            <w:noWrap w:val="0"/>
            <w:vAlign w:val="center"/>
          </w:tcPr>
          <w:p>
            <w:pPr>
              <w:bidi w:val="0"/>
              <w:jc w:val="center"/>
              <w:rPr>
                <w:rFonts w:hint="eastAsia"/>
                <w:color w:val="auto"/>
                <w:lang w:eastAsia="zh-CN"/>
              </w:rPr>
            </w:pPr>
            <w:r>
              <w:rPr>
                <w:rFonts w:hint="eastAsia"/>
                <w:color w:val="auto"/>
                <w:lang w:eastAsia="zh-CN"/>
              </w:rPr>
              <w:t>废水量</w:t>
            </w:r>
          </w:p>
        </w:tc>
        <w:tc>
          <w:tcPr>
            <w:tcW w:w="1701" w:type="dxa"/>
            <w:noWrap w:val="0"/>
            <w:vAlign w:val="center"/>
          </w:tcPr>
          <w:p>
            <w:pPr>
              <w:bidi w:val="0"/>
              <w:jc w:val="center"/>
              <w:rPr>
                <w:rFonts w:hint="eastAsia"/>
                <w:color w:val="auto"/>
                <w:lang w:val="en-US" w:eastAsia="zh-CN"/>
              </w:rPr>
            </w:pPr>
            <w:r>
              <w:rPr>
                <w:rFonts w:hint="eastAsia"/>
                <w:color w:val="auto"/>
                <w:lang w:val="en-US" w:eastAsia="zh-CN"/>
              </w:rPr>
              <w:t>/</w:t>
            </w:r>
          </w:p>
        </w:tc>
        <w:tc>
          <w:tcPr>
            <w:tcW w:w="1276" w:type="dxa"/>
            <w:noWrap w:val="0"/>
            <w:vAlign w:val="center"/>
          </w:tcPr>
          <w:p>
            <w:pPr>
              <w:bidi w:val="0"/>
              <w:jc w:val="center"/>
              <w:rPr>
                <w:rFonts w:hint="eastAsia"/>
                <w:color w:val="auto"/>
                <w:lang w:val="en-US" w:eastAsia="zh-CN"/>
              </w:rPr>
            </w:pPr>
            <w:r>
              <w:rPr>
                <w:rFonts w:hint="eastAsia"/>
                <w:color w:val="auto"/>
                <w:lang w:val="en-US" w:eastAsia="zh-CN"/>
              </w:rPr>
              <w:t>/</w:t>
            </w:r>
          </w:p>
        </w:tc>
        <w:tc>
          <w:tcPr>
            <w:tcW w:w="1701" w:type="dxa"/>
            <w:noWrap w:val="0"/>
            <w:vAlign w:val="center"/>
          </w:tcPr>
          <w:p>
            <w:pPr>
              <w:bidi w:val="0"/>
              <w:jc w:val="center"/>
              <w:rPr>
                <w:rFonts w:hint="eastAsia"/>
                <w:color w:val="auto"/>
                <w:lang w:val="en-US" w:eastAsia="zh-CN"/>
              </w:rPr>
            </w:pPr>
            <w:r>
              <w:rPr>
                <w:rFonts w:hint="eastAsia"/>
                <w:color w:val="auto"/>
                <w:lang w:val="en-US" w:eastAsia="zh-CN"/>
              </w:rPr>
              <w:t>/</w:t>
            </w:r>
          </w:p>
        </w:tc>
        <w:tc>
          <w:tcPr>
            <w:tcW w:w="1559" w:type="dxa"/>
            <w:noWrap w:val="0"/>
            <w:vAlign w:val="center"/>
          </w:tcPr>
          <w:p>
            <w:pPr>
              <w:bidi w:val="0"/>
              <w:jc w:val="center"/>
              <w:rPr>
                <w:rFonts w:hint="default"/>
                <w:color w:val="auto"/>
                <w:lang w:val="en-US" w:eastAsia="zh-CN"/>
              </w:rPr>
            </w:pPr>
            <w:r>
              <w:rPr>
                <w:rFonts w:hint="eastAsia"/>
                <w:color w:val="auto"/>
                <w:lang w:val="en-US" w:eastAsia="zh-CN"/>
              </w:rPr>
              <w:t>6472.5</w:t>
            </w:r>
          </w:p>
        </w:tc>
        <w:tc>
          <w:tcPr>
            <w:tcW w:w="1634" w:type="dxa"/>
            <w:noWrap w:val="0"/>
            <w:vAlign w:val="center"/>
          </w:tcPr>
          <w:p>
            <w:pPr>
              <w:bidi w:val="0"/>
              <w:jc w:val="center"/>
              <w:rPr>
                <w:rFonts w:hint="eastAsia"/>
                <w:color w:val="auto"/>
                <w:lang w:val="en-US" w:eastAsia="zh-CN"/>
              </w:rPr>
            </w:pPr>
            <w:r>
              <w:rPr>
                <w:rFonts w:hint="eastAsia"/>
                <w:color w:val="auto"/>
                <w:lang w:val="en-US" w:eastAsia="zh-CN"/>
              </w:rPr>
              <w:t>/</w:t>
            </w:r>
          </w:p>
        </w:tc>
        <w:tc>
          <w:tcPr>
            <w:tcW w:w="1626" w:type="dxa"/>
            <w:noWrap w:val="0"/>
            <w:vAlign w:val="center"/>
          </w:tcPr>
          <w:p>
            <w:pPr>
              <w:bidi w:val="0"/>
              <w:jc w:val="center"/>
              <w:rPr>
                <w:rFonts w:hint="eastAsia"/>
                <w:color w:val="auto"/>
                <w:lang w:val="en-US" w:eastAsia="zh-CN"/>
              </w:rPr>
            </w:pPr>
            <w:r>
              <w:rPr>
                <w:rFonts w:hint="eastAsia"/>
                <w:color w:val="auto"/>
                <w:lang w:val="en-US" w:eastAsia="zh-CN"/>
              </w:rPr>
              <w:t>6472.5</w:t>
            </w:r>
          </w:p>
        </w:tc>
        <w:tc>
          <w:tcPr>
            <w:tcW w:w="1286" w:type="dxa"/>
            <w:noWrap w:val="0"/>
            <w:vAlign w:val="center"/>
          </w:tcPr>
          <w:p>
            <w:pPr>
              <w:bidi w:val="0"/>
              <w:jc w:val="center"/>
              <w:rPr>
                <w:color w:val="auto"/>
              </w:rPr>
            </w:pPr>
            <w:r>
              <w:rPr>
                <w:color w:val="auto"/>
              </w:rPr>
              <w:t>+</w:t>
            </w:r>
            <w:r>
              <w:rPr>
                <w:rFonts w:hint="eastAsia"/>
                <w:color w:val="auto"/>
                <w:lang w:val="en-US" w:eastAsia="zh-CN"/>
              </w:rPr>
              <w:t>6472.5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continue"/>
            <w:noWrap w:val="0"/>
            <w:vAlign w:val="center"/>
          </w:tcPr>
          <w:p>
            <w:pPr>
              <w:bidi w:val="0"/>
              <w:jc w:val="center"/>
              <w:rPr>
                <w:color w:val="auto"/>
              </w:rPr>
            </w:pPr>
          </w:p>
        </w:tc>
        <w:tc>
          <w:tcPr>
            <w:tcW w:w="1417" w:type="dxa"/>
            <w:noWrap w:val="0"/>
            <w:vAlign w:val="center"/>
          </w:tcPr>
          <w:p>
            <w:pPr>
              <w:bidi w:val="0"/>
              <w:jc w:val="center"/>
              <w:rPr>
                <w:color w:val="auto"/>
              </w:rPr>
            </w:pPr>
            <w:r>
              <w:rPr>
                <w:color w:val="auto"/>
              </w:rPr>
              <w:t>COD</w:t>
            </w:r>
          </w:p>
        </w:tc>
        <w:tc>
          <w:tcPr>
            <w:tcW w:w="1701" w:type="dxa"/>
            <w:noWrap w:val="0"/>
            <w:vAlign w:val="center"/>
          </w:tcPr>
          <w:p>
            <w:pPr>
              <w:bidi w:val="0"/>
              <w:jc w:val="center"/>
              <w:rPr>
                <w:color w:val="auto"/>
              </w:rPr>
            </w:pPr>
            <w:r>
              <w:rPr>
                <w:rFonts w:hint="eastAsia"/>
                <w:color w:val="auto"/>
                <w:lang w:val="en-US" w:eastAsia="zh-CN"/>
              </w:rPr>
              <w:t>/</w:t>
            </w:r>
          </w:p>
        </w:tc>
        <w:tc>
          <w:tcPr>
            <w:tcW w:w="1276" w:type="dxa"/>
            <w:noWrap w:val="0"/>
            <w:vAlign w:val="center"/>
          </w:tcPr>
          <w:p>
            <w:pPr>
              <w:bidi w:val="0"/>
              <w:jc w:val="center"/>
              <w:rPr>
                <w:color w:val="auto"/>
              </w:rPr>
            </w:pPr>
            <w:r>
              <w:rPr>
                <w:rFonts w:hint="eastAsia"/>
                <w:color w:val="auto"/>
                <w:lang w:val="en-US" w:eastAsia="zh-CN"/>
              </w:rPr>
              <w:t>/</w:t>
            </w:r>
          </w:p>
        </w:tc>
        <w:tc>
          <w:tcPr>
            <w:tcW w:w="1701" w:type="dxa"/>
            <w:noWrap w:val="0"/>
            <w:vAlign w:val="center"/>
          </w:tcPr>
          <w:p>
            <w:pPr>
              <w:bidi w:val="0"/>
              <w:jc w:val="center"/>
              <w:rPr>
                <w:color w:val="auto"/>
              </w:rPr>
            </w:pPr>
            <w:r>
              <w:rPr>
                <w:rFonts w:hint="eastAsia"/>
                <w:color w:val="auto"/>
                <w:lang w:val="en-US" w:eastAsia="zh-CN"/>
              </w:rPr>
              <w:t>/</w:t>
            </w:r>
          </w:p>
        </w:tc>
        <w:tc>
          <w:tcPr>
            <w:tcW w:w="1559" w:type="dxa"/>
            <w:noWrap w:val="0"/>
            <w:vAlign w:val="center"/>
          </w:tcPr>
          <w:p>
            <w:pPr>
              <w:bidi w:val="0"/>
              <w:jc w:val="center"/>
              <w:rPr>
                <w:rFonts w:hint="default" w:eastAsia="宋体"/>
                <w:color w:val="auto"/>
                <w:lang w:val="en-US" w:eastAsia="zh-CN"/>
              </w:rPr>
            </w:pPr>
            <w:r>
              <w:rPr>
                <w:rFonts w:hint="eastAsia"/>
                <w:color w:val="auto"/>
                <w:lang w:val="en-US" w:eastAsia="zh-CN"/>
              </w:rPr>
              <w:t>1.6922</w:t>
            </w:r>
          </w:p>
        </w:tc>
        <w:tc>
          <w:tcPr>
            <w:tcW w:w="1634" w:type="dxa"/>
            <w:noWrap w:val="0"/>
            <w:vAlign w:val="center"/>
          </w:tcPr>
          <w:p>
            <w:pPr>
              <w:bidi w:val="0"/>
              <w:jc w:val="center"/>
              <w:rPr>
                <w:color w:val="auto"/>
              </w:rPr>
            </w:pPr>
            <w:r>
              <w:rPr>
                <w:rFonts w:hint="eastAsia"/>
                <w:color w:val="auto"/>
                <w:lang w:val="en-US" w:eastAsia="zh-CN"/>
              </w:rPr>
              <w:t>/</w:t>
            </w:r>
          </w:p>
        </w:tc>
        <w:tc>
          <w:tcPr>
            <w:tcW w:w="1626" w:type="dxa"/>
            <w:noWrap w:val="0"/>
            <w:vAlign w:val="center"/>
          </w:tcPr>
          <w:p>
            <w:pPr>
              <w:bidi w:val="0"/>
              <w:jc w:val="center"/>
              <w:rPr>
                <w:color w:val="auto"/>
              </w:rPr>
            </w:pPr>
            <w:r>
              <w:rPr>
                <w:rFonts w:hint="eastAsia"/>
                <w:color w:val="auto"/>
                <w:lang w:val="en-US" w:eastAsia="zh-CN"/>
              </w:rPr>
              <w:t>1.6922</w:t>
            </w:r>
          </w:p>
        </w:tc>
        <w:tc>
          <w:tcPr>
            <w:tcW w:w="1286" w:type="dxa"/>
            <w:noWrap w:val="0"/>
            <w:vAlign w:val="center"/>
          </w:tcPr>
          <w:p>
            <w:pPr>
              <w:bidi w:val="0"/>
              <w:jc w:val="center"/>
              <w:rPr>
                <w:color w:val="auto"/>
              </w:rPr>
            </w:pPr>
            <w:r>
              <w:rPr>
                <w:color w:val="auto"/>
              </w:rPr>
              <w:t>+</w:t>
            </w:r>
            <w:r>
              <w:rPr>
                <w:rFonts w:hint="eastAsia"/>
                <w:color w:val="auto"/>
                <w:lang w:val="en-US" w:eastAsia="zh-CN"/>
              </w:rPr>
              <w:t>1.6922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continue"/>
            <w:noWrap w:val="0"/>
            <w:vAlign w:val="center"/>
          </w:tcPr>
          <w:p>
            <w:pPr>
              <w:bidi w:val="0"/>
              <w:jc w:val="center"/>
              <w:rPr>
                <w:color w:val="auto"/>
              </w:rPr>
            </w:pPr>
          </w:p>
        </w:tc>
        <w:tc>
          <w:tcPr>
            <w:tcW w:w="1417" w:type="dxa"/>
            <w:noWrap w:val="0"/>
            <w:vAlign w:val="center"/>
          </w:tcPr>
          <w:p>
            <w:pPr>
              <w:bidi w:val="0"/>
              <w:jc w:val="center"/>
              <w:rPr>
                <w:color w:val="auto"/>
              </w:rPr>
            </w:pPr>
            <w:r>
              <w:rPr>
                <w:color w:val="auto"/>
              </w:rPr>
              <w:t>BOD</w:t>
            </w:r>
            <w:r>
              <w:rPr>
                <w:color w:val="auto"/>
                <w:vertAlign w:val="subscript"/>
              </w:rPr>
              <w:t>5</w:t>
            </w:r>
          </w:p>
        </w:tc>
        <w:tc>
          <w:tcPr>
            <w:tcW w:w="1701" w:type="dxa"/>
            <w:noWrap w:val="0"/>
            <w:vAlign w:val="center"/>
          </w:tcPr>
          <w:p>
            <w:pPr>
              <w:bidi w:val="0"/>
              <w:jc w:val="center"/>
              <w:rPr>
                <w:color w:val="auto"/>
              </w:rPr>
            </w:pPr>
            <w:r>
              <w:rPr>
                <w:rFonts w:hint="eastAsia"/>
                <w:color w:val="auto"/>
                <w:lang w:val="en-US" w:eastAsia="zh-CN"/>
              </w:rPr>
              <w:t>/</w:t>
            </w:r>
          </w:p>
        </w:tc>
        <w:tc>
          <w:tcPr>
            <w:tcW w:w="1276" w:type="dxa"/>
            <w:noWrap w:val="0"/>
            <w:vAlign w:val="center"/>
          </w:tcPr>
          <w:p>
            <w:pPr>
              <w:bidi w:val="0"/>
              <w:jc w:val="center"/>
              <w:rPr>
                <w:color w:val="auto"/>
              </w:rPr>
            </w:pPr>
            <w:r>
              <w:rPr>
                <w:rFonts w:hint="eastAsia"/>
                <w:color w:val="auto"/>
                <w:lang w:val="en-US" w:eastAsia="zh-CN"/>
              </w:rPr>
              <w:t>/</w:t>
            </w:r>
          </w:p>
        </w:tc>
        <w:tc>
          <w:tcPr>
            <w:tcW w:w="1701" w:type="dxa"/>
            <w:noWrap w:val="0"/>
            <w:vAlign w:val="center"/>
          </w:tcPr>
          <w:p>
            <w:pPr>
              <w:bidi w:val="0"/>
              <w:jc w:val="center"/>
              <w:rPr>
                <w:color w:val="auto"/>
              </w:rPr>
            </w:pPr>
            <w:r>
              <w:rPr>
                <w:rFonts w:hint="eastAsia"/>
                <w:color w:val="auto"/>
                <w:lang w:val="en-US" w:eastAsia="zh-CN"/>
              </w:rPr>
              <w:t>/</w:t>
            </w:r>
          </w:p>
        </w:tc>
        <w:tc>
          <w:tcPr>
            <w:tcW w:w="1559" w:type="dxa"/>
            <w:noWrap w:val="0"/>
            <w:vAlign w:val="center"/>
          </w:tcPr>
          <w:p>
            <w:pPr>
              <w:bidi w:val="0"/>
              <w:jc w:val="center"/>
              <w:rPr>
                <w:rFonts w:hint="default" w:eastAsia="宋体"/>
                <w:color w:val="auto"/>
                <w:lang w:val="en-US" w:eastAsia="zh-CN"/>
              </w:rPr>
            </w:pPr>
            <w:r>
              <w:rPr>
                <w:rFonts w:hint="eastAsia"/>
                <w:color w:val="auto"/>
                <w:lang w:val="en-US" w:eastAsia="zh-CN"/>
              </w:rPr>
              <w:t>0.8415</w:t>
            </w:r>
          </w:p>
        </w:tc>
        <w:tc>
          <w:tcPr>
            <w:tcW w:w="1634" w:type="dxa"/>
            <w:noWrap w:val="0"/>
            <w:vAlign w:val="center"/>
          </w:tcPr>
          <w:p>
            <w:pPr>
              <w:bidi w:val="0"/>
              <w:jc w:val="center"/>
              <w:rPr>
                <w:color w:val="auto"/>
              </w:rPr>
            </w:pPr>
            <w:r>
              <w:rPr>
                <w:rFonts w:hint="eastAsia"/>
                <w:color w:val="auto"/>
                <w:lang w:val="en-US" w:eastAsia="zh-CN"/>
              </w:rPr>
              <w:t>/</w:t>
            </w:r>
          </w:p>
        </w:tc>
        <w:tc>
          <w:tcPr>
            <w:tcW w:w="1626" w:type="dxa"/>
            <w:noWrap w:val="0"/>
            <w:vAlign w:val="center"/>
          </w:tcPr>
          <w:p>
            <w:pPr>
              <w:bidi w:val="0"/>
              <w:jc w:val="center"/>
              <w:rPr>
                <w:color w:val="auto"/>
              </w:rPr>
            </w:pPr>
            <w:r>
              <w:rPr>
                <w:rFonts w:hint="eastAsia"/>
                <w:color w:val="auto"/>
                <w:lang w:val="en-US" w:eastAsia="zh-CN"/>
              </w:rPr>
              <w:t>0.8415</w:t>
            </w:r>
          </w:p>
        </w:tc>
        <w:tc>
          <w:tcPr>
            <w:tcW w:w="1286" w:type="dxa"/>
            <w:noWrap w:val="0"/>
            <w:vAlign w:val="center"/>
          </w:tcPr>
          <w:p>
            <w:pPr>
              <w:bidi w:val="0"/>
              <w:jc w:val="center"/>
              <w:rPr>
                <w:color w:val="auto"/>
              </w:rPr>
            </w:pPr>
            <w:r>
              <w:rPr>
                <w:color w:val="auto"/>
              </w:rPr>
              <w:t>+</w:t>
            </w:r>
            <w:r>
              <w:rPr>
                <w:rFonts w:hint="eastAsia"/>
                <w:color w:val="auto"/>
                <w:lang w:val="en-US" w:eastAsia="zh-CN"/>
              </w:rPr>
              <w:t>0.8415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continue"/>
            <w:noWrap w:val="0"/>
            <w:vAlign w:val="center"/>
          </w:tcPr>
          <w:p>
            <w:pPr>
              <w:bidi w:val="0"/>
              <w:jc w:val="center"/>
              <w:rPr>
                <w:color w:val="auto"/>
              </w:rPr>
            </w:pPr>
          </w:p>
        </w:tc>
        <w:tc>
          <w:tcPr>
            <w:tcW w:w="1417" w:type="dxa"/>
            <w:noWrap w:val="0"/>
            <w:vAlign w:val="center"/>
          </w:tcPr>
          <w:p>
            <w:pPr>
              <w:bidi w:val="0"/>
              <w:jc w:val="center"/>
              <w:rPr>
                <w:color w:val="auto"/>
              </w:rPr>
            </w:pPr>
            <w:r>
              <w:rPr>
                <w:color w:val="auto"/>
              </w:rPr>
              <w:t>SS</w:t>
            </w:r>
          </w:p>
        </w:tc>
        <w:tc>
          <w:tcPr>
            <w:tcW w:w="1701" w:type="dxa"/>
            <w:noWrap w:val="0"/>
            <w:vAlign w:val="center"/>
          </w:tcPr>
          <w:p>
            <w:pPr>
              <w:bidi w:val="0"/>
              <w:jc w:val="center"/>
              <w:rPr>
                <w:color w:val="auto"/>
              </w:rPr>
            </w:pPr>
            <w:r>
              <w:rPr>
                <w:rFonts w:hint="eastAsia"/>
                <w:color w:val="auto"/>
                <w:lang w:val="en-US" w:eastAsia="zh-CN"/>
              </w:rPr>
              <w:t>/</w:t>
            </w:r>
          </w:p>
        </w:tc>
        <w:tc>
          <w:tcPr>
            <w:tcW w:w="1276" w:type="dxa"/>
            <w:noWrap w:val="0"/>
            <w:vAlign w:val="center"/>
          </w:tcPr>
          <w:p>
            <w:pPr>
              <w:bidi w:val="0"/>
              <w:jc w:val="center"/>
              <w:rPr>
                <w:color w:val="auto"/>
              </w:rPr>
            </w:pPr>
            <w:r>
              <w:rPr>
                <w:rFonts w:hint="eastAsia"/>
                <w:color w:val="auto"/>
                <w:lang w:val="en-US" w:eastAsia="zh-CN"/>
              </w:rPr>
              <w:t>/</w:t>
            </w:r>
          </w:p>
        </w:tc>
        <w:tc>
          <w:tcPr>
            <w:tcW w:w="1701" w:type="dxa"/>
            <w:noWrap w:val="0"/>
            <w:vAlign w:val="center"/>
          </w:tcPr>
          <w:p>
            <w:pPr>
              <w:bidi w:val="0"/>
              <w:jc w:val="center"/>
              <w:rPr>
                <w:color w:val="auto"/>
              </w:rPr>
            </w:pPr>
            <w:r>
              <w:rPr>
                <w:rFonts w:hint="eastAsia"/>
                <w:color w:val="auto"/>
                <w:lang w:val="en-US" w:eastAsia="zh-CN"/>
              </w:rPr>
              <w:t>/</w:t>
            </w:r>
          </w:p>
        </w:tc>
        <w:tc>
          <w:tcPr>
            <w:tcW w:w="1559" w:type="dxa"/>
            <w:noWrap w:val="0"/>
            <w:vAlign w:val="center"/>
          </w:tcPr>
          <w:p>
            <w:pPr>
              <w:bidi w:val="0"/>
              <w:jc w:val="center"/>
              <w:rPr>
                <w:rFonts w:hint="default" w:eastAsia="宋体"/>
                <w:color w:val="auto"/>
                <w:lang w:val="en-US" w:eastAsia="zh-CN"/>
              </w:rPr>
            </w:pPr>
            <w:r>
              <w:rPr>
                <w:rFonts w:hint="eastAsia"/>
                <w:color w:val="auto"/>
                <w:lang w:val="en-US" w:eastAsia="zh-CN"/>
              </w:rPr>
              <w:t>0.8469</w:t>
            </w:r>
          </w:p>
        </w:tc>
        <w:tc>
          <w:tcPr>
            <w:tcW w:w="1634" w:type="dxa"/>
            <w:noWrap w:val="0"/>
            <w:vAlign w:val="center"/>
          </w:tcPr>
          <w:p>
            <w:pPr>
              <w:bidi w:val="0"/>
              <w:jc w:val="center"/>
              <w:rPr>
                <w:color w:val="auto"/>
              </w:rPr>
            </w:pPr>
            <w:r>
              <w:rPr>
                <w:rFonts w:hint="eastAsia"/>
                <w:color w:val="auto"/>
                <w:lang w:val="en-US" w:eastAsia="zh-CN"/>
              </w:rPr>
              <w:t>/</w:t>
            </w:r>
          </w:p>
        </w:tc>
        <w:tc>
          <w:tcPr>
            <w:tcW w:w="1626" w:type="dxa"/>
            <w:noWrap w:val="0"/>
            <w:vAlign w:val="center"/>
          </w:tcPr>
          <w:p>
            <w:pPr>
              <w:bidi w:val="0"/>
              <w:jc w:val="center"/>
              <w:rPr>
                <w:color w:val="auto"/>
              </w:rPr>
            </w:pPr>
            <w:r>
              <w:rPr>
                <w:rFonts w:hint="eastAsia"/>
                <w:color w:val="auto"/>
                <w:lang w:val="en-US" w:eastAsia="zh-CN"/>
              </w:rPr>
              <w:t>0.8469</w:t>
            </w:r>
          </w:p>
        </w:tc>
        <w:tc>
          <w:tcPr>
            <w:tcW w:w="1286" w:type="dxa"/>
            <w:noWrap w:val="0"/>
            <w:vAlign w:val="center"/>
          </w:tcPr>
          <w:p>
            <w:pPr>
              <w:bidi w:val="0"/>
              <w:jc w:val="center"/>
              <w:rPr>
                <w:color w:val="auto"/>
              </w:rPr>
            </w:pPr>
            <w:r>
              <w:rPr>
                <w:color w:val="auto"/>
              </w:rPr>
              <w:t>+</w:t>
            </w:r>
            <w:r>
              <w:rPr>
                <w:rFonts w:hint="eastAsia"/>
                <w:color w:val="auto"/>
                <w:lang w:val="en-US" w:eastAsia="zh-CN"/>
              </w:rPr>
              <w:t>0.8469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continue"/>
            <w:noWrap w:val="0"/>
            <w:vAlign w:val="center"/>
          </w:tcPr>
          <w:p>
            <w:pPr>
              <w:bidi w:val="0"/>
              <w:jc w:val="center"/>
              <w:rPr>
                <w:color w:val="auto"/>
              </w:rPr>
            </w:pPr>
          </w:p>
        </w:tc>
        <w:tc>
          <w:tcPr>
            <w:tcW w:w="1417" w:type="dxa"/>
            <w:noWrap w:val="0"/>
            <w:vAlign w:val="center"/>
          </w:tcPr>
          <w:p>
            <w:pPr>
              <w:bidi w:val="0"/>
              <w:jc w:val="center"/>
              <w:rPr>
                <w:color w:val="auto"/>
              </w:rPr>
            </w:pPr>
            <w:r>
              <w:rPr>
                <w:color w:val="auto"/>
              </w:rPr>
              <w:t>NH</w:t>
            </w:r>
            <w:r>
              <w:rPr>
                <w:color w:val="auto"/>
                <w:vertAlign w:val="subscript"/>
              </w:rPr>
              <w:t>3</w:t>
            </w:r>
            <w:r>
              <w:rPr>
                <w:color w:val="auto"/>
              </w:rPr>
              <w:t>-N</w:t>
            </w:r>
          </w:p>
        </w:tc>
        <w:tc>
          <w:tcPr>
            <w:tcW w:w="1701" w:type="dxa"/>
            <w:noWrap w:val="0"/>
            <w:vAlign w:val="center"/>
          </w:tcPr>
          <w:p>
            <w:pPr>
              <w:bidi w:val="0"/>
              <w:jc w:val="center"/>
              <w:rPr>
                <w:color w:val="auto"/>
              </w:rPr>
            </w:pPr>
            <w:r>
              <w:rPr>
                <w:rFonts w:hint="eastAsia"/>
                <w:color w:val="auto"/>
                <w:lang w:val="en-US" w:eastAsia="zh-CN"/>
              </w:rPr>
              <w:t>/</w:t>
            </w:r>
          </w:p>
        </w:tc>
        <w:tc>
          <w:tcPr>
            <w:tcW w:w="1276" w:type="dxa"/>
            <w:noWrap w:val="0"/>
            <w:vAlign w:val="center"/>
          </w:tcPr>
          <w:p>
            <w:pPr>
              <w:bidi w:val="0"/>
              <w:jc w:val="center"/>
              <w:rPr>
                <w:color w:val="auto"/>
              </w:rPr>
            </w:pPr>
            <w:r>
              <w:rPr>
                <w:rFonts w:hint="eastAsia"/>
                <w:color w:val="auto"/>
                <w:lang w:val="en-US" w:eastAsia="zh-CN"/>
              </w:rPr>
              <w:t>/</w:t>
            </w:r>
          </w:p>
        </w:tc>
        <w:tc>
          <w:tcPr>
            <w:tcW w:w="1701" w:type="dxa"/>
            <w:noWrap w:val="0"/>
            <w:vAlign w:val="center"/>
          </w:tcPr>
          <w:p>
            <w:pPr>
              <w:bidi w:val="0"/>
              <w:jc w:val="center"/>
              <w:rPr>
                <w:color w:val="auto"/>
              </w:rPr>
            </w:pPr>
            <w:r>
              <w:rPr>
                <w:rFonts w:hint="eastAsia"/>
                <w:color w:val="auto"/>
                <w:lang w:val="en-US" w:eastAsia="zh-CN"/>
              </w:rPr>
              <w:t>/</w:t>
            </w:r>
          </w:p>
        </w:tc>
        <w:tc>
          <w:tcPr>
            <w:tcW w:w="1559" w:type="dxa"/>
            <w:noWrap w:val="0"/>
            <w:vAlign w:val="center"/>
          </w:tcPr>
          <w:p>
            <w:pPr>
              <w:bidi w:val="0"/>
              <w:jc w:val="center"/>
              <w:rPr>
                <w:rFonts w:hint="default" w:eastAsia="宋体"/>
                <w:color w:val="auto"/>
                <w:lang w:val="en-US" w:eastAsia="zh-CN"/>
              </w:rPr>
            </w:pPr>
            <w:r>
              <w:rPr>
                <w:rFonts w:hint="eastAsia"/>
                <w:color w:val="auto"/>
                <w:lang w:val="en-US" w:eastAsia="zh-CN"/>
              </w:rPr>
              <w:t>0.1403</w:t>
            </w:r>
          </w:p>
        </w:tc>
        <w:tc>
          <w:tcPr>
            <w:tcW w:w="1634" w:type="dxa"/>
            <w:noWrap w:val="0"/>
            <w:vAlign w:val="center"/>
          </w:tcPr>
          <w:p>
            <w:pPr>
              <w:bidi w:val="0"/>
              <w:jc w:val="center"/>
              <w:rPr>
                <w:color w:val="auto"/>
              </w:rPr>
            </w:pPr>
            <w:r>
              <w:rPr>
                <w:rFonts w:hint="eastAsia"/>
                <w:color w:val="auto"/>
                <w:lang w:val="en-US" w:eastAsia="zh-CN"/>
              </w:rPr>
              <w:t>/</w:t>
            </w:r>
          </w:p>
        </w:tc>
        <w:tc>
          <w:tcPr>
            <w:tcW w:w="1626" w:type="dxa"/>
            <w:noWrap w:val="0"/>
            <w:vAlign w:val="center"/>
          </w:tcPr>
          <w:p>
            <w:pPr>
              <w:bidi w:val="0"/>
              <w:jc w:val="center"/>
              <w:rPr>
                <w:color w:val="auto"/>
              </w:rPr>
            </w:pPr>
            <w:r>
              <w:rPr>
                <w:rFonts w:hint="eastAsia"/>
                <w:color w:val="auto"/>
                <w:lang w:val="en-US" w:eastAsia="zh-CN"/>
              </w:rPr>
              <w:t>0.1403</w:t>
            </w:r>
          </w:p>
        </w:tc>
        <w:tc>
          <w:tcPr>
            <w:tcW w:w="1286" w:type="dxa"/>
            <w:noWrap w:val="0"/>
            <w:vAlign w:val="center"/>
          </w:tcPr>
          <w:p>
            <w:pPr>
              <w:bidi w:val="0"/>
              <w:jc w:val="center"/>
              <w:rPr>
                <w:color w:val="auto"/>
              </w:rPr>
            </w:pPr>
            <w:r>
              <w:rPr>
                <w:color w:val="auto"/>
              </w:rPr>
              <w:t>+</w:t>
            </w:r>
            <w:r>
              <w:rPr>
                <w:rFonts w:hint="eastAsia"/>
                <w:color w:val="auto"/>
                <w:lang w:val="en-US" w:eastAsia="zh-CN"/>
              </w:rPr>
              <w:t>0.1403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restart"/>
            <w:noWrap w:val="0"/>
            <w:vAlign w:val="center"/>
          </w:tcPr>
          <w:p>
            <w:pPr>
              <w:bidi w:val="0"/>
              <w:jc w:val="center"/>
              <w:rPr>
                <w:color w:val="auto"/>
              </w:rPr>
            </w:pPr>
            <w:r>
              <w:rPr>
                <w:color w:val="auto"/>
              </w:rPr>
              <w:t>一般工业固体废物</w:t>
            </w:r>
          </w:p>
        </w:tc>
        <w:tc>
          <w:tcPr>
            <w:tcW w:w="1417" w:type="dxa"/>
            <w:noWrap w:val="0"/>
            <w:vAlign w:val="center"/>
          </w:tcPr>
          <w:p>
            <w:pPr>
              <w:bidi w:val="0"/>
              <w:jc w:val="center"/>
              <w:rPr>
                <w:rFonts w:hint="eastAsia"/>
                <w:color w:val="auto"/>
                <w:lang w:val="zh-CN"/>
              </w:rPr>
            </w:pPr>
            <w:r>
              <w:rPr>
                <w:rFonts w:hint="eastAsia"/>
                <w:color w:val="auto"/>
                <w:lang w:val="zh-CN"/>
              </w:rPr>
              <w:t>废包装袋</w:t>
            </w:r>
          </w:p>
        </w:tc>
        <w:tc>
          <w:tcPr>
            <w:tcW w:w="1701" w:type="dxa"/>
            <w:noWrap w:val="0"/>
            <w:vAlign w:val="center"/>
          </w:tcPr>
          <w:p>
            <w:pPr>
              <w:bidi w:val="0"/>
              <w:jc w:val="center"/>
              <w:rPr>
                <w:color w:val="auto"/>
              </w:rPr>
            </w:pPr>
            <w:r>
              <w:rPr>
                <w:rFonts w:hint="eastAsia"/>
                <w:color w:val="auto"/>
                <w:lang w:val="en-US" w:eastAsia="zh-CN"/>
              </w:rPr>
              <w:t>/</w:t>
            </w:r>
          </w:p>
        </w:tc>
        <w:tc>
          <w:tcPr>
            <w:tcW w:w="1276" w:type="dxa"/>
            <w:noWrap w:val="0"/>
            <w:vAlign w:val="center"/>
          </w:tcPr>
          <w:p>
            <w:pPr>
              <w:bidi w:val="0"/>
              <w:jc w:val="center"/>
              <w:rPr>
                <w:color w:val="auto"/>
              </w:rPr>
            </w:pPr>
            <w:r>
              <w:rPr>
                <w:rFonts w:hint="eastAsia"/>
                <w:color w:val="auto"/>
                <w:lang w:val="en-US" w:eastAsia="zh-CN"/>
              </w:rPr>
              <w:t>/</w:t>
            </w:r>
          </w:p>
        </w:tc>
        <w:tc>
          <w:tcPr>
            <w:tcW w:w="1701" w:type="dxa"/>
            <w:noWrap w:val="0"/>
            <w:vAlign w:val="center"/>
          </w:tcPr>
          <w:p>
            <w:pPr>
              <w:bidi w:val="0"/>
              <w:jc w:val="center"/>
              <w:rPr>
                <w:color w:val="auto"/>
              </w:rPr>
            </w:pPr>
            <w:r>
              <w:rPr>
                <w:rFonts w:hint="eastAsia"/>
                <w:color w:val="auto"/>
                <w:lang w:val="en-US" w:eastAsia="zh-CN"/>
              </w:rPr>
              <w:t>/</w:t>
            </w:r>
          </w:p>
        </w:tc>
        <w:tc>
          <w:tcPr>
            <w:tcW w:w="1559" w:type="dxa"/>
            <w:noWrap w:val="0"/>
            <w:vAlign w:val="center"/>
          </w:tcPr>
          <w:p>
            <w:pPr>
              <w:bidi w:val="0"/>
              <w:jc w:val="center"/>
              <w:rPr>
                <w:rFonts w:hint="eastAsia" w:eastAsia="宋体"/>
                <w:color w:val="auto"/>
                <w:lang w:eastAsia="zh-CN"/>
              </w:rPr>
            </w:pPr>
            <w:r>
              <w:rPr>
                <w:rFonts w:hint="eastAsia"/>
                <w:color w:val="auto"/>
              </w:rPr>
              <w:t>0.</w:t>
            </w:r>
            <w:r>
              <w:rPr>
                <w:rFonts w:hint="eastAsia"/>
                <w:color w:val="auto"/>
                <w:lang w:val="en-US" w:eastAsia="zh-CN"/>
              </w:rPr>
              <w:t>1</w:t>
            </w:r>
          </w:p>
        </w:tc>
        <w:tc>
          <w:tcPr>
            <w:tcW w:w="1634" w:type="dxa"/>
            <w:noWrap w:val="0"/>
            <w:vAlign w:val="center"/>
          </w:tcPr>
          <w:p>
            <w:pPr>
              <w:bidi w:val="0"/>
              <w:jc w:val="center"/>
              <w:rPr>
                <w:color w:val="auto"/>
              </w:rPr>
            </w:pPr>
            <w:r>
              <w:rPr>
                <w:rFonts w:hint="eastAsia"/>
                <w:color w:val="auto"/>
                <w:lang w:val="en-US" w:eastAsia="zh-CN"/>
              </w:rPr>
              <w:t>/</w:t>
            </w:r>
          </w:p>
        </w:tc>
        <w:tc>
          <w:tcPr>
            <w:tcW w:w="1626" w:type="dxa"/>
            <w:noWrap w:val="0"/>
            <w:vAlign w:val="center"/>
          </w:tcPr>
          <w:p>
            <w:pPr>
              <w:bidi w:val="0"/>
              <w:jc w:val="center"/>
              <w:rPr>
                <w:rFonts w:hint="eastAsia" w:eastAsia="宋体"/>
                <w:color w:val="auto"/>
                <w:lang w:eastAsia="zh-CN"/>
              </w:rPr>
            </w:pPr>
            <w:r>
              <w:rPr>
                <w:rFonts w:hint="eastAsia"/>
                <w:color w:val="auto"/>
              </w:rPr>
              <w:t>0.</w:t>
            </w:r>
            <w:r>
              <w:rPr>
                <w:rFonts w:hint="eastAsia"/>
                <w:color w:val="auto"/>
                <w:lang w:val="en-US" w:eastAsia="zh-CN"/>
              </w:rPr>
              <w:t>1</w:t>
            </w:r>
          </w:p>
        </w:tc>
        <w:tc>
          <w:tcPr>
            <w:tcW w:w="1286" w:type="dxa"/>
            <w:noWrap w:val="0"/>
            <w:vAlign w:val="center"/>
          </w:tcPr>
          <w:p>
            <w:pPr>
              <w:bidi w:val="0"/>
              <w:jc w:val="center"/>
              <w:rPr>
                <w:rFonts w:hint="default" w:eastAsia="宋体"/>
                <w:color w:val="auto"/>
                <w:lang w:val="en-US" w:eastAsia="zh-CN"/>
              </w:rPr>
            </w:pPr>
            <w:r>
              <w:rPr>
                <w:color w:val="auto"/>
              </w:rPr>
              <w:t>+</w:t>
            </w:r>
            <w:r>
              <w:rPr>
                <w:rFonts w:hint="eastAsia"/>
                <w:color w:val="auto"/>
              </w:rPr>
              <w:t>0</w:t>
            </w:r>
            <w:r>
              <w:rPr>
                <w:rFonts w:hint="eastAsia"/>
                <w:color w:val="auto"/>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continue"/>
            <w:noWrap w:val="0"/>
            <w:vAlign w:val="center"/>
          </w:tcPr>
          <w:p>
            <w:pPr>
              <w:bidi w:val="0"/>
              <w:jc w:val="center"/>
              <w:rPr>
                <w:color w:val="auto"/>
              </w:rPr>
            </w:pPr>
          </w:p>
        </w:tc>
        <w:tc>
          <w:tcPr>
            <w:tcW w:w="1417" w:type="dxa"/>
            <w:noWrap w:val="0"/>
            <w:vAlign w:val="center"/>
          </w:tcPr>
          <w:p>
            <w:pPr>
              <w:bidi w:val="0"/>
              <w:jc w:val="center"/>
              <w:rPr>
                <w:rFonts w:hint="eastAsia"/>
                <w:color w:val="auto"/>
                <w:lang w:val="zh-CN"/>
              </w:rPr>
            </w:pPr>
            <w:r>
              <w:rPr>
                <w:rFonts w:hint="eastAsia"/>
                <w:color w:val="auto"/>
                <w:sz w:val="18"/>
                <w:szCs w:val="18"/>
                <w:lang w:val="en-US" w:eastAsia="zh-CN"/>
              </w:rPr>
              <w:t>纯水制备废料</w:t>
            </w:r>
          </w:p>
        </w:tc>
        <w:tc>
          <w:tcPr>
            <w:tcW w:w="1701" w:type="dxa"/>
            <w:noWrap w:val="0"/>
            <w:vAlign w:val="center"/>
          </w:tcPr>
          <w:p>
            <w:pPr>
              <w:bidi w:val="0"/>
              <w:jc w:val="center"/>
              <w:rPr>
                <w:color w:val="auto"/>
              </w:rPr>
            </w:pPr>
            <w:r>
              <w:rPr>
                <w:rFonts w:hint="eastAsia"/>
                <w:color w:val="auto"/>
                <w:lang w:val="en-US" w:eastAsia="zh-CN"/>
              </w:rPr>
              <w:t>/</w:t>
            </w:r>
          </w:p>
        </w:tc>
        <w:tc>
          <w:tcPr>
            <w:tcW w:w="1276" w:type="dxa"/>
            <w:noWrap w:val="0"/>
            <w:vAlign w:val="center"/>
          </w:tcPr>
          <w:p>
            <w:pPr>
              <w:bidi w:val="0"/>
              <w:jc w:val="center"/>
              <w:rPr>
                <w:color w:val="auto"/>
              </w:rPr>
            </w:pPr>
            <w:r>
              <w:rPr>
                <w:rFonts w:hint="eastAsia"/>
                <w:color w:val="auto"/>
                <w:lang w:val="en-US" w:eastAsia="zh-CN"/>
              </w:rPr>
              <w:t>/</w:t>
            </w:r>
          </w:p>
        </w:tc>
        <w:tc>
          <w:tcPr>
            <w:tcW w:w="1701" w:type="dxa"/>
            <w:noWrap w:val="0"/>
            <w:vAlign w:val="center"/>
          </w:tcPr>
          <w:p>
            <w:pPr>
              <w:bidi w:val="0"/>
              <w:jc w:val="center"/>
              <w:rPr>
                <w:color w:val="auto"/>
              </w:rPr>
            </w:pPr>
            <w:r>
              <w:rPr>
                <w:rFonts w:hint="eastAsia"/>
                <w:color w:val="auto"/>
                <w:lang w:val="en-US" w:eastAsia="zh-CN"/>
              </w:rPr>
              <w:t>/</w:t>
            </w:r>
          </w:p>
        </w:tc>
        <w:tc>
          <w:tcPr>
            <w:tcW w:w="1559" w:type="dxa"/>
            <w:noWrap w:val="0"/>
            <w:vAlign w:val="center"/>
          </w:tcPr>
          <w:p>
            <w:pPr>
              <w:bidi w:val="0"/>
              <w:jc w:val="center"/>
              <w:rPr>
                <w:rFonts w:hint="default" w:eastAsia="宋体"/>
                <w:color w:val="auto"/>
                <w:lang w:val="en-US" w:eastAsia="zh-CN"/>
              </w:rPr>
            </w:pPr>
            <w:r>
              <w:rPr>
                <w:rFonts w:hint="eastAsia"/>
                <w:color w:val="auto"/>
                <w:lang w:val="en-US" w:eastAsia="zh-CN"/>
              </w:rPr>
              <w:t>0.82</w:t>
            </w:r>
          </w:p>
        </w:tc>
        <w:tc>
          <w:tcPr>
            <w:tcW w:w="1634" w:type="dxa"/>
            <w:noWrap w:val="0"/>
            <w:vAlign w:val="center"/>
          </w:tcPr>
          <w:p>
            <w:pPr>
              <w:bidi w:val="0"/>
              <w:jc w:val="center"/>
              <w:rPr>
                <w:color w:val="auto"/>
              </w:rPr>
            </w:pPr>
            <w:r>
              <w:rPr>
                <w:rFonts w:hint="eastAsia"/>
                <w:color w:val="auto"/>
                <w:lang w:val="en-US" w:eastAsia="zh-CN"/>
              </w:rPr>
              <w:t>/</w:t>
            </w:r>
          </w:p>
        </w:tc>
        <w:tc>
          <w:tcPr>
            <w:tcW w:w="1626" w:type="dxa"/>
            <w:noWrap w:val="0"/>
            <w:vAlign w:val="center"/>
          </w:tcPr>
          <w:p>
            <w:pPr>
              <w:bidi w:val="0"/>
              <w:jc w:val="center"/>
              <w:rPr>
                <w:rFonts w:hint="default" w:eastAsia="宋体"/>
                <w:color w:val="auto"/>
                <w:lang w:val="en-US" w:eastAsia="zh-CN"/>
              </w:rPr>
            </w:pPr>
            <w:r>
              <w:rPr>
                <w:rFonts w:hint="eastAsia"/>
                <w:color w:val="auto"/>
                <w:lang w:val="en-US" w:eastAsia="zh-CN"/>
              </w:rPr>
              <w:t>0.82</w:t>
            </w:r>
          </w:p>
        </w:tc>
        <w:tc>
          <w:tcPr>
            <w:tcW w:w="1286" w:type="dxa"/>
            <w:noWrap w:val="0"/>
            <w:vAlign w:val="center"/>
          </w:tcPr>
          <w:p>
            <w:pPr>
              <w:bidi w:val="0"/>
              <w:jc w:val="center"/>
              <w:rPr>
                <w:rFonts w:hint="default" w:eastAsia="宋体"/>
                <w:color w:val="auto"/>
                <w:lang w:val="en-US" w:eastAsia="zh-CN"/>
              </w:rPr>
            </w:pPr>
            <w:r>
              <w:rPr>
                <w:color w:val="auto"/>
              </w:rPr>
              <w:t>+</w:t>
            </w:r>
            <w:r>
              <w:rPr>
                <w:rFonts w:hint="eastAsia"/>
                <w:color w:val="auto"/>
                <w:lang w:val="en-US" w:eastAsia="zh-CN"/>
              </w:rPr>
              <w:t>0.82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continue"/>
            <w:noWrap w:val="0"/>
            <w:vAlign w:val="center"/>
          </w:tcPr>
          <w:p>
            <w:pPr>
              <w:bidi w:val="0"/>
              <w:jc w:val="center"/>
              <w:rPr>
                <w:color w:val="auto"/>
              </w:rPr>
            </w:pPr>
          </w:p>
        </w:tc>
        <w:tc>
          <w:tcPr>
            <w:tcW w:w="1417" w:type="dxa"/>
            <w:noWrap w:val="0"/>
            <w:vAlign w:val="center"/>
          </w:tcPr>
          <w:p>
            <w:pPr>
              <w:bidi w:val="0"/>
              <w:jc w:val="center"/>
              <w:rPr>
                <w:rFonts w:hint="eastAsia"/>
                <w:color w:val="auto"/>
                <w:lang w:val="zh-CN"/>
              </w:rPr>
            </w:pPr>
            <w:r>
              <w:rPr>
                <w:rFonts w:hint="eastAsia"/>
                <w:color w:val="auto"/>
                <w:lang w:val="zh-CN"/>
              </w:rPr>
              <w:t>收集粉尘</w:t>
            </w:r>
          </w:p>
        </w:tc>
        <w:tc>
          <w:tcPr>
            <w:tcW w:w="1701" w:type="dxa"/>
            <w:noWrap w:val="0"/>
            <w:vAlign w:val="center"/>
          </w:tcPr>
          <w:p>
            <w:pPr>
              <w:bidi w:val="0"/>
              <w:jc w:val="center"/>
              <w:rPr>
                <w:color w:val="auto"/>
              </w:rPr>
            </w:pPr>
            <w:r>
              <w:rPr>
                <w:rFonts w:hint="eastAsia"/>
                <w:color w:val="auto"/>
                <w:lang w:val="en-US" w:eastAsia="zh-CN"/>
              </w:rPr>
              <w:t>/</w:t>
            </w:r>
          </w:p>
        </w:tc>
        <w:tc>
          <w:tcPr>
            <w:tcW w:w="1276" w:type="dxa"/>
            <w:noWrap w:val="0"/>
            <w:vAlign w:val="center"/>
          </w:tcPr>
          <w:p>
            <w:pPr>
              <w:bidi w:val="0"/>
              <w:jc w:val="center"/>
              <w:rPr>
                <w:color w:val="auto"/>
              </w:rPr>
            </w:pPr>
            <w:r>
              <w:rPr>
                <w:rFonts w:hint="eastAsia"/>
                <w:color w:val="auto"/>
                <w:lang w:val="en-US" w:eastAsia="zh-CN"/>
              </w:rPr>
              <w:t>/</w:t>
            </w:r>
          </w:p>
        </w:tc>
        <w:tc>
          <w:tcPr>
            <w:tcW w:w="1701" w:type="dxa"/>
            <w:noWrap w:val="0"/>
            <w:vAlign w:val="center"/>
          </w:tcPr>
          <w:p>
            <w:pPr>
              <w:bidi w:val="0"/>
              <w:jc w:val="center"/>
              <w:rPr>
                <w:color w:val="auto"/>
              </w:rPr>
            </w:pPr>
            <w:r>
              <w:rPr>
                <w:rFonts w:hint="eastAsia"/>
                <w:color w:val="auto"/>
                <w:lang w:val="en-US" w:eastAsia="zh-CN"/>
              </w:rPr>
              <w:t>/</w:t>
            </w:r>
          </w:p>
        </w:tc>
        <w:tc>
          <w:tcPr>
            <w:tcW w:w="1559" w:type="dxa"/>
            <w:noWrap w:val="0"/>
            <w:vAlign w:val="center"/>
          </w:tcPr>
          <w:p>
            <w:pPr>
              <w:bidi w:val="0"/>
              <w:jc w:val="center"/>
              <w:rPr>
                <w:rFonts w:hint="default" w:eastAsia="宋体"/>
                <w:color w:val="auto"/>
                <w:lang w:val="en-US" w:eastAsia="zh-CN"/>
              </w:rPr>
            </w:pPr>
            <w:r>
              <w:rPr>
                <w:rFonts w:hint="eastAsia"/>
                <w:color w:val="auto"/>
                <w:lang w:val="en-US" w:eastAsia="zh-CN"/>
              </w:rPr>
              <w:t>0.702</w:t>
            </w:r>
          </w:p>
        </w:tc>
        <w:tc>
          <w:tcPr>
            <w:tcW w:w="1634" w:type="dxa"/>
            <w:noWrap w:val="0"/>
            <w:vAlign w:val="center"/>
          </w:tcPr>
          <w:p>
            <w:pPr>
              <w:bidi w:val="0"/>
              <w:jc w:val="center"/>
              <w:rPr>
                <w:color w:val="auto"/>
              </w:rPr>
            </w:pPr>
            <w:r>
              <w:rPr>
                <w:rFonts w:hint="eastAsia"/>
                <w:color w:val="auto"/>
                <w:lang w:val="en-US" w:eastAsia="zh-CN"/>
              </w:rPr>
              <w:t>/</w:t>
            </w:r>
          </w:p>
        </w:tc>
        <w:tc>
          <w:tcPr>
            <w:tcW w:w="1626" w:type="dxa"/>
            <w:noWrap w:val="0"/>
            <w:vAlign w:val="center"/>
          </w:tcPr>
          <w:p>
            <w:pPr>
              <w:bidi w:val="0"/>
              <w:jc w:val="center"/>
              <w:rPr>
                <w:rFonts w:hint="default" w:eastAsia="宋体"/>
                <w:color w:val="auto"/>
                <w:lang w:val="en-US" w:eastAsia="zh-CN"/>
              </w:rPr>
            </w:pPr>
            <w:r>
              <w:rPr>
                <w:rFonts w:hint="eastAsia"/>
                <w:color w:val="auto"/>
                <w:lang w:val="en-US" w:eastAsia="zh-CN"/>
              </w:rPr>
              <w:t>0.702</w:t>
            </w:r>
          </w:p>
        </w:tc>
        <w:tc>
          <w:tcPr>
            <w:tcW w:w="1286" w:type="dxa"/>
            <w:noWrap w:val="0"/>
            <w:vAlign w:val="center"/>
          </w:tcPr>
          <w:p>
            <w:pPr>
              <w:bidi w:val="0"/>
              <w:jc w:val="center"/>
              <w:rPr>
                <w:rFonts w:hint="default" w:eastAsia="宋体"/>
                <w:color w:val="auto"/>
                <w:lang w:val="en-US" w:eastAsia="zh-CN"/>
              </w:rPr>
            </w:pPr>
            <w:r>
              <w:rPr>
                <w:color w:val="auto"/>
              </w:rPr>
              <w:t>+</w:t>
            </w:r>
            <w:r>
              <w:rPr>
                <w:rFonts w:hint="eastAsia"/>
                <w:color w:val="auto"/>
                <w:lang w:val="en-US" w:eastAsia="zh-CN"/>
              </w:rPr>
              <w:t>0.702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continue"/>
            <w:noWrap w:val="0"/>
            <w:vAlign w:val="center"/>
          </w:tcPr>
          <w:p>
            <w:pPr>
              <w:bidi w:val="0"/>
              <w:jc w:val="center"/>
              <w:rPr>
                <w:color w:val="auto"/>
              </w:rPr>
            </w:pPr>
          </w:p>
        </w:tc>
        <w:tc>
          <w:tcPr>
            <w:tcW w:w="1417" w:type="dxa"/>
            <w:noWrap w:val="0"/>
            <w:vAlign w:val="center"/>
          </w:tcPr>
          <w:p>
            <w:pPr>
              <w:bidi w:val="0"/>
              <w:jc w:val="center"/>
              <w:rPr>
                <w:rFonts w:hint="eastAsia"/>
                <w:color w:val="auto"/>
                <w:lang w:val="zh-CN"/>
              </w:rPr>
            </w:pPr>
            <w:r>
              <w:rPr>
                <w:rFonts w:hint="eastAsia"/>
                <w:color w:val="auto"/>
                <w:sz w:val="18"/>
                <w:szCs w:val="18"/>
                <w:lang w:val="en-US" w:eastAsia="zh-CN"/>
              </w:rPr>
              <w:t>机加工碎屑</w:t>
            </w:r>
          </w:p>
        </w:tc>
        <w:tc>
          <w:tcPr>
            <w:tcW w:w="1701" w:type="dxa"/>
            <w:noWrap w:val="0"/>
            <w:vAlign w:val="center"/>
          </w:tcPr>
          <w:p>
            <w:pPr>
              <w:bidi w:val="0"/>
              <w:jc w:val="center"/>
              <w:rPr>
                <w:rFonts w:hint="eastAsia"/>
                <w:color w:val="auto"/>
                <w:lang w:val="en-US" w:eastAsia="zh-CN"/>
              </w:rPr>
            </w:pPr>
            <w:r>
              <w:rPr>
                <w:rFonts w:hint="eastAsia"/>
                <w:color w:val="auto"/>
                <w:lang w:val="en-US" w:eastAsia="zh-CN"/>
              </w:rPr>
              <w:t>/</w:t>
            </w:r>
          </w:p>
        </w:tc>
        <w:tc>
          <w:tcPr>
            <w:tcW w:w="1276" w:type="dxa"/>
            <w:noWrap w:val="0"/>
            <w:vAlign w:val="center"/>
          </w:tcPr>
          <w:p>
            <w:pPr>
              <w:bidi w:val="0"/>
              <w:jc w:val="center"/>
              <w:rPr>
                <w:rFonts w:hint="eastAsia"/>
                <w:color w:val="auto"/>
                <w:lang w:val="en-US" w:eastAsia="zh-CN"/>
              </w:rPr>
            </w:pPr>
            <w:r>
              <w:rPr>
                <w:rFonts w:hint="eastAsia"/>
                <w:color w:val="auto"/>
                <w:lang w:val="en-US" w:eastAsia="zh-CN"/>
              </w:rPr>
              <w:t>/</w:t>
            </w:r>
          </w:p>
        </w:tc>
        <w:tc>
          <w:tcPr>
            <w:tcW w:w="1701" w:type="dxa"/>
            <w:noWrap w:val="0"/>
            <w:vAlign w:val="center"/>
          </w:tcPr>
          <w:p>
            <w:pPr>
              <w:bidi w:val="0"/>
              <w:jc w:val="center"/>
              <w:rPr>
                <w:rFonts w:hint="eastAsia"/>
                <w:color w:val="auto"/>
                <w:lang w:val="en-US" w:eastAsia="zh-CN"/>
              </w:rPr>
            </w:pPr>
            <w:r>
              <w:rPr>
                <w:rFonts w:hint="eastAsia"/>
                <w:color w:val="auto"/>
                <w:lang w:val="en-US" w:eastAsia="zh-CN"/>
              </w:rPr>
              <w:t>/</w:t>
            </w:r>
          </w:p>
        </w:tc>
        <w:tc>
          <w:tcPr>
            <w:tcW w:w="1559" w:type="dxa"/>
            <w:noWrap w:val="0"/>
            <w:vAlign w:val="center"/>
          </w:tcPr>
          <w:p>
            <w:pPr>
              <w:bidi w:val="0"/>
              <w:jc w:val="center"/>
              <w:rPr>
                <w:rFonts w:hint="default"/>
                <w:color w:val="auto"/>
                <w:lang w:val="en-US" w:eastAsia="zh-CN"/>
              </w:rPr>
            </w:pPr>
            <w:r>
              <w:rPr>
                <w:rFonts w:hint="eastAsia"/>
                <w:color w:val="auto"/>
                <w:lang w:val="en-US" w:eastAsia="zh-CN"/>
              </w:rPr>
              <w:t>0.106</w:t>
            </w:r>
          </w:p>
        </w:tc>
        <w:tc>
          <w:tcPr>
            <w:tcW w:w="1634" w:type="dxa"/>
            <w:noWrap w:val="0"/>
            <w:vAlign w:val="center"/>
          </w:tcPr>
          <w:p>
            <w:pPr>
              <w:bidi w:val="0"/>
              <w:jc w:val="center"/>
              <w:rPr>
                <w:rFonts w:hint="eastAsia"/>
                <w:color w:val="auto"/>
                <w:lang w:val="en-US" w:eastAsia="zh-CN"/>
              </w:rPr>
            </w:pPr>
            <w:r>
              <w:rPr>
                <w:rFonts w:hint="eastAsia"/>
                <w:color w:val="auto"/>
                <w:lang w:val="en-US" w:eastAsia="zh-CN"/>
              </w:rPr>
              <w:t>/</w:t>
            </w:r>
          </w:p>
        </w:tc>
        <w:tc>
          <w:tcPr>
            <w:tcW w:w="1626" w:type="dxa"/>
            <w:noWrap w:val="0"/>
            <w:vAlign w:val="center"/>
          </w:tcPr>
          <w:p>
            <w:pPr>
              <w:bidi w:val="0"/>
              <w:jc w:val="center"/>
              <w:rPr>
                <w:rFonts w:hint="default"/>
                <w:color w:val="auto"/>
                <w:lang w:val="en-US" w:eastAsia="zh-CN"/>
              </w:rPr>
            </w:pPr>
            <w:r>
              <w:rPr>
                <w:rFonts w:hint="eastAsia"/>
                <w:color w:val="auto"/>
                <w:lang w:val="en-US" w:eastAsia="zh-CN"/>
              </w:rPr>
              <w:t>0.106</w:t>
            </w:r>
          </w:p>
        </w:tc>
        <w:tc>
          <w:tcPr>
            <w:tcW w:w="1286" w:type="dxa"/>
            <w:noWrap w:val="0"/>
            <w:vAlign w:val="center"/>
          </w:tcPr>
          <w:p>
            <w:pPr>
              <w:bidi w:val="0"/>
              <w:jc w:val="center"/>
              <w:rPr>
                <w:rFonts w:hint="default" w:eastAsia="宋体"/>
                <w:color w:val="auto"/>
                <w:lang w:val="en-US" w:eastAsia="zh-CN"/>
              </w:rPr>
            </w:pPr>
            <w:r>
              <w:rPr>
                <w:color w:val="auto"/>
              </w:rPr>
              <w:t>+</w:t>
            </w:r>
            <w:r>
              <w:rPr>
                <w:rFonts w:hint="eastAsia"/>
                <w:color w:val="auto"/>
                <w:lang w:val="en-US" w:eastAsia="zh-CN"/>
              </w:rPr>
              <w:t>0.106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continue"/>
            <w:noWrap w:val="0"/>
            <w:vAlign w:val="center"/>
          </w:tcPr>
          <w:p>
            <w:pPr>
              <w:bidi w:val="0"/>
              <w:jc w:val="center"/>
              <w:rPr>
                <w:color w:val="auto"/>
              </w:rPr>
            </w:pPr>
          </w:p>
        </w:tc>
        <w:tc>
          <w:tcPr>
            <w:tcW w:w="1417" w:type="dxa"/>
            <w:noWrap w:val="0"/>
            <w:vAlign w:val="center"/>
          </w:tcPr>
          <w:p>
            <w:pPr>
              <w:bidi w:val="0"/>
              <w:jc w:val="center"/>
              <w:rPr>
                <w:rFonts w:hint="eastAsia"/>
                <w:color w:val="auto"/>
                <w:lang w:val="zh-CN"/>
              </w:rPr>
            </w:pPr>
            <w:r>
              <w:rPr>
                <w:rFonts w:hint="eastAsia"/>
                <w:color w:val="auto"/>
                <w:lang w:val="zh-CN"/>
              </w:rPr>
              <w:t>废边角料</w:t>
            </w:r>
          </w:p>
        </w:tc>
        <w:tc>
          <w:tcPr>
            <w:tcW w:w="1701" w:type="dxa"/>
            <w:noWrap w:val="0"/>
            <w:vAlign w:val="center"/>
          </w:tcPr>
          <w:p>
            <w:pPr>
              <w:bidi w:val="0"/>
              <w:jc w:val="center"/>
              <w:rPr>
                <w:rFonts w:hint="eastAsia"/>
                <w:color w:val="auto"/>
              </w:rPr>
            </w:pPr>
            <w:r>
              <w:rPr>
                <w:rFonts w:hint="eastAsia"/>
                <w:color w:val="auto"/>
                <w:lang w:val="en-US" w:eastAsia="zh-CN"/>
              </w:rPr>
              <w:t>/</w:t>
            </w:r>
          </w:p>
        </w:tc>
        <w:tc>
          <w:tcPr>
            <w:tcW w:w="1276" w:type="dxa"/>
            <w:noWrap w:val="0"/>
            <w:vAlign w:val="center"/>
          </w:tcPr>
          <w:p>
            <w:pPr>
              <w:bidi w:val="0"/>
              <w:jc w:val="center"/>
              <w:rPr>
                <w:color w:val="auto"/>
              </w:rPr>
            </w:pPr>
            <w:r>
              <w:rPr>
                <w:rFonts w:hint="eastAsia"/>
                <w:color w:val="auto"/>
                <w:lang w:val="en-US" w:eastAsia="zh-CN"/>
              </w:rPr>
              <w:t>/</w:t>
            </w:r>
          </w:p>
        </w:tc>
        <w:tc>
          <w:tcPr>
            <w:tcW w:w="1701" w:type="dxa"/>
            <w:noWrap w:val="0"/>
            <w:vAlign w:val="center"/>
          </w:tcPr>
          <w:p>
            <w:pPr>
              <w:bidi w:val="0"/>
              <w:jc w:val="center"/>
              <w:rPr>
                <w:color w:val="auto"/>
              </w:rPr>
            </w:pPr>
            <w:r>
              <w:rPr>
                <w:rFonts w:hint="eastAsia"/>
                <w:color w:val="auto"/>
                <w:lang w:val="en-US" w:eastAsia="zh-CN"/>
              </w:rPr>
              <w:t>/</w:t>
            </w:r>
          </w:p>
        </w:tc>
        <w:tc>
          <w:tcPr>
            <w:tcW w:w="1559" w:type="dxa"/>
            <w:noWrap w:val="0"/>
            <w:vAlign w:val="center"/>
          </w:tcPr>
          <w:p>
            <w:pPr>
              <w:bidi w:val="0"/>
              <w:jc w:val="center"/>
              <w:rPr>
                <w:rFonts w:hint="default" w:eastAsia="宋体"/>
                <w:color w:val="auto"/>
                <w:lang w:val="en-US" w:eastAsia="zh-CN"/>
              </w:rPr>
            </w:pPr>
            <w:r>
              <w:rPr>
                <w:rFonts w:hint="eastAsia"/>
                <w:color w:val="auto"/>
                <w:lang w:val="en-US" w:eastAsia="zh-CN"/>
              </w:rPr>
              <w:t>2.2</w:t>
            </w:r>
          </w:p>
        </w:tc>
        <w:tc>
          <w:tcPr>
            <w:tcW w:w="1634" w:type="dxa"/>
            <w:noWrap w:val="0"/>
            <w:vAlign w:val="center"/>
          </w:tcPr>
          <w:p>
            <w:pPr>
              <w:bidi w:val="0"/>
              <w:jc w:val="center"/>
              <w:rPr>
                <w:rFonts w:hint="eastAsia"/>
                <w:color w:val="auto"/>
              </w:rPr>
            </w:pPr>
            <w:r>
              <w:rPr>
                <w:rFonts w:hint="eastAsia"/>
                <w:color w:val="auto"/>
                <w:lang w:val="en-US" w:eastAsia="zh-CN"/>
              </w:rPr>
              <w:t>/</w:t>
            </w:r>
          </w:p>
        </w:tc>
        <w:tc>
          <w:tcPr>
            <w:tcW w:w="1626" w:type="dxa"/>
            <w:noWrap w:val="0"/>
            <w:vAlign w:val="center"/>
          </w:tcPr>
          <w:p>
            <w:pPr>
              <w:bidi w:val="0"/>
              <w:jc w:val="center"/>
              <w:rPr>
                <w:rFonts w:hint="default" w:eastAsia="宋体"/>
                <w:color w:val="auto"/>
                <w:lang w:val="en-US" w:eastAsia="zh-CN"/>
              </w:rPr>
            </w:pPr>
            <w:r>
              <w:rPr>
                <w:rFonts w:hint="eastAsia"/>
                <w:color w:val="auto"/>
                <w:lang w:val="en-US" w:eastAsia="zh-CN"/>
              </w:rPr>
              <w:t>2.2</w:t>
            </w:r>
          </w:p>
        </w:tc>
        <w:tc>
          <w:tcPr>
            <w:tcW w:w="1286" w:type="dxa"/>
            <w:noWrap w:val="0"/>
            <w:vAlign w:val="center"/>
          </w:tcPr>
          <w:p>
            <w:pPr>
              <w:bidi w:val="0"/>
              <w:jc w:val="center"/>
              <w:rPr>
                <w:rFonts w:hint="default" w:eastAsia="宋体"/>
                <w:color w:val="auto"/>
                <w:lang w:val="en-US" w:eastAsia="zh-CN"/>
              </w:rPr>
            </w:pPr>
            <w:r>
              <w:rPr>
                <w:color w:val="auto"/>
              </w:rPr>
              <w:t>+</w:t>
            </w:r>
            <w:r>
              <w:rPr>
                <w:rFonts w:hint="eastAsia"/>
                <w:color w:val="auto"/>
                <w:lang w:val="en-US" w:eastAsia="zh-CN"/>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continue"/>
            <w:noWrap w:val="0"/>
            <w:vAlign w:val="center"/>
          </w:tcPr>
          <w:p>
            <w:pPr>
              <w:bidi w:val="0"/>
              <w:jc w:val="center"/>
              <w:rPr>
                <w:color w:val="auto"/>
              </w:rPr>
            </w:pPr>
          </w:p>
        </w:tc>
        <w:tc>
          <w:tcPr>
            <w:tcW w:w="1417" w:type="dxa"/>
            <w:noWrap w:val="0"/>
            <w:vAlign w:val="center"/>
          </w:tcPr>
          <w:p>
            <w:pPr>
              <w:bidi w:val="0"/>
              <w:jc w:val="center"/>
              <w:rPr>
                <w:color w:val="auto"/>
              </w:rPr>
            </w:pPr>
            <w:r>
              <w:rPr>
                <w:color w:val="auto"/>
              </w:rPr>
              <w:t>生活垃圾</w:t>
            </w:r>
          </w:p>
        </w:tc>
        <w:tc>
          <w:tcPr>
            <w:tcW w:w="1701" w:type="dxa"/>
            <w:noWrap w:val="0"/>
            <w:vAlign w:val="center"/>
          </w:tcPr>
          <w:p>
            <w:pPr>
              <w:bidi w:val="0"/>
              <w:jc w:val="center"/>
              <w:rPr>
                <w:color w:val="auto"/>
              </w:rPr>
            </w:pPr>
            <w:r>
              <w:rPr>
                <w:rFonts w:hint="eastAsia"/>
                <w:color w:val="auto"/>
                <w:lang w:val="en-US" w:eastAsia="zh-CN"/>
              </w:rPr>
              <w:t>/</w:t>
            </w:r>
          </w:p>
        </w:tc>
        <w:tc>
          <w:tcPr>
            <w:tcW w:w="1276" w:type="dxa"/>
            <w:noWrap w:val="0"/>
            <w:vAlign w:val="center"/>
          </w:tcPr>
          <w:p>
            <w:pPr>
              <w:bidi w:val="0"/>
              <w:jc w:val="center"/>
              <w:rPr>
                <w:color w:val="auto"/>
              </w:rPr>
            </w:pPr>
            <w:r>
              <w:rPr>
                <w:rFonts w:hint="eastAsia"/>
                <w:color w:val="auto"/>
                <w:lang w:val="en-US" w:eastAsia="zh-CN"/>
              </w:rPr>
              <w:t>/</w:t>
            </w:r>
          </w:p>
        </w:tc>
        <w:tc>
          <w:tcPr>
            <w:tcW w:w="1701" w:type="dxa"/>
            <w:noWrap w:val="0"/>
            <w:vAlign w:val="center"/>
          </w:tcPr>
          <w:p>
            <w:pPr>
              <w:bidi w:val="0"/>
              <w:jc w:val="center"/>
              <w:rPr>
                <w:color w:val="auto"/>
              </w:rPr>
            </w:pPr>
            <w:r>
              <w:rPr>
                <w:rFonts w:hint="eastAsia"/>
                <w:color w:val="auto"/>
                <w:lang w:val="en-US" w:eastAsia="zh-CN"/>
              </w:rPr>
              <w:t>/</w:t>
            </w:r>
          </w:p>
        </w:tc>
        <w:tc>
          <w:tcPr>
            <w:tcW w:w="1559" w:type="dxa"/>
            <w:noWrap w:val="0"/>
            <w:vAlign w:val="center"/>
          </w:tcPr>
          <w:p>
            <w:pPr>
              <w:bidi w:val="0"/>
              <w:jc w:val="center"/>
              <w:rPr>
                <w:rFonts w:hint="default" w:eastAsia="宋体"/>
                <w:color w:val="auto"/>
                <w:lang w:val="en-US" w:eastAsia="zh-CN"/>
              </w:rPr>
            </w:pPr>
            <w:r>
              <w:rPr>
                <w:rFonts w:hint="eastAsia"/>
                <w:color w:val="auto"/>
                <w:lang w:val="en-US" w:eastAsia="zh-CN"/>
              </w:rPr>
              <w:t>30</w:t>
            </w:r>
          </w:p>
        </w:tc>
        <w:tc>
          <w:tcPr>
            <w:tcW w:w="1634" w:type="dxa"/>
            <w:noWrap w:val="0"/>
            <w:vAlign w:val="center"/>
          </w:tcPr>
          <w:p>
            <w:pPr>
              <w:bidi w:val="0"/>
              <w:jc w:val="center"/>
              <w:rPr>
                <w:color w:val="auto"/>
              </w:rPr>
            </w:pPr>
            <w:r>
              <w:rPr>
                <w:rFonts w:hint="eastAsia"/>
                <w:color w:val="auto"/>
                <w:lang w:val="en-US" w:eastAsia="zh-CN"/>
              </w:rPr>
              <w:t>/</w:t>
            </w:r>
          </w:p>
        </w:tc>
        <w:tc>
          <w:tcPr>
            <w:tcW w:w="1626" w:type="dxa"/>
            <w:noWrap w:val="0"/>
            <w:vAlign w:val="center"/>
          </w:tcPr>
          <w:p>
            <w:pPr>
              <w:bidi w:val="0"/>
              <w:jc w:val="center"/>
              <w:rPr>
                <w:rFonts w:hint="default" w:eastAsia="宋体"/>
                <w:color w:val="auto"/>
                <w:lang w:val="en-US" w:eastAsia="zh-CN"/>
              </w:rPr>
            </w:pPr>
            <w:r>
              <w:rPr>
                <w:rFonts w:hint="eastAsia"/>
                <w:color w:val="auto"/>
                <w:lang w:val="en-US" w:eastAsia="zh-CN"/>
              </w:rPr>
              <w:t>30</w:t>
            </w:r>
          </w:p>
        </w:tc>
        <w:tc>
          <w:tcPr>
            <w:tcW w:w="1286" w:type="dxa"/>
            <w:noWrap w:val="0"/>
            <w:vAlign w:val="center"/>
          </w:tcPr>
          <w:p>
            <w:pPr>
              <w:bidi w:val="0"/>
              <w:jc w:val="center"/>
              <w:rPr>
                <w:rFonts w:hint="default" w:eastAsia="宋体"/>
                <w:color w:val="auto"/>
                <w:lang w:val="en-US" w:eastAsia="zh-CN"/>
              </w:rPr>
            </w:pPr>
            <w:r>
              <w:rPr>
                <w:color w:val="auto"/>
              </w:rPr>
              <w:t>+</w:t>
            </w:r>
            <w:r>
              <w:rPr>
                <w:rFonts w:hint="eastAsia"/>
                <w:color w:val="auto"/>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restart"/>
            <w:noWrap w:val="0"/>
            <w:vAlign w:val="center"/>
          </w:tcPr>
          <w:p>
            <w:pPr>
              <w:bidi w:val="0"/>
              <w:jc w:val="center"/>
              <w:rPr>
                <w:color w:val="auto"/>
              </w:rPr>
            </w:pPr>
            <w:r>
              <w:rPr>
                <w:color w:val="auto"/>
              </w:rPr>
              <w:t>危险废物</w:t>
            </w:r>
          </w:p>
        </w:tc>
        <w:tc>
          <w:tcPr>
            <w:tcW w:w="1417" w:type="dxa"/>
            <w:noWrap w:val="0"/>
            <w:vAlign w:val="center"/>
          </w:tcPr>
          <w:p>
            <w:pPr>
              <w:bidi w:val="0"/>
              <w:jc w:val="center"/>
              <w:rPr>
                <w:rFonts w:hint="eastAsia"/>
                <w:color w:val="auto"/>
              </w:rPr>
            </w:pPr>
            <w:r>
              <w:rPr>
                <w:rFonts w:hint="eastAsia"/>
                <w:color w:val="auto"/>
              </w:rPr>
              <w:t>废</w:t>
            </w:r>
            <w:r>
              <w:rPr>
                <w:rFonts w:hint="eastAsia"/>
                <w:color w:val="auto"/>
                <w:lang w:val="en-US" w:eastAsia="zh-CN"/>
              </w:rPr>
              <w:t>切削</w:t>
            </w:r>
            <w:r>
              <w:rPr>
                <w:rFonts w:hint="eastAsia"/>
                <w:color w:val="auto"/>
              </w:rPr>
              <w:t>液</w:t>
            </w:r>
          </w:p>
        </w:tc>
        <w:tc>
          <w:tcPr>
            <w:tcW w:w="1701" w:type="dxa"/>
            <w:noWrap w:val="0"/>
            <w:vAlign w:val="center"/>
          </w:tcPr>
          <w:p>
            <w:pPr>
              <w:bidi w:val="0"/>
              <w:jc w:val="center"/>
              <w:rPr>
                <w:rFonts w:hint="eastAsia"/>
                <w:color w:val="auto"/>
                <w:lang w:eastAsia="zh-CN"/>
              </w:rPr>
            </w:pPr>
            <w:r>
              <w:rPr>
                <w:rFonts w:hint="eastAsia"/>
                <w:color w:val="auto"/>
                <w:lang w:val="en-US" w:eastAsia="zh-CN"/>
              </w:rPr>
              <w:t>/</w:t>
            </w:r>
          </w:p>
        </w:tc>
        <w:tc>
          <w:tcPr>
            <w:tcW w:w="1276" w:type="dxa"/>
            <w:noWrap w:val="0"/>
            <w:vAlign w:val="center"/>
          </w:tcPr>
          <w:p>
            <w:pPr>
              <w:bidi w:val="0"/>
              <w:jc w:val="center"/>
              <w:rPr>
                <w:color w:val="auto"/>
              </w:rPr>
            </w:pPr>
            <w:r>
              <w:rPr>
                <w:rFonts w:hint="eastAsia"/>
                <w:color w:val="auto"/>
                <w:lang w:val="en-US" w:eastAsia="zh-CN"/>
              </w:rPr>
              <w:t>/</w:t>
            </w:r>
          </w:p>
        </w:tc>
        <w:tc>
          <w:tcPr>
            <w:tcW w:w="1701" w:type="dxa"/>
            <w:noWrap w:val="0"/>
            <w:vAlign w:val="center"/>
          </w:tcPr>
          <w:p>
            <w:pPr>
              <w:bidi w:val="0"/>
              <w:jc w:val="center"/>
              <w:rPr>
                <w:color w:val="auto"/>
              </w:rPr>
            </w:pPr>
            <w:r>
              <w:rPr>
                <w:rFonts w:hint="eastAsia"/>
                <w:color w:val="auto"/>
                <w:lang w:val="en-US" w:eastAsia="zh-CN"/>
              </w:rPr>
              <w:t>/</w:t>
            </w:r>
          </w:p>
        </w:tc>
        <w:tc>
          <w:tcPr>
            <w:tcW w:w="1559" w:type="dxa"/>
            <w:noWrap w:val="0"/>
            <w:vAlign w:val="center"/>
          </w:tcPr>
          <w:p>
            <w:pPr>
              <w:bidi w:val="0"/>
              <w:jc w:val="center"/>
              <w:rPr>
                <w:rFonts w:hint="eastAsia" w:eastAsia="宋体"/>
                <w:color w:val="auto"/>
                <w:lang w:eastAsia="zh-CN"/>
              </w:rPr>
            </w:pPr>
            <w:r>
              <w:rPr>
                <w:rFonts w:hint="eastAsia"/>
                <w:color w:val="auto"/>
                <w:lang w:val="en-US" w:eastAsia="zh-CN"/>
              </w:rPr>
              <w:t>1</w:t>
            </w:r>
          </w:p>
        </w:tc>
        <w:tc>
          <w:tcPr>
            <w:tcW w:w="1634" w:type="dxa"/>
            <w:noWrap w:val="0"/>
            <w:vAlign w:val="center"/>
          </w:tcPr>
          <w:p>
            <w:pPr>
              <w:bidi w:val="0"/>
              <w:jc w:val="center"/>
              <w:rPr>
                <w:color w:val="auto"/>
              </w:rPr>
            </w:pPr>
            <w:r>
              <w:rPr>
                <w:rFonts w:hint="eastAsia"/>
                <w:color w:val="auto"/>
                <w:lang w:val="en-US" w:eastAsia="zh-CN"/>
              </w:rPr>
              <w:t>/</w:t>
            </w:r>
          </w:p>
        </w:tc>
        <w:tc>
          <w:tcPr>
            <w:tcW w:w="1626" w:type="dxa"/>
            <w:noWrap w:val="0"/>
            <w:vAlign w:val="center"/>
          </w:tcPr>
          <w:p>
            <w:pPr>
              <w:bidi w:val="0"/>
              <w:jc w:val="center"/>
              <w:rPr>
                <w:rFonts w:hint="eastAsia" w:eastAsia="宋体"/>
                <w:color w:val="auto"/>
                <w:lang w:eastAsia="zh-CN"/>
              </w:rPr>
            </w:pPr>
            <w:r>
              <w:rPr>
                <w:rFonts w:hint="eastAsia"/>
                <w:color w:val="auto"/>
                <w:lang w:val="en-US" w:eastAsia="zh-CN"/>
              </w:rPr>
              <w:t>1</w:t>
            </w:r>
          </w:p>
        </w:tc>
        <w:tc>
          <w:tcPr>
            <w:tcW w:w="1286" w:type="dxa"/>
            <w:noWrap w:val="0"/>
            <w:vAlign w:val="center"/>
          </w:tcPr>
          <w:p>
            <w:pPr>
              <w:bidi w:val="0"/>
              <w:jc w:val="center"/>
              <w:rPr>
                <w:rFonts w:hint="eastAsia" w:eastAsia="宋体"/>
                <w:color w:val="auto"/>
                <w:lang w:eastAsia="zh-CN"/>
              </w:rPr>
            </w:pPr>
            <w:r>
              <w:rPr>
                <w:color w:val="auto"/>
              </w:rPr>
              <w:t>+</w:t>
            </w:r>
            <w:r>
              <w:rPr>
                <w:rFonts w:hint="eastAsia"/>
                <w:color w:val="auto"/>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8" w:type="dxa"/>
            <w:vMerge w:val="continue"/>
            <w:noWrap w:val="0"/>
            <w:vAlign w:val="center"/>
          </w:tcPr>
          <w:p>
            <w:pPr>
              <w:bidi w:val="0"/>
              <w:jc w:val="center"/>
              <w:rPr>
                <w:color w:val="auto"/>
              </w:rPr>
            </w:pPr>
          </w:p>
        </w:tc>
        <w:tc>
          <w:tcPr>
            <w:tcW w:w="1417" w:type="dxa"/>
            <w:noWrap w:val="0"/>
            <w:vAlign w:val="center"/>
          </w:tcPr>
          <w:p>
            <w:pPr>
              <w:bidi w:val="0"/>
              <w:jc w:val="center"/>
              <w:rPr>
                <w:rFonts w:hint="eastAsia"/>
                <w:color w:val="auto"/>
              </w:rPr>
            </w:pPr>
            <w:r>
              <w:rPr>
                <w:rFonts w:hint="eastAsia"/>
                <w:color w:val="auto"/>
              </w:rPr>
              <w:t>废包装桶</w:t>
            </w:r>
          </w:p>
        </w:tc>
        <w:tc>
          <w:tcPr>
            <w:tcW w:w="1701" w:type="dxa"/>
            <w:noWrap w:val="0"/>
            <w:vAlign w:val="center"/>
          </w:tcPr>
          <w:p>
            <w:pPr>
              <w:bidi w:val="0"/>
              <w:jc w:val="center"/>
              <w:rPr>
                <w:color w:val="auto"/>
              </w:rPr>
            </w:pPr>
            <w:r>
              <w:rPr>
                <w:rFonts w:hint="eastAsia"/>
                <w:color w:val="auto"/>
                <w:lang w:val="en-US" w:eastAsia="zh-CN"/>
              </w:rPr>
              <w:t>/</w:t>
            </w:r>
          </w:p>
        </w:tc>
        <w:tc>
          <w:tcPr>
            <w:tcW w:w="1276" w:type="dxa"/>
            <w:noWrap w:val="0"/>
            <w:vAlign w:val="center"/>
          </w:tcPr>
          <w:p>
            <w:pPr>
              <w:bidi w:val="0"/>
              <w:jc w:val="center"/>
              <w:rPr>
                <w:color w:val="auto"/>
              </w:rPr>
            </w:pPr>
            <w:r>
              <w:rPr>
                <w:rFonts w:hint="eastAsia"/>
                <w:color w:val="auto"/>
                <w:lang w:val="en-US" w:eastAsia="zh-CN"/>
              </w:rPr>
              <w:t>/</w:t>
            </w:r>
          </w:p>
        </w:tc>
        <w:tc>
          <w:tcPr>
            <w:tcW w:w="1701" w:type="dxa"/>
            <w:noWrap w:val="0"/>
            <w:vAlign w:val="center"/>
          </w:tcPr>
          <w:p>
            <w:pPr>
              <w:bidi w:val="0"/>
              <w:jc w:val="center"/>
              <w:rPr>
                <w:color w:val="auto"/>
              </w:rPr>
            </w:pPr>
            <w:r>
              <w:rPr>
                <w:rFonts w:hint="eastAsia"/>
                <w:color w:val="auto"/>
                <w:lang w:val="en-US" w:eastAsia="zh-CN"/>
              </w:rPr>
              <w:t>/</w:t>
            </w:r>
          </w:p>
        </w:tc>
        <w:tc>
          <w:tcPr>
            <w:tcW w:w="1559" w:type="dxa"/>
            <w:noWrap w:val="0"/>
            <w:vAlign w:val="center"/>
          </w:tcPr>
          <w:p>
            <w:pPr>
              <w:bidi w:val="0"/>
              <w:jc w:val="center"/>
              <w:rPr>
                <w:rFonts w:hint="eastAsia" w:eastAsia="宋体"/>
                <w:color w:val="auto"/>
                <w:lang w:eastAsia="zh-CN"/>
              </w:rPr>
            </w:pPr>
            <w:r>
              <w:rPr>
                <w:rFonts w:hint="eastAsia"/>
                <w:color w:val="auto"/>
              </w:rPr>
              <w:t>0.</w:t>
            </w:r>
            <w:r>
              <w:rPr>
                <w:rFonts w:hint="eastAsia"/>
                <w:color w:val="auto"/>
                <w:lang w:val="en-US" w:eastAsia="zh-CN"/>
              </w:rPr>
              <w:t>2</w:t>
            </w:r>
          </w:p>
        </w:tc>
        <w:tc>
          <w:tcPr>
            <w:tcW w:w="1634" w:type="dxa"/>
            <w:noWrap w:val="0"/>
            <w:vAlign w:val="center"/>
          </w:tcPr>
          <w:p>
            <w:pPr>
              <w:bidi w:val="0"/>
              <w:jc w:val="center"/>
              <w:rPr>
                <w:color w:val="auto"/>
              </w:rPr>
            </w:pPr>
            <w:r>
              <w:rPr>
                <w:rFonts w:hint="eastAsia"/>
                <w:color w:val="auto"/>
                <w:lang w:val="en-US" w:eastAsia="zh-CN"/>
              </w:rPr>
              <w:t>/</w:t>
            </w:r>
          </w:p>
        </w:tc>
        <w:tc>
          <w:tcPr>
            <w:tcW w:w="1626" w:type="dxa"/>
            <w:noWrap w:val="0"/>
            <w:vAlign w:val="center"/>
          </w:tcPr>
          <w:p>
            <w:pPr>
              <w:bidi w:val="0"/>
              <w:jc w:val="center"/>
              <w:rPr>
                <w:rFonts w:hint="eastAsia" w:eastAsia="宋体"/>
                <w:color w:val="auto"/>
                <w:lang w:eastAsia="zh-CN"/>
              </w:rPr>
            </w:pPr>
            <w:r>
              <w:rPr>
                <w:rFonts w:hint="eastAsia"/>
                <w:color w:val="auto"/>
              </w:rPr>
              <w:t>0.</w:t>
            </w:r>
            <w:r>
              <w:rPr>
                <w:rFonts w:hint="eastAsia"/>
                <w:color w:val="auto"/>
                <w:lang w:val="en-US" w:eastAsia="zh-CN"/>
              </w:rPr>
              <w:t>2</w:t>
            </w:r>
          </w:p>
        </w:tc>
        <w:tc>
          <w:tcPr>
            <w:tcW w:w="1286" w:type="dxa"/>
            <w:noWrap w:val="0"/>
            <w:vAlign w:val="center"/>
          </w:tcPr>
          <w:p>
            <w:pPr>
              <w:bidi w:val="0"/>
              <w:jc w:val="center"/>
              <w:rPr>
                <w:rFonts w:hint="eastAsia" w:eastAsia="宋体"/>
                <w:color w:val="auto"/>
                <w:lang w:eastAsia="zh-CN"/>
              </w:rPr>
            </w:pPr>
            <w:r>
              <w:rPr>
                <w:color w:val="auto"/>
              </w:rPr>
              <w:t>+</w:t>
            </w:r>
            <w:r>
              <w:rPr>
                <w:rFonts w:hint="eastAsia"/>
                <w:color w:val="auto"/>
              </w:rPr>
              <w:t>0.</w:t>
            </w:r>
            <w:r>
              <w:rPr>
                <w:rFonts w:hint="eastAsia"/>
                <w:color w:val="auto"/>
                <w:lang w:val="en-US" w:eastAsia="zh-CN"/>
              </w:rPr>
              <w:t>2</w:t>
            </w:r>
          </w:p>
        </w:tc>
      </w:tr>
    </w:tbl>
    <w:p>
      <w:pPr>
        <w:rPr>
          <w:rFonts w:eastAsia="黑体"/>
          <w:color w:val="auto"/>
        </w:rPr>
      </w:pPr>
      <w:r>
        <w:rPr>
          <w:snapToGrid w:val="0"/>
          <w:color w:val="auto"/>
          <w:kern w:val="21"/>
          <w:szCs w:val="21"/>
        </w:rPr>
        <w:t>注：</w:t>
      </w:r>
      <w:r>
        <w:rPr>
          <w:snapToGrid w:val="0"/>
          <w:color w:val="auto"/>
          <w:spacing w:val="-16"/>
          <w:kern w:val="21"/>
          <w:szCs w:val="21"/>
        </w:rPr>
        <w:fldChar w:fldCharType="begin"/>
      </w:r>
      <w:r>
        <w:rPr>
          <w:snapToGrid w:val="0"/>
          <w:color w:val="auto"/>
          <w:spacing w:val="-16"/>
          <w:kern w:val="21"/>
          <w:szCs w:val="21"/>
        </w:rPr>
        <w:instrText xml:space="preserve"> = 6 \* GB3 \* MERGEFORMAT </w:instrText>
      </w:r>
      <w:r>
        <w:rPr>
          <w:snapToGrid w:val="0"/>
          <w:color w:val="auto"/>
          <w:spacing w:val="-16"/>
          <w:kern w:val="21"/>
          <w:szCs w:val="21"/>
        </w:rPr>
        <w:fldChar w:fldCharType="separate"/>
      </w:r>
      <w:r>
        <w:rPr>
          <w:color w:val="auto"/>
          <w:szCs w:val="21"/>
        </w:rPr>
        <w:t>⑥</w:t>
      </w:r>
      <w:r>
        <w:rPr>
          <w:snapToGrid w:val="0"/>
          <w:color w:val="auto"/>
          <w:spacing w:val="-16"/>
          <w:kern w:val="21"/>
          <w:szCs w:val="21"/>
        </w:rPr>
        <w:fldChar w:fldCharType="end"/>
      </w:r>
      <w:r>
        <w:rPr>
          <w:snapToGrid w:val="0"/>
          <w:color w:val="auto"/>
          <w:spacing w:val="-16"/>
          <w:kern w:val="21"/>
          <w:szCs w:val="21"/>
        </w:rPr>
        <w:t>=</w:t>
      </w:r>
      <w:r>
        <w:rPr>
          <w:snapToGrid w:val="0"/>
          <w:color w:val="auto"/>
          <w:spacing w:val="-6"/>
          <w:kern w:val="21"/>
          <w:szCs w:val="21"/>
        </w:rPr>
        <w:fldChar w:fldCharType="begin"/>
      </w:r>
      <w:r>
        <w:rPr>
          <w:snapToGrid w:val="0"/>
          <w:color w:val="auto"/>
          <w:spacing w:val="-6"/>
          <w:kern w:val="21"/>
          <w:szCs w:val="21"/>
        </w:rPr>
        <w:instrText xml:space="preserve"> = 1 \* GB3 \* MERGEFORMAT </w:instrText>
      </w:r>
      <w:r>
        <w:rPr>
          <w:snapToGrid w:val="0"/>
          <w:color w:val="auto"/>
          <w:spacing w:val="-6"/>
          <w:kern w:val="21"/>
          <w:szCs w:val="21"/>
        </w:rPr>
        <w:fldChar w:fldCharType="separate"/>
      </w:r>
      <w:r>
        <w:rPr>
          <w:color w:val="auto"/>
          <w:szCs w:val="21"/>
        </w:rPr>
        <w:t>①</w:t>
      </w:r>
      <w:r>
        <w:rPr>
          <w:snapToGrid w:val="0"/>
          <w:color w:val="auto"/>
          <w:spacing w:val="-6"/>
          <w:kern w:val="21"/>
          <w:szCs w:val="21"/>
        </w:rPr>
        <w:fldChar w:fldCharType="end"/>
      </w:r>
      <w:r>
        <w:rPr>
          <w:snapToGrid w:val="0"/>
          <w:color w:val="auto"/>
          <w:spacing w:val="-6"/>
          <w:kern w:val="21"/>
          <w:szCs w:val="21"/>
        </w:rPr>
        <w:t>+</w:t>
      </w:r>
      <w:r>
        <w:rPr>
          <w:snapToGrid w:val="0"/>
          <w:color w:val="auto"/>
          <w:spacing w:val="-6"/>
          <w:kern w:val="21"/>
          <w:szCs w:val="21"/>
        </w:rPr>
        <w:fldChar w:fldCharType="begin"/>
      </w:r>
      <w:r>
        <w:rPr>
          <w:snapToGrid w:val="0"/>
          <w:color w:val="auto"/>
          <w:spacing w:val="-6"/>
          <w:kern w:val="21"/>
          <w:szCs w:val="21"/>
        </w:rPr>
        <w:instrText xml:space="preserve"> = 3 \* GB3 \* MERGEFORMAT </w:instrText>
      </w:r>
      <w:r>
        <w:rPr>
          <w:snapToGrid w:val="0"/>
          <w:color w:val="auto"/>
          <w:spacing w:val="-6"/>
          <w:kern w:val="21"/>
          <w:szCs w:val="21"/>
        </w:rPr>
        <w:fldChar w:fldCharType="separate"/>
      </w:r>
      <w:r>
        <w:rPr>
          <w:color w:val="auto"/>
          <w:szCs w:val="21"/>
        </w:rPr>
        <w:t>③</w:t>
      </w:r>
      <w:r>
        <w:rPr>
          <w:snapToGrid w:val="0"/>
          <w:color w:val="auto"/>
          <w:spacing w:val="-6"/>
          <w:kern w:val="21"/>
          <w:szCs w:val="21"/>
        </w:rPr>
        <w:fldChar w:fldCharType="end"/>
      </w:r>
      <w:r>
        <w:rPr>
          <w:snapToGrid w:val="0"/>
          <w:color w:val="auto"/>
          <w:spacing w:val="-6"/>
          <w:kern w:val="21"/>
          <w:szCs w:val="21"/>
        </w:rPr>
        <w:t>+</w:t>
      </w:r>
      <w:r>
        <w:rPr>
          <w:snapToGrid w:val="0"/>
          <w:color w:val="auto"/>
          <w:spacing w:val="-6"/>
          <w:kern w:val="21"/>
          <w:szCs w:val="21"/>
        </w:rPr>
        <w:fldChar w:fldCharType="begin"/>
      </w:r>
      <w:r>
        <w:rPr>
          <w:snapToGrid w:val="0"/>
          <w:color w:val="auto"/>
          <w:spacing w:val="-6"/>
          <w:kern w:val="21"/>
          <w:szCs w:val="21"/>
        </w:rPr>
        <w:instrText xml:space="preserve"> = 4 \* GB3 \* MERGEFORMAT </w:instrText>
      </w:r>
      <w:r>
        <w:rPr>
          <w:snapToGrid w:val="0"/>
          <w:color w:val="auto"/>
          <w:spacing w:val="-6"/>
          <w:kern w:val="21"/>
          <w:szCs w:val="21"/>
        </w:rPr>
        <w:fldChar w:fldCharType="separate"/>
      </w:r>
      <w:r>
        <w:rPr>
          <w:color w:val="auto"/>
          <w:szCs w:val="21"/>
        </w:rPr>
        <w:t>④</w:t>
      </w:r>
      <w:r>
        <w:rPr>
          <w:snapToGrid w:val="0"/>
          <w:color w:val="auto"/>
          <w:spacing w:val="-6"/>
          <w:kern w:val="21"/>
          <w:szCs w:val="21"/>
        </w:rPr>
        <w:fldChar w:fldCharType="end"/>
      </w:r>
      <w:r>
        <w:rPr>
          <w:snapToGrid w:val="0"/>
          <w:color w:val="auto"/>
          <w:spacing w:val="-6"/>
          <w:kern w:val="21"/>
          <w:szCs w:val="21"/>
        </w:rPr>
        <w:t>-</w:t>
      </w:r>
      <w:r>
        <w:rPr>
          <w:snapToGrid w:val="0"/>
          <w:color w:val="auto"/>
          <w:spacing w:val="-16"/>
          <w:kern w:val="21"/>
          <w:szCs w:val="21"/>
        </w:rPr>
        <w:fldChar w:fldCharType="begin"/>
      </w:r>
      <w:r>
        <w:rPr>
          <w:snapToGrid w:val="0"/>
          <w:color w:val="auto"/>
          <w:spacing w:val="-16"/>
          <w:kern w:val="21"/>
          <w:szCs w:val="21"/>
        </w:rPr>
        <w:instrText xml:space="preserve"> = 5 \* GB3 \* MERGEFORMAT </w:instrText>
      </w:r>
      <w:r>
        <w:rPr>
          <w:snapToGrid w:val="0"/>
          <w:color w:val="auto"/>
          <w:spacing w:val="-16"/>
          <w:kern w:val="21"/>
          <w:szCs w:val="21"/>
        </w:rPr>
        <w:fldChar w:fldCharType="separate"/>
      </w:r>
      <w:r>
        <w:rPr>
          <w:color w:val="auto"/>
          <w:szCs w:val="21"/>
        </w:rPr>
        <w:t>⑤</w:t>
      </w:r>
      <w:r>
        <w:rPr>
          <w:snapToGrid w:val="0"/>
          <w:color w:val="auto"/>
          <w:spacing w:val="-16"/>
          <w:kern w:val="21"/>
          <w:szCs w:val="21"/>
        </w:rPr>
        <w:fldChar w:fldCharType="end"/>
      </w:r>
      <w:r>
        <w:rPr>
          <w:snapToGrid w:val="0"/>
          <w:color w:val="auto"/>
          <w:spacing w:val="-16"/>
          <w:kern w:val="21"/>
          <w:szCs w:val="21"/>
        </w:rPr>
        <w:t>；</w:t>
      </w:r>
      <w:r>
        <w:rPr>
          <w:snapToGrid w:val="0"/>
          <w:color w:val="auto"/>
          <w:spacing w:val="-6"/>
          <w:kern w:val="21"/>
          <w:szCs w:val="21"/>
        </w:rPr>
        <w:fldChar w:fldCharType="begin"/>
      </w:r>
      <w:r>
        <w:rPr>
          <w:snapToGrid w:val="0"/>
          <w:color w:val="auto"/>
          <w:spacing w:val="-6"/>
          <w:kern w:val="21"/>
          <w:szCs w:val="21"/>
        </w:rPr>
        <w:instrText xml:space="preserve"> = 7 \* GB3 \* MERGEFORMAT </w:instrText>
      </w:r>
      <w:r>
        <w:rPr>
          <w:snapToGrid w:val="0"/>
          <w:color w:val="auto"/>
          <w:spacing w:val="-6"/>
          <w:kern w:val="21"/>
          <w:szCs w:val="21"/>
        </w:rPr>
        <w:fldChar w:fldCharType="separate"/>
      </w:r>
      <w:r>
        <w:rPr>
          <w:color w:val="auto"/>
          <w:szCs w:val="21"/>
        </w:rPr>
        <w:t>⑦</w:t>
      </w:r>
      <w:r>
        <w:rPr>
          <w:snapToGrid w:val="0"/>
          <w:color w:val="auto"/>
          <w:spacing w:val="-6"/>
          <w:kern w:val="21"/>
          <w:szCs w:val="21"/>
        </w:rPr>
        <w:fldChar w:fldCharType="end"/>
      </w:r>
      <w:r>
        <w:rPr>
          <w:snapToGrid w:val="0"/>
          <w:color w:val="auto"/>
          <w:spacing w:val="-6"/>
          <w:kern w:val="21"/>
          <w:szCs w:val="21"/>
        </w:rPr>
        <w:t>=</w:t>
      </w:r>
      <w:r>
        <w:rPr>
          <w:snapToGrid w:val="0"/>
          <w:color w:val="auto"/>
          <w:spacing w:val="-16"/>
          <w:kern w:val="21"/>
          <w:szCs w:val="21"/>
        </w:rPr>
        <w:fldChar w:fldCharType="begin"/>
      </w:r>
      <w:r>
        <w:rPr>
          <w:snapToGrid w:val="0"/>
          <w:color w:val="auto"/>
          <w:spacing w:val="-16"/>
          <w:kern w:val="21"/>
          <w:szCs w:val="21"/>
        </w:rPr>
        <w:instrText xml:space="preserve"> = 6 \* GB3 \* MERGEFORMAT </w:instrText>
      </w:r>
      <w:r>
        <w:rPr>
          <w:snapToGrid w:val="0"/>
          <w:color w:val="auto"/>
          <w:spacing w:val="-16"/>
          <w:kern w:val="21"/>
          <w:szCs w:val="21"/>
        </w:rPr>
        <w:fldChar w:fldCharType="separate"/>
      </w:r>
      <w:r>
        <w:rPr>
          <w:color w:val="auto"/>
          <w:szCs w:val="21"/>
        </w:rPr>
        <w:t>⑥</w:t>
      </w:r>
      <w:r>
        <w:rPr>
          <w:snapToGrid w:val="0"/>
          <w:color w:val="auto"/>
          <w:spacing w:val="-16"/>
          <w:kern w:val="21"/>
          <w:szCs w:val="21"/>
        </w:rPr>
        <w:fldChar w:fldCharType="end"/>
      </w:r>
      <w:r>
        <w:rPr>
          <w:snapToGrid w:val="0"/>
          <w:color w:val="auto"/>
          <w:spacing w:val="-16"/>
          <w:kern w:val="21"/>
          <w:szCs w:val="21"/>
        </w:rPr>
        <w:t>-</w:t>
      </w:r>
      <w:r>
        <w:rPr>
          <w:snapToGrid w:val="0"/>
          <w:color w:val="auto"/>
          <w:spacing w:val="-6"/>
          <w:kern w:val="21"/>
          <w:szCs w:val="21"/>
        </w:rPr>
        <w:fldChar w:fldCharType="begin"/>
      </w:r>
      <w:r>
        <w:rPr>
          <w:snapToGrid w:val="0"/>
          <w:color w:val="auto"/>
          <w:spacing w:val="-6"/>
          <w:kern w:val="21"/>
          <w:szCs w:val="21"/>
        </w:rPr>
        <w:instrText xml:space="preserve"> = 1 \* GB3 \* MERGEFORMAT </w:instrText>
      </w:r>
      <w:r>
        <w:rPr>
          <w:snapToGrid w:val="0"/>
          <w:color w:val="auto"/>
          <w:spacing w:val="-6"/>
          <w:kern w:val="21"/>
          <w:szCs w:val="21"/>
        </w:rPr>
        <w:fldChar w:fldCharType="separate"/>
      </w:r>
      <w:r>
        <w:rPr>
          <w:color w:val="auto"/>
          <w:szCs w:val="21"/>
        </w:rPr>
        <w:t>①</w:t>
      </w:r>
      <w:r>
        <w:rPr>
          <w:snapToGrid w:val="0"/>
          <w:color w:val="auto"/>
          <w:spacing w:val="-6"/>
          <w:kern w:val="21"/>
          <w:szCs w:val="21"/>
        </w:rPr>
        <w:fldChar w:fldCharType="end"/>
      </w:r>
    </w:p>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79BFF0-95D7-41A0-90BC-F872661A0A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embedRegular r:id="rId2" w:fontKey="{BC4D4D55-84FD-4356-BAA7-C2D38114BDAB}"/>
  </w:font>
  <w:font w:name="Consolas">
    <w:panose1 w:val="020B0609020204030204"/>
    <w:charset w:val="00"/>
    <w:family w:val="auto"/>
    <w:pitch w:val="default"/>
    <w:sig w:usb0="E10002FF" w:usb1="4000FCFF" w:usb2="00000009" w:usb3="00000000" w:csb0="6000019F" w:csb1="DFD70000"/>
  </w:font>
  <w:font w:name="等线">
    <w:panose1 w:val="02010600030101010101"/>
    <w:charset w:val="86"/>
    <w:family w:val="auto"/>
    <w:pitch w:val="default"/>
    <w:sig w:usb0="A00002BF" w:usb1="38CF7CFA" w:usb2="00000016" w:usb3="00000000" w:csb0="0004000F" w:csb1="00000000"/>
    <w:embedRegular r:id="rId3" w:fontKey="{10110CD8-C837-4940-9339-52865E3B18C3}"/>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embedRegular r:id="rId4" w:fontKey="{2BA3996C-620E-4764-9F49-1B07EBDF31D4}"/>
  </w:font>
  <w:font w:name="楷体">
    <w:panose1 w:val="02010609060101010101"/>
    <w:charset w:val="86"/>
    <w:family w:val="auto"/>
    <w:pitch w:val="default"/>
    <w:sig w:usb0="800002BF" w:usb1="38CF7CFA" w:usb2="00000016" w:usb3="00000000" w:csb0="00040001" w:csb1="00000000"/>
    <w:embedRegular r:id="rId5" w:fontKey="{B2C96987-25A4-463B-8524-A6A28831629F}"/>
  </w:font>
  <w:font w:name="Wingdings 2">
    <w:panose1 w:val="05020102010507070707"/>
    <w:charset w:val="02"/>
    <w:family w:val="roman"/>
    <w:pitch w:val="default"/>
    <w:sig w:usb0="00000000" w:usb1="00000000" w:usb2="00000000" w:usb3="00000000" w:csb0="80000000" w:csb1="00000000"/>
    <w:embedRegular r:id="rId6" w:fontKey="{446F1DE0-7BA4-4209-B5E9-822971F529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8"/>
        <w:rFonts w:ascii="宋体" w:hAnsi="宋体"/>
        <w:sz w:val="28"/>
        <w:szCs w:val="28"/>
      </w:rPr>
    </w:pPr>
    <w:r>
      <w:rPr>
        <w:rStyle w:val="48"/>
        <w:rFonts w:hint="eastAsia" w:ascii="宋体" w:hAnsi="宋体"/>
        <w:sz w:val="28"/>
        <w:szCs w:val="28"/>
      </w:rPr>
      <w:t>—</w:t>
    </w:r>
    <w:r>
      <w:rPr>
        <w:rStyle w:val="48"/>
        <w:rFonts w:hint="eastAsia" w:ascii="宋体" w:hAnsi="宋体"/>
        <w:sz w:val="28"/>
        <w:szCs w:val="28"/>
        <w:lang w:val="en-US" w:eastAsia="zh-CN"/>
      </w:rPr>
      <w:t xml:space="preserve"> </w:t>
    </w:r>
    <w:r>
      <w:rPr>
        <w:rFonts w:ascii="宋体" w:hAnsi="宋体"/>
        <w:sz w:val="26"/>
        <w:szCs w:val="26"/>
      </w:rPr>
      <w:fldChar w:fldCharType="begin"/>
    </w:r>
    <w:r>
      <w:rPr>
        <w:rStyle w:val="48"/>
        <w:rFonts w:ascii="宋体" w:hAnsi="宋体"/>
        <w:sz w:val="26"/>
        <w:szCs w:val="26"/>
      </w:rPr>
      <w:instrText xml:space="preserve">PAGE  </w:instrText>
    </w:r>
    <w:r>
      <w:rPr>
        <w:rFonts w:ascii="宋体" w:hAnsi="宋体"/>
        <w:sz w:val="26"/>
        <w:szCs w:val="26"/>
      </w:rPr>
      <w:fldChar w:fldCharType="separate"/>
    </w:r>
    <w:r>
      <w:rPr>
        <w:rStyle w:val="48"/>
        <w:rFonts w:ascii="宋体" w:hAnsi="宋体"/>
        <w:sz w:val="26"/>
        <w:szCs w:val="26"/>
      </w:rPr>
      <w:t>25</w:t>
    </w:r>
    <w:r>
      <w:rPr>
        <w:rFonts w:ascii="宋体" w:hAnsi="宋体"/>
        <w:sz w:val="26"/>
        <w:szCs w:val="26"/>
      </w:rPr>
      <w:fldChar w:fldCharType="end"/>
    </w:r>
    <w:r>
      <w:rPr>
        <w:rFonts w:hint="eastAsia" w:ascii="宋体" w:hAnsi="宋体"/>
        <w:sz w:val="26"/>
        <w:szCs w:val="26"/>
        <w:lang w:val="en-US" w:eastAsia="zh-CN"/>
      </w:rPr>
      <w:t xml:space="preserve"> </w:t>
    </w:r>
    <w:r>
      <w:rPr>
        <w:rStyle w:val="48"/>
        <w:rFonts w:hint="eastAsia" w:ascii="宋体" w:hAnsi="宋体"/>
        <w:sz w:val="28"/>
        <w:szCs w:val="28"/>
      </w:rPr>
      <w:t>—</w:t>
    </w:r>
  </w:p>
  <w:p>
    <w:pPr>
      <w:pStyle w:val="26"/>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8"/>
        <w:rFonts w:ascii="宋体" w:hAnsi="宋体"/>
        <w:sz w:val="28"/>
        <w:szCs w:val="28"/>
      </w:rPr>
    </w:pPr>
    <w:r>
      <w:rPr>
        <w:rStyle w:val="48"/>
        <w:rFonts w:hint="eastAsia" w:ascii="宋体" w:hAnsi="宋体"/>
        <w:sz w:val="28"/>
        <w:szCs w:val="28"/>
      </w:rPr>
      <w:t>—</w:t>
    </w:r>
    <w:r>
      <w:rPr>
        <w:rStyle w:val="48"/>
        <w:rFonts w:hint="eastAsia" w:ascii="宋体" w:hAnsi="宋体"/>
        <w:sz w:val="28"/>
        <w:szCs w:val="28"/>
        <w:lang w:val="en-US" w:eastAsia="zh-CN"/>
      </w:rPr>
      <w:t xml:space="preserve"> </w:t>
    </w:r>
    <w:r>
      <w:rPr>
        <w:rFonts w:ascii="宋体" w:hAnsi="宋体"/>
        <w:sz w:val="26"/>
        <w:szCs w:val="26"/>
      </w:rPr>
      <w:fldChar w:fldCharType="begin"/>
    </w:r>
    <w:r>
      <w:rPr>
        <w:rStyle w:val="48"/>
        <w:rFonts w:ascii="宋体" w:hAnsi="宋体"/>
        <w:sz w:val="26"/>
        <w:szCs w:val="26"/>
      </w:rPr>
      <w:instrText xml:space="preserve">PAGE  </w:instrText>
    </w:r>
    <w:r>
      <w:rPr>
        <w:rFonts w:ascii="宋体" w:hAnsi="宋体"/>
        <w:sz w:val="26"/>
        <w:szCs w:val="26"/>
      </w:rPr>
      <w:fldChar w:fldCharType="separate"/>
    </w:r>
    <w:r>
      <w:rPr>
        <w:rStyle w:val="48"/>
        <w:rFonts w:ascii="宋体" w:hAnsi="宋体"/>
        <w:sz w:val="26"/>
        <w:szCs w:val="26"/>
      </w:rPr>
      <w:t>61</w:t>
    </w:r>
    <w:r>
      <w:rPr>
        <w:rFonts w:ascii="宋体" w:hAnsi="宋体"/>
        <w:sz w:val="26"/>
        <w:szCs w:val="26"/>
      </w:rPr>
      <w:fldChar w:fldCharType="end"/>
    </w:r>
    <w:r>
      <w:rPr>
        <w:rFonts w:hint="eastAsia" w:ascii="宋体" w:hAnsi="宋体"/>
        <w:sz w:val="26"/>
        <w:szCs w:val="26"/>
        <w:lang w:val="en-US" w:eastAsia="zh-CN"/>
      </w:rPr>
      <w:t xml:space="preserve"> </w:t>
    </w:r>
    <w:r>
      <w:rPr>
        <w:rStyle w:val="48"/>
        <w:rFonts w:hint="eastAsia" w:ascii="宋体" w:hAnsi="宋体"/>
        <w:sz w:val="28"/>
        <w:szCs w:val="28"/>
      </w:rPr>
      <w:t>—</w:t>
    </w:r>
  </w:p>
  <w:p>
    <w:pPr>
      <w:pStyle w:val="26"/>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7A67F"/>
    <w:multiLevelType w:val="singleLevel"/>
    <w:tmpl w:val="AFB7A67F"/>
    <w:lvl w:ilvl="0" w:tentative="0">
      <w:start w:val="1"/>
      <w:numFmt w:val="bullet"/>
      <w:pStyle w:val="213"/>
      <w:lvlText w:val=""/>
      <w:lvlJc w:val="left"/>
      <w:pPr>
        <w:tabs>
          <w:tab w:val="left" w:pos="2040"/>
        </w:tabs>
        <w:ind w:left="2040" w:hanging="360"/>
      </w:pPr>
      <w:rPr>
        <w:rFonts w:hint="default" w:ascii="Wingdings" w:hAnsi="Wingdings"/>
      </w:rPr>
    </w:lvl>
  </w:abstractNum>
  <w:abstractNum w:abstractNumId="1">
    <w:nsid w:val="CBD92BDD"/>
    <w:multiLevelType w:val="singleLevel"/>
    <w:tmpl w:val="CBD92BDD"/>
    <w:lvl w:ilvl="0" w:tentative="0">
      <w:start w:val="1"/>
      <w:numFmt w:val="decimal"/>
      <w:suff w:val="nothing"/>
      <w:lvlText w:val="%1、"/>
      <w:lvlJc w:val="left"/>
    </w:lvl>
  </w:abstractNum>
  <w:abstractNum w:abstractNumId="2">
    <w:nsid w:val="41862CA9"/>
    <w:multiLevelType w:val="multilevel"/>
    <w:tmpl w:val="41862CA9"/>
    <w:lvl w:ilvl="0" w:tentative="0">
      <w:start w:val="1"/>
      <w:numFmt w:val="decimal"/>
      <w:pStyle w:val="214"/>
      <w:suff w:val="space"/>
      <w:lvlText w:val="%1"/>
      <w:lvlJc w:val="left"/>
      <w:pPr>
        <w:ind w:left="0" w:firstLine="0"/>
      </w:pPr>
      <w:rPr>
        <w:rFonts w:hint="eastAsia"/>
        <w:sz w:val="30"/>
        <w:szCs w:val="30"/>
      </w:rPr>
    </w:lvl>
    <w:lvl w:ilvl="1" w:tentative="0">
      <w:start w:val="1"/>
      <w:numFmt w:val="decimal"/>
      <w:pStyle w:val="86"/>
      <w:suff w:val="space"/>
      <w:lvlText w:val="%1.%2"/>
      <w:lvlJc w:val="left"/>
      <w:pPr>
        <w:ind w:left="1417"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7B4A2615"/>
    <w:multiLevelType w:val="multilevel"/>
    <w:tmpl w:val="7B4A2615"/>
    <w:lvl w:ilvl="0" w:tentative="0">
      <w:start w:val="0"/>
      <w:numFmt w:val="chineseCountingThousand"/>
      <w:lvlText w:val="第%1章"/>
      <w:lvlJc w:val="left"/>
      <w:pPr>
        <w:ind w:left="420" w:hanging="420"/>
      </w:pPr>
      <w:rPr>
        <w:rFonts w:hint="default"/>
        <w:sz w:val="44"/>
        <w:szCs w:val="44"/>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lvlRestart w:val="2"/>
      <w:pStyle w:val="41"/>
      <w:isLgl/>
      <w:lvlText w:val="表%1.%2-%5"/>
      <w:lvlJc w:val="center"/>
      <w:pPr>
        <w:ind w:left="0" w:firstLine="0"/>
      </w:pPr>
      <w:rPr>
        <w:rFonts w:hint="default" w:ascii="Times New Roman" w:hAnsi="Times New Roman" w:cs="Times New Roman"/>
        <w:b/>
        <w:i w:val="0"/>
        <w:color w:val="auto"/>
        <w:lang w:val="en-U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MTQ3M2NiNTdmZTUxMjRmZTdlYmZlNWIzZTQ5MDgifQ=="/>
  </w:docVars>
  <w:rsids>
    <w:rsidRoot w:val="00A14947"/>
    <w:rsid w:val="00002B96"/>
    <w:rsid w:val="00003224"/>
    <w:rsid w:val="00003E6F"/>
    <w:rsid w:val="00005D6E"/>
    <w:rsid w:val="000060B3"/>
    <w:rsid w:val="0000775B"/>
    <w:rsid w:val="000111BA"/>
    <w:rsid w:val="0001265F"/>
    <w:rsid w:val="00013011"/>
    <w:rsid w:val="00013AC1"/>
    <w:rsid w:val="000209A0"/>
    <w:rsid w:val="000212CB"/>
    <w:rsid w:val="00022131"/>
    <w:rsid w:val="000221CE"/>
    <w:rsid w:val="00024509"/>
    <w:rsid w:val="00025D20"/>
    <w:rsid w:val="00025F5C"/>
    <w:rsid w:val="00026860"/>
    <w:rsid w:val="000269A4"/>
    <w:rsid w:val="00030083"/>
    <w:rsid w:val="00030C7A"/>
    <w:rsid w:val="00031DAB"/>
    <w:rsid w:val="00032184"/>
    <w:rsid w:val="00036159"/>
    <w:rsid w:val="00036E3F"/>
    <w:rsid w:val="0004011D"/>
    <w:rsid w:val="00042707"/>
    <w:rsid w:val="0004364B"/>
    <w:rsid w:val="00045E16"/>
    <w:rsid w:val="000474BA"/>
    <w:rsid w:val="00050D58"/>
    <w:rsid w:val="000511EB"/>
    <w:rsid w:val="00051A2B"/>
    <w:rsid w:val="00054DDD"/>
    <w:rsid w:val="0005694F"/>
    <w:rsid w:val="00056A66"/>
    <w:rsid w:val="00057EEA"/>
    <w:rsid w:val="00057F22"/>
    <w:rsid w:val="00060DC4"/>
    <w:rsid w:val="00061B1F"/>
    <w:rsid w:val="00063E96"/>
    <w:rsid w:val="00071C56"/>
    <w:rsid w:val="000733C4"/>
    <w:rsid w:val="00074783"/>
    <w:rsid w:val="00076175"/>
    <w:rsid w:val="00076B14"/>
    <w:rsid w:val="0008070B"/>
    <w:rsid w:val="00080B5C"/>
    <w:rsid w:val="000810AC"/>
    <w:rsid w:val="00081A02"/>
    <w:rsid w:val="00082231"/>
    <w:rsid w:val="00082946"/>
    <w:rsid w:val="0008378F"/>
    <w:rsid w:val="000837C0"/>
    <w:rsid w:val="000843CF"/>
    <w:rsid w:val="000859BD"/>
    <w:rsid w:val="00085D38"/>
    <w:rsid w:val="00087777"/>
    <w:rsid w:val="00090F85"/>
    <w:rsid w:val="00091012"/>
    <w:rsid w:val="00091755"/>
    <w:rsid w:val="00092D38"/>
    <w:rsid w:val="0009377B"/>
    <w:rsid w:val="00096587"/>
    <w:rsid w:val="00097AA6"/>
    <w:rsid w:val="000A060C"/>
    <w:rsid w:val="000A1C16"/>
    <w:rsid w:val="000A20C9"/>
    <w:rsid w:val="000A2A07"/>
    <w:rsid w:val="000A3A0A"/>
    <w:rsid w:val="000A58DE"/>
    <w:rsid w:val="000A7304"/>
    <w:rsid w:val="000A7536"/>
    <w:rsid w:val="000B058F"/>
    <w:rsid w:val="000B27F9"/>
    <w:rsid w:val="000B38C5"/>
    <w:rsid w:val="000B4467"/>
    <w:rsid w:val="000B4DB9"/>
    <w:rsid w:val="000B4DFB"/>
    <w:rsid w:val="000B4F31"/>
    <w:rsid w:val="000B657C"/>
    <w:rsid w:val="000B65C3"/>
    <w:rsid w:val="000C02D5"/>
    <w:rsid w:val="000C09AC"/>
    <w:rsid w:val="000C1A20"/>
    <w:rsid w:val="000C5722"/>
    <w:rsid w:val="000C7222"/>
    <w:rsid w:val="000C767F"/>
    <w:rsid w:val="000C7FA0"/>
    <w:rsid w:val="000D0A05"/>
    <w:rsid w:val="000D1A38"/>
    <w:rsid w:val="000D29DC"/>
    <w:rsid w:val="000D3153"/>
    <w:rsid w:val="000D36B5"/>
    <w:rsid w:val="000D5A44"/>
    <w:rsid w:val="000D6184"/>
    <w:rsid w:val="000D74F6"/>
    <w:rsid w:val="000D7B4E"/>
    <w:rsid w:val="000E0F2B"/>
    <w:rsid w:val="000E0F46"/>
    <w:rsid w:val="000E1239"/>
    <w:rsid w:val="000E2129"/>
    <w:rsid w:val="000E264F"/>
    <w:rsid w:val="000E32EF"/>
    <w:rsid w:val="000E39E4"/>
    <w:rsid w:val="000E3ED2"/>
    <w:rsid w:val="000E3F90"/>
    <w:rsid w:val="000E6314"/>
    <w:rsid w:val="000E6B2F"/>
    <w:rsid w:val="000F029C"/>
    <w:rsid w:val="000F2D20"/>
    <w:rsid w:val="000F3073"/>
    <w:rsid w:val="000F3D0F"/>
    <w:rsid w:val="000F52D5"/>
    <w:rsid w:val="00100035"/>
    <w:rsid w:val="001006CF"/>
    <w:rsid w:val="001042F6"/>
    <w:rsid w:val="001053F2"/>
    <w:rsid w:val="001059F6"/>
    <w:rsid w:val="00105F05"/>
    <w:rsid w:val="00107383"/>
    <w:rsid w:val="0011004F"/>
    <w:rsid w:val="001110C5"/>
    <w:rsid w:val="00112447"/>
    <w:rsid w:val="00112A7F"/>
    <w:rsid w:val="00112CB1"/>
    <w:rsid w:val="001149BC"/>
    <w:rsid w:val="0011652C"/>
    <w:rsid w:val="00116AC7"/>
    <w:rsid w:val="00124030"/>
    <w:rsid w:val="00124D5B"/>
    <w:rsid w:val="001250F0"/>
    <w:rsid w:val="00126901"/>
    <w:rsid w:val="00131F42"/>
    <w:rsid w:val="0013294D"/>
    <w:rsid w:val="001332C4"/>
    <w:rsid w:val="001357F1"/>
    <w:rsid w:val="00136EC3"/>
    <w:rsid w:val="0014035B"/>
    <w:rsid w:val="00140FA8"/>
    <w:rsid w:val="00140FFE"/>
    <w:rsid w:val="00141BC5"/>
    <w:rsid w:val="00141F66"/>
    <w:rsid w:val="00142FEB"/>
    <w:rsid w:val="00143A2D"/>
    <w:rsid w:val="00145147"/>
    <w:rsid w:val="00145A41"/>
    <w:rsid w:val="00150084"/>
    <w:rsid w:val="00151675"/>
    <w:rsid w:val="00151BFE"/>
    <w:rsid w:val="00154C5A"/>
    <w:rsid w:val="00157435"/>
    <w:rsid w:val="001579B1"/>
    <w:rsid w:val="00157DF1"/>
    <w:rsid w:val="001621B3"/>
    <w:rsid w:val="0016528B"/>
    <w:rsid w:val="001669D2"/>
    <w:rsid w:val="00166C8E"/>
    <w:rsid w:val="00171A16"/>
    <w:rsid w:val="00171D0A"/>
    <w:rsid w:val="0017504D"/>
    <w:rsid w:val="00175EF2"/>
    <w:rsid w:val="001761E6"/>
    <w:rsid w:val="0017671A"/>
    <w:rsid w:val="00177422"/>
    <w:rsid w:val="001813A1"/>
    <w:rsid w:val="001826F3"/>
    <w:rsid w:val="00184590"/>
    <w:rsid w:val="00184DED"/>
    <w:rsid w:val="00184ECE"/>
    <w:rsid w:val="00184EE2"/>
    <w:rsid w:val="00185C46"/>
    <w:rsid w:val="0018667C"/>
    <w:rsid w:val="001870D1"/>
    <w:rsid w:val="0018781E"/>
    <w:rsid w:val="0019173B"/>
    <w:rsid w:val="0019262D"/>
    <w:rsid w:val="001A14AC"/>
    <w:rsid w:val="001A1B35"/>
    <w:rsid w:val="001A2BA4"/>
    <w:rsid w:val="001A3F58"/>
    <w:rsid w:val="001A430D"/>
    <w:rsid w:val="001A48A2"/>
    <w:rsid w:val="001A51E6"/>
    <w:rsid w:val="001A6F61"/>
    <w:rsid w:val="001B176F"/>
    <w:rsid w:val="001B2ADC"/>
    <w:rsid w:val="001B67B6"/>
    <w:rsid w:val="001B72B8"/>
    <w:rsid w:val="001C20D4"/>
    <w:rsid w:val="001C5188"/>
    <w:rsid w:val="001C6749"/>
    <w:rsid w:val="001C69B3"/>
    <w:rsid w:val="001D1D59"/>
    <w:rsid w:val="001D21B4"/>
    <w:rsid w:val="001D2760"/>
    <w:rsid w:val="001D2831"/>
    <w:rsid w:val="001D341B"/>
    <w:rsid w:val="001D4E2B"/>
    <w:rsid w:val="001D5595"/>
    <w:rsid w:val="001D6A2B"/>
    <w:rsid w:val="001D6FC6"/>
    <w:rsid w:val="001D7874"/>
    <w:rsid w:val="001D7BE9"/>
    <w:rsid w:val="001D7F22"/>
    <w:rsid w:val="001E0C04"/>
    <w:rsid w:val="001E1646"/>
    <w:rsid w:val="001E2299"/>
    <w:rsid w:val="001F0F17"/>
    <w:rsid w:val="001F3347"/>
    <w:rsid w:val="001F4618"/>
    <w:rsid w:val="001F69E4"/>
    <w:rsid w:val="00200024"/>
    <w:rsid w:val="00203B7E"/>
    <w:rsid w:val="00204769"/>
    <w:rsid w:val="00205298"/>
    <w:rsid w:val="00205BB3"/>
    <w:rsid w:val="0020654E"/>
    <w:rsid w:val="002125B4"/>
    <w:rsid w:val="00212791"/>
    <w:rsid w:val="0021551E"/>
    <w:rsid w:val="002155B8"/>
    <w:rsid w:val="00216466"/>
    <w:rsid w:val="0021667E"/>
    <w:rsid w:val="00216A2C"/>
    <w:rsid w:val="00217504"/>
    <w:rsid w:val="00222118"/>
    <w:rsid w:val="00223C44"/>
    <w:rsid w:val="00224839"/>
    <w:rsid w:val="002249B2"/>
    <w:rsid w:val="00225608"/>
    <w:rsid w:val="00226574"/>
    <w:rsid w:val="00226819"/>
    <w:rsid w:val="002278EC"/>
    <w:rsid w:val="00231EDC"/>
    <w:rsid w:val="002320AA"/>
    <w:rsid w:val="0023280E"/>
    <w:rsid w:val="00233BCA"/>
    <w:rsid w:val="002343CD"/>
    <w:rsid w:val="00234776"/>
    <w:rsid w:val="002369ED"/>
    <w:rsid w:val="002377D1"/>
    <w:rsid w:val="00241E3A"/>
    <w:rsid w:val="00242AB9"/>
    <w:rsid w:val="00243382"/>
    <w:rsid w:val="00246C50"/>
    <w:rsid w:val="00247018"/>
    <w:rsid w:val="002506BC"/>
    <w:rsid w:val="00251FA3"/>
    <w:rsid w:val="002537B2"/>
    <w:rsid w:val="00253EF1"/>
    <w:rsid w:val="00254345"/>
    <w:rsid w:val="002563A5"/>
    <w:rsid w:val="00257AAB"/>
    <w:rsid w:val="00262C03"/>
    <w:rsid w:val="00263DE8"/>
    <w:rsid w:val="0026412F"/>
    <w:rsid w:val="00264557"/>
    <w:rsid w:val="00266602"/>
    <w:rsid w:val="002705B5"/>
    <w:rsid w:val="0027133D"/>
    <w:rsid w:val="00275CB9"/>
    <w:rsid w:val="002805AB"/>
    <w:rsid w:val="002822EA"/>
    <w:rsid w:val="00284204"/>
    <w:rsid w:val="00285337"/>
    <w:rsid w:val="00286482"/>
    <w:rsid w:val="00290ABB"/>
    <w:rsid w:val="0029119D"/>
    <w:rsid w:val="002912A0"/>
    <w:rsid w:val="00291655"/>
    <w:rsid w:val="00291773"/>
    <w:rsid w:val="00292F7E"/>
    <w:rsid w:val="00294699"/>
    <w:rsid w:val="0029626B"/>
    <w:rsid w:val="00297A4D"/>
    <w:rsid w:val="00297B49"/>
    <w:rsid w:val="002A06A7"/>
    <w:rsid w:val="002A168C"/>
    <w:rsid w:val="002A3DC7"/>
    <w:rsid w:val="002A4615"/>
    <w:rsid w:val="002A51DA"/>
    <w:rsid w:val="002A6EFA"/>
    <w:rsid w:val="002A772E"/>
    <w:rsid w:val="002B162C"/>
    <w:rsid w:val="002B2226"/>
    <w:rsid w:val="002B3804"/>
    <w:rsid w:val="002B3887"/>
    <w:rsid w:val="002B49E2"/>
    <w:rsid w:val="002B519F"/>
    <w:rsid w:val="002B7B00"/>
    <w:rsid w:val="002B7C44"/>
    <w:rsid w:val="002C00A7"/>
    <w:rsid w:val="002C0ACB"/>
    <w:rsid w:val="002C2249"/>
    <w:rsid w:val="002C2844"/>
    <w:rsid w:val="002C2A87"/>
    <w:rsid w:val="002C2B17"/>
    <w:rsid w:val="002C2EC9"/>
    <w:rsid w:val="002D0914"/>
    <w:rsid w:val="002D2292"/>
    <w:rsid w:val="002D3163"/>
    <w:rsid w:val="002D34FD"/>
    <w:rsid w:val="002D3DD0"/>
    <w:rsid w:val="002D77F2"/>
    <w:rsid w:val="002E1F3A"/>
    <w:rsid w:val="002E298A"/>
    <w:rsid w:val="002E5FA0"/>
    <w:rsid w:val="002F3139"/>
    <w:rsid w:val="002F35AB"/>
    <w:rsid w:val="002F6D47"/>
    <w:rsid w:val="002F70F8"/>
    <w:rsid w:val="00301978"/>
    <w:rsid w:val="0030332C"/>
    <w:rsid w:val="00303ED0"/>
    <w:rsid w:val="003051C2"/>
    <w:rsid w:val="00305CC2"/>
    <w:rsid w:val="00306668"/>
    <w:rsid w:val="00310F63"/>
    <w:rsid w:val="0031182F"/>
    <w:rsid w:val="00311C0A"/>
    <w:rsid w:val="0031202A"/>
    <w:rsid w:val="00312296"/>
    <w:rsid w:val="00313CB2"/>
    <w:rsid w:val="0031427F"/>
    <w:rsid w:val="00314F0E"/>
    <w:rsid w:val="00315ABB"/>
    <w:rsid w:val="00316989"/>
    <w:rsid w:val="00316BE0"/>
    <w:rsid w:val="00316DF2"/>
    <w:rsid w:val="0032083D"/>
    <w:rsid w:val="00320B7C"/>
    <w:rsid w:val="00321D8E"/>
    <w:rsid w:val="00325928"/>
    <w:rsid w:val="00326870"/>
    <w:rsid w:val="003308B3"/>
    <w:rsid w:val="0033104E"/>
    <w:rsid w:val="00332863"/>
    <w:rsid w:val="003339CA"/>
    <w:rsid w:val="00333E13"/>
    <w:rsid w:val="0033463A"/>
    <w:rsid w:val="003364F0"/>
    <w:rsid w:val="0033684D"/>
    <w:rsid w:val="00337B42"/>
    <w:rsid w:val="0034100C"/>
    <w:rsid w:val="003418DC"/>
    <w:rsid w:val="00341924"/>
    <w:rsid w:val="00341B42"/>
    <w:rsid w:val="00342DA4"/>
    <w:rsid w:val="0034348F"/>
    <w:rsid w:val="00344E21"/>
    <w:rsid w:val="00347AD4"/>
    <w:rsid w:val="003501E3"/>
    <w:rsid w:val="00352E69"/>
    <w:rsid w:val="003532A5"/>
    <w:rsid w:val="00353C2A"/>
    <w:rsid w:val="0035571B"/>
    <w:rsid w:val="00356653"/>
    <w:rsid w:val="0035743F"/>
    <w:rsid w:val="00357451"/>
    <w:rsid w:val="00357AC9"/>
    <w:rsid w:val="00357BE2"/>
    <w:rsid w:val="00360AEE"/>
    <w:rsid w:val="0036170C"/>
    <w:rsid w:val="0036184B"/>
    <w:rsid w:val="00361976"/>
    <w:rsid w:val="003619DD"/>
    <w:rsid w:val="003643BE"/>
    <w:rsid w:val="00364E0D"/>
    <w:rsid w:val="00365292"/>
    <w:rsid w:val="00365FD5"/>
    <w:rsid w:val="00366E0F"/>
    <w:rsid w:val="003673ED"/>
    <w:rsid w:val="00367C7C"/>
    <w:rsid w:val="00370C2E"/>
    <w:rsid w:val="00371D23"/>
    <w:rsid w:val="0037250C"/>
    <w:rsid w:val="003728AB"/>
    <w:rsid w:val="00373E99"/>
    <w:rsid w:val="003809FE"/>
    <w:rsid w:val="00381A72"/>
    <w:rsid w:val="00381B83"/>
    <w:rsid w:val="0038266B"/>
    <w:rsid w:val="0038319C"/>
    <w:rsid w:val="00383880"/>
    <w:rsid w:val="00384676"/>
    <w:rsid w:val="0038509F"/>
    <w:rsid w:val="0038625B"/>
    <w:rsid w:val="0038691B"/>
    <w:rsid w:val="00386AE0"/>
    <w:rsid w:val="00390857"/>
    <w:rsid w:val="003914F7"/>
    <w:rsid w:val="003A2302"/>
    <w:rsid w:val="003A24E4"/>
    <w:rsid w:val="003A4BF3"/>
    <w:rsid w:val="003A55C5"/>
    <w:rsid w:val="003A6C66"/>
    <w:rsid w:val="003A6DD1"/>
    <w:rsid w:val="003B01EB"/>
    <w:rsid w:val="003B2662"/>
    <w:rsid w:val="003B3E63"/>
    <w:rsid w:val="003B420D"/>
    <w:rsid w:val="003B4881"/>
    <w:rsid w:val="003C06E0"/>
    <w:rsid w:val="003C15D7"/>
    <w:rsid w:val="003C4107"/>
    <w:rsid w:val="003C66C0"/>
    <w:rsid w:val="003C6C16"/>
    <w:rsid w:val="003C6E04"/>
    <w:rsid w:val="003C7987"/>
    <w:rsid w:val="003C79C9"/>
    <w:rsid w:val="003D2275"/>
    <w:rsid w:val="003D3DF5"/>
    <w:rsid w:val="003D5E2C"/>
    <w:rsid w:val="003D794D"/>
    <w:rsid w:val="003E0234"/>
    <w:rsid w:val="003E1F93"/>
    <w:rsid w:val="003E3058"/>
    <w:rsid w:val="003E4D0D"/>
    <w:rsid w:val="003E55C4"/>
    <w:rsid w:val="003E5D30"/>
    <w:rsid w:val="003E68B6"/>
    <w:rsid w:val="003E76A9"/>
    <w:rsid w:val="003F0809"/>
    <w:rsid w:val="003F17D4"/>
    <w:rsid w:val="003F44BB"/>
    <w:rsid w:val="003F489F"/>
    <w:rsid w:val="003F4EF3"/>
    <w:rsid w:val="003F6A8C"/>
    <w:rsid w:val="003F755C"/>
    <w:rsid w:val="0040069F"/>
    <w:rsid w:val="004032A7"/>
    <w:rsid w:val="00405F59"/>
    <w:rsid w:val="00406F01"/>
    <w:rsid w:val="004074F3"/>
    <w:rsid w:val="00414710"/>
    <w:rsid w:val="00414BE6"/>
    <w:rsid w:val="00416D50"/>
    <w:rsid w:val="00416FD5"/>
    <w:rsid w:val="00417772"/>
    <w:rsid w:val="004207BF"/>
    <w:rsid w:val="00420E6A"/>
    <w:rsid w:val="00424E52"/>
    <w:rsid w:val="00425A9E"/>
    <w:rsid w:val="00425AF0"/>
    <w:rsid w:val="00426D6B"/>
    <w:rsid w:val="00427A5C"/>
    <w:rsid w:val="0043156E"/>
    <w:rsid w:val="00431E6C"/>
    <w:rsid w:val="00433CE7"/>
    <w:rsid w:val="004346B6"/>
    <w:rsid w:val="00436977"/>
    <w:rsid w:val="00442312"/>
    <w:rsid w:val="00444485"/>
    <w:rsid w:val="00444797"/>
    <w:rsid w:val="00445077"/>
    <w:rsid w:val="00447164"/>
    <w:rsid w:val="004471F4"/>
    <w:rsid w:val="0045067F"/>
    <w:rsid w:val="00450A05"/>
    <w:rsid w:val="004511E2"/>
    <w:rsid w:val="004519FD"/>
    <w:rsid w:val="004523ED"/>
    <w:rsid w:val="00452738"/>
    <w:rsid w:val="00453E33"/>
    <w:rsid w:val="0045544D"/>
    <w:rsid w:val="00456091"/>
    <w:rsid w:val="0046223E"/>
    <w:rsid w:val="00466321"/>
    <w:rsid w:val="00474432"/>
    <w:rsid w:val="00475A0E"/>
    <w:rsid w:val="004762C3"/>
    <w:rsid w:val="00476732"/>
    <w:rsid w:val="004777E6"/>
    <w:rsid w:val="00480822"/>
    <w:rsid w:val="0048105B"/>
    <w:rsid w:val="00481F64"/>
    <w:rsid w:val="004827FA"/>
    <w:rsid w:val="0048487A"/>
    <w:rsid w:val="00484B9B"/>
    <w:rsid w:val="004855F6"/>
    <w:rsid w:val="004864EE"/>
    <w:rsid w:val="0048661E"/>
    <w:rsid w:val="00492EAF"/>
    <w:rsid w:val="00493557"/>
    <w:rsid w:val="00494107"/>
    <w:rsid w:val="00494670"/>
    <w:rsid w:val="004946E6"/>
    <w:rsid w:val="00497D9E"/>
    <w:rsid w:val="004A0B1C"/>
    <w:rsid w:val="004A3823"/>
    <w:rsid w:val="004B5037"/>
    <w:rsid w:val="004B6B8E"/>
    <w:rsid w:val="004B78E6"/>
    <w:rsid w:val="004C24CE"/>
    <w:rsid w:val="004C3B64"/>
    <w:rsid w:val="004C48AA"/>
    <w:rsid w:val="004C57A0"/>
    <w:rsid w:val="004D22D7"/>
    <w:rsid w:val="004D3CB2"/>
    <w:rsid w:val="004D513F"/>
    <w:rsid w:val="004D7047"/>
    <w:rsid w:val="004E19E5"/>
    <w:rsid w:val="004E228E"/>
    <w:rsid w:val="004E4F38"/>
    <w:rsid w:val="004E4FA2"/>
    <w:rsid w:val="004E6946"/>
    <w:rsid w:val="004F1AD8"/>
    <w:rsid w:val="004F35D9"/>
    <w:rsid w:val="004F3BF6"/>
    <w:rsid w:val="004F457C"/>
    <w:rsid w:val="005004A2"/>
    <w:rsid w:val="00501FC4"/>
    <w:rsid w:val="005039CB"/>
    <w:rsid w:val="00504095"/>
    <w:rsid w:val="00504CD8"/>
    <w:rsid w:val="0050558F"/>
    <w:rsid w:val="00506286"/>
    <w:rsid w:val="00510813"/>
    <w:rsid w:val="00511990"/>
    <w:rsid w:val="00511DE0"/>
    <w:rsid w:val="00513374"/>
    <w:rsid w:val="00514870"/>
    <w:rsid w:val="00514B9B"/>
    <w:rsid w:val="00514E70"/>
    <w:rsid w:val="0051730A"/>
    <w:rsid w:val="00517F02"/>
    <w:rsid w:val="00520703"/>
    <w:rsid w:val="00522189"/>
    <w:rsid w:val="00524303"/>
    <w:rsid w:val="005258A2"/>
    <w:rsid w:val="00526A8B"/>
    <w:rsid w:val="00530174"/>
    <w:rsid w:val="0053255B"/>
    <w:rsid w:val="0053306A"/>
    <w:rsid w:val="00533AA9"/>
    <w:rsid w:val="005361B2"/>
    <w:rsid w:val="005401AE"/>
    <w:rsid w:val="0054129C"/>
    <w:rsid w:val="00542E07"/>
    <w:rsid w:val="005431A4"/>
    <w:rsid w:val="00544F3F"/>
    <w:rsid w:val="00545424"/>
    <w:rsid w:val="00546E84"/>
    <w:rsid w:val="00546EA7"/>
    <w:rsid w:val="0055449F"/>
    <w:rsid w:val="00554A7B"/>
    <w:rsid w:val="0055572C"/>
    <w:rsid w:val="00555A2D"/>
    <w:rsid w:val="0056106A"/>
    <w:rsid w:val="00561B40"/>
    <w:rsid w:val="005654F1"/>
    <w:rsid w:val="005669AA"/>
    <w:rsid w:val="005720AE"/>
    <w:rsid w:val="005728EC"/>
    <w:rsid w:val="0057622F"/>
    <w:rsid w:val="00582E1B"/>
    <w:rsid w:val="00583A4A"/>
    <w:rsid w:val="005842DC"/>
    <w:rsid w:val="00585052"/>
    <w:rsid w:val="005853EE"/>
    <w:rsid w:val="005857AD"/>
    <w:rsid w:val="0058775B"/>
    <w:rsid w:val="00592315"/>
    <w:rsid w:val="0059349C"/>
    <w:rsid w:val="00594B5B"/>
    <w:rsid w:val="00594D77"/>
    <w:rsid w:val="005969E4"/>
    <w:rsid w:val="005A06B7"/>
    <w:rsid w:val="005A1759"/>
    <w:rsid w:val="005A2822"/>
    <w:rsid w:val="005A33C7"/>
    <w:rsid w:val="005A58DA"/>
    <w:rsid w:val="005A68A7"/>
    <w:rsid w:val="005A6B53"/>
    <w:rsid w:val="005B0F8F"/>
    <w:rsid w:val="005B199F"/>
    <w:rsid w:val="005B49D2"/>
    <w:rsid w:val="005B542A"/>
    <w:rsid w:val="005B5EE5"/>
    <w:rsid w:val="005B695A"/>
    <w:rsid w:val="005C048E"/>
    <w:rsid w:val="005C7AD7"/>
    <w:rsid w:val="005D06E1"/>
    <w:rsid w:val="005D36AB"/>
    <w:rsid w:val="005D41BD"/>
    <w:rsid w:val="005D41F4"/>
    <w:rsid w:val="005D5DE7"/>
    <w:rsid w:val="005E06EB"/>
    <w:rsid w:val="005E1FC4"/>
    <w:rsid w:val="005E4211"/>
    <w:rsid w:val="005E44F7"/>
    <w:rsid w:val="005E79E2"/>
    <w:rsid w:val="005F04B1"/>
    <w:rsid w:val="005F3041"/>
    <w:rsid w:val="005F32B1"/>
    <w:rsid w:val="005F4FDB"/>
    <w:rsid w:val="005F6A95"/>
    <w:rsid w:val="006011F7"/>
    <w:rsid w:val="006012F1"/>
    <w:rsid w:val="00603EA6"/>
    <w:rsid w:val="00604114"/>
    <w:rsid w:val="006044CB"/>
    <w:rsid w:val="00604B8A"/>
    <w:rsid w:val="00604F9F"/>
    <w:rsid w:val="00605984"/>
    <w:rsid w:val="00606DC8"/>
    <w:rsid w:val="00612D71"/>
    <w:rsid w:val="00613E03"/>
    <w:rsid w:val="00613FCE"/>
    <w:rsid w:val="006141A1"/>
    <w:rsid w:val="00615839"/>
    <w:rsid w:val="00616DAB"/>
    <w:rsid w:val="00617CC3"/>
    <w:rsid w:val="00621C53"/>
    <w:rsid w:val="00622719"/>
    <w:rsid w:val="00625B71"/>
    <w:rsid w:val="00630877"/>
    <w:rsid w:val="00635DE3"/>
    <w:rsid w:val="00636E85"/>
    <w:rsid w:val="006377A6"/>
    <w:rsid w:val="00637A3D"/>
    <w:rsid w:val="00637A76"/>
    <w:rsid w:val="006402DC"/>
    <w:rsid w:val="00640555"/>
    <w:rsid w:val="00640BDF"/>
    <w:rsid w:val="0064105C"/>
    <w:rsid w:val="006411EF"/>
    <w:rsid w:val="00642A40"/>
    <w:rsid w:val="00642B27"/>
    <w:rsid w:val="0064490E"/>
    <w:rsid w:val="00644EC4"/>
    <w:rsid w:val="00646017"/>
    <w:rsid w:val="006463CF"/>
    <w:rsid w:val="00651163"/>
    <w:rsid w:val="00651545"/>
    <w:rsid w:val="0065342B"/>
    <w:rsid w:val="00653C56"/>
    <w:rsid w:val="00654EA1"/>
    <w:rsid w:val="00655544"/>
    <w:rsid w:val="00656B90"/>
    <w:rsid w:val="006578EA"/>
    <w:rsid w:val="006579FE"/>
    <w:rsid w:val="006609FC"/>
    <w:rsid w:val="0066114C"/>
    <w:rsid w:val="00661BD7"/>
    <w:rsid w:val="00661C8A"/>
    <w:rsid w:val="0066246B"/>
    <w:rsid w:val="006637E8"/>
    <w:rsid w:val="0067132D"/>
    <w:rsid w:val="00671FF2"/>
    <w:rsid w:val="00672465"/>
    <w:rsid w:val="00672D7B"/>
    <w:rsid w:val="00672D92"/>
    <w:rsid w:val="00672F28"/>
    <w:rsid w:val="006748B8"/>
    <w:rsid w:val="00675E8D"/>
    <w:rsid w:val="0067616C"/>
    <w:rsid w:val="006775C3"/>
    <w:rsid w:val="00680B78"/>
    <w:rsid w:val="006812B9"/>
    <w:rsid w:val="00683D98"/>
    <w:rsid w:val="0068458D"/>
    <w:rsid w:val="006864FD"/>
    <w:rsid w:val="00690737"/>
    <w:rsid w:val="006909A3"/>
    <w:rsid w:val="00691678"/>
    <w:rsid w:val="00691984"/>
    <w:rsid w:val="0069290A"/>
    <w:rsid w:val="0069775A"/>
    <w:rsid w:val="00697813"/>
    <w:rsid w:val="00697AB0"/>
    <w:rsid w:val="006A0105"/>
    <w:rsid w:val="006A0DCA"/>
    <w:rsid w:val="006A3EE8"/>
    <w:rsid w:val="006A4886"/>
    <w:rsid w:val="006A70D2"/>
    <w:rsid w:val="006A72BF"/>
    <w:rsid w:val="006A74A1"/>
    <w:rsid w:val="006A7658"/>
    <w:rsid w:val="006B03F2"/>
    <w:rsid w:val="006B1463"/>
    <w:rsid w:val="006B2500"/>
    <w:rsid w:val="006B37DC"/>
    <w:rsid w:val="006B414F"/>
    <w:rsid w:val="006B443B"/>
    <w:rsid w:val="006B4F68"/>
    <w:rsid w:val="006B6528"/>
    <w:rsid w:val="006B6BB3"/>
    <w:rsid w:val="006C0592"/>
    <w:rsid w:val="006C1D7E"/>
    <w:rsid w:val="006C1DC1"/>
    <w:rsid w:val="006C272E"/>
    <w:rsid w:val="006C3050"/>
    <w:rsid w:val="006C337A"/>
    <w:rsid w:val="006C4D82"/>
    <w:rsid w:val="006C4FAE"/>
    <w:rsid w:val="006C5479"/>
    <w:rsid w:val="006C66BC"/>
    <w:rsid w:val="006C77F4"/>
    <w:rsid w:val="006D13B5"/>
    <w:rsid w:val="006D1D6C"/>
    <w:rsid w:val="006D2E12"/>
    <w:rsid w:val="006D3549"/>
    <w:rsid w:val="006E12FF"/>
    <w:rsid w:val="006E607E"/>
    <w:rsid w:val="006E758C"/>
    <w:rsid w:val="006F050A"/>
    <w:rsid w:val="0070187C"/>
    <w:rsid w:val="00702ACE"/>
    <w:rsid w:val="007036DA"/>
    <w:rsid w:val="007038C4"/>
    <w:rsid w:val="00704E5B"/>
    <w:rsid w:val="00705334"/>
    <w:rsid w:val="00706105"/>
    <w:rsid w:val="00706C5D"/>
    <w:rsid w:val="00710FCD"/>
    <w:rsid w:val="00713F2E"/>
    <w:rsid w:val="007215D4"/>
    <w:rsid w:val="00722603"/>
    <w:rsid w:val="00722B55"/>
    <w:rsid w:val="00724EF0"/>
    <w:rsid w:val="00725138"/>
    <w:rsid w:val="0072762C"/>
    <w:rsid w:val="00732922"/>
    <w:rsid w:val="00736206"/>
    <w:rsid w:val="00737202"/>
    <w:rsid w:val="00743F24"/>
    <w:rsid w:val="0074799B"/>
    <w:rsid w:val="00750493"/>
    <w:rsid w:val="007504A3"/>
    <w:rsid w:val="00750B5E"/>
    <w:rsid w:val="0075162E"/>
    <w:rsid w:val="00752033"/>
    <w:rsid w:val="00754034"/>
    <w:rsid w:val="00755DA2"/>
    <w:rsid w:val="00756556"/>
    <w:rsid w:val="00756C31"/>
    <w:rsid w:val="00757D13"/>
    <w:rsid w:val="007618C4"/>
    <w:rsid w:val="00761C0C"/>
    <w:rsid w:val="00764178"/>
    <w:rsid w:val="00765ABF"/>
    <w:rsid w:val="00766C61"/>
    <w:rsid w:val="00767980"/>
    <w:rsid w:val="00767D52"/>
    <w:rsid w:val="00770B19"/>
    <w:rsid w:val="0077463F"/>
    <w:rsid w:val="00777448"/>
    <w:rsid w:val="00782007"/>
    <w:rsid w:val="007836EA"/>
    <w:rsid w:val="00783D60"/>
    <w:rsid w:val="00784CDA"/>
    <w:rsid w:val="00785761"/>
    <w:rsid w:val="00785804"/>
    <w:rsid w:val="00785C2A"/>
    <w:rsid w:val="00785F2A"/>
    <w:rsid w:val="00786160"/>
    <w:rsid w:val="007906C4"/>
    <w:rsid w:val="0079092A"/>
    <w:rsid w:val="00792A48"/>
    <w:rsid w:val="00793467"/>
    <w:rsid w:val="007940EA"/>
    <w:rsid w:val="00794764"/>
    <w:rsid w:val="00795251"/>
    <w:rsid w:val="007957F8"/>
    <w:rsid w:val="007967E8"/>
    <w:rsid w:val="007972F6"/>
    <w:rsid w:val="007A00A0"/>
    <w:rsid w:val="007A156E"/>
    <w:rsid w:val="007A2170"/>
    <w:rsid w:val="007A22BF"/>
    <w:rsid w:val="007A3323"/>
    <w:rsid w:val="007A3E51"/>
    <w:rsid w:val="007A43A2"/>
    <w:rsid w:val="007A4B1D"/>
    <w:rsid w:val="007A5608"/>
    <w:rsid w:val="007A5A52"/>
    <w:rsid w:val="007A5A9C"/>
    <w:rsid w:val="007A7B28"/>
    <w:rsid w:val="007B0700"/>
    <w:rsid w:val="007B1C5E"/>
    <w:rsid w:val="007B5984"/>
    <w:rsid w:val="007B6FCE"/>
    <w:rsid w:val="007B72B8"/>
    <w:rsid w:val="007B7928"/>
    <w:rsid w:val="007B7A58"/>
    <w:rsid w:val="007C1E1C"/>
    <w:rsid w:val="007C21B5"/>
    <w:rsid w:val="007C22DE"/>
    <w:rsid w:val="007C2D48"/>
    <w:rsid w:val="007C3BE7"/>
    <w:rsid w:val="007C4682"/>
    <w:rsid w:val="007C4A98"/>
    <w:rsid w:val="007C6148"/>
    <w:rsid w:val="007C6C6F"/>
    <w:rsid w:val="007D1614"/>
    <w:rsid w:val="007D2D5E"/>
    <w:rsid w:val="007D3AE4"/>
    <w:rsid w:val="007D4B99"/>
    <w:rsid w:val="007D6885"/>
    <w:rsid w:val="007D6B8F"/>
    <w:rsid w:val="007D6FD8"/>
    <w:rsid w:val="007D7682"/>
    <w:rsid w:val="007E3CE0"/>
    <w:rsid w:val="007E4BD2"/>
    <w:rsid w:val="007E7A96"/>
    <w:rsid w:val="007F207A"/>
    <w:rsid w:val="007F6D04"/>
    <w:rsid w:val="007F7C1C"/>
    <w:rsid w:val="00801393"/>
    <w:rsid w:val="008013C5"/>
    <w:rsid w:val="00802F88"/>
    <w:rsid w:val="00806E3D"/>
    <w:rsid w:val="008079A5"/>
    <w:rsid w:val="0081293E"/>
    <w:rsid w:val="00814D6F"/>
    <w:rsid w:val="00815465"/>
    <w:rsid w:val="008155C2"/>
    <w:rsid w:val="00817E9A"/>
    <w:rsid w:val="0082393C"/>
    <w:rsid w:val="00825E31"/>
    <w:rsid w:val="00827B12"/>
    <w:rsid w:val="008306BD"/>
    <w:rsid w:val="0083124B"/>
    <w:rsid w:val="00831A80"/>
    <w:rsid w:val="00833258"/>
    <w:rsid w:val="00833743"/>
    <w:rsid w:val="008340A4"/>
    <w:rsid w:val="00834237"/>
    <w:rsid w:val="00837F19"/>
    <w:rsid w:val="0084234D"/>
    <w:rsid w:val="00842A47"/>
    <w:rsid w:val="00843B62"/>
    <w:rsid w:val="00843E65"/>
    <w:rsid w:val="0084660A"/>
    <w:rsid w:val="00846DB2"/>
    <w:rsid w:val="008510F4"/>
    <w:rsid w:val="008551DC"/>
    <w:rsid w:val="00860D90"/>
    <w:rsid w:val="00862016"/>
    <w:rsid w:val="0086204C"/>
    <w:rsid w:val="00870152"/>
    <w:rsid w:val="0087135F"/>
    <w:rsid w:val="00872D94"/>
    <w:rsid w:val="00875C6F"/>
    <w:rsid w:val="008774B7"/>
    <w:rsid w:val="00880364"/>
    <w:rsid w:val="0088260F"/>
    <w:rsid w:val="00885F65"/>
    <w:rsid w:val="00886AE7"/>
    <w:rsid w:val="00887411"/>
    <w:rsid w:val="00887AAB"/>
    <w:rsid w:val="00891204"/>
    <w:rsid w:val="00891592"/>
    <w:rsid w:val="00891E9E"/>
    <w:rsid w:val="00891F9C"/>
    <w:rsid w:val="00896B3D"/>
    <w:rsid w:val="008A0F32"/>
    <w:rsid w:val="008A2A3F"/>
    <w:rsid w:val="008A2F68"/>
    <w:rsid w:val="008A58E5"/>
    <w:rsid w:val="008B094E"/>
    <w:rsid w:val="008B2464"/>
    <w:rsid w:val="008B2D0F"/>
    <w:rsid w:val="008B4FA6"/>
    <w:rsid w:val="008B5282"/>
    <w:rsid w:val="008B5D24"/>
    <w:rsid w:val="008B613D"/>
    <w:rsid w:val="008B7077"/>
    <w:rsid w:val="008B7C17"/>
    <w:rsid w:val="008C2D01"/>
    <w:rsid w:val="008C40E6"/>
    <w:rsid w:val="008C48FB"/>
    <w:rsid w:val="008C7DDD"/>
    <w:rsid w:val="008D0291"/>
    <w:rsid w:val="008D0F7A"/>
    <w:rsid w:val="008D67DA"/>
    <w:rsid w:val="008D68E4"/>
    <w:rsid w:val="008E0506"/>
    <w:rsid w:val="008E0CCC"/>
    <w:rsid w:val="008E0CFF"/>
    <w:rsid w:val="008E5D6B"/>
    <w:rsid w:val="008E76F0"/>
    <w:rsid w:val="008F15FE"/>
    <w:rsid w:val="008F2CC2"/>
    <w:rsid w:val="008F2D29"/>
    <w:rsid w:val="008F5187"/>
    <w:rsid w:val="008F60D8"/>
    <w:rsid w:val="008F6156"/>
    <w:rsid w:val="00900241"/>
    <w:rsid w:val="00901605"/>
    <w:rsid w:val="00902727"/>
    <w:rsid w:val="00902E9B"/>
    <w:rsid w:val="0090312B"/>
    <w:rsid w:val="009040C8"/>
    <w:rsid w:val="00907C28"/>
    <w:rsid w:val="00910DC1"/>
    <w:rsid w:val="009122B4"/>
    <w:rsid w:val="009122CC"/>
    <w:rsid w:val="00915F51"/>
    <w:rsid w:val="0091736D"/>
    <w:rsid w:val="00920069"/>
    <w:rsid w:val="00920D15"/>
    <w:rsid w:val="00923F3D"/>
    <w:rsid w:val="009258D3"/>
    <w:rsid w:val="00926EFA"/>
    <w:rsid w:val="009273EC"/>
    <w:rsid w:val="0093037A"/>
    <w:rsid w:val="009306CB"/>
    <w:rsid w:val="00930CCB"/>
    <w:rsid w:val="00931ABE"/>
    <w:rsid w:val="00932194"/>
    <w:rsid w:val="0093245F"/>
    <w:rsid w:val="00933199"/>
    <w:rsid w:val="00933CF3"/>
    <w:rsid w:val="009344F1"/>
    <w:rsid w:val="00936E7D"/>
    <w:rsid w:val="0094154D"/>
    <w:rsid w:val="00941DED"/>
    <w:rsid w:val="00947C70"/>
    <w:rsid w:val="00950C67"/>
    <w:rsid w:val="0095155F"/>
    <w:rsid w:val="00951AF9"/>
    <w:rsid w:val="009527DB"/>
    <w:rsid w:val="00952E00"/>
    <w:rsid w:val="00953067"/>
    <w:rsid w:val="00954429"/>
    <w:rsid w:val="00955972"/>
    <w:rsid w:val="009562D4"/>
    <w:rsid w:val="009563CE"/>
    <w:rsid w:val="00956504"/>
    <w:rsid w:val="00957B83"/>
    <w:rsid w:val="00961082"/>
    <w:rsid w:val="00961370"/>
    <w:rsid w:val="00961A04"/>
    <w:rsid w:val="00961ABF"/>
    <w:rsid w:val="00962428"/>
    <w:rsid w:val="00962AD9"/>
    <w:rsid w:val="00965AFD"/>
    <w:rsid w:val="0096628F"/>
    <w:rsid w:val="00967000"/>
    <w:rsid w:val="00967317"/>
    <w:rsid w:val="00976328"/>
    <w:rsid w:val="0097680D"/>
    <w:rsid w:val="0097695B"/>
    <w:rsid w:val="009805F4"/>
    <w:rsid w:val="00982438"/>
    <w:rsid w:val="00982558"/>
    <w:rsid w:val="009828AE"/>
    <w:rsid w:val="0098404C"/>
    <w:rsid w:val="00985283"/>
    <w:rsid w:val="0098752F"/>
    <w:rsid w:val="009906D0"/>
    <w:rsid w:val="0099097A"/>
    <w:rsid w:val="0099381D"/>
    <w:rsid w:val="00994A88"/>
    <w:rsid w:val="00995992"/>
    <w:rsid w:val="00997FE6"/>
    <w:rsid w:val="009A03E5"/>
    <w:rsid w:val="009A0619"/>
    <w:rsid w:val="009A07C4"/>
    <w:rsid w:val="009A0F3B"/>
    <w:rsid w:val="009A112D"/>
    <w:rsid w:val="009A1975"/>
    <w:rsid w:val="009A1BB4"/>
    <w:rsid w:val="009A2242"/>
    <w:rsid w:val="009A2628"/>
    <w:rsid w:val="009A265F"/>
    <w:rsid w:val="009A3200"/>
    <w:rsid w:val="009A47D2"/>
    <w:rsid w:val="009A5570"/>
    <w:rsid w:val="009A6BDC"/>
    <w:rsid w:val="009A6D6B"/>
    <w:rsid w:val="009B0897"/>
    <w:rsid w:val="009B139F"/>
    <w:rsid w:val="009B3443"/>
    <w:rsid w:val="009B4346"/>
    <w:rsid w:val="009B4B1B"/>
    <w:rsid w:val="009B5B1C"/>
    <w:rsid w:val="009B5D0A"/>
    <w:rsid w:val="009B7BD9"/>
    <w:rsid w:val="009C0F95"/>
    <w:rsid w:val="009C37E7"/>
    <w:rsid w:val="009C3C79"/>
    <w:rsid w:val="009C514A"/>
    <w:rsid w:val="009C5DCE"/>
    <w:rsid w:val="009C6193"/>
    <w:rsid w:val="009C7296"/>
    <w:rsid w:val="009C79C9"/>
    <w:rsid w:val="009C7DD5"/>
    <w:rsid w:val="009D0BA4"/>
    <w:rsid w:val="009D45B1"/>
    <w:rsid w:val="009D5366"/>
    <w:rsid w:val="009D593F"/>
    <w:rsid w:val="009E227D"/>
    <w:rsid w:val="009E2E5B"/>
    <w:rsid w:val="009E3847"/>
    <w:rsid w:val="009E5019"/>
    <w:rsid w:val="009E5445"/>
    <w:rsid w:val="009E6B24"/>
    <w:rsid w:val="009F069E"/>
    <w:rsid w:val="009F1B32"/>
    <w:rsid w:val="009F3635"/>
    <w:rsid w:val="009F3B74"/>
    <w:rsid w:val="009F3D21"/>
    <w:rsid w:val="009F3FD5"/>
    <w:rsid w:val="009F4F48"/>
    <w:rsid w:val="009F7DA7"/>
    <w:rsid w:val="00A03982"/>
    <w:rsid w:val="00A04F1B"/>
    <w:rsid w:val="00A0501B"/>
    <w:rsid w:val="00A0547C"/>
    <w:rsid w:val="00A05B53"/>
    <w:rsid w:val="00A1267F"/>
    <w:rsid w:val="00A1333E"/>
    <w:rsid w:val="00A14947"/>
    <w:rsid w:val="00A154DB"/>
    <w:rsid w:val="00A154E0"/>
    <w:rsid w:val="00A15D6B"/>
    <w:rsid w:val="00A2068E"/>
    <w:rsid w:val="00A20907"/>
    <w:rsid w:val="00A26190"/>
    <w:rsid w:val="00A27AD1"/>
    <w:rsid w:val="00A301DB"/>
    <w:rsid w:val="00A303CF"/>
    <w:rsid w:val="00A32A83"/>
    <w:rsid w:val="00A3379C"/>
    <w:rsid w:val="00A3418C"/>
    <w:rsid w:val="00A34946"/>
    <w:rsid w:val="00A368DB"/>
    <w:rsid w:val="00A404D7"/>
    <w:rsid w:val="00A40A5D"/>
    <w:rsid w:val="00A4192E"/>
    <w:rsid w:val="00A423AA"/>
    <w:rsid w:val="00A43978"/>
    <w:rsid w:val="00A43D6B"/>
    <w:rsid w:val="00A46093"/>
    <w:rsid w:val="00A460EB"/>
    <w:rsid w:val="00A47BFA"/>
    <w:rsid w:val="00A47C7C"/>
    <w:rsid w:val="00A52868"/>
    <w:rsid w:val="00A53EC6"/>
    <w:rsid w:val="00A55C0F"/>
    <w:rsid w:val="00A5744C"/>
    <w:rsid w:val="00A6058F"/>
    <w:rsid w:val="00A61A67"/>
    <w:rsid w:val="00A62960"/>
    <w:rsid w:val="00A634C9"/>
    <w:rsid w:val="00A65157"/>
    <w:rsid w:val="00A655ED"/>
    <w:rsid w:val="00A67824"/>
    <w:rsid w:val="00A71288"/>
    <w:rsid w:val="00A729A7"/>
    <w:rsid w:val="00A73B56"/>
    <w:rsid w:val="00A76FA5"/>
    <w:rsid w:val="00A77187"/>
    <w:rsid w:val="00A80B24"/>
    <w:rsid w:val="00A820F5"/>
    <w:rsid w:val="00A83DA8"/>
    <w:rsid w:val="00A8713F"/>
    <w:rsid w:val="00A90BA1"/>
    <w:rsid w:val="00A9268E"/>
    <w:rsid w:val="00A965F5"/>
    <w:rsid w:val="00A96A5E"/>
    <w:rsid w:val="00A97A9A"/>
    <w:rsid w:val="00AA023A"/>
    <w:rsid w:val="00AA0671"/>
    <w:rsid w:val="00AA217F"/>
    <w:rsid w:val="00AA2531"/>
    <w:rsid w:val="00AA63DF"/>
    <w:rsid w:val="00AB1E09"/>
    <w:rsid w:val="00AB2DCB"/>
    <w:rsid w:val="00AB5330"/>
    <w:rsid w:val="00AB70A0"/>
    <w:rsid w:val="00AB7747"/>
    <w:rsid w:val="00AC000A"/>
    <w:rsid w:val="00AC14CE"/>
    <w:rsid w:val="00AC2A0E"/>
    <w:rsid w:val="00AC2A56"/>
    <w:rsid w:val="00AC30E5"/>
    <w:rsid w:val="00AC614B"/>
    <w:rsid w:val="00AC6913"/>
    <w:rsid w:val="00AC73C5"/>
    <w:rsid w:val="00AD055E"/>
    <w:rsid w:val="00AD3032"/>
    <w:rsid w:val="00AD47A7"/>
    <w:rsid w:val="00AD7707"/>
    <w:rsid w:val="00AE063E"/>
    <w:rsid w:val="00AE1A49"/>
    <w:rsid w:val="00AE3CB5"/>
    <w:rsid w:val="00AE3FAE"/>
    <w:rsid w:val="00AE570B"/>
    <w:rsid w:val="00AE59F6"/>
    <w:rsid w:val="00AF0CBF"/>
    <w:rsid w:val="00AF257F"/>
    <w:rsid w:val="00AF33CF"/>
    <w:rsid w:val="00AF4881"/>
    <w:rsid w:val="00AF4D50"/>
    <w:rsid w:val="00AF54EA"/>
    <w:rsid w:val="00AF5C8A"/>
    <w:rsid w:val="00AF6179"/>
    <w:rsid w:val="00AF7348"/>
    <w:rsid w:val="00B05889"/>
    <w:rsid w:val="00B05D5C"/>
    <w:rsid w:val="00B0797A"/>
    <w:rsid w:val="00B07E21"/>
    <w:rsid w:val="00B1295A"/>
    <w:rsid w:val="00B13C31"/>
    <w:rsid w:val="00B16502"/>
    <w:rsid w:val="00B16771"/>
    <w:rsid w:val="00B20A45"/>
    <w:rsid w:val="00B212A2"/>
    <w:rsid w:val="00B213AF"/>
    <w:rsid w:val="00B22156"/>
    <w:rsid w:val="00B22C5C"/>
    <w:rsid w:val="00B24A28"/>
    <w:rsid w:val="00B24A38"/>
    <w:rsid w:val="00B24C45"/>
    <w:rsid w:val="00B24F30"/>
    <w:rsid w:val="00B262E6"/>
    <w:rsid w:val="00B26CD2"/>
    <w:rsid w:val="00B26EBE"/>
    <w:rsid w:val="00B30652"/>
    <w:rsid w:val="00B31872"/>
    <w:rsid w:val="00B31ABF"/>
    <w:rsid w:val="00B3215F"/>
    <w:rsid w:val="00B33BE3"/>
    <w:rsid w:val="00B34CB8"/>
    <w:rsid w:val="00B34FA1"/>
    <w:rsid w:val="00B360FE"/>
    <w:rsid w:val="00B36BA5"/>
    <w:rsid w:val="00B3783A"/>
    <w:rsid w:val="00B37A0E"/>
    <w:rsid w:val="00B37F75"/>
    <w:rsid w:val="00B37FBC"/>
    <w:rsid w:val="00B40EF0"/>
    <w:rsid w:val="00B41D25"/>
    <w:rsid w:val="00B41E76"/>
    <w:rsid w:val="00B446EF"/>
    <w:rsid w:val="00B448BF"/>
    <w:rsid w:val="00B453F5"/>
    <w:rsid w:val="00B460A8"/>
    <w:rsid w:val="00B464B2"/>
    <w:rsid w:val="00B46F8D"/>
    <w:rsid w:val="00B47E76"/>
    <w:rsid w:val="00B5031D"/>
    <w:rsid w:val="00B51A4B"/>
    <w:rsid w:val="00B53B5D"/>
    <w:rsid w:val="00B54DCA"/>
    <w:rsid w:val="00B55159"/>
    <w:rsid w:val="00B5767F"/>
    <w:rsid w:val="00B57D32"/>
    <w:rsid w:val="00B6055E"/>
    <w:rsid w:val="00B60BE4"/>
    <w:rsid w:val="00B616A3"/>
    <w:rsid w:val="00B6317D"/>
    <w:rsid w:val="00B64EA2"/>
    <w:rsid w:val="00B668EB"/>
    <w:rsid w:val="00B70134"/>
    <w:rsid w:val="00B721AF"/>
    <w:rsid w:val="00B74A2E"/>
    <w:rsid w:val="00B76A15"/>
    <w:rsid w:val="00B7703A"/>
    <w:rsid w:val="00B7723F"/>
    <w:rsid w:val="00B80534"/>
    <w:rsid w:val="00B82039"/>
    <w:rsid w:val="00B82A76"/>
    <w:rsid w:val="00B8348B"/>
    <w:rsid w:val="00B83B27"/>
    <w:rsid w:val="00B8433C"/>
    <w:rsid w:val="00B8650B"/>
    <w:rsid w:val="00B86A59"/>
    <w:rsid w:val="00B87491"/>
    <w:rsid w:val="00B9146D"/>
    <w:rsid w:val="00B916D8"/>
    <w:rsid w:val="00B91E58"/>
    <w:rsid w:val="00BA29E9"/>
    <w:rsid w:val="00BA34C4"/>
    <w:rsid w:val="00BA51F0"/>
    <w:rsid w:val="00BA5346"/>
    <w:rsid w:val="00BA7142"/>
    <w:rsid w:val="00BB2167"/>
    <w:rsid w:val="00BB237C"/>
    <w:rsid w:val="00BB41A3"/>
    <w:rsid w:val="00BB441B"/>
    <w:rsid w:val="00BB463B"/>
    <w:rsid w:val="00BC0901"/>
    <w:rsid w:val="00BC2FB9"/>
    <w:rsid w:val="00BC32DC"/>
    <w:rsid w:val="00BC3586"/>
    <w:rsid w:val="00BC35B6"/>
    <w:rsid w:val="00BC4B7A"/>
    <w:rsid w:val="00BC5738"/>
    <w:rsid w:val="00BC66D9"/>
    <w:rsid w:val="00BD047A"/>
    <w:rsid w:val="00BD1B51"/>
    <w:rsid w:val="00BD4596"/>
    <w:rsid w:val="00BD5791"/>
    <w:rsid w:val="00BE1405"/>
    <w:rsid w:val="00BE1CF4"/>
    <w:rsid w:val="00BE22AB"/>
    <w:rsid w:val="00BE28C1"/>
    <w:rsid w:val="00BE312D"/>
    <w:rsid w:val="00BE5174"/>
    <w:rsid w:val="00BE73B7"/>
    <w:rsid w:val="00BF1196"/>
    <w:rsid w:val="00BF1C20"/>
    <w:rsid w:val="00BF5DE3"/>
    <w:rsid w:val="00BF621B"/>
    <w:rsid w:val="00BF76D7"/>
    <w:rsid w:val="00BF7C64"/>
    <w:rsid w:val="00C0080B"/>
    <w:rsid w:val="00C00DFD"/>
    <w:rsid w:val="00C017C1"/>
    <w:rsid w:val="00C034FA"/>
    <w:rsid w:val="00C04248"/>
    <w:rsid w:val="00C04873"/>
    <w:rsid w:val="00C10578"/>
    <w:rsid w:val="00C10821"/>
    <w:rsid w:val="00C135BC"/>
    <w:rsid w:val="00C13D2C"/>
    <w:rsid w:val="00C149AA"/>
    <w:rsid w:val="00C15C95"/>
    <w:rsid w:val="00C1660C"/>
    <w:rsid w:val="00C16F43"/>
    <w:rsid w:val="00C21D22"/>
    <w:rsid w:val="00C23745"/>
    <w:rsid w:val="00C23939"/>
    <w:rsid w:val="00C2596A"/>
    <w:rsid w:val="00C27477"/>
    <w:rsid w:val="00C27537"/>
    <w:rsid w:val="00C30375"/>
    <w:rsid w:val="00C328FE"/>
    <w:rsid w:val="00C33507"/>
    <w:rsid w:val="00C3679F"/>
    <w:rsid w:val="00C377A9"/>
    <w:rsid w:val="00C4091E"/>
    <w:rsid w:val="00C4235C"/>
    <w:rsid w:val="00C42B63"/>
    <w:rsid w:val="00C4409D"/>
    <w:rsid w:val="00C44E72"/>
    <w:rsid w:val="00C45A06"/>
    <w:rsid w:val="00C45C6C"/>
    <w:rsid w:val="00C47E5B"/>
    <w:rsid w:val="00C512B3"/>
    <w:rsid w:val="00C56A91"/>
    <w:rsid w:val="00C5761F"/>
    <w:rsid w:val="00C57B8A"/>
    <w:rsid w:val="00C61E4B"/>
    <w:rsid w:val="00C61EBE"/>
    <w:rsid w:val="00C62DBF"/>
    <w:rsid w:val="00C632C7"/>
    <w:rsid w:val="00C63A61"/>
    <w:rsid w:val="00C64424"/>
    <w:rsid w:val="00C64BFF"/>
    <w:rsid w:val="00C64F6C"/>
    <w:rsid w:val="00C6711B"/>
    <w:rsid w:val="00C704E9"/>
    <w:rsid w:val="00C743DD"/>
    <w:rsid w:val="00C758FB"/>
    <w:rsid w:val="00C759CA"/>
    <w:rsid w:val="00C763C9"/>
    <w:rsid w:val="00C76D94"/>
    <w:rsid w:val="00C77A04"/>
    <w:rsid w:val="00C80057"/>
    <w:rsid w:val="00C80529"/>
    <w:rsid w:val="00C80C5C"/>
    <w:rsid w:val="00C8130D"/>
    <w:rsid w:val="00C813C5"/>
    <w:rsid w:val="00C82232"/>
    <w:rsid w:val="00C82913"/>
    <w:rsid w:val="00C83214"/>
    <w:rsid w:val="00C863BD"/>
    <w:rsid w:val="00C87FC4"/>
    <w:rsid w:val="00C908F2"/>
    <w:rsid w:val="00C90FEE"/>
    <w:rsid w:val="00C91083"/>
    <w:rsid w:val="00C91EBD"/>
    <w:rsid w:val="00C925BC"/>
    <w:rsid w:val="00C93A37"/>
    <w:rsid w:val="00C9469E"/>
    <w:rsid w:val="00C9610E"/>
    <w:rsid w:val="00C965D6"/>
    <w:rsid w:val="00C972B1"/>
    <w:rsid w:val="00C97EF8"/>
    <w:rsid w:val="00CA1533"/>
    <w:rsid w:val="00CA2CCE"/>
    <w:rsid w:val="00CA43FD"/>
    <w:rsid w:val="00CA7EF8"/>
    <w:rsid w:val="00CB50D1"/>
    <w:rsid w:val="00CB5D47"/>
    <w:rsid w:val="00CB68BC"/>
    <w:rsid w:val="00CB75FB"/>
    <w:rsid w:val="00CC21F9"/>
    <w:rsid w:val="00CC3590"/>
    <w:rsid w:val="00CC489B"/>
    <w:rsid w:val="00CC4ADD"/>
    <w:rsid w:val="00CD0042"/>
    <w:rsid w:val="00CD0BFC"/>
    <w:rsid w:val="00CD0D7C"/>
    <w:rsid w:val="00CD244F"/>
    <w:rsid w:val="00CD2A44"/>
    <w:rsid w:val="00CD2BCD"/>
    <w:rsid w:val="00CD3A4C"/>
    <w:rsid w:val="00CD4113"/>
    <w:rsid w:val="00CD46C0"/>
    <w:rsid w:val="00CE0AE2"/>
    <w:rsid w:val="00CE0FF8"/>
    <w:rsid w:val="00CE10E9"/>
    <w:rsid w:val="00CE18C4"/>
    <w:rsid w:val="00CE2910"/>
    <w:rsid w:val="00CE2C51"/>
    <w:rsid w:val="00CE3117"/>
    <w:rsid w:val="00CE3577"/>
    <w:rsid w:val="00CE3A46"/>
    <w:rsid w:val="00CE5393"/>
    <w:rsid w:val="00CE57FE"/>
    <w:rsid w:val="00CE67F8"/>
    <w:rsid w:val="00CF36BE"/>
    <w:rsid w:val="00CF4383"/>
    <w:rsid w:val="00CF4A1C"/>
    <w:rsid w:val="00CF6000"/>
    <w:rsid w:val="00CF6473"/>
    <w:rsid w:val="00CF6F8B"/>
    <w:rsid w:val="00CF7020"/>
    <w:rsid w:val="00D002DB"/>
    <w:rsid w:val="00D003F3"/>
    <w:rsid w:val="00D0364F"/>
    <w:rsid w:val="00D04EA7"/>
    <w:rsid w:val="00D0668E"/>
    <w:rsid w:val="00D06834"/>
    <w:rsid w:val="00D10E0F"/>
    <w:rsid w:val="00D1338B"/>
    <w:rsid w:val="00D13DAA"/>
    <w:rsid w:val="00D140E8"/>
    <w:rsid w:val="00D15E15"/>
    <w:rsid w:val="00D16DCF"/>
    <w:rsid w:val="00D17809"/>
    <w:rsid w:val="00D20350"/>
    <w:rsid w:val="00D22ECE"/>
    <w:rsid w:val="00D24352"/>
    <w:rsid w:val="00D26A9B"/>
    <w:rsid w:val="00D308ED"/>
    <w:rsid w:val="00D310B4"/>
    <w:rsid w:val="00D3248B"/>
    <w:rsid w:val="00D33AD7"/>
    <w:rsid w:val="00D340C9"/>
    <w:rsid w:val="00D34688"/>
    <w:rsid w:val="00D34F7A"/>
    <w:rsid w:val="00D36D86"/>
    <w:rsid w:val="00D37BA3"/>
    <w:rsid w:val="00D40028"/>
    <w:rsid w:val="00D41535"/>
    <w:rsid w:val="00D42401"/>
    <w:rsid w:val="00D4249E"/>
    <w:rsid w:val="00D428AA"/>
    <w:rsid w:val="00D43F54"/>
    <w:rsid w:val="00D50A34"/>
    <w:rsid w:val="00D5109A"/>
    <w:rsid w:val="00D52775"/>
    <w:rsid w:val="00D52F6E"/>
    <w:rsid w:val="00D53EA7"/>
    <w:rsid w:val="00D53EFA"/>
    <w:rsid w:val="00D5403B"/>
    <w:rsid w:val="00D5686B"/>
    <w:rsid w:val="00D60994"/>
    <w:rsid w:val="00D621CF"/>
    <w:rsid w:val="00D65CB2"/>
    <w:rsid w:val="00D66089"/>
    <w:rsid w:val="00D67101"/>
    <w:rsid w:val="00D675D5"/>
    <w:rsid w:val="00D75C3E"/>
    <w:rsid w:val="00D76A22"/>
    <w:rsid w:val="00D801E3"/>
    <w:rsid w:val="00D805A3"/>
    <w:rsid w:val="00D82CBC"/>
    <w:rsid w:val="00D83B86"/>
    <w:rsid w:val="00D90892"/>
    <w:rsid w:val="00D9125E"/>
    <w:rsid w:val="00D92C6B"/>
    <w:rsid w:val="00D94625"/>
    <w:rsid w:val="00D94A7C"/>
    <w:rsid w:val="00D95896"/>
    <w:rsid w:val="00D96698"/>
    <w:rsid w:val="00DA0B24"/>
    <w:rsid w:val="00DA10DF"/>
    <w:rsid w:val="00DA2142"/>
    <w:rsid w:val="00DA2CF8"/>
    <w:rsid w:val="00DA79E2"/>
    <w:rsid w:val="00DB017C"/>
    <w:rsid w:val="00DB1914"/>
    <w:rsid w:val="00DB2983"/>
    <w:rsid w:val="00DB3078"/>
    <w:rsid w:val="00DB3563"/>
    <w:rsid w:val="00DB5A70"/>
    <w:rsid w:val="00DB6397"/>
    <w:rsid w:val="00DB6AA3"/>
    <w:rsid w:val="00DC1257"/>
    <w:rsid w:val="00DC359B"/>
    <w:rsid w:val="00DC3DC0"/>
    <w:rsid w:val="00DC4681"/>
    <w:rsid w:val="00DC4788"/>
    <w:rsid w:val="00DC4916"/>
    <w:rsid w:val="00DC4E05"/>
    <w:rsid w:val="00DC5B2B"/>
    <w:rsid w:val="00DD10B9"/>
    <w:rsid w:val="00DD19BF"/>
    <w:rsid w:val="00DD318D"/>
    <w:rsid w:val="00DD34C7"/>
    <w:rsid w:val="00DD418D"/>
    <w:rsid w:val="00DD432C"/>
    <w:rsid w:val="00DD694C"/>
    <w:rsid w:val="00DD787A"/>
    <w:rsid w:val="00DE01DA"/>
    <w:rsid w:val="00DE7CC0"/>
    <w:rsid w:val="00DF14A9"/>
    <w:rsid w:val="00DF2E12"/>
    <w:rsid w:val="00DF3591"/>
    <w:rsid w:val="00DF3BF7"/>
    <w:rsid w:val="00DF3CEE"/>
    <w:rsid w:val="00DF514A"/>
    <w:rsid w:val="00DF6690"/>
    <w:rsid w:val="00DF6804"/>
    <w:rsid w:val="00DF7172"/>
    <w:rsid w:val="00DF73DC"/>
    <w:rsid w:val="00DF7CC6"/>
    <w:rsid w:val="00E0135D"/>
    <w:rsid w:val="00E0284E"/>
    <w:rsid w:val="00E0358D"/>
    <w:rsid w:val="00E03878"/>
    <w:rsid w:val="00E04323"/>
    <w:rsid w:val="00E05A94"/>
    <w:rsid w:val="00E070A2"/>
    <w:rsid w:val="00E10DF6"/>
    <w:rsid w:val="00E12265"/>
    <w:rsid w:val="00E129F9"/>
    <w:rsid w:val="00E153D9"/>
    <w:rsid w:val="00E233CA"/>
    <w:rsid w:val="00E253E8"/>
    <w:rsid w:val="00E2656A"/>
    <w:rsid w:val="00E304C6"/>
    <w:rsid w:val="00E30624"/>
    <w:rsid w:val="00E30E47"/>
    <w:rsid w:val="00E318ED"/>
    <w:rsid w:val="00E32451"/>
    <w:rsid w:val="00E32856"/>
    <w:rsid w:val="00E36BF5"/>
    <w:rsid w:val="00E412D0"/>
    <w:rsid w:val="00E42F62"/>
    <w:rsid w:val="00E431AD"/>
    <w:rsid w:val="00E44867"/>
    <w:rsid w:val="00E44C07"/>
    <w:rsid w:val="00E45B87"/>
    <w:rsid w:val="00E51F71"/>
    <w:rsid w:val="00E5460D"/>
    <w:rsid w:val="00E56322"/>
    <w:rsid w:val="00E60982"/>
    <w:rsid w:val="00E61459"/>
    <w:rsid w:val="00E621B4"/>
    <w:rsid w:val="00E62C62"/>
    <w:rsid w:val="00E62CAD"/>
    <w:rsid w:val="00E654C1"/>
    <w:rsid w:val="00E65622"/>
    <w:rsid w:val="00E65D97"/>
    <w:rsid w:val="00E72A5A"/>
    <w:rsid w:val="00E73232"/>
    <w:rsid w:val="00E73354"/>
    <w:rsid w:val="00E75F60"/>
    <w:rsid w:val="00E77A37"/>
    <w:rsid w:val="00E80004"/>
    <w:rsid w:val="00E81AF0"/>
    <w:rsid w:val="00E84FA6"/>
    <w:rsid w:val="00E8640F"/>
    <w:rsid w:val="00E90E94"/>
    <w:rsid w:val="00E9242D"/>
    <w:rsid w:val="00E93216"/>
    <w:rsid w:val="00E93C0E"/>
    <w:rsid w:val="00E94418"/>
    <w:rsid w:val="00E96417"/>
    <w:rsid w:val="00E96465"/>
    <w:rsid w:val="00E966FF"/>
    <w:rsid w:val="00E97674"/>
    <w:rsid w:val="00EA0AC6"/>
    <w:rsid w:val="00EA28C0"/>
    <w:rsid w:val="00EA28D5"/>
    <w:rsid w:val="00EA772D"/>
    <w:rsid w:val="00EB0DAF"/>
    <w:rsid w:val="00EB3F7E"/>
    <w:rsid w:val="00EB5255"/>
    <w:rsid w:val="00EB5A09"/>
    <w:rsid w:val="00EB5C47"/>
    <w:rsid w:val="00EB5E2E"/>
    <w:rsid w:val="00EB7C66"/>
    <w:rsid w:val="00EC18C0"/>
    <w:rsid w:val="00EC1D69"/>
    <w:rsid w:val="00EC46D1"/>
    <w:rsid w:val="00EC57EC"/>
    <w:rsid w:val="00EC5E2D"/>
    <w:rsid w:val="00EC6850"/>
    <w:rsid w:val="00EC7D0B"/>
    <w:rsid w:val="00ED0639"/>
    <w:rsid w:val="00ED2EE6"/>
    <w:rsid w:val="00ED44D8"/>
    <w:rsid w:val="00ED45A9"/>
    <w:rsid w:val="00ED4808"/>
    <w:rsid w:val="00ED485C"/>
    <w:rsid w:val="00ED6AD4"/>
    <w:rsid w:val="00EE00AB"/>
    <w:rsid w:val="00EE1C6C"/>
    <w:rsid w:val="00EE4E77"/>
    <w:rsid w:val="00EE73F0"/>
    <w:rsid w:val="00EF0E23"/>
    <w:rsid w:val="00EF1C07"/>
    <w:rsid w:val="00EF4755"/>
    <w:rsid w:val="00EF5F46"/>
    <w:rsid w:val="00EF6EFA"/>
    <w:rsid w:val="00EF7135"/>
    <w:rsid w:val="00F01090"/>
    <w:rsid w:val="00F01379"/>
    <w:rsid w:val="00F02215"/>
    <w:rsid w:val="00F027DB"/>
    <w:rsid w:val="00F0450E"/>
    <w:rsid w:val="00F046EE"/>
    <w:rsid w:val="00F06AB3"/>
    <w:rsid w:val="00F06EA2"/>
    <w:rsid w:val="00F07FC8"/>
    <w:rsid w:val="00F1033E"/>
    <w:rsid w:val="00F14A7A"/>
    <w:rsid w:val="00F14DCA"/>
    <w:rsid w:val="00F16D9F"/>
    <w:rsid w:val="00F22985"/>
    <w:rsid w:val="00F23D30"/>
    <w:rsid w:val="00F2580C"/>
    <w:rsid w:val="00F25F58"/>
    <w:rsid w:val="00F26003"/>
    <w:rsid w:val="00F27397"/>
    <w:rsid w:val="00F31E9D"/>
    <w:rsid w:val="00F3307C"/>
    <w:rsid w:val="00F3383E"/>
    <w:rsid w:val="00F33979"/>
    <w:rsid w:val="00F35DE0"/>
    <w:rsid w:val="00F36272"/>
    <w:rsid w:val="00F43959"/>
    <w:rsid w:val="00F465A7"/>
    <w:rsid w:val="00F50B7C"/>
    <w:rsid w:val="00F5284D"/>
    <w:rsid w:val="00F53DDF"/>
    <w:rsid w:val="00F54D7D"/>
    <w:rsid w:val="00F550E6"/>
    <w:rsid w:val="00F567BD"/>
    <w:rsid w:val="00F57040"/>
    <w:rsid w:val="00F579AC"/>
    <w:rsid w:val="00F60B93"/>
    <w:rsid w:val="00F610C4"/>
    <w:rsid w:val="00F61892"/>
    <w:rsid w:val="00F6268E"/>
    <w:rsid w:val="00F63136"/>
    <w:rsid w:val="00F64E4F"/>
    <w:rsid w:val="00F65505"/>
    <w:rsid w:val="00F6696B"/>
    <w:rsid w:val="00F66A40"/>
    <w:rsid w:val="00F67D4B"/>
    <w:rsid w:val="00F7319F"/>
    <w:rsid w:val="00F73962"/>
    <w:rsid w:val="00F74345"/>
    <w:rsid w:val="00F74B47"/>
    <w:rsid w:val="00F75022"/>
    <w:rsid w:val="00F7579F"/>
    <w:rsid w:val="00F75DA7"/>
    <w:rsid w:val="00F8082E"/>
    <w:rsid w:val="00F80A0A"/>
    <w:rsid w:val="00F82B19"/>
    <w:rsid w:val="00F83140"/>
    <w:rsid w:val="00F86DEC"/>
    <w:rsid w:val="00F9212D"/>
    <w:rsid w:val="00F9229A"/>
    <w:rsid w:val="00F93286"/>
    <w:rsid w:val="00F95742"/>
    <w:rsid w:val="00F95D51"/>
    <w:rsid w:val="00F965DA"/>
    <w:rsid w:val="00FA406A"/>
    <w:rsid w:val="00FA647E"/>
    <w:rsid w:val="00FA6E1B"/>
    <w:rsid w:val="00FB0AE3"/>
    <w:rsid w:val="00FB12D7"/>
    <w:rsid w:val="00FB1E79"/>
    <w:rsid w:val="00FB3AE3"/>
    <w:rsid w:val="00FB3F12"/>
    <w:rsid w:val="00FB4718"/>
    <w:rsid w:val="00FB503A"/>
    <w:rsid w:val="00FB516C"/>
    <w:rsid w:val="00FB54B4"/>
    <w:rsid w:val="00FB6886"/>
    <w:rsid w:val="00FB75DB"/>
    <w:rsid w:val="00FC1F70"/>
    <w:rsid w:val="00FC28DD"/>
    <w:rsid w:val="00FC4E3A"/>
    <w:rsid w:val="00FC7A27"/>
    <w:rsid w:val="00FD0236"/>
    <w:rsid w:val="00FD12CC"/>
    <w:rsid w:val="00FD177B"/>
    <w:rsid w:val="00FD18F4"/>
    <w:rsid w:val="00FD2914"/>
    <w:rsid w:val="00FD3012"/>
    <w:rsid w:val="00FD4B98"/>
    <w:rsid w:val="00FD54DB"/>
    <w:rsid w:val="00FD5668"/>
    <w:rsid w:val="00FD612A"/>
    <w:rsid w:val="00FD619F"/>
    <w:rsid w:val="00FE039C"/>
    <w:rsid w:val="00FE0CE2"/>
    <w:rsid w:val="00FE2E98"/>
    <w:rsid w:val="00FE3678"/>
    <w:rsid w:val="00FE43D4"/>
    <w:rsid w:val="00FE5C46"/>
    <w:rsid w:val="00FF4EDE"/>
    <w:rsid w:val="00FF616A"/>
    <w:rsid w:val="011378D4"/>
    <w:rsid w:val="01290F7E"/>
    <w:rsid w:val="015D1E09"/>
    <w:rsid w:val="02697903"/>
    <w:rsid w:val="02A5701C"/>
    <w:rsid w:val="02F96569"/>
    <w:rsid w:val="032A6191"/>
    <w:rsid w:val="03EA7B21"/>
    <w:rsid w:val="05F83EAE"/>
    <w:rsid w:val="063E7D85"/>
    <w:rsid w:val="07293586"/>
    <w:rsid w:val="07295285"/>
    <w:rsid w:val="07636392"/>
    <w:rsid w:val="07770C56"/>
    <w:rsid w:val="07D86998"/>
    <w:rsid w:val="08DA2B8B"/>
    <w:rsid w:val="092217DD"/>
    <w:rsid w:val="093A7294"/>
    <w:rsid w:val="096D4A70"/>
    <w:rsid w:val="098D4402"/>
    <w:rsid w:val="0A0F34BC"/>
    <w:rsid w:val="0A1D65D0"/>
    <w:rsid w:val="0A263993"/>
    <w:rsid w:val="0A2D3AC2"/>
    <w:rsid w:val="0AA755DF"/>
    <w:rsid w:val="0ABE045A"/>
    <w:rsid w:val="0B120D44"/>
    <w:rsid w:val="0B9B6AB2"/>
    <w:rsid w:val="0BD27BF6"/>
    <w:rsid w:val="0C3B3C7D"/>
    <w:rsid w:val="0C7E54CD"/>
    <w:rsid w:val="0CAB2EAE"/>
    <w:rsid w:val="0D621C7D"/>
    <w:rsid w:val="0DC648BF"/>
    <w:rsid w:val="0E626473"/>
    <w:rsid w:val="0E675D26"/>
    <w:rsid w:val="0E73034D"/>
    <w:rsid w:val="0E9B22B3"/>
    <w:rsid w:val="0ECF4D5E"/>
    <w:rsid w:val="0F13775A"/>
    <w:rsid w:val="0F5F45FE"/>
    <w:rsid w:val="0F9A112B"/>
    <w:rsid w:val="0FD82769"/>
    <w:rsid w:val="10625288"/>
    <w:rsid w:val="106D2F64"/>
    <w:rsid w:val="10B63710"/>
    <w:rsid w:val="10F10820"/>
    <w:rsid w:val="10FB7E70"/>
    <w:rsid w:val="111C2F7A"/>
    <w:rsid w:val="11665CA1"/>
    <w:rsid w:val="1178275A"/>
    <w:rsid w:val="12AA7B7B"/>
    <w:rsid w:val="12F72363"/>
    <w:rsid w:val="13951726"/>
    <w:rsid w:val="1407736F"/>
    <w:rsid w:val="14396509"/>
    <w:rsid w:val="14DD2C3C"/>
    <w:rsid w:val="15C3670A"/>
    <w:rsid w:val="15DB0537"/>
    <w:rsid w:val="15DB73F5"/>
    <w:rsid w:val="16087E1D"/>
    <w:rsid w:val="1666140E"/>
    <w:rsid w:val="17701D14"/>
    <w:rsid w:val="17735226"/>
    <w:rsid w:val="181015B6"/>
    <w:rsid w:val="189F624C"/>
    <w:rsid w:val="18E2254E"/>
    <w:rsid w:val="19C562A9"/>
    <w:rsid w:val="1A1C66C0"/>
    <w:rsid w:val="1A42393B"/>
    <w:rsid w:val="1A4C424F"/>
    <w:rsid w:val="1A687E1C"/>
    <w:rsid w:val="1AAD45DE"/>
    <w:rsid w:val="1B046F80"/>
    <w:rsid w:val="1B3267B5"/>
    <w:rsid w:val="1B40161D"/>
    <w:rsid w:val="1B441859"/>
    <w:rsid w:val="1B6606B1"/>
    <w:rsid w:val="1C517B84"/>
    <w:rsid w:val="1C5E7925"/>
    <w:rsid w:val="1CFD070F"/>
    <w:rsid w:val="1D5F6196"/>
    <w:rsid w:val="1D6132A5"/>
    <w:rsid w:val="1D73014E"/>
    <w:rsid w:val="1D8E56D5"/>
    <w:rsid w:val="1DF200AB"/>
    <w:rsid w:val="1E7A43DA"/>
    <w:rsid w:val="1F29710C"/>
    <w:rsid w:val="1FE7539E"/>
    <w:rsid w:val="20595E08"/>
    <w:rsid w:val="20671BE0"/>
    <w:rsid w:val="20963CB8"/>
    <w:rsid w:val="20A420AE"/>
    <w:rsid w:val="20A81A1B"/>
    <w:rsid w:val="20B07FB6"/>
    <w:rsid w:val="20B646FB"/>
    <w:rsid w:val="213B74B1"/>
    <w:rsid w:val="215A2310"/>
    <w:rsid w:val="21630962"/>
    <w:rsid w:val="21DE318A"/>
    <w:rsid w:val="21EF5B80"/>
    <w:rsid w:val="22576990"/>
    <w:rsid w:val="22654B24"/>
    <w:rsid w:val="22C74CD6"/>
    <w:rsid w:val="22F47480"/>
    <w:rsid w:val="230C70CE"/>
    <w:rsid w:val="230D5E10"/>
    <w:rsid w:val="23960A2F"/>
    <w:rsid w:val="239D4B92"/>
    <w:rsid w:val="23DE1C48"/>
    <w:rsid w:val="240210CD"/>
    <w:rsid w:val="24A84695"/>
    <w:rsid w:val="24BF09F7"/>
    <w:rsid w:val="252D53FE"/>
    <w:rsid w:val="25C96973"/>
    <w:rsid w:val="25EC2D81"/>
    <w:rsid w:val="25FC6378"/>
    <w:rsid w:val="277057A2"/>
    <w:rsid w:val="29206EB8"/>
    <w:rsid w:val="29595666"/>
    <w:rsid w:val="29874881"/>
    <w:rsid w:val="29E325E0"/>
    <w:rsid w:val="2A452503"/>
    <w:rsid w:val="2B3D3A89"/>
    <w:rsid w:val="2BA936A8"/>
    <w:rsid w:val="2C315A5A"/>
    <w:rsid w:val="2C4B1C25"/>
    <w:rsid w:val="2C931228"/>
    <w:rsid w:val="2CC44A12"/>
    <w:rsid w:val="2CCF547C"/>
    <w:rsid w:val="2D9E56F5"/>
    <w:rsid w:val="2E667F96"/>
    <w:rsid w:val="2E8226AB"/>
    <w:rsid w:val="2EE95DBA"/>
    <w:rsid w:val="2F1C1A2C"/>
    <w:rsid w:val="2F5A07F0"/>
    <w:rsid w:val="2FAB6003"/>
    <w:rsid w:val="2FD065E6"/>
    <w:rsid w:val="2FD96870"/>
    <w:rsid w:val="30580BC9"/>
    <w:rsid w:val="30AB24D8"/>
    <w:rsid w:val="311E2ED7"/>
    <w:rsid w:val="315619EE"/>
    <w:rsid w:val="315C449C"/>
    <w:rsid w:val="317A36B7"/>
    <w:rsid w:val="31B82709"/>
    <w:rsid w:val="31D05482"/>
    <w:rsid w:val="31FE2B92"/>
    <w:rsid w:val="32400B34"/>
    <w:rsid w:val="32577E08"/>
    <w:rsid w:val="329E6876"/>
    <w:rsid w:val="333015F2"/>
    <w:rsid w:val="334B6320"/>
    <w:rsid w:val="33D934D4"/>
    <w:rsid w:val="33FE2F6A"/>
    <w:rsid w:val="340E07E5"/>
    <w:rsid w:val="34235BF7"/>
    <w:rsid w:val="34384B8F"/>
    <w:rsid w:val="34D4418C"/>
    <w:rsid w:val="358C5FA8"/>
    <w:rsid w:val="35C15DF1"/>
    <w:rsid w:val="36074A7F"/>
    <w:rsid w:val="3614442B"/>
    <w:rsid w:val="36686CB6"/>
    <w:rsid w:val="36923549"/>
    <w:rsid w:val="36926756"/>
    <w:rsid w:val="36B75FBF"/>
    <w:rsid w:val="36BD0C45"/>
    <w:rsid w:val="37E00298"/>
    <w:rsid w:val="38A84565"/>
    <w:rsid w:val="38B302F9"/>
    <w:rsid w:val="38F12CD3"/>
    <w:rsid w:val="38F94775"/>
    <w:rsid w:val="392971ED"/>
    <w:rsid w:val="39325651"/>
    <w:rsid w:val="39F01962"/>
    <w:rsid w:val="3A1B3003"/>
    <w:rsid w:val="3A315640"/>
    <w:rsid w:val="3A872856"/>
    <w:rsid w:val="3A9F0B17"/>
    <w:rsid w:val="3B3763D1"/>
    <w:rsid w:val="3C2F6E1E"/>
    <w:rsid w:val="3C4F64BA"/>
    <w:rsid w:val="3CDA245A"/>
    <w:rsid w:val="3D10436A"/>
    <w:rsid w:val="3D1E06B7"/>
    <w:rsid w:val="3D6A5877"/>
    <w:rsid w:val="3D9A67F0"/>
    <w:rsid w:val="3EDA0523"/>
    <w:rsid w:val="3F79605C"/>
    <w:rsid w:val="3F9A46C3"/>
    <w:rsid w:val="3F9C7144"/>
    <w:rsid w:val="403E4454"/>
    <w:rsid w:val="407A6407"/>
    <w:rsid w:val="40AA6F5B"/>
    <w:rsid w:val="412F6F14"/>
    <w:rsid w:val="41691042"/>
    <w:rsid w:val="4200449D"/>
    <w:rsid w:val="423A3BCC"/>
    <w:rsid w:val="424E57D2"/>
    <w:rsid w:val="427922FE"/>
    <w:rsid w:val="42B26C49"/>
    <w:rsid w:val="433A6FE6"/>
    <w:rsid w:val="43480868"/>
    <w:rsid w:val="4350713C"/>
    <w:rsid w:val="436653E0"/>
    <w:rsid w:val="43C4431A"/>
    <w:rsid w:val="43FD452D"/>
    <w:rsid w:val="440334CC"/>
    <w:rsid w:val="442E2373"/>
    <w:rsid w:val="44B951CC"/>
    <w:rsid w:val="44CD14E0"/>
    <w:rsid w:val="44F20B0B"/>
    <w:rsid w:val="452E5F4C"/>
    <w:rsid w:val="45324658"/>
    <w:rsid w:val="45612018"/>
    <w:rsid w:val="458946E9"/>
    <w:rsid w:val="45A47C0E"/>
    <w:rsid w:val="462F0492"/>
    <w:rsid w:val="46577FD6"/>
    <w:rsid w:val="46BF5A68"/>
    <w:rsid w:val="46D955A7"/>
    <w:rsid w:val="47133957"/>
    <w:rsid w:val="47770BF2"/>
    <w:rsid w:val="47A07E0C"/>
    <w:rsid w:val="4870272E"/>
    <w:rsid w:val="48B74DF5"/>
    <w:rsid w:val="49753D38"/>
    <w:rsid w:val="49DC7715"/>
    <w:rsid w:val="4A023139"/>
    <w:rsid w:val="4A7B576F"/>
    <w:rsid w:val="4AEA6060"/>
    <w:rsid w:val="4AF561A9"/>
    <w:rsid w:val="4B582E12"/>
    <w:rsid w:val="4BBB2E53"/>
    <w:rsid w:val="4C4A0649"/>
    <w:rsid w:val="4C4D48E0"/>
    <w:rsid w:val="4C7E5ECA"/>
    <w:rsid w:val="4C876AA5"/>
    <w:rsid w:val="4CAB49E1"/>
    <w:rsid w:val="4D0E00FB"/>
    <w:rsid w:val="4D176606"/>
    <w:rsid w:val="4D243AAB"/>
    <w:rsid w:val="4D6B6F91"/>
    <w:rsid w:val="4DEC4FB0"/>
    <w:rsid w:val="4E075D8A"/>
    <w:rsid w:val="4E625B5A"/>
    <w:rsid w:val="4EC00FAD"/>
    <w:rsid w:val="4F401D0C"/>
    <w:rsid w:val="4F9843DC"/>
    <w:rsid w:val="4FB51DFA"/>
    <w:rsid w:val="4FC62A8C"/>
    <w:rsid w:val="4FE20F0D"/>
    <w:rsid w:val="4FE51552"/>
    <w:rsid w:val="504F164D"/>
    <w:rsid w:val="50504C4B"/>
    <w:rsid w:val="50812D02"/>
    <w:rsid w:val="509C6E7C"/>
    <w:rsid w:val="5162104E"/>
    <w:rsid w:val="523E560F"/>
    <w:rsid w:val="53056405"/>
    <w:rsid w:val="53586B0C"/>
    <w:rsid w:val="53A039CC"/>
    <w:rsid w:val="53A1505A"/>
    <w:rsid w:val="54063E08"/>
    <w:rsid w:val="543437E8"/>
    <w:rsid w:val="54E57FC4"/>
    <w:rsid w:val="54F73313"/>
    <w:rsid w:val="54F80955"/>
    <w:rsid w:val="555170A7"/>
    <w:rsid w:val="555A44E9"/>
    <w:rsid w:val="5587536D"/>
    <w:rsid w:val="559B174B"/>
    <w:rsid w:val="55CE0CF4"/>
    <w:rsid w:val="56914112"/>
    <w:rsid w:val="56B22A9C"/>
    <w:rsid w:val="5722271A"/>
    <w:rsid w:val="57B72A76"/>
    <w:rsid w:val="57C3426C"/>
    <w:rsid w:val="57CE1F93"/>
    <w:rsid w:val="580361F2"/>
    <w:rsid w:val="585D5EFF"/>
    <w:rsid w:val="588743D1"/>
    <w:rsid w:val="5887701A"/>
    <w:rsid w:val="596F6481"/>
    <w:rsid w:val="5971703E"/>
    <w:rsid w:val="59C0439F"/>
    <w:rsid w:val="5ABE2233"/>
    <w:rsid w:val="5AEA6EE7"/>
    <w:rsid w:val="5B702342"/>
    <w:rsid w:val="5B742FB7"/>
    <w:rsid w:val="5BD9769A"/>
    <w:rsid w:val="5BDF5D95"/>
    <w:rsid w:val="5BFE7528"/>
    <w:rsid w:val="5C08138E"/>
    <w:rsid w:val="5D3D3CAB"/>
    <w:rsid w:val="5DB16D82"/>
    <w:rsid w:val="5E2467F1"/>
    <w:rsid w:val="5E43209B"/>
    <w:rsid w:val="5F1A2B43"/>
    <w:rsid w:val="5FB837BB"/>
    <w:rsid w:val="60014F00"/>
    <w:rsid w:val="60CC405A"/>
    <w:rsid w:val="615F43BA"/>
    <w:rsid w:val="61E215D8"/>
    <w:rsid w:val="621B3775"/>
    <w:rsid w:val="62364782"/>
    <w:rsid w:val="62987DFB"/>
    <w:rsid w:val="6394356A"/>
    <w:rsid w:val="63C61B2C"/>
    <w:rsid w:val="63D40BE9"/>
    <w:rsid w:val="64102431"/>
    <w:rsid w:val="64445734"/>
    <w:rsid w:val="64A5243A"/>
    <w:rsid w:val="64F531DE"/>
    <w:rsid w:val="65373578"/>
    <w:rsid w:val="671F124A"/>
    <w:rsid w:val="67280488"/>
    <w:rsid w:val="677A33C6"/>
    <w:rsid w:val="681F6961"/>
    <w:rsid w:val="68610A2F"/>
    <w:rsid w:val="6873723D"/>
    <w:rsid w:val="68805514"/>
    <w:rsid w:val="69316E2F"/>
    <w:rsid w:val="694E2071"/>
    <w:rsid w:val="69766163"/>
    <w:rsid w:val="69790883"/>
    <w:rsid w:val="697A3B33"/>
    <w:rsid w:val="699D6504"/>
    <w:rsid w:val="69C714A6"/>
    <w:rsid w:val="69D44760"/>
    <w:rsid w:val="6A520EC7"/>
    <w:rsid w:val="6AF87E20"/>
    <w:rsid w:val="6B322639"/>
    <w:rsid w:val="6C014F53"/>
    <w:rsid w:val="6C4C4FC6"/>
    <w:rsid w:val="6C636C38"/>
    <w:rsid w:val="6CE30E35"/>
    <w:rsid w:val="6DB34098"/>
    <w:rsid w:val="6DB545B6"/>
    <w:rsid w:val="6DB92C8F"/>
    <w:rsid w:val="6DE02FB4"/>
    <w:rsid w:val="6E0D15DD"/>
    <w:rsid w:val="6E514CED"/>
    <w:rsid w:val="6EB563D5"/>
    <w:rsid w:val="6ED92677"/>
    <w:rsid w:val="6F225983"/>
    <w:rsid w:val="6F987BB7"/>
    <w:rsid w:val="6FE23FEA"/>
    <w:rsid w:val="6FFC5590"/>
    <w:rsid w:val="706D1DD0"/>
    <w:rsid w:val="70856B87"/>
    <w:rsid w:val="70D527EE"/>
    <w:rsid w:val="715B5300"/>
    <w:rsid w:val="71AA1F21"/>
    <w:rsid w:val="71CE6936"/>
    <w:rsid w:val="71D27F8A"/>
    <w:rsid w:val="71E673EC"/>
    <w:rsid w:val="72553024"/>
    <w:rsid w:val="73122968"/>
    <w:rsid w:val="731F5D5E"/>
    <w:rsid w:val="73941736"/>
    <w:rsid w:val="73C51AD5"/>
    <w:rsid w:val="741E793C"/>
    <w:rsid w:val="745E3944"/>
    <w:rsid w:val="74B77F9A"/>
    <w:rsid w:val="75287D22"/>
    <w:rsid w:val="7635099D"/>
    <w:rsid w:val="76692551"/>
    <w:rsid w:val="770B16B4"/>
    <w:rsid w:val="77762421"/>
    <w:rsid w:val="77B56B1F"/>
    <w:rsid w:val="780F09F4"/>
    <w:rsid w:val="78A90480"/>
    <w:rsid w:val="794078D5"/>
    <w:rsid w:val="795D59E2"/>
    <w:rsid w:val="799D398C"/>
    <w:rsid w:val="79DA6FF7"/>
    <w:rsid w:val="7A0B306D"/>
    <w:rsid w:val="7A364017"/>
    <w:rsid w:val="7A456C8B"/>
    <w:rsid w:val="7A8265E1"/>
    <w:rsid w:val="7ADC47BA"/>
    <w:rsid w:val="7B686D42"/>
    <w:rsid w:val="7B841746"/>
    <w:rsid w:val="7C340692"/>
    <w:rsid w:val="7C543A48"/>
    <w:rsid w:val="7C6C5AC7"/>
    <w:rsid w:val="7C803566"/>
    <w:rsid w:val="7CC6544B"/>
    <w:rsid w:val="7D0239FF"/>
    <w:rsid w:val="7D5E40CD"/>
    <w:rsid w:val="7D6A32F1"/>
    <w:rsid w:val="7DCD56F2"/>
    <w:rsid w:val="7E5754B0"/>
    <w:rsid w:val="7E9B42F4"/>
    <w:rsid w:val="7EA822E9"/>
    <w:rsid w:val="7EBA6AF1"/>
    <w:rsid w:val="7ED52C41"/>
    <w:rsid w:val="7F001CE7"/>
    <w:rsid w:val="7F183EFE"/>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iPriority="35" w:semiHidden="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qFormat="1"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0" w:semiHidden="0" w:name="Body Text First Indent 2" w:locked="1"/>
    <w:lsdException w:unhideWhenUsed="0" w:uiPriority="0" w:semiHidden="0" w:name="Note Heading" w:locked="1"/>
    <w:lsdException w:qFormat="1"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qFormat="1" w:unhideWhenUsed="0" w:uiPriority="0" w:semiHidden="0" w:name="HTML Acronym" w:locked="1"/>
    <w:lsdException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unhideWhenUsed="0" w:uiPriority="0" w:semiHidden="0" w:name="HTML Preformatted" w:locked="1"/>
    <w:lsdException w:qFormat="1" w:unhideWhenUsed="0" w:uiPriority="0" w:semiHidden="0" w:name="HTML Sample" w:locked="1"/>
    <w:lsdException w:unhideWhenUsed="0" w:uiPriority="0" w:semiHidden="0" w:name="HTML Typewriter" w:locked="1"/>
    <w:lsdException w:qFormat="1" w:unhideWhenUsed="0" w:uiPriority="0" w:semiHidden="0" w:name="HTML Variable" w:locked="1"/>
    <w:lsdException w:qFormat="1" w:unhideWhenUsed="0" w:uiPriority="0"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61"/>
    <w:autoRedefine/>
    <w:qFormat/>
    <w:locked/>
    <w:uiPriority w:val="0"/>
    <w:pPr>
      <w:keepNext/>
      <w:keepLines/>
      <w:outlineLvl w:val="1"/>
    </w:pPr>
    <w:rPr>
      <w:rFonts w:ascii="Arial" w:hAnsi="Arial" w:eastAsia="黑体"/>
      <w:b/>
      <w:bCs/>
      <w:sz w:val="28"/>
      <w:szCs w:val="32"/>
    </w:rPr>
  </w:style>
  <w:style w:type="paragraph" w:styleId="4">
    <w:name w:val="heading 3"/>
    <w:basedOn w:val="1"/>
    <w:next w:val="1"/>
    <w:link w:val="62"/>
    <w:autoRedefine/>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63"/>
    <w:autoRedefine/>
    <w:qFormat/>
    <w:locked/>
    <w:uiPriority w:val="0"/>
    <w:pPr>
      <w:keepNext/>
      <w:keepLines/>
      <w:spacing w:before="280" w:after="290" w:line="372" w:lineRule="auto"/>
      <w:outlineLvl w:val="3"/>
    </w:pPr>
    <w:rPr>
      <w:rFonts w:ascii="Arial" w:hAnsi="Arial" w:eastAsia="黑体"/>
      <w:b/>
      <w:bCs/>
      <w:sz w:val="28"/>
      <w:szCs w:val="28"/>
    </w:rPr>
  </w:style>
  <w:style w:type="character" w:default="1" w:styleId="46">
    <w:name w:val="Default Paragraph Font"/>
    <w:autoRedefine/>
    <w:semiHidden/>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6">
    <w:name w:val="toc 7"/>
    <w:basedOn w:val="1"/>
    <w:next w:val="1"/>
    <w:autoRedefine/>
    <w:unhideWhenUsed/>
    <w:qFormat/>
    <w:locked/>
    <w:uiPriority w:val="39"/>
    <w:pPr>
      <w:ind w:left="2520" w:leftChars="1200"/>
    </w:pPr>
    <w:rPr>
      <w:rFonts w:ascii="Calibri" w:hAnsi="Calibri"/>
      <w:szCs w:val="22"/>
    </w:rPr>
  </w:style>
  <w:style w:type="paragraph" w:styleId="7">
    <w:name w:val="Normal Indent"/>
    <w:basedOn w:val="1"/>
    <w:link w:val="64"/>
    <w:autoRedefine/>
    <w:qFormat/>
    <w:locked/>
    <w:uiPriority w:val="0"/>
    <w:pPr>
      <w:ind w:firstLine="200" w:firstLineChars="200"/>
    </w:pPr>
    <w:rPr>
      <w:sz w:val="28"/>
      <w:szCs w:val="20"/>
    </w:rPr>
  </w:style>
  <w:style w:type="paragraph" w:styleId="8">
    <w:name w:val="caption"/>
    <w:basedOn w:val="1"/>
    <w:next w:val="9"/>
    <w:autoRedefine/>
    <w:unhideWhenUsed/>
    <w:qFormat/>
    <w:locked/>
    <w:uiPriority w:val="35"/>
    <w:pPr>
      <w:keepNext/>
      <w:adjustRightInd w:val="0"/>
      <w:snapToGrid w:val="0"/>
      <w:jc w:val="center"/>
    </w:pPr>
    <w:rPr>
      <w:b/>
      <w:color w:val="000000"/>
      <w:sz w:val="24"/>
      <w:szCs w:val="21"/>
    </w:rPr>
  </w:style>
  <w:style w:type="paragraph" w:customStyle="1" w:styleId="9">
    <w:name w:val="表格文字"/>
    <w:basedOn w:val="1"/>
    <w:next w:val="1"/>
    <w:link w:val="65"/>
    <w:autoRedefine/>
    <w:qFormat/>
    <w:uiPriority w:val="0"/>
    <w:pPr>
      <w:jc w:val="center"/>
    </w:pPr>
    <w:rPr>
      <w:position w:val="-10"/>
      <w:szCs w:val="21"/>
    </w:rPr>
  </w:style>
  <w:style w:type="paragraph" w:styleId="10">
    <w:name w:val="Document Map"/>
    <w:basedOn w:val="1"/>
    <w:link w:val="66"/>
    <w:autoRedefine/>
    <w:qFormat/>
    <w:locked/>
    <w:uiPriority w:val="0"/>
    <w:rPr>
      <w:rFonts w:ascii="宋体"/>
      <w:sz w:val="18"/>
      <w:szCs w:val="18"/>
    </w:rPr>
  </w:style>
  <w:style w:type="paragraph" w:styleId="11">
    <w:name w:val="annotation text"/>
    <w:basedOn w:val="1"/>
    <w:link w:val="67"/>
    <w:autoRedefine/>
    <w:qFormat/>
    <w:uiPriority w:val="0"/>
    <w:pPr>
      <w:jc w:val="left"/>
    </w:pPr>
    <w:rPr>
      <w:kern w:val="0"/>
      <w:sz w:val="24"/>
      <w:szCs w:val="20"/>
    </w:rPr>
  </w:style>
  <w:style w:type="paragraph" w:styleId="12">
    <w:name w:val="Salutation"/>
    <w:basedOn w:val="1"/>
    <w:next w:val="1"/>
    <w:link w:val="68"/>
    <w:autoRedefine/>
    <w:qFormat/>
    <w:locked/>
    <w:uiPriority w:val="0"/>
    <w:rPr>
      <w:b/>
      <w:bCs/>
    </w:rPr>
  </w:style>
  <w:style w:type="paragraph" w:styleId="13">
    <w:name w:val="Body Text"/>
    <w:basedOn w:val="1"/>
    <w:next w:val="1"/>
    <w:link w:val="69"/>
    <w:autoRedefine/>
    <w:qFormat/>
    <w:uiPriority w:val="0"/>
    <w:pPr>
      <w:widowControl/>
      <w:snapToGrid w:val="0"/>
      <w:spacing w:before="60" w:after="160" w:line="259" w:lineRule="auto"/>
      <w:ind w:right="113"/>
    </w:pPr>
    <w:rPr>
      <w:kern w:val="0"/>
      <w:sz w:val="18"/>
      <w:szCs w:val="20"/>
    </w:rPr>
  </w:style>
  <w:style w:type="paragraph" w:styleId="14">
    <w:name w:val="Body Text Indent"/>
    <w:basedOn w:val="1"/>
    <w:next w:val="15"/>
    <w:link w:val="70"/>
    <w:autoRedefine/>
    <w:qFormat/>
    <w:uiPriority w:val="0"/>
    <w:pPr>
      <w:spacing w:after="120"/>
      <w:ind w:left="420" w:leftChars="200"/>
    </w:pPr>
    <w:rPr>
      <w:kern w:val="0"/>
      <w:sz w:val="24"/>
      <w:szCs w:val="20"/>
    </w:rPr>
  </w:style>
  <w:style w:type="paragraph" w:customStyle="1" w:styleId="15">
    <w:name w:val="样式 正文文本缩进 + 行距: 1.5 倍行距"/>
    <w:basedOn w:val="14"/>
    <w:autoRedefine/>
    <w:qFormat/>
    <w:uiPriority w:val="0"/>
    <w:pPr>
      <w:spacing w:after="120"/>
      <w:ind w:left="90" w:leftChars="32" w:firstLine="560"/>
    </w:pPr>
    <w:rPr>
      <w:rFonts w:ascii="Times New Roman" w:hAnsi="Times New Roman"/>
      <w:lang w:val="en-US"/>
    </w:rPr>
  </w:style>
  <w:style w:type="paragraph" w:styleId="16">
    <w:name w:val="List Number 3"/>
    <w:basedOn w:val="1"/>
    <w:autoRedefine/>
    <w:qFormat/>
    <w:locked/>
    <w:uiPriority w:val="0"/>
    <w:pPr>
      <w:widowControl/>
      <w:tabs>
        <w:tab w:val="left" w:pos="1200"/>
      </w:tabs>
      <w:ind w:left="1200" w:leftChars="400" w:hanging="360" w:hangingChars="200"/>
      <w:jc w:val="left"/>
    </w:pPr>
    <w:rPr>
      <w:rFonts w:ascii="宋体" w:hAnsi="宋体" w:cs="宋体"/>
      <w:color w:val="000000"/>
      <w:kern w:val="0"/>
    </w:rPr>
  </w:style>
  <w:style w:type="paragraph" w:styleId="17">
    <w:name w:val="toc 5"/>
    <w:basedOn w:val="1"/>
    <w:next w:val="1"/>
    <w:autoRedefine/>
    <w:unhideWhenUsed/>
    <w:qFormat/>
    <w:locked/>
    <w:uiPriority w:val="39"/>
    <w:pPr>
      <w:ind w:left="1680" w:leftChars="800"/>
    </w:pPr>
    <w:rPr>
      <w:rFonts w:ascii="Calibri" w:hAnsi="Calibri"/>
      <w:szCs w:val="22"/>
    </w:rPr>
  </w:style>
  <w:style w:type="paragraph" w:styleId="18">
    <w:name w:val="toc 3"/>
    <w:basedOn w:val="1"/>
    <w:next w:val="1"/>
    <w:autoRedefine/>
    <w:qFormat/>
    <w:locked/>
    <w:uiPriority w:val="39"/>
    <w:pPr>
      <w:ind w:left="840" w:leftChars="400"/>
    </w:pPr>
  </w:style>
  <w:style w:type="paragraph" w:styleId="19">
    <w:name w:val="Plain Text"/>
    <w:basedOn w:val="1"/>
    <w:next w:val="1"/>
    <w:link w:val="73"/>
    <w:autoRedefine/>
    <w:qFormat/>
    <w:locked/>
    <w:uiPriority w:val="0"/>
    <w:rPr>
      <w:rFonts w:ascii="宋体" w:hAnsi="Courier New"/>
      <w:szCs w:val="20"/>
    </w:rPr>
  </w:style>
  <w:style w:type="paragraph" w:styleId="20">
    <w:name w:val="List Bullet 5"/>
    <w:basedOn w:val="1"/>
    <w:autoRedefine/>
    <w:qFormat/>
    <w:locked/>
    <w:uiPriority w:val="0"/>
    <w:pPr>
      <w:numPr>
        <w:ilvl w:val="0"/>
        <w:numId w:val="1"/>
      </w:numPr>
    </w:pPr>
  </w:style>
  <w:style w:type="paragraph" w:styleId="21">
    <w:name w:val="toc 8"/>
    <w:basedOn w:val="1"/>
    <w:next w:val="1"/>
    <w:autoRedefine/>
    <w:unhideWhenUsed/>
    <w:qFormat/>
    <w:locked/>
    <w:uiPriority w:val="39"/>
    <w:pPr>
      <w:ind w:left="2940" w:leftChars="1400"/>
    </w:pPr>
    <w:rPr>
      <w:rFonts w:ascii="Calibri" w:hAnsi="Calibri"/>
      <w:szCs w:val="22"/>
    </w:rPr>
  </w:style>
  <w:style w:type="paragraph" w:styleId="22">
    <w:name w:val="Date"/>
    <w:basedOn w:val="1"/>
    <w:next w:val="1"/>
    <w:link w:val="74"/>
    <w:autoRedefine/>
    <w:qFormat/>
    <w:uiPriority w:val="0"/>
    <w:pPr>
      <w:ind w:left="100" w:leftChars="2500"/>
    </w:pPr>
    <w:rPr>
      <w:kern w:val="0"/>
      <w:sz w:val="24"/>
      <w:szCs w:val="20"/>
    </w:rPr>
  </w:style>
  <w:style w:type="paragraph" w:styleId="23">
    <w:name w:val="Body Text Indent 2"/>
    <w:basedOn w:val="1"/>
    <w:next w:val="24"/>
    <w:link w:val="71"/>
    <w:autoRedefine/>
    <w:qFormat/>
    <w:locked/>
    <w:uiPriority w:val="0"/>
    <w:pPr>
      <w:spacing w:line="500" w:lineRule="exact"/>
      <w:ind w:firstLine="556"/>
    </w:pPr>
    <w:rPr>
      <w:bCs/>
      <w:sz w:val="28"/>
    </w:rPr>
  </w:style>
  <w:style w:type="paragraph" w:styleId="24">
    <w:name w:val="Body Text First Indent 2"/>
    <w:basedOn w:val="14"/>
    <w:next w:val="1"/>
    <w:link w:val="72"/>
    <w:autoRedefine/>
    <w:unhideWhenUsed/>
    <w:qFormat/>
    <w:locked/>
    <w:uiPriority w:val="0"/>
    <w:pPr>
      <w:spacing w:after="0" w:line="480" w:lineRule="exact"/>
      <w:ind w:left="0" w:leftChars="0" w:firstLine="420" w:firstLineChars="200"/>
    </w:pPr>
    <w:rPr>
      <w:b/>
      <w:sz w:val="28"/>
      <w:szCs w:val="20"/>
    </w:rPr>
  </w:style>
  <w:style w:type="paragraph" w:styleId="25">
    <w:name w:val="Balloon Text"/>
    <w:basedOn w:val="1"/>
    <w:link w:val="75"/>
    <w:autoRedefine/>
    <w:semiHidden/>
    <w:qFormat/>
    <w:uiPriority w:val="0"/>
    <w:rPr>
      <w:kern w:val="0"/>
      <w:sz w:val="18"/>
      <w:szCs w:val="20"/>
    </w:rPr>
  </w:style>
  <w:style w:type="paragraph" w:styleId="26">
    <w:name w:val="footer"/>
    <w:basedOn w:val="1"/>
    <w:link w:val="76"/>
    <w:autoRedefine/>
    <w:qFormat/>
    <w:uiPriority w:val="99"/>
    <w:pPr>
      <w:tabs>
        <w:tab w:val="center" w:pos="4153"/>
        <w:tab w:val="right" w:pos="8306"/>
      </w:tabs>
      <w:snapToGrid w:val="0"/>
      <w:jc w:val="left"/>
    </w:pPr>
    <w:rPr>
      <w:kern w:val="0"/>
      <w:sz w:val="18"/>
      <w:szCs w:val="20"/>
    </w:rPr>
  </w:style>
  <w:style w:type="paragraph" w:styleId="27">
    <w:name w:val="header"/>
    <w:basedOn w:val="1"/>
    <w:link w:val="77"/>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8">
    <w:name w:val="toc 1"/>
    <w:basedOn w:val="1"/>
    <w:next w:val="1"/>
    <w:autoRedefine/>
    <w:qFormat/>
    <w:locked/>
    <w:uiPriority w:val="39"/>
  </w:style>
  <w:style w:type="paragraph" w:styleId="29">
    <w:name w:val="toc 4"/>
    <w:basedOn w:val="1"/>
    <w:next w:val="1"/>
    <w:autoRedefine/>
    <w:unhideWhenUsed/>
    <w:qFormat/>
    <w:locked/>
    <w:uiPriority w:val="39"/>
    <w:pPr>
      <w:ind w:left="1260" w:leftChars="600"/>
    </w:pPr>
    <w:rPr>
      <w:rFonts w:ascii="Calibri" w:hAnsi="Calibri"/>
      <w:szCs w:val="22"/>
    </w:rPr>
  </w:style>
  <w:style w:type="paragraph" w:styleId="30">
    <w:name w:val="index heading"/>
    <w:basedOn w:val="1"/>
    <w:next w:val="31"/>
    <w:autoRedefine/>
    <w:qFormat/>
    <w:locked/>
    <w:uiPriority w:val="0"/>
    <w:rPr>
      <w:rFonts w:ascii="Cambria" w:hAnsi="Cambria" w:eastAsia="宋体" w:cs="Times New Roman"/>
      <w:b/>
      <w:bCs/>
    </w:rPr>
  </w:style>
  <w:style w:type="paragraph" w:styleId="31">
    <w:name w:val="index 1"/>
    <w:basedOn w:val="1"/>
    <w:next w:val="1"/>
    <w:autoRedefine/>
    <w:qFormat/>
    <w:locked/>
    <w:uiPriority w:val="0"/>
  </w:style>
  <w:style w:type="paragraph" w:styleId="32">
    <w:name w:val="Subtitle"/>
    <w:basedOn w:val="1"/>
    <w:link w:val="78"/>
    <w:autoRedefine/>
    <w:qFormat/>
    <w:locked/>
    <w:uiPriority w:val="0"/>
    <w:pPr>
      <w:widowControl/>
      <w:ind w:left="1080" w:hanging="1080"/>
    </w:pPr>
    <w:rPr>
      <w:rFonts w:ascii="宋体" w:hAnsi="Courier New" w:eastAsia="宋体" w:cs="Times New Roman"/>
      <w:kern w:val="2"/>
      <w:sz w:val="21"/>
      <w:szCs w:val="21"/>
    </w:rPr>
  </w:style>
  <w:style w:type="paragraph" w:styleId="33">
    <w:name w:val="List"/>
    <w:basedOn w:val="1"/>
    <w:autoRedefine/>
    <w:qFormat/>
    <w:locked/>
    <w:uiPriority w:val="0"/>
    <w:pPr>
      <w:spacing w:line="360" w:lineRule="exact"/>
      <w:jc w:val="center"/>
    </w:pPr>
    <w:rPr>
      <w:rFonts w:ascii="仿宋" w:hAnsi="Times New Roman" w:eastAsia="仿宋" w:cs="Times New Roman"/>
      <w:sz w:val="24"/>
      <w:szCs w:val="20"/>
    </w:rPr>
  </w:style>
  <w:style w:type="paragraph" w:styleId="34">
    <w:name w:val="toc 6"/>
    <w:basedOn w:val="1"/>
    <w:next w:val="1"/>
    <w:autoRedefine/>
    <w:unhideWhenUsed/>
    <w:qFormat/>
    <w:locked/>
    <w:uiPriority w:val="39"/>
    <w:pPr>
      <w:ind w:left="2100" w:leftChars="1000"/>
    </w:pPr>
    <w:rPr>
      <w:rFonts w:ascii="Calibri" w:hAnsi="Calibri"/>
      <w:szCs w:val="22"/>
    </w:rPr>
  </w:style>
  <w:style w:type="paragraph" w:styleId="35">
    <w:name w:val="Body Text Indent 3"/>
    <w:basedOn w:val="1"/>
    <w:link w:val="79"/>
    <w:autoRedefine/>
    <w:qFormat/>
    <w:locked/>
    <w:uiPriority w:val="0"/>
    <w:pPr>
      <w:spacing w:line="360" w:lineRule="auto"/>
      <w:ind w:firstLine="555"/>
    </w:pPr>
    <w:rPr>
      <w:bCs/>
      <w:sz w:val="28"/>
    </w:rPr>
  </w:style>
  <w:style w:type="paragraph" w:styleId="36">
    <w:name w:val="table of figures"/>
    <w:basedOn w:val="1"/>
    <w:next w:val="1"/>
    <w:autoRedefine/>
    <w:unhideWhenUsed/>
    <w:qFormat/>
    <w:locked/>
    <w:uiPriority w:val="99"/>
    <w:pPr>
      <w:ind w:left="200" w:leftChars="200" w:hanging="200" w:hangingChars="200"/>
    </w:pPr>
    <w:rPr>
      <w:szCs w:val="20"/>
    </w:rPr>
  </w:style>
  <w:style w:type="paragraph" w:styleId="37">
    <w:name w:val="toc 2"/>
    <w:basedOn w:val="1"/>
    <w:next w:val="1"/>
    <w:autoRedefine/>
    <w:qFormat/>
    <w:locked/>
    <w:uiPriority w:val="39"/>
    <w:pPr>
      <w:ind w:left="420" w:leftChars="200"/>
    </w:pPr>
  </w:style>
  <w:style w:type="paragraph" w:styleId="38">
    <w:name w:val="toc 9"/>
    <w:basedOn w:val="1"/>
    <w:next w:val="1"/>
    <w:autoRedefine/>
    <w:unhideWhenUsed/>
    <w:qFormat/>
    <w:locked/>
    <w:uiPriority w:val="39"/>
    <w:pPr>
      <w:ind w:left="3360" w:leftChars="1600"/>
    </w:pPr>
    <w:rPr>
      <w:rFonts w:ascii="Calibri" w:hAnsi="Calibri"/>
      <w:szCs w:val="22"/>
    </w:rPr>
  </w:style>
  <w:style w:type="paragraph" w:styleId="39">
    <w:name w:val="Body Text 2"/>
    <w:basedOn w:val="1"/>
    <w:link w:val="80"/>
    <w:autoRedefine/>
    <w:unhideWhenUsed/>
    <w:qFormat/>
    <w:locked/>
    <w:uiPriority w:val="0"/>
    <w:rPr>
      <w:b/>
      <w:sz w:val="24"/>
      <w:szCs w:val="22"/>
    </w:rPr>
  </w:style>
  <w:style w:type="paragraph" w:styleId="40">
    <w:name w:val="Normal (Web)"/>
    <w:basedOn w:val="1"/>
    <w:link w:val="81"/>
    <w:autoRedefine/>
    <w:qFormat/>
    <w:uiPriority w:val="0"/>
    <w:pPr>
      <w:widowControl/>
      <w:spacing w:before="100" w:beforeAutospacing="1" w:after="100" w:afterAutospacing="1"/>
      <w:jc w:val="left"/>
    </w:pPr>
    <w:rPr>
      <w:rFonts w:ascii="宋体" w:hAnsi="宋体"/>
      <w:kern w:val="0"/>
      <w:sz w:val="24"/>
      <w:szCs w:val="20"/>
    </w:rPr>
  </w:style>
  <w:style w:type="paragraph" w:styleId="41">
    <w:name w:val="Title"/>
    <w:basedOn w:val="1"/>
    <w:next w:val="1"/>
    <w:link w:val="82"/>
    <w:autoRedefine/>
    <w:qFormat/>
    <w:locked/>
    <w:uiPriority w:val="0"/>
    <w:pPr>
      <w:numPr>
        <w:ilvl w:val="4"/>
        <w:numId w:val="2"/>
      </w:numPr>
      <w:jc w:val="center"/>
      <w:outlineLvl w:val="4"/>
    </w:pPr>
    <w:rPr>
      <w:rFonts w:ascii="Cambria" w:hAnsi="Cambria" w:eastAsia="Times New Roman" w:cs="Times New Roman"/>
      <w:b/>
      <w:bCs/>
      <w:snapToGrid w:val="0"/>
      <w:sz w:val="24"/>
      <w:szCs w:val="32"/>
    </w:rPr>
  </w:style>
  <w:style w:type="paragraph" w:styleId="42">
    <w:name w:val="annotation subject"/>
    <w:basedOn w:val="11"/>
    <w:next w:val="11"/>
    <w:link w:val="83"/>
    <w:autoRedefine/>
    <w:qFormat/>
    <w:uiPriority w:val="0"/>
    <w:rPr>
      <w:b/>
      <w:kern w:val="2"/>
    </w:rPr>
  </w:style>
  <w:style w:type="paragraph" w:styleId="43">
    <w:name w:val="Body Text First Indent"/>
    <w:basedOn w:val="13"/>
    <w:link w:val="84"/>
    <w:autoRedefine/>
    <w:qFormat/>
    <w:locked/>
    <w:uiPriority w:val="0"/>
    <w:pPr>
      <w:widowControl w:val="0"/>
      <w:snapToGrid/>
      <w:spacing w:before="0" w:after="120" w:line="240" w:lineRule="auto"/>
      <w:ind w:right="0" w:firstLine="420" w:firstLineChars="100"/>
    </w:pPr>
    <w:rPr>
      <w:kern w:val="2"/>
      <w:sz w:val="21"/>
    </w:rPr>
  </w:style>
  <w:style w:type="table" w:styleId="45">
    <w:name w:val="Table Grid"/>
    <w:basedOn w:val="44"/>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locked/>
    <w:uiPriority w:val="0"/>
    <w:rPr>
      <w:b/>
      <w:bCs/>
    </w:rPr>
  </w:style>
  <w:style w:type="character" w:styleId="48">
    <w:name w:val="page number"/>
    <w:autoRedefine/>
    <w:qFormat/>
    <w:locked/>
    <w:uiPriority w:val="0"/>
  </w:style>
  <w:style w:type="character" w:styleId="49">
    <w:name w:val="FollowedHyperlink"/>
    <w:autoRedefine/>
    <w:qFormat/>
    <w:locked/>
    <w:uiPriority w:val="0"/>
    <w:rPr>
      <w:color w:val="333333"/>
      <w:u w:val="none"/>
    </w:rPr>
  </w:style>
  <w:style w:type="character" w:styleId="50">
    <w:name w:val="Emphasis"/>
    <w:autoRedefine/>
    <w:qFormat/>
    <w:locked/>
    <w:uiPriority w:val="0"/>
  </w:style>
  <w:style w:type="character" w:styleId="51">
    <w:name w:val="HTML Definition"/>
    <w:autoRedefine/>
    <w:qFormat/>
    <w:locked/>
    <w:uiPriority w:val="0"/>
    <w:rPr>
      <w:i/>
      <w:iCs/>
    </w:rPr>
  </w:style>
  <w:style w:type="character" w:styleId="52">
    <w:name w:val="HTML Acronym"/>
    <w:autoRedefine/>
    <w:qFormat/>
    <w:locked/>
    <w:uiPriority w:val="0"/>
  </w:style>
  <w:style w:type="character" w:styleId="53">
    <w:name w:val="HTML Variable"/>
    <w:autoRedefine/>
    <w:qFormat/>
    <w:locked/>
    <w:uiPriority w:val="0"/>
  </w:style>
  <w:style w:type="character" w:styleId="54">
    <w:name w:val="Hyperlink"/>
    <w:autoRedefine/>
    <w:qFormat/>
    <w:locked/>
    <w:uiPriority w:val="0"/>
    <w:rPr>
      <w:color w:val="0000FF"/>
      <w:u w:val="single"/>
    </w:rPr>
  </w:style>
  <w:style w:type="character" w:styleId="55">
    <w:name w:val="HTML Code"/>
    <w:autoRedefine/>
    <w:qFormat/>
    <w:locked/>
    <w:uiPriority w:val="0"/>
    <w:rPr>
      <w:rFonts w:hint="default" w:ascii="Consolas" w:hAnsi="Consolas" w:eastAsia="Consolas" w:cs="Consolas"/>
      <w:sz w:val="21"/>
      <w:szCs w:val="21"/>
    </w:rPr>
  </w:style>
  <w:style w:type="character" w:styleId="56">
    <w:name w:val="annotation reference"/>
    <w:autoRedefine/>
    <w:qFormat/>
    <w:uiPriority w:val="0"/>
    <w:rPr>
      <w:sz w:val="21"/>
    </w:rPr>
  </w:style>
  <w:style w:type="character" w:styleId="57">
    <w:name w:val="HTML Cite"/>
    <w:autoRedefine/>
    <w:qFormat/>
    <w:locked/>
    <w:uiPriority w:val="0"/>
  </w:style>
  <w:style w:type="character" w:styleId="58">
    <w:name w:val="HTML Keyboard"/>
    <w:autoRedefine/>
    <w:qFormat/>
    <w:locked/>
    <w:uiPriority w:val="0"/>
    <w:rPr>
      <w:rFonts w:ascii="Consolas" w:hAnsi="Consolas" w:eastAsia="Consolas" w:cs="Consolas"/>
      <w:sz w:val="21"/>
      <w:szCs w:val="21"/>
    </w:rPr>
  </w:style>
  <w:style w:type="character" w:styleId="59">
    <w:name w:val="HTML Sample"/>
    <w:autoRedefine/>
    <w:qFormat/>
    <w:locked/>
    <w:uiPriority w:val="0"/>
    <w:rPr>
      <w:rFonts w:hint="default" w:ascii="Consolas" w:hAnsi="Consolas" w:eastAsia="Consolas" w:cs="Consolas"/>
      <w:sz w:val="21"/>
      <w:szCs w:val="21"/>
    </w:rPr>
  </w:style>
  <w:style w:type="character" w:customStyle="1" w:styleId="60">
    <w:name w:val="标题 1 Char"/>
    <w:link w:val="2"/>
    <w:autoRedefine/>
    <w:qFormat/>
    <w:uiPriority w:val="99"/>
    <w:rPr>
      <w:rFonts w:eastAsia="黑体"/>
      <w:b/>
      <w:bCs/>
      <w:color w:val="000000"/>
      <w:kern w:val="44"/>
      <w:sz w:val="30"/>
      <w:szCs w:val="30"/>
    </w:rPr>
  </w:style>
  <w:style w:type="character" w:customStyle="1" w:styleId="61">
    <w:name w:val="标题 2 Char"/>
    <w:basedOn w:val="46"/>
    <w:link w:val="3"/>
    <w:autoRedefine/>
    <w:qFormat/>
    <w:uiPriority w:val="0"/>
    <w:rPr>
      <w:rFonts w:ascii="Arial" w:hAnsi="Arial" w:eastAsia="黑体"/>
      <w:b/>
      <w:bCs/>
      <w:kern w:val="2"/>
      <w:sz w:val="28"/>
      <w:szCs w:val="32"/>
    </w:rPr>
  </w:style>
  <w:style w:type="character" w:customStyle="1" w:styleId="62">
    <w:name w:val="标题 3 Char"/>
    <w:basedOn w:val="46"/>
    <w:link w:val="4"/>
    <w:autoRedefine/>
    <w:qFormat/>
    <w:uiPriority w:val="0"/>
    <w:rPr>
      <w:b/>
      <w:bCs/>
      <w:kern w:val="2"/>
      <w:sz w:val="32"/>
      <w:szCs w:val="32"/>
    </w:rPr>
  </w:style>
  <w:style w:type="character" w:customStyle="1" w:styleId="63">
    <w:name w:val="标题 4 Char"/>
    <w:link w:val="5"/>
    <w:autoRedefine/>
    <w:qFormat/>
    <w:uiPriority w:val="0"/>
    <w:rPr>
      <w:rFonts w:ascii="Arial" w:hAnsi="Arial" w:eastAsia="黑体"/>
      <w:b/>
      <w:bCs/>
      <w:kern w:val="2"/>
      <w:sz w:val="28"/>
      <w:szCs w:val="28"/>
    </w:rPr>
  </w:style>
  <w:style w:type="character" w:customStyle="1" w:styleId="64">
    <w:name w:val="正文缩进 Char"/>
    <w:link w:val="7"/>
    <w:autoRedefine/>
    <w:qFormat/>
    <w:uiPriority w:val="0"/>
    <w:rPr>
      <w:kern w:val="2"/>
      <w:sz w:val="28"/>
    </w:rPr>
  </w:style>
  <w:style w:type="character" w:customStyle="1" w:styleId="65">
    <w:name w:val="表格文字 字符"/>
    <w:basedOn w:val="46"/>
    <w:link w:val="9"/>
    <w:autoRedefine/>
    <w:qFormat/>
    <w:uiPriority w:val="0"/>
    <w:rPr>
      <w:kern w:val="2"/>
      <w:position w:val="-10"/>
      <w:sz w:val="21"/>
      <w:szCs w:val="21"/>
    </w:rPr>
  </w:style>
  <w:style w:type="character" w:customStyle="1" w:styleId="66">
    <w:name w:val="文档结构图 Char"/>
    <w:basedOn w:val="46"/>
    <w:link w:val="10"/>
    <w:qFormat/>
    <w:uiPriority w:val="0"/>
    <w:rPr>
      <w:rFonts w:ascii="宋体"/>
      <w:kern w:val="2"/>
      <w:sz w:val="18"/>
      <w:szCs w:val="18"/>
    </w:rPr>
  </w:style>
  <w:style w:type="character" w:customStyle="1" w:styleId="67">
    <w:name w:val="批注文字 Char"/>
    <w:link w:val="11"/>
    <w:autoRedefine/>
    <w:qFormat/>
    <w:locked/>
    <w:uiPriority w:val="0"/>
    <w:rPr>
      <w:rFonts w:ascii="Times New Roman" w:hAnsi="Times New Roman" w:eastAsia="宋体"/>
      <w:sz w:val="24"/>
    </w:rPr>
  </w:style>
  <w:style w:type="character" w:customStyle="1" w:styleId="68">
    <w:name w:val="称呼 Char"/>
    <w:basedOn w:val="46"/>
    <w:link w:val="12"/>
    <w:autoRedefine/>
    <w:qFormat/>
    <w:uiPriority w:val="0"/>
    <w:rPr>
      <w:b/>
      <w:bCs/>
      <w:kern w:val="2"/>
      <w:sz w:val="21"/>
      <w:szCs w:val="24"/>
    </w:rPr>
  </w:style>
  <w:style w:type="character" w:customStyle="1" w:styleId="69">
    <w:name w:val="正文文本 Char"/>
    <w:link w:val="13"/>
    <w:autoRedefine/>
    <w:qFormat/>
    <w:locked/>
    <w:uiPriority w:val="0"/>
    <w:rPr>
      <w:sz w:val="18"/>
    </w:rPr>
  </w:style>
  <w:style w:type="character" w:customStyle="1" w:styleId="70">
    <w:name w:val="正文文本缩进 Char"/>
    <w:link w:val="14"/>
    <w:autoRedefine/>
    <w:semiHidden/>
    <w:qFormat/>
    <w:locked/>
    <w:uiPriority w:val="0"/>
    <w:rPr>
      <w:rFonts w:ascii="Times New Roman" w:hAnsi="Times New Roman" w:eastAsia="宋体"/>
      <w:sz w:val="24"/>
    </w:rPr>
  </w:style>
  <w:style w:type="character" w:customStyle="1" w:styleId="71">
    <w:name w:val="正文文本缩进 2 Char"/>
    <w:basedOn w:val="46"/>
    <w:link w:val="23"/>
    <w:autoRedefine/>
    <w:qFormat/>
    <w:uiPriority w:val="0"/>
    <w:rPr>
      <w:bCs/>
      <w:kern w:val="2"/>
      <w:sz w:val="28"/>
      <w:szCs w:val="24"/>
    </w:rPr>
  </w:style>
  <w:style w:type="character" w:customStyle="1" w:styleId="72">
    <w:name w:val="正文首行缩进 2 Char"/>
    <w:basedOn w:val="70"/>
    <w:link w:val="24"/>
    <w:autoRedefine/>
    <w:qFormat/>
    <w:uiPriority w:val="0"/>
    <w:rPr>
      <w:b/>
      <w:sz w:val="28"/>
    </w:rPr>
  </w:style>
  <w:style w:type="character" w:customStyle="1" w:styleId="73">
    <w:name w:val="纯文本 Char"/>
    <w:link w:val="19"/>
    <w:autoRedefine/>
    <w:qFormat/>
    <w:uiPriority w:val="0"/>
    <w:rPr>
      <w:rFonts w:ascii="宋体" w:hAnsi="Courier New"/>
      <w:kern w:val="2"/>
      <w:sz w:val="21"/>
    </w:rPr>
  </w:style>
  <w:style w:type="character" w:customStyle="1" w:styleId="74">
    <w:name w:val="日期 Char"/>
    <w:link w:val="22"/>
    <w:autoRedefine/>
    <w:qFormat/>
    <w:locked/>
    <w:uiPriority w:val="0"/>
    <w:rPr>
      <w:rFonts w:ascii="Times New Roman" w:hAnsi="Times New Roman" w:eastAsia="宋体"/>
      <w:sz w:val="24"/>
    </w:rPr>
  </w:style>
  <w:style w:type="character" w:customStyle="1" w:styleId="75">
    <w:name w:val="批注框文本 Char"/>
    <w:link w:val="25"/>
    <w:autoRedefine/>
    <w:semiHidden/>
    <w:qFormat/>
    <w:locked/>
    <w:uiPriority w:val="0"/>
    <w:rPr>
      <w:rFonts w:ascii="Times New Roman" w:hAnsi="Times New Roman" w:eastAsia="宋体"/>
      <w:sz w:val="18"/>
    </w:rPr>
  </w:style>
  <w:style w:type="character" w:customStyle="1" w:styleId="76">
    <w:name w:val="页脚 Char"/>
    <w:link w:val="26"/>
    <w:autoRedefine/>
    <w:qFormat/>
    <w:locked/>
    <w:uiPriority w:val="99"/>
    <w:rPr>
      <w:sz w:val="18"/>
    </w:rPr>
  </w:style>
  <w:style w:type="character" w:customStyle="1" w:styleId="77">
    <w:name w:val="页眉 Char"/>
    <w:link w:val="27"/>
    <w:autoRedefine/>
    <w:qFormat/>
    <w:locked/>
    <w:uiPriority w:val="0"/>
    <w:rPr>
      <w:sz w:val="18"/>
    </w:rPr>
  </w:style>
  <w:style w:type="character" w:customStyle="1" w:styleId="78">
    <w:name w:val="副标题 Char"/>
    <w:basedOn w:val="46"/>
    <w:link w:val="32"/>
    <w:autoRedefine/>
    <w:qFormat/>
    <w:uiPriority w:val="0"/>
    <w:rPr>
      <w:rFonts w:ascii="宋体" w:hAnsi="Courier New"/>
      <w:kern w:val="2"/>
      <w:sz w:val="21"/>
      <w:szCs w:val="21"/>
    </w:rPr>
  </w:style>
  <w:style w:type="character" w:customStyle="1" w:styleId="79">
    <w:name w:val="正文文本缩进 3 Char"/>
    <w:basedOn w:val="46"/>
    <w:link w:val="35"/>
    <w:autoRedefine/>
    <w:qFormat/>
    <w:uiPriority w:val="0"/>
    <w:rPr>
      <w:bCs/>
      <w:kern w:val="2"/>
      <w:sz w:val="28"/>
      <w:szCs w:val="24"/>
    </w:rPr>
  </w:style>
  <w:style w:type="character" w:customStyle="1" w:styleId="80">
    <w:name w:val="正文文本 2 Char"/>
    <w:basedOn w:val="46"/>
    <w:link w:val="39"/>
    <w:autoRedefine/>
    <w:qFormat/>
    <w:uiPriority w:val="0"/>
    <w:rPr>
      <w:b/>
      <w:kern w:val="2"/>
      <w:sz w:val="24"/>
      <w:szCs w:val="22"/>
    </w:rPr>
  </w:style>
  <w:style w:type="character" w:customStyle="1" w:styleId="81">
    <w:name w:val="普通(网站) Char"/>
    <w:link w:val="40"/>
    <w:autoRedefine/>
    <w:qFormat/>
    <w:locked/>
    <w:uiPriority w:val="0"/>
    <w:rPr>
      <w:rFonts w:ascii="宋体" w:hAnsi="宋体" w:eastAsia="宋体"/>
      <w:sz w:val="24"/>
    </w:rPr>
  </w:style>
  <w:style w:type="character" w:customStyle="1" w:styleId="82">
    <w:name w:val="标题 Char"/>
    <w:basedOn w:val="46"/>
    <w:link w:val="41"/>
    <w:autoRedefine/>
    <w:qFormat/>
    <w:uiPriority w:val="0"/>
    <w:rPr>
      <w:rFonts w:ascii="Cambria" w:hAnsi="Cambria" w:eastAsia="Times New Roman"/>
      <w:b/>
      <w:bCs/>
      <w:snapToGrid w:val="0"/>
      <w:kern w:val="2"/>
      <w:sz w:val="24"/>
      <w:szCs w:val="32"/>
    </w:rPr>
  </w:style>
  <w:style w:type="character" w:customStyle="1" w:styleId="83">
    <w:name w:val="批注主题 Char"/>
    <w:link w:val="42"/>
    <w:autoRedefine/>
    <w:qFormat/>
    <w:locked/>
    <w:uiPriority w:val="0"/>
    <w:rPr>
      <w:rFonts w:ascii="Times New Roman" w:hAnsi="Times New Roman" w:eastAsia="宋体"/>
      <w:b/>
      <w:kern w:val="2"/>
      <w:sz w:val="24"/>
    </w:rPr>
  </w:style>
  <w:style w:type="character" w:customStyle="1" w:styleId="84">
    <w:name w:val="正文首行缩进 Char"/>
    <w:basedOn w:val="69"/>
    <w:link w:val="43"/>
    <w:autoRedefine/>
    <w:qFormat/>
    <w:uiPriority w:val="0"/>
    <w:rPr>
      <w:kern w:val="2"/>
      <w:sz w:val="21"/>
    </w:rPr>
  </w:style>
  <w:style w:type="paragraph" w:customStyle="1" w:styleId="85">
    <w:name w:val="Default"/>
    <w:basedOn w:val="86"/>
    <w:next w:val="87"/>
    <w:link w:val="89"/>
    <w:autoRedefine/>
    <w:qFormat/>
    <w:uiPriority w:val="0"/>
    <w:pPr>
      <w:autoSpaceDE w:val="0"/>
      <w:autoSpaceDN w:val="0"/>
      <w:adjustRightInd w:val="0"/>
    </w:pPr>
    <w:rPr>
      <w:rFonts w:ascii="宋体" w:hAnsi="Times New Roman" w:eastAsia="宋体"/>
      <w:color w:val="000000"/>
      <w:sz w:val="24"/>
      <w:szCs w:val="24"/>
    </w:rPr>
  </w:style>
  <w:style w:type="paragraph" w:customStyle="1" w:styleId="86">
    <w:name w:val="标题2"/>
    <w:basedOn w:val="3"/>
    <w:link w:val="88"/>
    <w:autoRedefine/>
    <w:qFormat/>
    <w:uiPriority w:val="0"/>
    <w:pPr>
      <w:numPr>
        <w:ilvl w:val="1"/>
        <w:numId w:val="3"/>
      </w:numPr>
      <w:spacing w:before="0" w:after="0" w:line="440" w:lineRule="exact"/>
    </w:pPr>
    <w:rPr>
      <w:kern w:val="0"/>
    </w:rPr>
  </w:style>
  <w:style w:type="paragraph" w:customStyle="1" w:styleId="87">
    <w:name w:val="样式35"/>
    <w:basedOn w:val="1"/>
    <w:autoRedefine/>
    <w:qFormat/>
    <w:uiPriority w:val="0"/>
    <w:pPr>
      <w:adjustRightInd w:val="0"/>
      <w:spacing w:line="312" w:lineRule="auto"/>
      <w:ind w:firstLine="567"/>
    </w:pPr>
    <w:rPr>
      <w:rFonts w:ascii="宋体"/>
      <w:kern w:val="0"/>
      <w:sz w:val="28"/>
    </w:rPr>
  </w:style>
  <w:style w:type="character" w:customStyle="1" w:styleId="88">
    <w:name w:val="标题2 Char Char"/>
    <w:link w:val="86"/>
    <w:autoRedefine/>
    <w:qFormat/>
    <w:uiPriority w:val="0"/>
    <w:rPr>
      <w:rFonts w:ascii="Arial" w:hAnsi="Arial" w:eastAsia="黑体"/>
      <w:b/>
      <w:bCs/>
      <w:sz w:val="28"/>
      <w:szCs w:val="32"/>
    </w:rPr>
  </w:style>
  <w:style w:type="character" w:customStyle="1" w:styleId="89">
    <w:name w:val="Default Char"/>
    <w:link w:val="85"/>
    <w:autoRedefine/>
    <w:qFormat/>
    <w:locked/>
    <w:uiPriority w:val="0"/>
    <w:rPr>
      <w:rFonts w:ascii="宋体" w:cs="宋体"/>
      <w:b/>
      <w:bCs/>
      <w:color w:val="000000"/>
      <w:sz w:val="24"/>
      <w:szCs w:val="24"/>
    </w:rPr>
  </w:style>
  <w:style w:type="character" w:customStyle="1" w:styleId="90">
    <w:name w:val="表格 Char"/>
    <w:link w:val="91"/>
    <w:autoRedefine/>
    <w:qFormat/>
    <w:locked/>
    <w:uiPriority w:val="0"/>
    <w:rPr>
      <w:rFonts w:ascii="宋体"/>
      <w:sz w:val="21"/>
    </w:rPr>
  </w:style>
  <w:style w:type="paragraph" w:customStyle="1" w:styleId="91">
    <w:name w:val="表格"/>
    <w:basedOn w:val="92"/>
    <w:next w:val="39"/>
    <w:link w:val="90"/>
    <w:autoRedefine/>
    <w:qFormat/>
    <w:uiPriority w:val="0"/>
    <w:pPr>
      <w:adjustRightInd w:val="0"/>
      <w:snapToGrid w:val="0"/>
      <w:spacing w:beforeLines="21" w:afterLines="21" w:line="259" w:lineRule="auto"/>
      <w:jc w:val="center"/>
    </w:pPr>
    <w:rPr>
      <w:rFonts w:ascii="宋体"/>
      <w:color w:val="auto"/>
      <w:kern w:val="0"/>
      <w:sz w:val="21"/>
      <w:szCs w:val="20"/>
    </w:rPr>
  </w:style>
  <w:style w:type="paragraph" w:customStyle="1" w:styleId="92">
    <w:name w:val="表格式"/>
    <w:basedOn w:val="33"/>
    <w:autoRedefine/>
    <w:qFormat/>
    <w:uiPriority w:val="0"/>
    <w:pPr>
      <w:spacing w:before="156" w:beforeLines="50" w:after="156" w:afterLines="50" w:line="240" w:lineRule="exact"/>
      <w:jc w:val="center"/>
    </w:pPr>
    <w:rPr>
      <w:rFonts w:ascii="Times New Roman" w:hAnsi="Times New Roman" w:eastAsia="宋体" w:cs="Times New Roman"/>
      <w:color w:val="000000"/>
      <w:szCs w:val="21"/>
    </w:rPr>
  </w:style>
  <w:style w:type="character" w:customStyle="1" w:styleId="93">
    <w:name w:val="正文文本 字符1"/>
    <w:autoRedefine/>
    <w:semiHidden/>
    <w:qFormat/>
    <w:uiPriority w:val="0"/>
    <w:rPr>
      <w:rFonts w:ascii="Times New Roman" w:hAnsi="Times New Roman" w:eastAsia="宋体"/>
      <w:sz w:val="24"/>
    </w:rPr>
  </w:style>
  <w:style w:type="character" w:customStyle="1" w:styleId="94">
    <w:name w:val="font151"/>
    <w:autoRedefine/>
    <w:qFormat/>
    <w:uiPriority w:val="0"/>
    <w:rPr>
      <w:rFonts w:hint="eastAsia" w:ascii="宋体" w:hAnsi="宋体" w:eastAsia="宋体" w:cs="宋体"/>
      <w:color w:val="000000"/>
      <w:sz w:val="21"/>
      <w:szCs w:val="21"/>
      <w:u w:val="none"/>
      <w:vertAlign w:val="subscript"/>
    </w:rPr>
  </w:style>
  <w:style w:type="character" w:customStyle="1" w:styleId="95">
    <w:name w:val="font131"/>
    <w:autoRedefine/>
    <w:qFormat/>
    <w:uiPriority w:val="0"/>
    <w:rPr>
      <w:rFonts w:hint="eastAsia" w:ascii="宋体" w:hAnsi="宋体" w:eastAsia="宋体" w:cs="宋体"/>
      <w:color w:val="000000"/>
      <w:sz w:val="21"/>
      <w:szCs w:val="21"/>
      <w:u w:val="none"/>
    </w:rPr>
  </w:style>
  <w:style w:type="character" w:customStyle="1" w:styleId="96">
    <w:name w:val="批注文字 字符1"/>
    <w:autoRedefine/>
    <w:semiHidden/>
    <w:qFormat/>
    <w:uiPriority w:val="0"/>
    <w:rPr>
      <w:rFonts w:ascii="Times New Roman" w:hAnsi="Times New Roman" w:eastAsia="宋体"/>
      <w:sz w:val="24"/>
    </w:rPr>
  </w:style>
  <w:style w:type="character" w:customStyle="1" w:styleId="97">
    <w:name w:val="日期 字符"/>
    <w:autoRedefine/>
    <w:qFormat/>
    <w:uiPriority w:val="0"/>
    <w:rPr>
      <w:rFonts w:ascii="Times New Roman" w:hAnsi="Times New Roman" w:eastAsia="宋体"/>
      <w:sz w:val="24"/>
    </w:rPr>
  </w:style>
  <w:style w:type="character" w:customStyle="1" w:styleId="98">
    <w:name w:val="页脚 字符"/>
    <w:autoRedefine/>
    <w:qFormat/>
    <w:uiPriority w:val="99"/>
  </w:style>
  <w:style w:type="paragraph" w:customStyle="1" w:styleId="99">
    <w:name w:val="表名"/>
    <w:basedOn w:val="1"/>
    <w:autoRedefine/>
    <w:qFormat/>
    <w:uiPriority w:val="0"/>
    <w:pPr>
      <w:spacing w:line="360" w:lineRule="auto"/>
      <w:jc w:val="center"/>
    </w:pPr>
    <w:rPr>
      <w:rFonts w:ascii="黑体" w:hAnsi="宋体" w:eastAsia="黑体"/>
      <w:sz w:val="18"/>
      <w:szCs w:val="20"/>
    </w:rPr>
  </w:style>
  <w:style w:type="paragraph" w:customStyle="1" w:styleId="100">
    <w:name w:val="环评-表格内容"/>
    <w:basedOn w:val="1"/>
    <w:next w:val="1"/>
    <w:autoRedefine/>
    <w:qFormat/>
    <w:uiPriority w:val="0"/>
    <w:pPr>
      <w:spacing w:line="240" w:lineRule="auto"/>
      <w:ind w:firstLine="0" w:firstLineChars="0"/>
      <w:jc w:val="center"/>
    </w:pPr>
    <w:rPr>
      <w:rFonts w:ascii="Times New Roman" w:hAnsi="Times New Roman" w:eastAsia="宋体" w:cs="Times New Roman"/>
      <w:sz w:val="21"/>
    </w:rPr>
  </w:style>
  <w:style w:type="paragraph" w:customStyle="1" w:styleId="101">
    <w:name w:val="p0"/>
    <w:basedOn w:val="1"/>
    <w:autoRedefine/>
    <w:qFormat/>
    <w:uiPriority w:val="0"/>
    <w:pPr>
      <w:widowControl/>
    </w:pPr>
    <w:rPr>
      <w:rFonts w:ascii="仿宋" w:hAnsi="仿宋" w:cs="宋体"/>
      <w:kern w:val="0"/>
      <w:szCs w:val="21"/>
    </w:rPr>
  </w:style>
  <w:style w:type="paragraph" w:customStyle="1" w:styleId="102">
    <w:name w:val="Body Text Indent1"/>
    <w:basedOn w:val="1"/>
    <w:autoRedefine/>
    <w:qFormat/>
    <w:uiPriority w:val="0"/>
    <w:pPr>
      <w:spacing w:line="640" w:lineRule="exact"/>
      <w:ind w:left="183" w:leftChars="87" w:firstLine="900" w:firstLineChars="300"/>
      <w:jc w:val="left"/>
    </w:pPr>
    <w:rPr>
      <w:rFonts w:cs="宋体"/>
      <w:sz w:val="30"/>
    </w:rPr>
  </w:style>
  <w:style w:type="paragraph" w:customStyle="1" w:styleId="103">
    <w:name w:val="_Style 2"/>
    <w:basedOn w:val="1"/>
    <w:autoRedefine/>
    <w:qFormat/>
    <w:uiPriority w:val="0"/>
    <w:pPr>
      <w:ind w:firstLine="420" w:firstLineChars="200"/>
    </w:pPr>
    <w:rPr>
      <w:szCs w:val="22"/>
    </w:rPr>
  </w:style>
  <w:style w:type="paragraph" w:customStyle="1" w:styleId="104">
    <w:name w:val="4正文格式"/>
    <w:basedOn w:val="1"/>
    <w:autoRedefine/>
    <w:qFormat/>
    <w:uiPriority w:val="0"/>
    <w:pPr>
      <w:spacing w:line="360" w:lineRule="auto"/>
      <w:ind w:firstLine="200" w:firstLineChars="200"/>
      <w:jc w:val="left"/>
    </w:pPr>
  </w:style>
  <w:style w:type="paragraph" w:customStyle="1" w:styleId="105">
    <w:name w:val="列出段落3"/>
    <w:basedOn w:val="1"/>
    <w:autoRedefine/>
    <w:unhideWhenUsed/>
    <w:qFormat/>
    <w:uiPriority w:val="99"/>
    <w:pPr>
      <w:ind w:firstLine="420" w:firstLineChars="200"/>
    </w:pPr>
    <w:rPr>
      <w:rFonts w:ascii="Times New Roman" w:hAnsi="Times New Roman"/>
      <w:b/>
      <w:snapToGrid/>
      <w:sz w:val="24"/>
      <w:szCs w:val="20"/>
    </w:rPr>
  </w:style>
  <w:style w:type="paragraph" w:customStyle="1" w:styleId="106">
    <w:name w:val="文本"/>
    <w:basedOn w:val="1"/>
    <w:autoRedefine/>
    <w:qFormat/>
    <w:uiPriority w:val="0"/>
    <w:pPr>
      <w:adjustRightInd w:val="0"/>
      <w:snapToGrid w:val="0"/>
      <w:spacing w:line="360" w:lineRule="auto"/>
      <w:ind w:firstLine="1446" w:firstLineChars="200"/>
    </w:pPr>
    <w:rPr>
      <w:rFonts w:ascii="Times New Roman" w:hAnsi="Times New Roman" w:eastAsia="宋体"/>
      <w:sz w:val="24"/>
    </w:rPr>
  </w:style>
  <w:style w:type="paragraph" w:customStyle="1" w:styleId="107">
    <w:name w:val="xl27"/>
    <w:basedOn w:val="1"/>
    <w:next w:val="1"/>
    <w:autoRedefine/>
    <w:qFormat/>
    <w:uiPriority w:val="0"/>
    <w:pPr>
      <w:widowControl/>
      <w:pBdr>
        <w:bottom w:val="single" w:color="auto" w:sz="12" w:space="0"/>
      </w:pBdr>
      <w:spacing w:before="100" w:after="100"/>
      <w:jc w:val="center"/>
    </w:pPr>
    <w:rPr>
      <w:rFonts w:ascii="宋体" w:hAnsi="宋体"/>
      <w:kern w:val="0"/>
      <w:sz w:val="28"/>
      <w:szCs w:val="20"/>
    </w:rPr>
  </w:style>
  <w:style w:type="paragraph" w:customStyle="1" w:styleId="108">
    <w:name w:val="表内表"/>
    <w:basedOn w:val="1"/>
    <w:autoRedefine/>
    <w:qFormat/>
    <w:uiPriority w:val="0"/>
    <w:pPr>
      <w:spacing w:line="240" w:lineRule="atLeast"/>
      <w:jc w:val="center"/>
    </w:pPr>
    <w:rPr>
      <w:bCs/>
      <w:szCs w:val="21"/>
    </w:rPr>
  </w:style>
  <w:style w:type="paragraph" w:customStyle="1" w:styleId="109">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110">
    <w:name w:val="表格标题"/>
    <w:basedOn w:val="13"/>
    <w:next w:val="111"/>
    <w:link w:val="112"/>
    <w:autoRedefine/>
    <w:qFormat/>
    <w:uiPriority w:val="0"/>
    <w:pPr>
      <w:ind w:firstLine="0" w:firstLineChars="0"/>
      <w:jc w:val="center"/>
    </w:pPr>
    <w:rPr>
      <w:b/>
      <w:sz w:val="21"/>
    </w:rPr>
  </w:style>
  <w:style w:type="paragraph" w:customStyle="1" w:styleId="111">
    <w:name w:val="表格内容"/>
    <w:basedOn w:val="110"/>
    <w:next w:val="1"/>
    <w:link w:val="113"/>
    <w:autoRedefine/>
    <w:qFormat/>
    <w:uiPriority w:val="0"/>
    <w:pPr>
      <w:overflowPunct w:val="0"/>
      <w:spacing w:before="40" w:after="60" w:line="200" w:lineRule="atLeast"/>
      <w:textAlignment w:val="baseline"/>
    </w:pPr>
    <w:rPr>
      <w:rFonts w:ascii="Arial" w:hAnsi="Arial" w:eastAsia="仿宋"/>
      <w:sz w:val="24"/>
    </w:rPr>
  </w:style>
  <w:style w:type="character" w:customStyle="1" w:styleId="112">
    <w:name w:val="表格标题 Char"/>
    <w:link w:val="110"/>
    <w:autoRedefine/>
    <w:qFormat/>
    <w:uiPriority w:val="0"/>
    <w:rPr>
      <w:b/>
      <w:sz w:val="21"/>
    </w:rPr>
  </w:style>
  <w:style w:type="character" w:customStyle="1" w:styleId="113">
    <w:name w:val="表格内容 Char Char"/>
    <w:link w:val="111"/>
    <w:autoRedefine/>
    <w:qFormat/>
    <w:locked/>
    <w:uiPriority w:val="0"/>
    <w:rPr>
      <w:rFonts w:ascii="Arial" w:hAnsi="Arial" w:eastAsia="仿宋"/>
      <w:b/>
      <w:sz w:val="24"/>
    </w:rPr>
  </w:style>
  <w:style w:type="paragraph" w:styleId="114">
    <w:name w:val="List Paragraph"/>
    <w:basedOn w:val="1"/>
    <w:link w:val="115"/>
    <w:autoRedefine/>
    <w:qFormat/>
    <w:uiPriority w:val="99"/>
    <w:pPr>
      <w:ind w:left="231" w:right="268" w:firstLine="600"/>
    </w:pPr>
    <w:rPr>
      <w:rFonts w:ascii="仿宋" w:hAnsi="仿宋" w:eastAsia="仿宋" w:cs="仿宋"/>
      <w:lang w:val="zh-CN" w:bidi="zh-CN"/>
    </w:rPr>
  </w:style>
  <w:style w:type="character" w:customStyle="1" w:styleId="115">
    <w:name w:val="列出段落 Char"/>
    <w:link w:val="114"/>
    <w:autoRedefine/>
    <w:qFormat/>
    <w:uiPriority w:val="99"/>
    <w:rPr>
      <w:rFonts w:ascii="仿宋" w:hAnsi="仿宋" w:eastAsia="仿宋" w:cs="仿宋"/>
      <w:kern w:val="2"/>
      <w:sz w:val="21"/>
      <w:szCs w:val="24"/>
      <w:lang w:val="zh-CN" w:bidi="zh-CN"/>
    </w:rPr>
  </w:style>
  <w:style w:type="paragraph" w:customStyle="1" w:styleId="116">
    <w:name w:val="正文 首行缩进:  2 字符"/>
    <w:basedOn w:val="1"/>
    <w:autoRedefine/>
    <w:qFormat/>
    <w:uiPriority w:val="99"/>
    <w:pPr>
      <w:ind w:firstLine="579" w:firstLineChars="200"/>
    </w:pPr>
    <w:rPr>
      <w:rFonts w:eastAsia="等线" w:cs="宋体"/>
      <w:szCs w:val="20"/>
    </w:rPr>
  </w:style>
  <w:style w:type="paragraph" w:customStyle="1" w:styleId="117">
    <w:name w:val="正文首行缩进1"/>
    <w:basedOn w:val="13"/>
    <w:autoRedefine/>
    <w:qFormat/>
    <w:uiPriority w:val="0"/>
    <w:pPr>
      <w:ind w:firstLine="420" w:firstLineChars="100"/>
    </w:pPr>
    <w:rPr>
      <w:rFonts w:ascii="Times New Roman" w:hAnsi="Times New Roman" w:eastAsia="宋体" w:cs="Times New Roman"/>
      <w:szCs w:val="20"/>
    </w:rPr>
  </w:style>
  <w:style w:type="paragraph" w:customStyle="1" w:styleId="118">
    <w:name w:val="图表标题"/>
    <w:next w:val="1"/>
    <w:autoRedefine/>
    <w:qFormat/>
    <w:uiPriority w:val="0"/>
    <w:pPr>
      <w:spacing w:line="360" w:lineRule="auto"/>
      <w:jc w:val="center"/>
    </w:pPr>
    <w:rPr>
      <w:rFonts w:ascii="Times New Roman" w:hAnsi="Times New Roman" w:eastAsia="宋体" w:cs="Times New Roman"/>
      <w:b/>
      <w:kern w:val="2"/>
      <w:sz w:val="24"/>
      <w:szCs w:val="24"/>
      <w:lang w:val="en-US" w:eastAsia="zh-CN" w:bidi="ar-SA"/>
    </w:rPr>
  </w:style>
  <w:style w:type="paragraph" w:customStyle="1" w:styleId="119">
    <w:name w:val="A标准格式"/>
    <w:basedOn w:val="1"/>
    <w:link w:val="120"/>
    <w:autoRedefine/>
    <w:qFormat/>
    <w:uiPriority w:val="0"/>
    <w:pPr>
      <w:spacing w:line="440" w:lineRule="exact"/>
      <w:ind w:firstLine="480" w:firstLineChars="200"/>
    </w:pPr>
    <w:rPr>
      <w:sz w:val="24"/>
      <w:szCs w:val="22"/>
    </w:rPr>
  </w:style>
  <w:style w:type="character" w:customStyle="1" w:styleId="120">
    <w:name w:val="A标准格式 Char Char"/>
    <w:link w:val="119"/>
    <w:autoRedefine/>
    <w:qFormat/>
    <w:uiPriority w:val="0"/>
    <w:rPr>
      <w:kern w:val="2"/>
      <w:sz w:val="24"/>
      <w:szCs w:val="22"/>
    </w:rPr>
  </w:style>
  <w:style w:type="paragraph" w:customStyle="1" w:styleId="121">
    <w:name w:val="报告表正文"/>
    <w:basedOn w:val="1"/>
    <w:autoRedefine/>
    <w:qFormat/>
    <w:uiPriority w:val="0"/>
    <w:pPr>
      <w:adjustRightInd w:val="0"/>
      <w:spacing w:line="312" w:lineRule="auto"/>
      <w:ind w:left="113" w:right="113" w:firstLine="482"/>
      <w:jc w:val="left"/>
      <w:textAlignment w:val="baseline"/>
    </w:pPr>
    <w:rPr>
      <w:kern w:val="0"/>
      <w:sz w:val="24"/>
      <w:szCs w:val="20"/>
    </w:rPr>
  </w:style>
  <w:style w:type="paragraph" w:customStyle="1" w:styleId="122">
    <w:name w:val="中文报告书样式"/>
    <w:basedOn w:val="1"/>
    <w:autoRedefine/>
    <w:qFormat/>
    <w:uiPriority w:val="0"/>
    <w:pPr>
      <w:adjustRightInd w:val="0"/>
      <w:spacing w:line="480" w:lineRule="atLeast"/>
      <w:ind w:firstLine="482"/>
      <w:textAlignment w:val="baseline"/>
    </w:pPr>
    <w:rPr>
      <w:kern w:val="24"/>
      <w:sz w:val="24"/>
    </w:rPr>
  </w:style>
  <w:style w:type="paragraph" w:customStyle="1" w:styleId="123">
    <w:name w:val="1正文段落"/>
    <w:basedOn w:val="1"/>
    <w:link w:val="124"/>
    <w:autoRedefine/>
    <w:qFormat/>
    <w:uiPriority w:val="0"/>
    <w:pPr>
      <w:adjustRightInd w:val="0"/>
      <w:snapToGrid w:val="0"/>
      <w:spacing w:line="360" w:lineRule="auto"/>
      <w:ind w:firstLine="480" w:firstLineChars="200"/>
      <w:jc w:val="left"/>
    </w:pPr>
    <w:rPr>
      <w:snapToGrid w:val="0"/>
      <w:kern w:val="0"/>
      <w:sz w:val="24"/>
    </w:rPr>
  </w:style>
  <w:style w:type="character" w:customStyle="1" w:styleId="124">
    <w:name w:val="1正文段落 Char Char"/>
    <w:link w:val="123"/>
    <w:autoRedefine/>
    <w:qFormat/>
    <w:locked/>
    <w:uiPriority w:val="0"/>
    <w:rPr>
      <w:snapToGrid w:val="0"/>
      <w:sz w:val="24"/>
      <w:szCs w:val="24"/>
    </w:rPr>
  </w:style>
  <w:style w:type="paragraph" w:customStyle="1" w:styleId="125">
    <w:name w:val="正文修改"/>
    <w:basedOn w:val="1"/>
    <w:autoRedefine/>
    <w:qFormat/>
    <w:uiPriority w:val="0"/>
    <w:pPr>
      <w:spacing w:line="360" w:lineRule="auto"/>
      <w:ind w:firstLine="480" w:firstLineChars="200"/>
    </w:pPr>
    <w:rPr>
      <w:rFonts w:cs="宋体"/>
      <w:kern w:val="0"/>
      <w:sz w:val="24"/>
      <w:szCs w:val="20"/>
    </w:rPr>
  </w:style>
  <w:style w:type="paragraph" w:customStyle="1" w:styleId="126">
    <w:name w:val="报告正文"/>
    <w:autoRedefine/>
    <w:qFormat/>
    <w:uiPriority w:val="0"/>
    <w:pPr>
      <w:spacing w:line="360" w:lineRule="auto"/>
      <w:ind w:firstLine="723" w:firstLineChars="200"/>
    </w:pPr>
    <w:rPr>
      <w:rFonts w:ascii="Times New Roman" w:hAnsi="Times New Roman" w:eastAsia="宋体" w:cs="宋体"/>
      <w:sz w:val="24"/>
      <w:szCs w:val="24"/>
      <w:lang w:val="en-US" w:eastAsia="zh-CN" w:bidi="ar-SA"/>
    </w:rPr>
  </w:style>
  <w:style w:type="paragraph" w:customStyle="1" w:styleId="127">
    <w:name w:val="24磅正文"/>
    <w:basedOn w:val="1"/>
    <w:autoRedefine/>
    <w:qFormat/>
    <w:uiPriority w:val="0"/>
    <w:pPr>
      <w:topLinePunct/>
      <w:autoSpaceDE w:val="0"/>
      <w:ind w:firstLine="480"/>
    </w:pPr>
    <w:rPr>
      <w:sz w:val="24"/>
    </w:rPr>
  </w:style>
  <w:style w:type="paragraph" w:customStyle="1" w:styleId="128">
    <w:name w:val="Body Text First Indent 21"/>
    <w:basedOn w:val="102"/>
    <w:next w:val="1"/>
    <w:autoRedefine/>
    <w:qFormat/>
    <w:uiPriority w:val="0"/>
    <w:pPr>
      <w:spacing w:after="120" w:line="360" w:lineRule="auto"/>
      <w:ind w:left="420" w:leftChars="200" w:firstLine="420" w:firstLineChars="200"/>
    </w:pPr>
    <w:rPr>
      <w:rFonts w:cs="Times New Roman"/>
      <w:sz w:val="24"/>
    </w:rPr>
  </w:style>
  <w:style w:type="paragraph" w:customStyle="1" w:styleId="129">
    <w:name w:val="1 正文"/>
    <w:basedOn w:val="1"/>
    <w:autoRedefine/>
    <w:qFormat/>
    <w:uiPriority w:val="0"/>
    <w:pPr>
      <w:adjustRightInd w:val="0"/>
      <w:snapToGrid w:val="0"/>
      <w:spacing w:line="360" w:lineRule="auto"/>
      <w:ind w:firstLine="200" w:firstLineChars="200"/>
    </w:pPr>
    <w:rPr>
      <w:kern w:val="0"/>
      <w:sz w:val="24"/>
      <w:szCs w:val="20"/>
    </w:rPr>
  </w:style>
  <w:style w:type="paragraph" w:customStyle="1" w:styleId="130">
    <w:name w:val="图表文字"/>
    <w:basedOn w:val="1"/>
    <w:autoRedefine/>
    <w:qFormat/>
    <w:uiPriority w:val="0"/>
    <w:pPr>
      <w:spacing w:line="300" w:lineRule="exact"/>
      <w:jc w:val="center"/>
    </w:pPr>
    <w:rPr>
      <w:bCs/>
      <w:szCs w:val="20"/>
    </w:rPr>
  </w:style>
  <w:style w:type="paragraph" w:customStyle="1" w:styleId="131">
    <w:name w:val="表头"/>
    <w:basedOn w:val="106"/>
    <w:next w:val="1"/>
    <w:autoRedefine/>
    <w:qFormat/>
    <w:uiPriority w:val="0"/>
    <w:pPr>
      <w:spacing w:line="240" w:lineRule="auto"/>
      <w:jc w:val="center"/>
    </w:pPr>
    <w:rPr>
      <w:rFonts w:eastAsia="黑体"/>
      <w:sz w:val="21"/>
    </w:rPr>
  </w:style>
  <w:style w:type="paragraph" w:customStyle="1" w:styleId="132">
    <w:name w:val="表中文字"/>
    <w:basedOn w:val="1"/>
    <w:autoRedefine/>
    <w:qFormat/>
    <w:uiPriority w:val="0"/>
    <w:pPr>
      <w:spacing w:line="300" w:lineRule="exact"/>
      <w:jc w:val="center"/>
    </w:pPr>
    <w:rPr>
      <w:color w:val="000000"/>
      <w:szCs w:val="20"/>
    </w:rPr>
  </w:style>
  <w:style w:type="paragraph" w:customStyle="1" w:styleId="133">
    <w:name w:val="Normal_14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1"/>
    <w:basedOn w:val="1"/>
    <w:next w:val="7"/>
    <w:autoRedefine/>
    <w:qFormat/>
    <w:uiPriority w:val="0"/>
    <w:pPr>
      <w:ind w:firstLine="420"/>
    </w:pPr>
    <w:rPr>
      <w:sz w:val="24"/>
    </w:rPr>
  </w:style>
  <w:style w:type="paragraph" w:customStyle="1" w:styleId="135">
    <w:name w:val="序号标题"/>
    <w:next w:val="126"/>
    <w:autoRedefine/>
    <w:qFormat/>
    <w:uiPriority w:val="0"/>
    <w:pPr>
      <w:spacing w:line="360" w:lineRule="auto"/>
      <w:ind w:firstLine="723" w:firstLineChars="200"/>
    </w:pPr>
    <w:rPr>
      <w:rFonts w:ascii="Times New Roman" w:hAnsi="Times New Roman" w:eastAsia="宋体" w:cs="宋体"/>
      <w:b/>
      <w:sz w:val="24"/>
      <w:szCs w:val="24"/>
      <w:lang w:val="en-US" w:eastAsia="zh-CN" w:bidi="ar-SA"/>
    </w:rPr>
  </w:style>
  <w:style w:type="paragraph" w:customStyle="1" w:styleId="136">
    <w:name w:val="正文01"/>
    <w:basedOn w:val="1"/>
    <w:autoRedefine/>
    <w:qFormat/>
    <w:uiPriority w:val="0"/>
    <w:pPr>
      <w:widowControl/>
      <w:spacing w:line="460" w:lineRule="exact"/>
      <w:jc w:val="left"/>
    </w:pPr>
    <w:rPr>
      <w:rFonts w:ascii="Calibri" w:hAnsi="Calibri"/>
      <w:kern w:val="0"/>
      <w:sz w:val="24"/>
      <w:lang w:eastAsia="en-US" w:bidi="en-US"/>
    </w:rPr>
  </w:style>
  <w:style w:type="paragraph" w:customStyle="1" w:styleId="137">
    <w:name w:val="样式2"/>
    <w:basedOn w:val="1"/>
    <w:link w:val="138"/>
    <w:autoRedefine/>
    <w:qFormat/>
    <w:uiPriority w:val="0"/>
    <w:pPr>
      <w:jc w:val="left"/>
    </w:pPr>
    <w:rPr>
      <w:rFonts w:eastAsia="黑体"/>
      <w:b/>
      <w:kern w:val="0"/>
      <w:sz w:val="30"/>
    </w:rPr>
  </w:style>
  <w:style w:type="character" w:customStyle="1" w:styleId="138">
    <w:name w:val="样式2 Char Char"/>
    <w:link w:val="137"/>
    <w:autoRedefine/>
    <w:qFormat/>
    <w:uiPriority w:val="0"/>
    <w:rPr>
      <w:rFonts w:eastAsia="黑体"/>
      <w:b/>
      <w:sz w:val="30"/>
      <w:szCs w:val="24"/>
    </w:rPr>
  </w:style>
  <w:style w:type="paragraph" w:customStyle="1" w:styleId="139">
    <w:name w:val="4表格内正文"/>
    <w:basedOn w:val="104"/>
    <w:autoRedefine/>
    <w:qFormat/>
    <w:uiPriority w:val="0"/>
    <w:pPr>
      <w:spacing w:line="240" w:lineRule="auto"/>
      <w:ind w:firstLine="0" w:firstLineChars="0"/>
      <w:jc w:val="center"/>
    </w:pPr>
    <w:rPr>
      <w:sz w:val="21"/>
    </w:rPr>
  </w:style>
  <w:style w:type="paragraph" w:customStyle="1" w:styleId="140">
    <w:name w:val="！正文"/>
    <w:basedOn w:val="1"/>
    <w:autoRedefine/>
    <w:qFormat/>
    <w:uiPriority w:val="0"/>
    <w:pPr>
      <w:spacing w:line="360" w:lineRule="auto"/>
      <w:ind w:firstLine="200" w:firstLineChars="200"/>
    </w:pPr>
    <w:rPr>
      <w:rFonts w:ascii="Times New Roman" w:hAnsi="Times New Roman" w:eastAsia="宋体" w:cs="Times New Roman"/>
      <w:sz w:val="24"/>
      <w:szCs w:val="22"/>
    </w:rPr>
  </w:style>
  <w:style w:type="paragraph" w:customStyle="1" w:styleId="141">
    <w:name w:val="Table Paragraph"/>
    <w:basedOn w:val="1"/>
    <w:autoRedefine/>
    <w:qFormat/>
    <w:uiPriority w:val="1"/>
    <w:pPr>
      <w:spacing w:before="105"/>
      <w:ind w:left="219"/>
    </w:pPr>
    <w:rPr>
      <w:rFonts w:ascii="宋体" w:hAnsi="宋体" w:eastAsia="宋体" w:cs="宋体"/>
      <w:lang w:val="zh-CN" w:eastAsia="zh-CN" w:bidi="zh-CN"/>
    </w:rPr>
  </w:style>
  <w:style w:type="paragraph" w:customStyle="1" w:styleId="142">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小标题"/>
    <w:basedOn w:val="1"/>
    <w:autoRedefine/>
    <w:qFormat/>
    <w:uiPriority w:val="0"/>
    <w:pPr>
      <w:adjustRightInd w:val="0"/>
      <w:snapToGrid w:val="0"/>
      <w:spacing w:line="360" w:lineRule="auto"/>
    </w:pPr>
    <w:rPr>
      <w:rFonts w:ascii="Times New Roman" w:hAnsi="Times New Roman" w:eastAsia="宋体"/>
      <w:b/>
      <w:sz w:val="24"/>
    </w:rPr>
  </w:style>
  <w:style w:type="paragraph" w:customStyle="1" w:styleId="144">
    <w:name w:val="Body Text 21"/>
    <w:basedOn w:val="1"/>
    <w:autoRedefine/>
    <w:qFormat/>
    <w:uiPriority w:val="0"/>
    <w:pPr>
      <w:adjustRightInd w:val="0"/>
      <w:textAlignment w:val="baseline"/>
    </w:pPr>
    <w:rPr>
      <w:rFonts w:ascii="仿宋" w:hAnsi="Calibri" w:eastAsia="仿宋"/>
      <w:sz w:val="24"/>
      <w:szCs w:val="20"/>
    </w:rPr>
  </w:style>
  <w:style w:type="paragraph" w:customStyle="1" w:styleId="145">
    <w:name w:val="1级标题"/>
    <w:basedOn w:val="2"/>
    <w:autoRedefine/>
    <w:qFormat/>
    <w:uiPriority w:val="0"/>
    <w:pPr>
      <w:keepNext w:val="0"/>
      <w:overflowPunct/>
      <w:snapToGrid/>
      <w:spacing w:before="0" w:after="0" w:line="360" w:lineRule="auto"/>
      <w:ind w:left="0" w:firstLine="0"/>
      <w:jc w:val="center"/>
    </w:pPr>
    <w:rPr>
      <w:rFonts w:ascii="黑体"/>
      <w:color w:val="auto"/>
    </w:rPr>
  </w:style>
  <w:style w:type="paragraph" w:customStyle="1" w:styleId="146">
    <w:name w:val="Normal_34"/>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147">
    <w:name w:val="正式文本"/>
    <w:basedOn w:val="1"/>
    <w:link w:val="148"/>
    <w:autoRedefine/>
    <w:qFormat/>
    <w:uiPriority w:val="0"/>
    <w:pPr>
      <w:adjustRightInd w:val="0"/>
      <w:snapToGrid w:val="0"/>
      <w:spacing w:line="360" w:lineRule="auto"/>
      <w:ind w:firstLine="420" w:firstLineChars="200"/>
      <w:jc w:val="left"/>
    </w:pPr>
    <w:rPr>
      <w:bCs/>
      <w:szCs w:val="21"/>
    </w:rPr>
  </w:style>
  <w:style w:type="character" w:customStyle="1" w:styleId="148">
    <w:name w:val="正式文本 字符"/>
    <w:link w:val="147"/>
    <w:autoRedefine/>
    <w:qFormat/>
    <w:uiPriority w:val="0"/>
    <w:rPr>
      <w:bCs/>
      <w:kern w:val="2"/>
      <w:sz w:val="21"/>
      <w:szCs w:val="21"/>
    </w:rPr>
  </w:style>
  <w:style w:type="paragraph" w:customStyle="1" w:styleId="149">
    <w:name w:val="表标题"/>
    <w:basedOn w:val="1"/>
    <w:autoRedefine/>
    <w:qFormat/>
    <w:uiPriority w:val="0"/>
    <w:pPr>
      <w:spacing w:line="360" w:lineRule="auto"/>
      <w:jc w:val="center"/>
    </w:pPr>
    <w:rPr>
      <w:b/>
      <w:bCs/>
      <w:szCs w:val="22"/>
    </w:rPr>
  </w:style>
  <w:style w:type="paragraph" w:customStyle="1" w:styleId="150">
    <w:name w:val="图表"/>
    <w:basedOn w:val="1"/>
    <w:autoRedefine/>
    <w:qFormat/>
    <w:uiPriority w:val="0"/>
    <w:pPr>
      <w:adjustRightInd w:val="0"/>
      <w:snapToGrid w:val="0"/>
      <w:jc w:val="center"/>
    </w:pPr>
    <w:rPr>
      <w:color w:val="000000"/>
      <w:szCs w:val="22"/>
      <w:lang w:val="zh-CN"/>
    </w:rPr>
  </w:style>
  <w:style w:type="paragraph" w:customStyle="1" w:styleId="151">
    <w:name w:val="表内文字"/>
    <w:basedOn w:val="1"/>
    <w:autoRedefine/>
    <w:qFormat/>
    <w:uiPriority w:val="0"/>
    <w:pPr>
      <w:adjustRightInd w:val="0"/>
      <w:jc w:val="center"/>
      <w:textAlignment w:val="baseline"/>
    </w:pPr>
    <w:rPr>
      <w:szCs w:val="20"/>
    </w:rPr>
  </w:style>
  <w:style w:type="paragraph" w:customStyle="1" w:styleId="152">
    <w:name w:val="表格内容自定"/>
    <w:basedOn w:val="1"/>
    <w:autoRedefine/>
    <w:qFormat/>
    <w:uiPriority w:val="0"/>
    <w:pPr>
      <w:spacing w:line="280" w:lineRule="exact"/>
      <w:jc w:val="center"/>
    </w:pPr>
    <w:rPr>
      <w:kern w:val="0"/>
      <w:sz w:val="18"/>
      <w:szCs w:val="20"/>
    </w:rPr>
  </w:style>
  <w:style w:type="paragraph" w:customStyle="1" w:styleId="153">
    <w:name w:val="表头文字"/>
    <w:basedOn w:val="1"/>
    <w:autoRedefine/>
    <w:qFormat/>
    <w:uiPriority w:val="0"/>
    <w:pPr>
      <w:spacing w:line="240" w:lineRule="atLeast"/>
      <w:jc w:val="center"/>
    </w:pPr>
    <w:rPr>
      <w:rFonts w:ascii="Calibri" w:hAnsi="Calibri"/>
      <w:position w:val="-10"/>
      <w:sz w:val="24"/>
    </w:rPr>
  </w:style>
  <w:style w:type="paragraph" w:customStyle="1" w:styleId="154">
    <w:name w:val="A表格"/>
    <w:basedOn w:val="1"/>
    <w:autoRedefine/>
    <w:qFormat/>
    <w:uiPriority w:val="0"/>
    <w:pPr>
      <w:jc w:val="center"/>
    </w:pPr>
    <w:rPr>
      <w:rFonts w:ascii="Calibri" w:hAnsi="Calibri"/>
      <w:szCs w:val="21"/>
    </w:rPr>
  </w:style>
  <w:style w:type="paragraph" w:customStyle="1" w:styleId="155">
    <w:name w:val="A正文"/>
    <w:basedOn w:val="1"/>
    <w:link w:val="156"/>
    <w:autoRedefine/>
    <w:qFormat/>
    <w:uiPriority w:val="0"/>
    <w:pPr>
      <w:spacing w:line="360" w:lineRule="auto"/>
      <w:ind w:firstLine="480" w:firstLineChars="200"/>
    </w:pPr>
    <w:rPr>
      <w:kern w:val="0"/>
      <w:sz w:val="24"/>
    </w:rPr>
  </w:style>
  <w:style w:type="character" w:customStyle="1" w:styleId="156">
    <w:name w:val="A正文 Char"/>
    <w:link w:val="155"/>
    <w:autoRedefine/>
    <w:qFormat/>
    <w:uiPriority w:val="0"/>
    <w:rPr>
      <w:sz w:val="24"/>
      <w:szCs w:val="24"/>
    </w:rPr>
  </w:style>
  <w:style w:type="paragraph" w:customStyle="1" w:styleId="157">
    <w:name w:val=" Char1 Char Char Char"/>
    <w:basedOn w:val="1"/>
    <w:autoRedefine/>
    <w:qFormat/>
    <w:uiPriority w:val="0"/>
  </w:style>
  <w:style w:type="paragraph" w:customStyle="1" w:styleId="158">
    <w:name w:val="环评表格"/>
    <w:basedOn w:val="1"/>
    <w:autoRedefine/>
    <w:qFormat/>
    <w:uiPriority w:val="0"/>
    <w:pPr>
      <w:jc w:val="center"/>
    </w:pPr>
    <w:rPr>
      <w:rFonts w:ascii="Calibri" w:hAnsi="Calibri"/>
      <w:kern w:val="0"/>
      <w:szCs w:val="21"/>
    </w:rPr>
  </w:style>
  <w:style w:type="paragraph" w:customStyle="1" w:styleId="159">
    <w:name w:val="环评表头"/>
    <w:basedOn w:val="131"/>
    <w:autoRedefine/>
    <w:qFormat/>
    <w:uiPriority w:val="0"/>
    <w:pPr>
      <w:widowControl/>
      <w:tabs>
        <w:tab w:val="left" w:pos="1134"/>
        <w:tab w:val="right" w:pos="7371"/>
      </w:tabs>
      <w:adjustRightInd/>
      <w:snapToGrid/>
      <w:spacing w:after="100" w:afterAutospacing="1"/>
      <w:ind w:firstLine="420" w:firstLineChars="100"/>
    </w:pPr>
    <w:rPr>
      <w:rFonts w:ascii="Calibri" w:hAnsi="Calibri" w:eastAsia="宋体"/>
      <w:b/>
      <w:bCs/>
      <w:kern w:val="0"/>
      <w:sz w:val="24"/>
      <w:szCs w:val="20"/>
    </w:rPr>
  </w:style>
  <w:style w:type="character" w:customStyle="1" w:styleId="160">
    <w:name w:val="font01"/>
    <w:autoRedefine/>
    <w:qFormat/>
    <w:uiPriority w:val="0"/>
    <w:rPr>
      <w:rFonts w:hint="default" w:ascii="Times New Roman" w:hAnsi="Times New Roman" w:cs="Times New Roman"/>
      <w:color w:val="000000"/>
      <w:sz w:val="21"/>
      <w:szCs w:val="21"/>
      <w:u w:val="none"/>
    </w:rPr>
  </w:style>
  <w:style w:type="paragraph" w:customStyle="1" w:styleId="161">
    <w:name w:val="Body text|1"/>
    <w:basedOn w:val="1"/>
    <w:autoRedefine/>
    <w:qFormat/>
    <w:uiPriority w:val="0"/>
    <w:pPr>
      <w:spacing w:line="470" w:lineRule="auto"/>
      <w:ind w:firstLine="400"/>
    </w:pPr>
    <w:rPr>
      <w:rFonts w:ascii="宋体" w:hAnsi="宋体" w:cs="宋体"/>
      <w:sz w:val="28"/>
      <w:szCs w:val="28"/>
      <w:lang w:val="zh-TW" w:eastAsia="zh-TW" w:bidi="zh-TW"/>
    </w:rPr>
  </w:style>
  <w:style w:type="paragraph" w:customStyle="1" w:styleId="162">
    <w:name w:val="表格正文"/>
    <w:basedOn w:val="1"/>
    <w:link w:val="163"/>
    <w:autoRedefine/>
    <w:qFormat/>
    <w:uiPriority w:val="0"/>
    <w:pPr>
      <w:jc w:val="center"/>
    </w:pPr>
    <w:rPr>
      <w:rFonts w:ascii="仿宋" w:eastAsia="仿宋"/>
    </w:rPr>
  </w:style>
  <w:style w:type="character" w:customStyle="1" w:styleId="163">
    <w:name w:val="表格正文 Char"/>
    <w:link w:val="162"/>
    <w:autoRedefine/>
    <w:qFormat/>
    <w:locked/>
    <w:uiPriority w:val="0"/>
    <w:rPr>
      <w:rFonts w:ascii="仿宋" w:eastAsia="仿宋"/>
      <w:kern w:val="2"/>
      <w:sz w:val="21"/>
      <w:szCs w:val="24"/>
    </w:rPr>
  </w:style>
  <w:style w:type="character" w:customStyle="1" w:styleId="164">
    <w:name w:val="表格首行字体 Char"/>
    <w:link w:val="165"/>
    <w:autoRedefine/>
    <w:qFormat/>
    <w:uiPriority w:val="0"/>
    <w:rPr>
      <w:b/>
      <w:sz w:val="21"/>
    </w:rPr>
  </w:style>
  <w:style w:type="paragraph" w:customStyle="1" w:styleId="165">
    <w:name w:val="表格首行字体"/>
    <w:basedOn w:val="1"/>
    <w:link w:val="164"/>
    <w:autoRedefine/>
    <w:qFormat/>
    <w:uiPriority w:val="0"/>
    <w:pPr>
      <w:jc w:val="center"/>
    </w:pPr>
    <w:rPr>
      <w:b/>
      <w:kern w:val="0"/>
      <w:szCs w:val="20"/>
    </w:rPr>
  </w:style>
  <w:style w:type="paragraph" w:customStyle="1" w:styleId="166">
    <w:name w:val="1-正文"/>
    <w:basedOn w:val="1"/>
    <w:autoRedefine/>
    <w:qFormat/>
    <w:uiPriority w:val="0"/>
    <w:pPr>
      <w:spacing w:line="360" w:lineRule="auto"/>
      <w:ind w:firstLine="480" w:firstLineChars="200"/>
    </w:pPr>
    <w:rPr>
      <w:rFonts w:ascii="宋体" w:cs="宋体"/>
      <w:sz w:val="24"/>
      <w:szCs w:val="22"/>
    </w:rPr>
  </w:style>
  <w:style w:type="paragraph" w:customStyle="1" w:styleId="167">
    <w:name w:val="表格内文字"/>
    <w:basedOn w:val="1"/>
    <w:autoRedefine/>
    <w:qFormat/>
    <w:uiPriority w:val="0"/>
    <w:rPr>
      <w:color w:val="000000"/>
    </w:rPr>
  </w:style>
  <w:style w:type="character" w:customStyle="1" w:styleId="168">
    <w:name w:val="NormalCharacter"/>
    <w:autoRedefine/>
    <w:semiHidden/>
    <w:qFormat/>
    <w:uiPriority w:val="0"/>
  </w:style>
  <w:style w:type="paragraph" w:customStyle="1" w:styleId="169">
    <w:name w:val="正文文本，表格"/>
    <w:basedOn w:val="1"/>
    <w:autoRedefine/>
    <w:qFormat/>
    <w:uiPriority w:val="0"/>
    <w:pPr>
      <w:jc w:val="center"/>
    </w:pPr>
    <w:rPr>
      <w:rFonts w:cs="宋体"/>
      <w:szCs w:val="21"/>
    </w:rPr>
  </w:style>
  <w:style w:type="character" w:customStyle="1" w:styleId="170">
    <w:name w:val="标题 3 字符"/>
    <w:autoRedefine/>
    <w:qFormat/>
    <w:uiPriority w:val="0"/>
    <w:rPr>
      <w:rFonts w:ascii="宋体" w:hAnsi="宋体" w:cs="宋体"/>
      <w:b/>
      <w:bCs/>
      <w:kern w:val="2"/>
      <w:sz w:val="24"/>
      <w:szCs w:val="24"/>
      <w:lang w:val="zh-CN" w:bidi="zh-CN"/>
    </w:rPr>
  </w:style>
  <w:style w:type="paragraph" w:customStyle="1" w:styleId="171">
    <w:name w:val="宝表1"/>
    <w:basedOn w:val="1"/>
    <w:autoRedefine/>
    <w:qFormat/>
    <w:uiPriority w:val="0"/>
    <w:pPr>
      <w:jc w:val="center"/>
    </w:pPr>
  </w:style>
  <w:style w:type="paragraph" w:customStyle="1" w:styleId="172">
    <w:name w:val="111正文"/>
    <w:basedOn w:val="1"/>
    <w:autoRedefine/>
    <w:qFormat/>
    <w:uiPriority w:val="0"/>
    <w:pPr>
      <w:tabs>
        <w:tab w:val="left" w:pos="600"/>
      </w:tabs>
      <w:spacing w:line="360" w:lineRule="auto"/>
      <w:ind w:firstLine="200" w:firstLineChars="200"/>
    </w:pPr>
    <w:rPr>
      <w:rFonts w:ascii="Calibri" w:hAnsi="Calibri"/>
      <w:kern w:val="0"/>
    </w:rPr>
  </w:style>
  <w:style w:type="paragraph" w:customStyle="1" w:styleId="173">
    <w:name w:val="宝正文"/>
    <w:basedOn w:val="1"/>
    <w:autoRedefine/>
    <w:qFormat/>
    <w:uiPriority w:val="0"/>
    <w:pPr>
      <w:adjustRightInd w:val="0"/>
      <w:snapToGrid w:val="0"/>
      <w:spacing w:line="360" w:lineRule="auto"/>
      <w:ind w:firstLine="200" w:firstLineChars="200"/>
    </w:pPr>
    <w:rPr>
      <w:sz w:val="24"/>
    </w:rPr>
  </w:style>
  <w:style w:type="paragraph" w:customStyle="1" w:styleId="174">
    <w:name w:val="正文缩进2"/>
    <w:basedOn w:val="1"/>
    <w:autoRedefine/>
    <w:qFormat/>
    <w:uiPriority w:val="0"/>
    <w:pPr>
      <w:ind w:firstLine="200" w:firstLineChars="200"/>
    </w:pPr>
    <w:rPr>
      <w:kern w:val="0"/>
      <w:sz w:val="28"/>
      <w:szCs w:val="20"/>
    </w:rPr>
  </w:style>
  <w:style w:type="paragraph" w:customStyle="1" w:styleId="175">
    <w:name w:val="纯文本1"/>
    <w:basedOn w:val="1"/>
    <w:autoRedefine/>
    <w:qFormat/>
    <w:uiPriority w:val="0"/>
    <w:rPr>
      <w:rFonts w:ascii="宋体" w:hAnsi="Courier New"/>
    </w:rPr>
  </w:style>
  <w:style w:type="paragraph" w:customStyle="1" w:styleId="176">
    <w:name w:val="正文首行缩进2"/>
    <w:basedOn w:val="1"/>
    <w:next w:val="1"/>
    <w:autoRedefine/>
    <w:qFormat/>
    <w:uiPriority w:val="0"/>
    <w:pPr>
      <w:spacing w:after="120"/>
      <w:ind w:firstLine="420" w:firstLineChars="100"/>
    </w:pPr>
    <w:rPr>
      <w:szCs w:val="20"/>
    </w:rPr>
  </w:style>
  <w:style w:type="paragraph" w:customStyle="1" w:styleId="177">
    <w:name w:val="WPSOffice手动目录 1"/>
    <w:autoRedefine/>
    <w:qFormat/>
    <w:uiPriority w:val="0"/>
    <w:rPr>
      <w:rFonts w:ascii="Times New Roman" w:hAnsi="Times New Roman" w:eastAsia="宋体" w:cs="Times New Roman"/>
      <w:lang w:val="en-US" w:eastAsia="zh-CN" w:bidi="ar-SA"/>
    </w:rPr>
  </w:style>
  <w:style w:type="paragraph" w:customStyle="1" w:styleId="178">
    <w:name w:val="TOC 标题1"/>
    <w:basedOn w:val="2"/>
    <w:next w:val="1"/>
    <w:autoRedefine/>
    <w:unhideWhenUsed/>
    <w:qFormat/>
    <w:uiPriority w:val="39"/>
    <w:pPr>
      <w:widowControl/>
      <w:spacing w:before="240" w:after="0"/>
      <w:jc w:val="left"/>
      <w:outlineLvl w:val="9"/>
    </w:pPr>
    <w:rPr>
      <w:rFonts w:ascii="Cambria" w:hAnsi="Cambria" w:eastAsia="宋体"/>
      <w:b w:val="0"/>
      <w:bCs w:val="0"/>
      <w:color w:val="366091"/>
      <w:kern w:val="0"/>
      <w:sz w:val="32"/>
      <w:szCs w:val="32"/>
    </w:rPr>
  </w:style>
  <w:style w:type="paragraph" w:customStyle="1" w:styleId="179">
    <w:name w:val="_Style 177"/>
    <w:basedOn w:val="2"/>
    <w:next w:val="1"/>
    <w:autoRedefine/>
    <w:qFormat/>
    <w:uiPriority w:val="39"/>
    <w:pPr>
      <w:keepLines/>
      <w:widowControl/>
      <w:overflowPunct/>
      <w:snapToGrid/>
      <w:spacing w:before="480" w:after="0" w:line="276" w:lineRule="auto"/>
      <w:ind w:left="0" w:firstLine="0"/>
      <w:jc w:val="left"/>
      <w:outlineLvl w:val="9"/>
    </w:pPr>
    <w:rPr>
      <w:rFonts w:ascii="Cambria" w:hAnsi="Cambria" w:eastAsia="宋体"/>
      <w:color w:val="365F91"/>
      <w:kern w:val="0"/>
      <w:sz w:val="28"/>
      <w:szCs w:val="28"/>
    </w:rPr>
  </w:style>
  <w:style w:type="character" w:customStyle="1" w:styleId="180">
    <w:name w:val="font112"/>
    <w:basedOn w:val="46"/>
    <w:autoRedefine/>
    <w:qFormat/>
    <w:uiPriority w:val="0"/>
    <w:rPr>
      <w:rFonts w:hint="eastAsia" w:ascii="宋体" w:hAnsi="宋体" w:eastAsia="宋体" w:cs="宋体"/>
      <w:color w:val="000000"/>
      <w:sz w:val="20"/>
      <w:szCs w:val="20"/>
      <w:u w:val="none"/>
    </w:rPr>
  </w:style>
  <w:style w:type="character" w:customStyle="1" w:styleId="181">
    <w:name w:val="纯文本 Char1"/>
    <w:basedOn w:val="46"/>
    <w:autoRedefine/>
    <w:qFormat/>
    <w:uiPriority w:val="0"/>
    <w:rPr>
      <w:rFonts w:ascii="宋体" w:hAnsi="Courier New" w:cs="Courier New"/>
      <w:kern w:val="2"/>
      <w:sz w:val="21"/>
      <w:szCs w:val="21"/>
    </w:rPr>
  </w:style>
  <w:style w:type="character" w:customStyle="1" w:styleId="182">
    <w:name w:val="批注文字 字符"/>
    <w:autoRedefine/>
    <w:qFormat/>
    <w:locked/>
    <w:uiPriority w:val="0"/>
    <w:rPr>
      <w:rFonts w:ascii="Times New Roman" w:hAnsi="Times New Roman" w:eastAsia="宋体"/>
      <w:sz w:val="24"/>
    </w:rPr>
  </w:style>
  <w:style w:type="paragraph" w:customStyle="1" w:styleId="183">
    <w:name w:val="首页表格文字"/>
    <w:basedOn w:val="1"/>
    <w:link w:val="184"/>
    <w:autoRedefine/>
    <w:qFormat/>
    <w:uiPriority w:val="0"/>
    <w:pPr>
      <w:jc w:val="center"/>
    </w:pPr>
    <w:rPr>
      <w:sz w:val="24"/>
    </w:rPr>
  </w:style>
  <w:style w:type="character" w:customStyle="1" w:styleId="184">
    <w:name w:val="首页表格文字 字符"/>
    <w:basedOn w:val="46"/>
    <w:link w:val="183"/>
    <w:autoRedefine/>
    <w:qFormat/>
    <w:uiPriority w:val="0"/>
    <w:rPr>
      <w:kern w:val="2"/>
      <w:sz w:val="24"/>
      <w:szCs w:val="24"/>
    </w:rPr>
  </w:style>
  <w:style w:type="character" w:customStyle="1" w:styleId="185">
    <w:name w:val="font31"/>
    <w:basedOn w:val="46"/>
    <w:autoRedefine/>
    <w:qFormat/>
    <w:uiPriority w:val="0"/>
    <w:rPr>
      <w:rFonts w:hint="eastAsia" w:ascii="宋体" w:hAnsi="宋体" w:eastAsia="宋体" w:cs="宋体"/>
      <w:color w:val="000000"/>
      <w:sz w:val="18"/>
      <w:szCs w:val="18"/>
      <w:u w:val="none"/>
    </w:rPr>
  </w:style>
  <w:style w:type="paragraph" w:customStyle="1" w:styleId="186">
    <w:name w:val="1正文"/>
    <w:basedOn w:val="1"/>
    <w:autoRedefine/>
    <w:qFormat/>
    <w:uiPriority w:val="0"/>
    <w:pPr>
      <w:widowControl/>
      <w:spacing w:line="360" w:lineRule="auto"/>
      <w:ind w:firstLine="200" w:firstLineChars="200"/>
    </w:pPr>
    <w:rPr>
      <w:kern w:val="0"/>
      <w:sz w:val="24"/>
      <w:szCs w:val="20"/>
      <w:lang w:val="en-GB"/>
    </w:rPr>
  </w:style>
  <w:style w:type="paragraph" w:customStyle="1" w:styleId="187">
    <w:name w:val="正文首行缩进 2 + Times New Roman"/>
    <w:basedOn w:val="1"/>
    <w:autoRedefine/>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customStyle="1" w:styleId="188">
    <w:name w:val=" Char Char10 Char Char"/>
    <w:basedOn w:val="1"/>
    <w:autoRedefine/>
    <w:qFormat/>
    <w:uiPriority w:val="0"/>
    <w:pPr>
      <w:spacing w:line="360" w:lineRule="auto"/>
      <w:ind w:firstLine="200" w:firstLineChars="200"/>
    </w:pPr>
    <w:rPr>
      <w:rFonts w:ascii="宋体" w:hAnsi="宋体" w:cs="宋体"/>
      <w:sz w:val="24"/>
    </w:rPr>
  </w:style>
  <w:style w:type="character" w:customStyle="1" w:styleId="189">
    <w:name w:val="正文内容 Char Char"/>
    <w:link w:val="190"/>
    <w:autoRedefine/>
    <w:qFormat/>
    <w:uiPriority w:val="0"/>
    <w:rPr>
      <w:sz w:val="24"/>
      <w:szCs w:val="24"/>
    </w:rPr>
  </w:style>
  <w:style w:type="paragraph" w:customStyle="1" w:styleId="190">
    <w:name w:val="正文内容"/>
    <w:basedOn w:val="1"/>
    <w:link w:val="189"/>
    <w:autoRedefine/>
    <w:qFormat/>
    <w:uiPriority w:val="0"/>
    <w:pPr>
      <w:spacing w:line="360" w:lineRule="auto"/>
      <w:ind w:firstLine="480" w:firstLineChars="200"/>
    </w:pPr>
    <w:rPr>
      <w:kern w:val="0"/>
      <w:sz w:val="24"/>
    </w:rPr>
  </w:style>
  <w:style w:type="character" w:customStyle="1" w:styleId="191">
    <w:name w:val="fontstyle01"/>
    <w:autoRedefine/>
    <w:qFormat/>
    <w:uiPriority w:val="0"/>
    <w:rPr>
      <w:rFonts w:hint="eastAsia" w:ascii="宋体" w:hAnsi="宋体" w:eastAsia="宋体"/>
      <w:color w:val="000000"/>
      <w:sz w:val="24"/>
      <w:szCs w:val="24"/>
    </w:rPr>
  </w:style>
  <w:style w:type="paragraph" w:customStyle="1" w:styleId="192">
    <w:name w:val="zx正文"/>
    <w:basedOn w:val="1"/>
    <w:autoRedefine/>
    <w:qFormat/>
    <w:uiPriority w:val="0"/>
    <w:pPr>
      <w:widowControl/>
      <w:spacing w:line="360" w:lineRule="auto"/>
      <w:ind w:firstLine="200" w:firstLineChars="200"/>
      <w:jc w:val="left"/>
    </w:pPr>
    <w:rPr>
      <w:kern w:val="0"/>
      <w:sz w:val="24"/>
      <w:szCs w:val="28"/>
    </w:rPr>
  </w:style>
  <w:style w:type="character" w:customStyle="1" w:styleId="193">
    <w:name w:val="正文－1.5行距－段后6磅 Char"/>
    <w:basedOn w:val="46"/>
    <w:link w:val="194"/>
    <w:autoRedefine/>
    <w:qFormat/>
    <w:uiPriority w:val="0"/>
    <w:rPr>
      <w:rFonts w:ascii="Calibri" w:hAnsi="Calibri"/>
      <w:kern w:val="2"/>
      <w:sz w:val="24"/>
      <w:szCs w:val="21"/>
    </w:rPr>
  </w:style>
  <w:style w:type="paragraph" w:customStyle="1" w:styleId="194">
    <w:name w:val="正文－1.5行距－段后6磅"/>
    <w:basedOn w:val="1"/>
    <w:link w:val="193"/>
    <w:autoRedefine/>
    <w:qFormat/>
    <w:uiPriority w:val="0"/>
    <w:pPr>
      <w:spacing w:after="120" w:line="360" w:lineRule="auto"/>
      <w:ind w:firstLine="200" w:firstLineChars="200"/>
    </w:pPr>
    <w:rPr>
      <w:rFonts w:ascii="Calibri" w:hAnsi="Calibri"/>
      <w:sz w:val="24"/>
      <w:szCs w:val="21"/>
    </w:rPr>
  </w:style>
  <w:style w:type="character" w:customStyle="1" w:styleId="195">
    <w:name w:val="标题 4 Char1"/>
    <w:autoRedefine/>
    <w:qFormat/>
    <w:locked/>
    <w:uiPriority w:val="0"/>
    <w:rPr>
      <w:rFonts w:ascii="Arial" w:hAnsi="Arial" w:eastAsia="黑体"/>
      <w:b/>
      <w:bCs/>
      <w:kern w:val="2"/>
      <w:sz w:val="28"/>
      <w:szCs w:val="28"/>
      <w:lang w:val="en-US" w:eastAsia="zh-CN" w:bidi="ar-SA"/>
    </w:rPr>
  </w:style>
  <w:style w:type="character" w:customStyle="1" w:styleId="196">
    <w:name w:val="文档结构图 字符"/>
    <w:autoRedefine/>
    <w:qFormat/>
    <w:uiPriority w:val="0"/>
    <w:rPr>
      <w:rFonts w:ascii="宋体"/>
      <w:kern w:val="2"/>
      <w:sz w:val="18"/>
      <w:szCs w:val="18"/>
    </w:rPr>
  </w:style>
  <w:style w:type="character" w:customStyle="1" w:styleId="197">
    <w:name w:val="页脚 字符1"/>
    <w:autoRedefine/>
    <w:qFormat/>
    <w:locked/>
    <w:uiPriority w:val="99"/>
    <w:rPr>
      <w:sz w:val="18"/>
    </w:rPr>
  </w:style>
  <w:style w:type="character" w:customStyle="1" w:styleId="198">
    <w:name w:val="fontstrikethrough"/>
    <w:autoRedefine/>
    <w:qFormat/>
    <w:uiPriority w:val="0"/>
    <w:rPr>
      <w:strike/>
    </w:rPr>
  </w:style>
  <w:style w:type="character" w:customStyle="1" w:styleId="199">
    <w:name w:val="日期 字符1"/>
    <w:autoRedefine/>
    <w:qFormat/>
    <w:locked/>
    <w:uiPriority w:val="0"/>
    <w:rPr>
      <w:rFonts w:ascii="Times New Roman" w:hAnsi="Times New Roman" w:eastAsia="宋体"/>
      <w:sz w:val="24"/>
    </w:rPr>
  </w:style>
  <w:style w:type="character" w:customStyle="1" w:styleId="200">
    <w:name w:val="c1"/>
    <w:autoRedefine/>
    <w:qFormat/>
    <w:uiPriority w:val="0"/>
  </w:style>
  <w:style w:type="character" w:customStyle="1" w:styleId="201">
    <w:name w:val="c3"/>
    <w:autoRedefine/>
    <w:qFormat/>
    <w:uiPriority w:val="0"/>
  </w:style>
  <w:style w:type="character" w:customStyle="1" w:styleId="202">
    <w:name w:val="tit2"/>
    <w:autoRedefine/>
    <w:qFormat/>
    <w:uiPriority w:val="0"/>
  </w:style>
  <w:style w:type="character" w:customStyle="1" w:styleId="203">
    <w:name w:val="fontborder"/>
    <w:autoRedefine/>
    <w:qFormat/>
    <w:uiPriority w:val="0"/>
    <w:rPr>
      <w:bdr w:val="single" w:color="000000" w:sz="6" w:space="0"/>
    </w:rPr>
  </w:style>
  <w:style w:type="character" w:customStyle="1" w:styleId="204">
    <w:name w:val="c2"/>
    <w:autoRedefine/>
    <w:qFormat/>
    <w:uiPriority w:val="0"/>
  </w:style>
  <w:style w:type="character" w:customStyle="1" w:styleId="205">
    <w:name w:val="msg-box10"/>
    <w:autoRedefine/>
    <w:qFormat/>
    <w:uiPriority w:val="0"/>
  </w:style>
  <w:style w:type="character" w:customStyle="1" w:styleId="206">
    <w:name w:val="普通(网站) 字符"/>
    <w:autoRedefine/>
    <w:qFormat/>
    <w:locked/>
    <w:uiPriority w:val="0"/>
    <w:rPr>
      <w:rFonts w:ascii="宋体" w:hAnsi="宋体" w:eastAsia="宋体"/>
      <w:sz w:val="24"/>
    </w:rPr>
  </w:style>
  <w:style w:type="character" w:customStyle="1" w:styleId="207">
    <w:name w:val="msg-box11"/>
    <w:autoRedefine/>
    <w:qFormat/>
    <w:uiPriority w:val="0"/>
  </w:style>
  <w:style w:type="character" w:customStyle="1" w:styleId="208">
    <w:name w:val="left2"/>
    <w:autoRedefine/>
    <w:qFormat/>
    <w:uiPriority w:val="0"/>
  </w:style>
  <w:style w:type="character" w:customStyle="1" w:styleId="209">
    <w:name w:val="tit"/>
    <w:autoRedefine/>
    <w:qFormat/>
    <w:uiPriority w:val="0"/>
    <w:rPr>
      <w:b/>
      <w:bCs/>
      <w:color w:val="333333"/>
      <w:sz w:val="24"/>
      <w:szCs w:val="24"/>
    </w:rPr>
  </w:style>
  <w:style w:type="character" w:customStyle="1" w:styleId="210">
    <w:name w:val="页眉 字符"/>
    <w:autoRedefine/>
    <w:qFormat/>
    <w:locked/>
    <w:uiPriority w:val="0"/>
    <w:rPr>
      <w:sz w:val="18"/>
    </w:rPr>
  </w:style>
  <w:style w:type="character" w:customStyle="1" w:styleId="211">
    <w:name w:val="tit1"/>
    <w:autoRedefine/>
    <w:qFormat/>
    <w:uiPriority w:val="0"/>
    <w:rPr>
      <w:b/>
      <w:bCs/>
    </w:rPr>
  </w:style>
  <w:style w:type="character" w:customStyle="1" w:styleId="212">
    <w:name w:val="正文文本 字符"/>
    <w:autoRedefine/>
    <w:qFormat/>
    <w:locked/>
    <w:uiPriority w:val="0"/>
    <w:rPr>
      <w:sz w:val="18"/>
    </w:rPr>
  </w:style>
  <w:style w:type="paragraph" w:customStyle="1" w:styleId="213">
    <w:name w:val="表格题注2"/>
    <w:basedOn w:val="214"/>
    <w:autoRedefine/>
    <w:qFormat/>
    <w:uiPriority w:val="0"/>
    <w:pPr>
      <w:numPr>
        <w:ilvl w:val="0"/>
        <w:numId w:val="1"/>
      </w:numPr>
      <w:tabs>
        <w:tab w:val="left" w:pos="0"/>
      </w:tabs>
      <w:spacing w:line="360" w:lineRule="auto"/>
    </w:pPr>
  </w:style>
  <w:style w:type="paragraph" w:customStyle="1" w:styleId="214">
    <w:name w:val="表格题注1"/>
    <w:next w:val="1"/>
    <w:autoRedefine/>
    <w:qFormat/>
    <w:uiPriority w:val="0"/>
    <w:pPr>
      <w:numPr>
        <w:ilvl w:val="0"/>
        <w:numId w:val="3"/>
      </w:numPr>
      <w:tabs>
        <w:tab w:val="left" w:pos="0"/>
      </w:tabs>
      <w:spacing w:before="50" w:beforeLines="50" w:after="50" w:afterLines="50"/>
      <w:jc w:val="center"/>
    </w:pPr>
    <w:rPr>
      <w:rFonts w:ascii="Arial" w:hAnsi="Arial" w:eastAsia="宋体" w:cs="Times New Roman"/>
      <w:b/>
      <w:kern w:val="2"/>
      <w:sz w:val="24"/>
      <w:szCs w:val="21"/>
      <w:lang w:val="en-US" w:eastAsia="zh-CN" w:bidi="ar-SA"/>
    </w:rPr>
  </w:style>
  <w:style w:type="paragraph" w:customStyle="1" w:styleId="215">
    <w:name w:val="表格1"/>
    <w:autoRedefine/>
    <w:qFormat/>
    <w:uiPriority w:val="0"/>
    <w:pPr>
      <w:widowControl w:val="0"/>
      <w:adjustRightInd w:val="0"/>
      <w:spacing w:line="360" w:lineRule="auto"/>
      <w:jc w:val="center"/>
      <w:textAlignment w:val="baseline"/>
    </w:pPr>
    <w:rPr>
      <w:rFonts w:ascii="宋体" w:hAnsi="宋体" w:eastAsia="宋体" w:cs="Times New Roman"/>
      <w:sz w:val="24"/>
      <w:szCs w:val="24"/>
      <w:lang w:val="en-US" w:eastAsia="zh-CN" w:bidi="ar-SA"/>
    </w:rPr>
  </w:style>
  <w:style w:type="paragraph" w:customStyle="1" w:styleId="216">
    <w:name w:val="表格内"/>
    <w:basedOn w:val="1"/>
    <w:autoRedefine/>
    <w:qFormat/>
    <w:uiPriority w:val="0"/>
    <w:pPr>
      <w:jc w:val="center"/>
    </w:pPr>
  </w:style>
  <w:style w:type="character" w:customStyle="1" w:styleId="217">
    <w:name w:val="font11"/>
    <w:autoRedefine/>
    <w:qFormat/>
    <w:uiPriority w:val="0"/>
    <w:rPr>
      <w:rFonts w:hint="default" w:ascii="Tahoma" w:hAnsi="Tahoma" w:eastAsia="Tahoma" w:cs="Tahoma"/>
      <w:color w:val="000000"/>
      <w:sz w:val="22"/>
      <w:szCs w:val="22"/>
      <w:u w:val="none"/>
    </w:rPr>
  </w:style>
  <w:style w:type="paragraph" w:customStyle="1" w:styleId="218">
    <w:name w:val="正文_34"/>
    <w:autoRedefine/>
    <w:qFormat/>
    <w:uiPriority w:val="0"/>
    <w:pPr>
      <w:widowControl w:val="0"/>
      <w:jc w:val="both"/>
    </w:pPr>
    <w:rPr>
      <w:rFonts w:ascii="Calibri" w:hAnsi="Calibri" w:eastAsia="宋体" w:cs="Times New Roman"/>
      <w:kern w:val="2"/>
      <w:sz w:val="21"/>
      <w:lang w:val="en-US" w:eastAsia="zh-CN" w:bidi="ar-SA"/>
    </w:rPr>
  </w:style>
  <w:style w:type="character" w:customStyle="1" w:styleId="219">
    <w:name w:val="副标题 Char1"/>
    <w:basedOn w:val="46"/>
    <w:autoRedefine/>
    <w:qFormat/>
    <w:uiPriority w:val="0"/>
    <w:rPr>
      <w:rFonts w:ascii="Cambria" w:hAnsi="Cambria" w:cs="Times New Roman"/>
      <w:b/>
      <w:bCs/>
      <w:kern w:val="28"/>
      <w:sz w:val="32"/>
      <w:szCs w:val="32"/>
    </w:rPr>
  </w:style>
  <w:style w:type="character" w:customStyle="1" w:styleId="220">
    <w:name w:val="副标题 字符1"/>
    <w:basedOn w:val="46"/>
    <w:autoRedefine/>
    <w:qFormat/>
    <w:uiPriority w:val="0"/>
    <w:rPr>
      <w:rFonts w:ascii="Calibri" w:hAnsi="Calibri" w:eastAsia="宋体" w:cs="Times New Roman"/>
      <w:b/>
      <w:bCs/>
      <w:kern w:val="28"/>
      <w:sz w:val="32"/>
      <w:szCs w:val="32"/>
    </w:rPr>
  </w:style>
  <w:style w:type="character" w:customStyle="1" w:styleId="221">
    <w:name w:val="表格格式1-2 Char"/>
    <w:link w:val="222"/>
    <w:autoRedefine/>
    <w:qFormat/>
    <w:locked/>
    <w:uiPriority w:val="0"/>
    <w:rPr>
      <w:kern w:val="2"/>
      <w:sz w:val="21"/>
      <w:szCs w:val="21"/>
    </w:rPr>
  </w:style>
  <w:style w:type="paragraph" w:customStyle="1" w:styleId="222">
    <w:name w:val="表格格式1-2"/>
    <w:basedOn w:val="1"/>
    <w:link w:val="221"/>
    <w:autoRedefine/>
    <w:qFormat/>
    <w:uiPriority w:val="0"/>
    <w:pPr>
      <w:jc w:val="center"/>
    </w:pPr>
    <w:rPr>
      <w:szCs w:val="21"/>
    </w:rPr>
  </w:style>
  <w:style w:type="character" w:customStyle="1" w:styleId="223">
    <w:name w:val="aa正文 Char"/>
    <w:link w:val="224"/>
    <w:autoRedefine/>
    <w:qFormat/>
    <w:locked/>
    <w:uiPriority w:val="0"/>
    <w:rPr>
      <w:sz w:val="24"/>
      <w:szCs w:val="24"/>
    </w:rPr>
  </w:style>
  <w:style w:type="paragraph" w:customStyle="1" w:styleId="224">
    <w:name w:val="aa正文"/>
    <w:basedOn w:val="1"/>
    <w:link w:val="223"/>
    <w:autoRedefine/>
    <w:qFormat/>
    <w:uiPriority w:val="0"/>
    <w:pPr>
      <w:spacing w:line="360" w:lineRule="auto"/>
      <w:ind w:firstLine="200" w:firstLineChars="200"/>
    </w:pPr>
    <w:rPr>
      <w:kern w:val="0"/>
      <w:sz w:val="24"/>
    </w:rPr>
  </w:style>
  <w:style w:type="character" w:customStyle="1" w:styleId="225">
    <w:name w:val="text06"/>
    <w:autoRedefine/>
    <w:qFormat/>
    <w:uiPriority w:val="0"/>
  </w:style>
  <w:style w:type="character" w:customStyle="1" w:styleId="226">
    <w:name w:val="纯文本 字符1"/>
    <w:basedOn w:val="46"/>
    <w:autoRedefine/>
    <w:qFormat/>
    <w:uiPriority w:val="0"/>
    <w:rPr>
      <w:rFonts w:ascii="宋体" w:hAnsi="Courier New" w:eastAsia="宋体" w:cs="Courier New"/>
      <w:kern w:val="2"/>
      <w:sz w:val="21"/>
      <w:szCs w:val="24"/>
    </w:rPr>
  </w:style>
  <w:style w:type="paragraph" w:customStyle="1" w:styleId="227">
    <w:name w:val="小表格文字"/>
    <w:basedOn w:val="1"/>
    <w:autoRedefine/>
    <w:qFormat/>
    <w:uiPriority w:val="0"/>
    <w:pPr>
      <w:jc w:val="center"/>
    </w:pPr>
    <w:rPr>
      <w:rFonts w:ascii="宋体" w:hAnsi="宋体"/>
      <w:szCs w:val="20"/>
    </w:rPr>
  </w:style>
  <w:style w:type="character" w:customStyle="1" w:styleId="228">
    <w:name w:val="表格 Char1"/>
    <w:autoRedefine/>
    <w:qFormat/>
    <w:uiPriority w:val="0"/>
    <w:rPr>
      <w:spacing w:val="-2"/>
      <w:kern w:val="2"/>
      <w:sz w:val="21"/>
    </w:rPr>
  </w:style>
  <w:style w:type="paragraph" w:customStyle="1" w:styleId="229">
    <w:name w:val="正文3"/>
    <w:autoRedefine/>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 w:type="paragraph" w:customStyle="1" w:styleId="230">
    <w:name w:val="正文1"/>
    <w:autoRedefine/>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 w:type="paragraph" w:customStyle="1" w:styleId="231">
    <w:name w:val="1环评题注-cc"/>
    <w:basedOn w:val="1"/>
    <w:next w:val="232"/>
    <w:link w:val="233"/>
    <w:autoRedefine/>
    <w:qFormat/>
    <w:uiPriority w:val="0"/>
    <w:pPr>
      <w:jc w:val="center"/>
    </w:pPr>
    <w:rPr>
      <w:b/>
      <w:kern w:val="0"/>
      <w:sz w:val="20"/>
      <w:szCs w:val="20"/>
    </w:rPr>
  </w:style>
  <w:style w:type="paragraph" w:customStyle="1" w:styleId="232">
    <w:name w:val="1环评正文（小四）--cc"/>
    <w:basedOn w:val="1"/>
    <w:link w:val="234"/>
    <w:autoRedefine/>
    <w:qFormat/>
    <w:uiPriority w:val="0"/>
    <w:pPr>
      <w:spacing w:line="360" w:lineRule="auto"/>
      <w:ind w:firstLine="420" w:firstLineChars="200"/>
    </w:pPr>
    <w:rPr>
      <w:kern w:val="0"/>
      <w:sz w:val="24"/>
      <w:szCs w:val="20"/>
    </w:rPr>
  </w:style>
  <w:style w:type="character" w:customStyle="1" w:styleId="233">
    <w:name w:val="1环评题注-cc Char"/>
    <w:link w:val="231"/>
    <w:autoRedefine/>
    <w:qFormat/>
    <w:uiPriority w:val="0"/>
    <w:rPr>
      <w:b/>
    </w:rPr>
  </w:style>
  <w:style w:type="character" w:customStyle="1" w:styleId="234">
    <w:name w:val="1环评正文（小四）--cc Char"/>
    <w:link w:val="232"/>
    <w:autoRedefine/>
    <w:qFormat/>
    <w:uiPriority w:val="0"/>
    <w:rPr>
      <w:sz w:val="24"/>
    </w:rPr>
  </w:style>
  <w:style w:type="paragraph" w:customStyle="1" w:styleId="235">
    <w:name w:val="0正文内容"/>
    <w:basedOn w:val="1"/>
    <w:autoRedefine/>
    <w:qFormat/>
    <w:uiPriority w:val="0"/>
    <w:pPr>
      <w:widowControl/>
      <w:spacing w:line="360" w:lineRule="auto"/>
      <w:ind w:firstLine="480" w:firstLineChars="200"/>
    </w:pPr>
    <w:rPr>
      <w:kern w:val="0"/>
      <w:sz w:val="24"/>
      <w:szCs w:val="32"/>
    </w:rPr>
  </w:style>
  <w:style w:type="paragraph" w:customStyle="1" w:styleId="236">
    <w:name w:val="小四正文"/>
    <w:basedOn w:val="1"/>
    <w:link w:val="237"/>
    <w:autoRedefine/>
    <w:unhideWhenUsed/>
    <w:qFormat/>
    <w:uiPriority w:val="0"/>
    <w:pPr>
      <w:wordWrap w:val="0"/>
      <w:topLinePunct/>
      <w:spacing w:beforeLines="21" w:afterLines="21" w:line="360" w:lineRule="auto"/>
      <w:ind w:firstLine="480" w:firstLineChars="200"/>
      <w:jc w:val="left"/>
      <w:textAlignment w:val="bottom"/>
    </w:pPr>
    <w:rPr>
      <w:sz w:val="24"/>
    </w:rPr>
  </w:style>
  <w:style w:type="character" w:customStyle="1" w:styleId="237">
    <w:name w:val="小四正文 Char"/>
    <w:link w:val="236"/>
    <w:autoRedefine/>
    <w:qFormat/>
    <w:uiPriority w:val="0"/>
    <w:rPr>
      <w:kern w:val="2"/>
      <w:sz w:val="24"/>
      <w:szCs w:val="24"/>
    </w:rPr>
  </w:style>
  <w:style w:type="paragraph" w:customStyle="1" w:styleId="238">
    <w:name w:val="五号居中一倍行距"/>
    <w:basedOn w:val="110"/>
    <w:next w:val="1"/>
    <w:autoRedefine/>
    <w:unhideWhenUsed/>
    <w:qFormat/>
    <w:uiPriority w:val="0"/>
    <w:pPr>
      <w:widowControl w:val="0"/>
      <w:wordWrap w:val="0"/>
      <w:spacing w:beforeLines="21" w:afterLines="21" w:line="240" w:lineRule="auto"/>
      <w:ind w:left="24" w:leftChars="21" w:right="24" w:rightChars="10"/>
      <w:textAlignment w:val="center"/>
    </w:pPr>
    <w:rPr>
      <w:b w:val="0"/>
      <w:kern w:val="2"/>
      <w:szCs w:val="21"/>
      <w:lang w:val="en-US" w:eastAsia="zh-CN"/>
    </w:rPr>
  </w:style>
  <w:style w:type="paragraph" w:customStyle="1" w:styleId="239">
    <w:name w:val="Char Char Char Char Char Char Char Char Char Char Char Char Char Char Char Char Char"/>
    <w:basedOn w:val="1"/>
    <w:autoRedefine/>
    <w:qFormat/>
    <w:uiPriority w:val="0"/>
    <w:rPr>
      <w:szCs w:val="20"/>
    </w:rPr>
  </w:style>
  <w:style w:type="character" w:customStyle="1" w:styleId="240">
    <w:name w:val="批注文字 Char4"/>
    <w:autoRedefine/>
    <w:qFormat/>
    <w:locked/>
    <w:uiPriority w:val="0"/>
    <w:rPr>
      <w:rFonts w:ascii="Times New Roman" w:hAnsi="Times New Roman" w:eastAsia="宋体"/>
      <w:sz w:val="24"/>
    </w:rPr>
  </w:style>
  <w:style w:type="character" w:customStyle="1" w:styleId="241">
    <w:name w:val="普通(网站) Char3"/>
    <w:autoRedefine/>
    <w:qFormat/>
    <w:locked/>
    <w:uiPriority w:val="0"/>
    <w:rPr>
      <w:rFonts w:ascii="宋体" w:hAnsi="宋体" w:eastAsia="宋体"/>
      <w:sz w:val="24"/>
    </w:rPr>
  </w:style>
  <w:style w:type="character" w:customStyle="1" w:styleId="242">
    <w:name w:val="正文文字缩进 Char Char"/>
    <w:autoRedefine/>
    <w:qFormat/>
    <w:uiPriority w:val="0"/>
    <w:rPr>
      <w:rFonts w:eastAsia="宋体"/>
      <w:kern w:val="2"/>
      <w:sz w:val="24"/>
      <w:lang w:val="en-US" w:eastAsia="zh-CN" w:bidi="ar-SA"/>
    </w:rPr>
  </w:style>
  <w:style w:type="paragraph" w:customStyle="1" w:styleId="243">
    <w:name w:val="表图号"/>
    <w:basedOn w:val="1"/>
    <w:autoRedefine/>
    <w:qFormat/>
    <w:uiPriority w:val="99"/>
    <w:pPr>
      <w:spacing w:before="60" w:after="60" w:line="240" w:lineRule="auto"/>
      <w:jc w:val="center"/>
    </w:pPr>
    <w:rPr>
      <w:rFonts w:eastAsia="黑体"/>
      <w:lang w:val="zh-CN"/>
    </w:rPr>
  </w:style>
  <w:style w:type="paragraph" w:customStyle="1" w:styleId="244">
    <w:name w:val="表格CAT"/>
    <w:basedOn w:val="245"/>
    <w:autoRedefine/>
    <w:qFormat/>
    <w:uiPriority w:val="99"/>
    <w:pPr>
      <w:widowControl/>
      <w:tabs>
        <w:tab w:val="left" w:pos="560"/>
      </w:tabs>
      <w:spacing w:line="240" w:lineRule="auto"/>
      <w:ind w:firstLine="0" w:firstLineChars="0"/>
      <w:jc w:val="center"/>
    </w:pPr>
  </w:style>
  <w:style w:type="paragraph" w:customStyle="1" w:styleId="245">
    <w:name w:val="表格文字-表外"/>
    <w:basedOn w:val="1"/>
    <w:autoRedefine/>
    <w:unhideWhenUsed/>
    <w:qFormat/>
    <w:uiPriority w:val="0"/>
    <w:pPr>
      <w:snapToGrid w:val="0"/>
      <w:spacing w:beforeLines="0" w:afterLines="0"/>
      <w:jc w:val="center"/>
    </w:pPr>
    <w:rPr>
      <w:rFonts w:hint="default" w:ascii="Times New Roman" w:hAns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56</Pages>
  <Words>44725</Words>
  <Characters>50829</Characters>
  <Lines>392</Lines>
  <Paragraphs>110</Paragraphs>
  <TotalTime>14</TotalTime>
  <ScaleCrop>false</ScaleCrop>
  <LinksUpToDate>false</LinksUpToDate>
  <CharactersWithSpaces>50998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2021-05-18T10:26:00Z</dcterms:created>
  <dc:creator>lhj</dc:creator>
  <cp:lastModifiedBy>Administrator</cp:lastModifiedBy>
  <cp:lastPrinted>2021-05-18T12:12:00Z</cp:lastPrinted>
  <dcterms:modified xsi:type="dcterms:W3CDTF">2024-07-01T06:55:12Z</dcterms:modified>
  <dc:title>附件2</dc:title>
  <cp:revision>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A155DD21D9F54451AC2C4C4734BF34FB_13</vt:lpwstr>
  </property>
</Properties>
</file>