
<file path=[Content_Types].xml><?xml version="1.0" encoding="utf-8"?>
<Types xmlns="http://schemas.openxmlformats.org/package/2006/content-types">
  <Default Extension="xml" ContentType="application/xml"/>
  <Default Extension="png" ContentType="image/png"/>
  <Default Extension="wmf" ContentType="image/x-w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3"/>
        <w:jc w:val="center"/>
        <w:outlineLvl w:val="0"/>
        <w:rPr>
          <w:rFonts w:ascii="Times New Roman" w:hAnsi="Times New Roman" w:cs="Times New Roman"/>
          <w:snapToGrid w:val="0"/>
          <w:sz w:val="32"/>
          <w:szCs w:val="32"/>
        </w:rPr>
      </w:pPr>
      <w:r>
        <w:rPr>
          <w:rFonts w:ascii="Times New Roman" w:hAnsi="Times New Roman" w:cs="Times New Roman"/>
          <w:snapToGrid w:val="0"/>
          <w:sz w:val="32"/>
          <w:szCs w:val="32"/>
        </w:rPr>
        <w:t>一、建设项目基本情况</w:t>
      </w:r>
    </w:p>
    <w:tbl>
      <w:tblPr>
        <w:tblStyle w:val="17"/>
        <w:tblW w:w="8872"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0" w:type="dxa"/>
          <w:bottom w:w="0" w:type="dxa"/>
          <w:right w:w="0" w:type="dxa"/>
        </w:tblCellMar>
      </w:tblPr>
      <w:tblGrid>
        <w:gridCol w:w="1084"/>
        <w:gridCol w:w="2777"/>
        <w:gridCol w:w="1962"/>
        <w:gridCol w:w="3049"/>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624" w:hRule="atLeast"/>
          <w:jc w:val="center"/>
        </w:trPr>
        <w:tc>
          <w:tcPr>
            <w:tcW w:w="1084" w:type="dxa"/>
            <w:tcMar>
              <w:top w:w="16" w:type="dxa"/>
              <w:left w:w="16" w:type="dxa"/>
              <w:right w:w="16" w:type="dxa"/>
            </w:tcMar>
            <w:vAlign w:val="center"/>
          </w:tcPr>
          <w:p>
            <w:pPr>
              <w:snapToGrid w:val="0"/>
              <w:spacing w:line="276" w:lineRule="auto"/>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建设项目名称</w:t>
            </w:r>
          </w:p>
        </w:tc>
        <w:tc>
          <w:tcPr>
            <w:tcW w:w="7788" w:type="dxa"/>
            <w:gridSpan w:val="3"/>
            <w:vAlign w:val="center"/>
          </w:tcPr>
          <w:p>
            <w:pPr>
              <w:snapToGrid w:val="0"/>
              <w:spacing w:line="276" w:lineRule="auto"/>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安徽福斯特智能科技有限公司智能装备产业园项目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624" w:hRule="atLeast"/>
          <w:jc w:val="center"/>
        </w:trPr>
        <w:tc>
          <w:tcPr>
            <w:tcW w:w="1084" w:type="dxa"/>
            <w:tcMar>
              <w:top w:w="16" w:type="dxa"/>
              <w:left w:w="16" w:type="dxa"/>
              <w:right w:w="16" w:type="dxa"/>
            </w:tcMar>
            <w:vAlign w:val="center"/>
          </w:tcPr>
          <w:p>
            <w:pPr>
              <w:snapToGrid w:val="0"/>
              <w:spacing w:line="276" w:lineRule="auto"/>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项目代码</w:t>
            </w:r>
          </w:p>
        </w:tc>
        <w:tc>
          <w:tcPr>
            <w:tcW w:w="7788" w:type="dxa"/>
            <w:gridSpan w:val="3"/>
            <w:vAlign w:val="center"/>
          </w:tcPr>
          <w:p>
            <w:pPr>
              <w:snapToGrid w:val="0"/>
              <w:spacing w:line="276" w:lineRule="auto"/>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2309-340405-04-01-228143</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624" w:hRule="atLeast"/>
          <w:jc w:val="center"/>
        </w:trPr>
        <w:tc>
          <w:tcPr>
            <w:tcW w:w="1084" w:type="dxa"/>
            <w:tcMar>
              <w:top w:w="16" w:type="dxa"/>
              <w:left w:w="16" w:type="dxa"/>
              <w:right w:w="16" w:type="dxa"/>
            </w:tcMar>
            <w:vAlign w:val="center"/>
          </w:tcPr>
          <w:p>
            <w:pPr>
              <w:snapToGrid w:val="0"/>
              <w:spacing w:line="276" w:lineRule="auto"/>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建设单位联系人</w:t>
            </w:r>
          </w:p>
        </w:tc>
        <w:tc>
          <w:tcPr>
            <w:tcW w:w="2777" w:type="dxa"/>
            <w:vAlign w:val="center"/>
          </w:tcPr>
          <w:p>
            <w:pPr>
              <w:snapToGrid w:val="0"/>
              <w:spacing w:line="276" w:lineRule="auto"/>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rPr>
              <w:t>沈总</w:t>
            </w:r>
          </w:p>
        </w:tc>
        <w:tc>
          <w:tcPr>
            <w:tcW w:w="1962" w:type="dxa"/>
            <w:vAlign w:val="center"/>
          </w:tcPr>
          <w:p>
            <w:pPr>
              <w:snapToGrid w:val="0"/>
              <w:spacing w:line="276" w:lineRule="auto"/>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rPr>
              <w:t>联系方式</w:t>
            </w:r>
          </w:p>
        </w:tc>
        <w:tc>
          <w:tcPr>
            <w:tcW w:w="3049" w:type="dxa"/>
            <w:vAlign w:val="center"/>
          </w:tcPr>
          <w:p>
            <w:pPr>
              <w:snapToGrid w:val="0"/>
              <w:spacing w:line="276" w:lineRule="auto"/>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15955419601</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624" w:hRule="atLeast"/>
          <w:jc w:val="center"/>
        </w:trPr>
        <w:tc>
          <w:tcPr>
            <w:tcW w:w="1084" w:type="dxa"/>
            <w:tcMar>
              <w:top w:w="16" w:type="dxa"/>
              <w:left w:w="16" w:type="dxa"/>
              <w:right w:w="16" w:type="dxa"/>
            </w:tcMar>
            <w:vAlign w:val="center"/>
          </w:tcPr>
          <w:p>
            <w:pPr>
              <w:snapToGrid w:val="0"/>
              <w:spacing w:line="276" w:lineRule="auto"/>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建设地点</w:t>
            </w:r>
          </w:p>
        </w:tc>
        <w:tc>
          <w:tcPr>
            <w:tcW w:w="7788" w:type="dxa"/>
            <w:gridSpan w:val="3"/>
            <w:vAlign w:val="center"/>
          </w:tcPr>
          <w:p>
            <w:pPr>
              <w:snapToGrid w:val="0"/>
              <w:spacing w:line="276" w:lineRule="auto"/>
              <w:jc w:val="center"/>
              <w:rPr>
                <w:rFonts w:ascii="Times New Roman" w:hAnsi="Times New Roman" w:eastAsia="宋体" w:cs="Times New Roman"/>
                <w:bCs/>
                <w:color w:val="auto"/>
                <w:sz w:val="24"/>
                <w:szCs w:val="24"/>
              </w:rPr>
            </w:pPr>
            <w:r>
              <w:rPr>
                <w:rFonts w:ascii="Times New Roman" w:hAnsi="Times New Roman" w:eastAsia="宋体" w:cs="Times New Roman"/>
                <w:color w:val="auto"/>
                <w:sz w:val="24"/>
              </w:rPr>
              <w:t>安徽省淮南市八公山区毕家岗街道新建社区</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624" w:hRule="atLeast"/>
          <w:jc w:val="center"/>
        </w:trPr>
        <w:tc>
          <w:tcPr>
            <w:tcW w:w="1084" w:type="dxa"/>
            <w:tcMar>
              <w:top w:w="16" w:type="dxa"/>
              <w:left w:w="16" w:type="dxa"/>
              <w:right w:w="16" w:type="dxa"/>
            </w:tcMar>
            <w:vAlign w:val="center"/>
          </w:tcPr>
          <w:p>
            <w:pPr>
              <w:snapToGrid w:val="0"/>
              <w:spacing w:line="276" w:lineRule="auto"/>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地理坐标</w:t>
            </w:r>
          </w:p>
        </w:tc>
        <w:tc>
          <w:tcPr>
            <w:tcW w:w="7788" w:type="dxa"/>
            <w:gridSpan w:val="3"/>
            <w:vAlign w:val="center"/>
          </w:tcPr>
          <w:p>
            <w:pPr>
              <w:snapToGrid w:val="0"/>
              <w:spacing w:line="276" w:lineRule="auto"/>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rPr>
              <w:t>（</w:t>
            </w:r>
            <w:r>
              <w:rPr>
                <w:rFonts w:hint="eastAsia" w:ascii="Times New Roman" w:hAnsi="Times New Roman" w:eastAsia="宋体" w:cs="Times New Roman"/>
                <w:color w:val="auto"/>
                <w:sz w:val="24"/>
              </w:rPr>
              <w:t>E</w:t>
            </w:r>
            <w:r>
              <w:rPr>
                <w:rFonts w:ascii="Times New Roman" w:hAnsi="Times New Roman" w:eastAsia="宋体" w:cs="Times New Roman"/>
                <w:color w:val="auto"/>
                <w:sz w:val="24"/>
                <w:u w:val="single"/>
              </w:rPr>
              <w:t>116</w:t>
            </w:r>
            <w:r>
              <w:rPr>
                <w:rFonts w:ascii="Times New Roman" w:hAnsi="Times New Roman" w:eastAsia="宋体" w:cs="Times New Roman"/>
                <w:color w:val="auto"/>
                <w:sz w:val="24"/>
              </w:rPr>
              <w:t>度</w:t>
            </w:r>
            <w:r>
              <w:rPr>
                <w:rFonts w:ascii="Times New Roman" w:hAnsi="Times New Roman" w:eastAsia="宋体" w:cs="Times New Roman"/>
                <w:color w:val="auto"/>
                <w:sz w:val="24"/>
                <w:u w:val="single"/>
              </w:rPr>
              <w:t>50</w:t>
            </w:r>
            <w:r>
              <w:rPr>
                <w:rFonts w:ascii="Times New Roman" w:hAnsi="Times New Roman" w:eastAsia="宋体" w:cs="Times New Roman"/>
                <w:color w:val="auto"/>
                <w:sz w:val="24"/>
              </w:rPr>
              <w:t>分</w:t>
            </w:r>
            <w:r>
              <w:rPr>
                <w:rFonts w:ascii="Times New Roman" w:hAnsi="Times New Roman" w:eastAsia="宋体" w:cs="Times New Roman"/>
                <w:color w:val="auto"/>
                <w:sz w:val="24"/>
                <w:u w:val="single"/>
              </w:rPr>
              <w:t>15.348</w:t>
            </w:r>
            <w:r>
              <w:rPr>
                <w:rFonts w:ascii="Times New Roman" w:hAnsi="Times New Roman" w:eastAsia="宋体" w:cs="Times New Roman"/>
                <w:color w:val="auto"/>
                <w:sz w:val="24"/>
              </w:rPr>
              <w:t>秒，</w:t>
            </w:r>
            <w:r>
              <w:rPr>
                <w:rFonts w:hint="eastAsia" w:ascii="Times New Roman" w:hAnsi="Times New Roman" w:eastAsia="宋体" w:cs="Times New Roman"/>
                <w:color w:val="auto"/>
                <w:sz w:val="24"/>
              </w:rPr>
              <w:t>S</w:t>
            </w:r>
            <w:r>
              <w:rPr>
                <w:rFonts w:ascii="Times New Roman" w:hAnsi="Times New Roman" w:eastAsia="宋体" w:cs="Times New Roman"/>
                <w:color w:val="auto"/>
                <w:sz w:val="24"/>
                <w:u w:val="single"/>
              </w:rPr>
              <w:t>32</w:t>
            </w:r>
            <w:r>
              <w:rPr>
                <w:rFonts w:ascii="Times New Roman" w:hAnsi="Times New Roman" w:eastAsia="宋体" w:cs="Times New Roman"/>
                <w:color w:val="auto"/>
                <w:sz w:val="24"/>
              </w:rPr>
              <w:t>度</w:t>
            </w:r>
            <w:r>
              <w:rPr>
                <w:rFonts w:ascii="Times New Roman" w:hAnsi="Times New Roman" w:eastAsia="宋体" w:cs="Times New Roman"/>
                <w:color w:val="auto"/>
                <w:sz w:val="24"/>
                <w:u w:val="single"/>
              </w:rPr>
              <w:t>39</w:t>
            </w:r>
            <w:r>
              <w:rPr>
                <w:rFonts w:ascii="Times New Roman" w:hAnsi="Times New Roman" w:eastAsia="宋体" w:cs="Times New Roman"/>
                <w:color w:val="auto"/>
                <w:sz w:val="24"/>
              </w:rPr>
              <w:t>分</w:t>
            </w:r>
            <w:r>
              <w:rPr>
                <w:rFonts w:ascii="Times New Roman" w:hAnsi="Times New Roman" w:eastAsia="宋体" w:cs="Times New Roman"/>
                <w:color w:val="auto"/>
                <w:sz w:val="24"/>
                <w:u w:val="single"/>
              </w:rPr>
              <w:t>14.232</w:t>
            </w:r>
            <w:r>
              <w:rPr>
                <w:rFonts w:ascii="Times New Roman" w:hAnsi="Times New Roman" w:eastAsia="宋体" w:cs="Times New Roman"/>
                <w:color w:val="auto"/>
                <w:sz w:val="24"/>
              </w:rPr>
              <w:t>秒）</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624" w:hRule="atLeast"/>
          <w:jc w:val="center"/>
        </w:trPr>
        <w:tc>
          <w:tcPr>
            <w:tcW w:w="1084" w:type="dxa"/>
            <w:tcMar>
              <w:top w:w="16" w:type="dxa"/>
              <w:left w:w="16" w:type="dxa"/>
              <w:right w:w="16" w:type="dxa"/>
            </w:tcMar>
            <w:vAlign w:val="center"/>
          </w:tcPr>
          <w:p>
            <w:pPr>
              <w:snapToGrid w:val="0"/>
              <w:spacing w:line="276" w:lineRule="auto"/>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国民经济</w:t>
            </w:r>
          </w:p>
          <w:p>
            <w:pPr>
              <w:snapToGrid w:val="0"/>
              <w:spacing w:line="276" w:lineRule="auto"/>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行业类别</w:t>
            </w:r>
          </w:p>
        </w:tc>
        <w:tc>
          <w:tcPr>
            <w:tcW w:w="2777" w:type="dxa"/>
            <w:vAlign w:val="center"/>
          </w:tcPr>
          <w:p>
            <w:pPr>
              <w:snapToGrid w:val="0"/>
              <w:spacing w:line="276" w:lineRule="auto"/>
              <w:jc w:val="center"/>
              <w:rPr>
                <w:rFonts w:ascii="Times New Roman" w:hAnsi="Times New Roman" w:eastAsia="宋体" w:cs="Times New Roman"/>
                <w:color w:val="auto"/>
                <w:sz w:val="24"/>
              </w:rPr>
            </w:pPr>
            <w:r>
              <w:rPr>
                <w:rFonts w:ascii="Times New Roman" w:hAnsi="Times New Roman" w:eastAsia="宋体" w:cs="Times New Roman"/>
                <w:color w:val="auto"/>
                <w:sz w:val="24"/>
              </w:rPr>
              <w:t>C3594  商业、饮食、服务专用设备制造；</w:t>
            </w:r>
          </w:p>
          <w:p>
            <w:pPr>
              <w:snapToGrid w:val="0"/>
              <w:spacing w:line="276" w:lineRule="auto"/>
              <w:jc w:val="center"/>
              <w:rPr>
                <w:rFonts w:ascii="Times New Roman" w:hAnsi="Times New Roman" w:eastAsia="宋体" w:cs="Times New Roman"/>
                <w:color w:val="auto"/>
                <w:sz w:val="24"/>
              </w:rPr>
            </w:pPr>
            <w:r>
              <w:rPr>
                <w:rFonts w:ascii="Times New Roman" w:hAnsi="Times New Roman" w:eastAsia="宋体" w:cs="Times New Roman"/>
                <w:color w:val="auto"/>
                <w:sz w:val="24"/>
              </w:rPr>
              <w:t>C3599其他专用设备制造</w:t>
            </w:r>
          </w:p>
        </w:tc>
        <w:tc>
          <w:tcPr>
            <w:tcW w:w="1962" w:type="dxa"/>
            <w:vAlign w:val="center"/>
          </w:tcPr>
          <w:p>
            <w:pPr>
              <w:snapToGrid w:val="0"/>
              <w:spacing w:line="276" w:lineRule="auto"/>
              <w:jc w:val="center"/>
              <w:rPr>
                <w:rFonts w:ascii="Times New Roman" w:hAnsi="Times New Roman" w:eastAsia="宋体" w:cs="Times New Roman"/>
                <w:color w:val="auto"/>
                <w:sz w:val="24"/>
                <w:szCs w:val="24"/>
              </w:rPr>
            </w:pPr>
            <w:bookmarkStart w:id="0" w:name="_Hlk49843745"/>
            <w:r>
              <w:rPr>
                <w:rFonts w:ascii="Times New Roman" w:hAnsi="Times New Roman" w:eastAsia="宋体" w:cs="Times New Roman"/>
                <w:color w:val="auto"/>
                <w:sz w:val="24"/>
                <w:szCs w:val="24"/>
              </w:rPr>
              <w:t>建设项目</w:t>
            </w:r>
          </w:p>
          <w:p>
            <w:pPr>
              <w:snapToGrid w:val="0"/>
              <w:spacing w:line="276" w:lineRule="auto"/>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行业类别</w:t>
            </w:r>
            <w:bookmarkEnd w:id="0"/>
          </w:p>
        </w:tc>
        <w:tc>
          <w:tcPr>
            <w:tcW w:w="3049" w:type="dxa"/>
            <w:vAlign w:val="center"/>
          </w:tcPr>
          <w:p>
            <w:pPr>
              <w:snapToGrid w:val="0"/>
              <w:spacing w:line="276" w:lineRule="auto"/>
              <w:jc w:val="center"/>
              <w:rPr>
                <w:rFonts w:ascii="Times New Roman" w:hAnsi="Times New Roman" w:eastAsia="宋体" w:cs="Times New Roman"/>
                <w:color w:val="auto"/>
                <w:sz w:val="24"/>
              </w:rPr>
            </w:pPr>
            <w:r>
              <w:rPr>
                <w:rFonts w:ascii="Times New Roman" w:hAnsi="Times New Roman" w:eastAsia="宋体" w:cs="Times New Roman"/>
                <w:color w:val="auto"/>
                <w:sz w:val="24"/>
              </w:rPr>
              <w:t xml:space="preserve">三十二、专用设备制造业 </w:t>
            </w:r>
          </w:p>
          <w:p>
            <w:pPr>
              <w:snapToGrid w:val="0"/>
              <w:spacing w:line="276" w:lineRule="auto"/>
              <w:jc w:val="center"/>
              <w:rPr>
                <w:rFonts w:ascii="Times New Roman" w:hAnsi="Times New Roman" w:eastAsia="宋体" w:cs="Times New Roman"/>
                <w:color w:val="auto"/>
                <w:sz w:val="24"/>
              </w:rPr>
            </w:pPr>
            <w:r>
              <w:rPr>
                <w:rFonts w:ascii="Times New Roman" w:hAnsi="Times New Roman" w:eastAsia="宋体" w:cs="Times New Roman"/>
                <w:color w:val="auto"/>
                <w:sz w:val="24"/>
              </w:rPr>
              <w:t>环保、邮政、社会公共服务集其他专用设备制造359</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624" w:hRule="atLeast"/>
          <w:jc w:val="center"/>
        </w:trPr>
        <w:tc>
          <w:tcPr>
            <w:tcW w:w="1084" w:type="dxa"/>
            <w:tcMar>
              <w:top w:w="16" w:type="dxa"/>
              <w:left w:w="16" w:type="dxa"/>
              <w:right w:w="16" w:type="dxa"/>
            </w:tcMar>
            <w:vAlign w:val="center"/>
          </w:tcPr>
          <w:p>
            <w:pPr>
              <w:snapToGrid w:val="0"/>
              <w:spacing w:line="276" w:lineRule="auto"/>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建设性质</w:t>
            </w:r>
          </w:p>
        </w:tc>
        <w:tc>
          <w:tcPr>
            <w:tcW w:w="2777" w:type="dxa"/>
            <w:vAlign w:val="center"/>
          </w:tcPr>
          <w:p>
            <w:pPr>
              <w:snapToGrid w:val="0"/>
              <w:spacing w:line="276" w:lineRule="auto"/>
              <w:jc w:val="left"/>
              <w:rPr>
                <w:rFonts w:ascii="Times New Roman" w:hAnsi="Times New Roman" w:eastAsia="宋体" w:cs="Times New Roman"/>
                <w:color w:val="auto"/>
                <w:sz w:val="24"/>
                <w:szCs w:val="24"/>
              </w:rPr>
            </w:pPr>
            <w:r>
              <w:rPr>
                <w:rFonts w:ascii="Times New Roman" w:hAnsi="Times New Roman" w:eastAsia="宋体" w:cs="Times New Roman"/>
                <w:color w:val="auto"/>
                <w:sz w:val="24"/>
              </w:rPr>
              <w:sym w:font="Wingdings 2" w:char="F052"/>
            </w:r>
            <w:r>
              <w:rPr>
                <w:rFonts w:ascii="Times New Roman" w:hAnsi="Times New Roman" w:eastAsia="宋体" w:cs="Times New Roman"/>
                <w:color w:val="auto"/>
                <w:sz w:val="24"/>
                <w:szCs w:val="24"/>
              </w:rPr>
              <w:t>新建（迁建）</w:t>
            </w:r>
          </w:p>
          <w:p>
            <w:pPr>
              <w:snapToGrid w:val="0"/>
              <w:spacing w:line="276" w:lineRule="auto"/>
              <w:jc w:val="left"/>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sym w:font="Wingdings 2" w:char="00A3"/>
            </w:r>
            <w:r>
              <w:rPr>
                <w:rFonts w:ascii="Times New Roman" w:hAnsi="Times New Roman" w:eastAsia="宋体" w:cs="Times New Roman"/>
                <w:color w:val="auto"/>
                <w:sz w:val="24"/>
                <w:szCs w:val="24"/>
              </w:rPr>
              <w:t>改建</w:t>
            </w:r>
          </w:p>
          <w:p>
            <w:pPr>
              <w:snapToGrid w:val="0"/>
              <w:spacing w:line="276" w:lineRule="auto"/>
              <w:jc w:val="left"/>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sym w:font="Wingdings 2" w:char="00A3"/>
            </w:r>
            <w:r>
              <w:rPr>
                <w:rFonts w:ascii="Times New Roman" w:hAnsi="Times New Roman" w:eastAsia="宋体" w:cs="Times New Roman"/>
                <w:color w:val="auto"/>
                <w:sz w:val="24"/>
                <w:szCs w:val="24"/>
              </w:rPr>
              <w:t>扩建</w:t>
            </w:r>
          </w:p>
          <w:p>
            <w:pPr>
              <w:snapToGrid w:val="0"/>
              <w:spacing w:line="276" w:lineRule="auto"/>
              <w:jc w:val="left"/>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sym w:font="Wingdings 2" w:char="00A3"/>
            </w:r>
            <w:r>
              <w:rPr>
                <w:rFonts w:ascii="Times New Roman" w:hAnsi="Times New Roman" w:eastAsia="宋体" w:cs="Times New Roman"/>
                <w:color w:val="auto"/>
                <w:sz w:val="24"/>
                <w:szCs w:val="24"/>
              </w:rPr>
              <w:t>技术改造</w:t>
            </w:r>
          </w:p>
        </w:tc>
        <w:tc>
          <w:tcPr>
            <w:tcW w:w="1962" w:type="dxa"/>
            <w:vAlign w:val="center"/>
          </w:tcPr>
          <w:p>
            <w:pPr>
              <w:snapToGrid w:val="0"/>
              <w:spacing w:line="276" w:lineRule="auto"/>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建设项目</w:t>
            </w:r>
          </w:p>
          <w:p>
            <w:pPr>
              <w:snapToGrid w:val="0"/>
              <w:spacing w:line="276" w:lineRule="auto"/>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申报情形</w:t>
            </w:r>
          </w:p>
        </w:tc>
        <w:tc>
          <w:tcPr>
            <w:tcW w:w="3049" w:type="dxa"/>
            <w:vAlign w:val="center"/>
          </w:tcPr>
          <w:p>
            <w:pPr>
              <w:snapToGrid w:val="0"/>
              <w:spacing w:line="276" w:lineRule="auto"/>
              <w:jc w:val="left"/>
              <w:rPr>
                <w:rFonts w:ascii="Times New Roman" w:hAnsi="Times New Roman" w:eastAsia="宋体" w:cs="Times New Roman"/>
                <w:color w:val="auto"/>
                <w:sz w:val="24"/>
                <w:szCs w:val="24"/>
              </w:rPr>
            </w:pPr>
            <w:r>
              <w:rPr>
                <w:rFonts w:ascii="Times New Roman" w:hAnsi="Times New Roman" w:eastAsia="宋体" w:cs="Times New Roman"/>
                <w:color w:val="auto"/>
                <w:sz w:val="24"/>
              </w:rPr>
              <w:sym w:font="Wingdings 2" w:char="F052"/>
            </w:r>
            <w:r>
              <w:rPr>
                <w:rFonts w:ascii="Times New Roman" w:hAnsi="Times New Roman" w:eastAsia="宋体" w:cs="Times New Roman"/>
                <w:color w:val="auto"/>
                <w:sz w:val="24"/>
                <w:szCs w:val="24"/>
              </w:rPr>
              <w:t>首次申报项目</w:t>
            </w:r>
          </w:p>
          <w:p>
            <w:pPr>
              <w:snapToGrid w:val="0"/>
              <w:spacing w:line="276" w:lineRule="auto"/>
              <w:jc w:val="left"/>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sym w:font="Wingdings 2" w:char="00A3"/>
            </w:r>
            <w:r>
              <w:rPr>
                <w:rFonts w:ascii="Times New Roman" w:hAnsi="Times New Roman" w:eastAsia="宋体" w:cs="Times New Roman"/>
                <w:color w:val="auto"/>
                <w:spacing w:val="-6"/>
                <w:sz w:val="24"/>
                <w:szCs w:val="24"/>
              </w:rPr>
              <w:t>不予批准后再次申报项目</w:t>
            </w:r>
          </w:p>
          <w:p>
            <w:pPr>
              <w:snapToGrid w:val="0"/>
              <w:spacing w:line="276" w:lineRule="auto"/>
              <w:jc w:val="left"/>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sym w:font="Wingdings 2" w:char="00A3"/>
            </w:r>
            <w:r>
              <w:rPr>
                <w:rFonts w:ascii="Times New Roman" w:hAnsi="Times New Roman" w:eastAsia="宋体" w:cs="Times New Roman"/>
                <w:color w:val="auto"/>
                <w:sz w:val="24"/>
                <w:szCs w:val="24"/>
              </w:rPr>
              <w:t>超五年重新审核项目</w:t>
            </w:r>
          </w:p>
          <w:p>
            <w:pPr>
              <w:snapToGrid w:val="0"/>
              <w:spacing w:line="276" w:lineRule="auto"/>
              <w:jc w:val="left"/>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sym w:font="Wingdings 2" w:char="00A3"/>
            </w:r>
            <w:r>
              <w:rPr>
                <w:rFonts w:ascii="Times New Roman" w:hAnsi="Times New Roman" w:eastAsia="宋体" w:cs="Times New Roman"/>
                <w:color w:val="auto"/>
                <w:sz w:val="24"/>
                <w:szCs w:val="24"/>
              </w:rPr>
              <w:t>重大变动重新报批项目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624" w:hRule="atLeast"/>
          <w:jc w:val="center"/>
        </w:trPr>
        <w:tc>
          <w:tcPr>
            <w:tcW w:w="1084" w:type="dxa"/>
            <w:tcMar>
              <w:top w:w="16" w:type="dxa"/>
              <w:left w:w="16" w:type="dxa"/>
              <w:right w:w="16" w:type="dxa"/>
            </w:tcMar>
            <w:vAlign w:val="center"/>
          </w:tcPr>
          <w:p>
            <w:pPr>
              <w:snapToGrid w:val="0"/>
              <w:spacing w:line="276" w:lineRule="auto"/>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项目审批（核准/备案）部门（选填）</w:t>
            </w:r>
          </w:p>
        </w:tc>
        <w:tc>
          <w:tcPr>
            <w:tcW w:w="2777" w:type="dxa"/>
            <w:vAlign w:val="center"/>
          </w:tcPr>
          <w:p>
            <w:pPr>
              <w:snapToGrid w:val="0"/>
              <w:spacing w:line="276" w:lineRule="auto"/>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淮南市八公山区发展和改革委员会</w:t>
            </w:r>
          </w:p>
        </w:tc>
        <w:tc>
          <w:tcPr>
            <w:tcW w:w="1962" w:type="dxa"/>
            <w:vAlign w:val="center"/>
          </w:tcPr>
          <w:p>
            <w:pPr>
              <w:snapToGrid w:val="0"/>
              <w:spacing w:line="276" w:lineRule="auto"/>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项目审批（核准/备案）文号（选填）</w:t>
            </w:r>
          </w:p>
        </w:tc>
        <w:tc>
          <w:tcPr>
            <w:tcW w:w="3049" w:type="dxa"/>
            <w:vAlign w:val="center"/>
          </w:tcPr>
          <w:p>
            <w:pPr>
              <w:snapToGrid w:val="0"/>
              <w:spacing w:line="276" w:lineRule="auto"/>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trHeight w:val="624" w:hRule="atLeast"/>
          <w:jc w:val="center"/>
        </w:trPr>
        <w:tc>
          <w:tcPr>
            <w:tcW w:w="1084" w:type="dxa"/>
            <w:tcMar>
              <w:top w:w="16" w:type="dxa"/>
              <w:left w:w="16" w:type="dxa"/>
              <w:right w:w="16" w:type="dxa"/>
            </w:tcMar>
            <w:vAlign w:val="center"/>
          </w:tcPr>
          <w:p>
            <w:pPr>
              <w:snapToGrid w:val="0"/>
              <w:spacing w:line="276" w:lineRule="auto"/>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总投资（万元）</w:t>
            </w:r>
          </w:p>
        </w:tc>
        <w:tc>
          <w:tcPr>
            <w:tcW w:w="2777" w:type="dxa"/>
            <w:vAlign w:val="center"/>
          </w:tcPr>
          <w:p>
            <w:pPr>
              <w:snapToGrid w:val="0"/>
              <w:spacing w:line="276" w:lineRule="auto"/>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rPr>
              <w:t>6000</w:t>
            </w:r>
          </w:p>
        </w:tc>
        <w:tc>
          <w:tcPr>
            <w:tcW w:w="1962" w:type="dxa"/>
            <w:tcMar>
              <w:top w:w="16" w:type="dxa"/>
              <w:left w:w="16" w:type="dxa"/>
              <w:right w:w="16" w:type="dxa"/>
            </w:tcMar>
            <w:vAlign w:val="center"/>
          </w:tcPr>
          <w:p>
            <w:pPr>
              <w:snapToGrid w:val="0"/>
              <w:spacing w:line="276" w:lineRule="auto"/>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环保投资（万元）</w:t>
            </w:r>
          </w:p>
        </w:tc>
        <w:tc>
          <w:tcPr>
            <w:tcW w:w="3049" w:type="dxa"/>
            <w:vAlign w:val="center"/>
          </w:tcPr>
          <w:p>
            <w:pPr>
              <w:snapToGrid w:val="0"/>
              <w:spacing w:line="276" w:lineRule="auto"/>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60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624" w:hRule="atLeast"/>
          <w:jc w:val="center"/>
        </w:trPr>
        <w:tc>
          <w:tcPr>
            <w:tcW w:w="1084" w:type="dxa"/>
            <w:tcMar>
              <w:top w:w="16" w:type="dxa"/>
              <w:left w:w="16" w:type="dxa"/>
              <w:right w:w="16" w:type="dxa"/>
            </w:tcMar>
            <w:vAlign w:val="center"/>
          </w:tcPr>
          <w:p>
            <w:pPr>
              <w:snapToGrid w:val="0"/>
              <w:spacing w:line="276" w:lineRule="auto"/>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环保投资</w:t>
            </w:r>
          </w:p>
          <w:p>
            <w:pPr>
              <w:snapToGrid w:val="0"/>
              <w:spacing w:line="276" w:lineRule="auto"/>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占比（%）</w:t>
            </w:r>
          </w:p>
        </w:tc>
        <w:tc>
          <w:tcPr>
            <w:tcW w:w="2777" w:type="dxa"/>
            <w:vAlign w:val="center"/>
          </w:tcPr>
          <w:p>
            <w:pPr>
              <w:snapToGrid w:val="0"/>
              <w:spacing w:line="276" w:lineRule="auto"/>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1</w:t>
            </w:r>
          </w:p>
        </w:tc>
        <w:tc>
          <w:tcPr>
            <w:tcW w:w="1962" w:type="dxa"/>
            <w:tcMar>
              <w:top w:w="16" w:type="dxa"/>
              <w:left w:w="16" w:type="dxa"/>
              <w:right w:w="16" w:type="dxa"/>
            </w:tcMar>
            <w:vAlign w:val="center"/>
          </w:tcPr>
          <w:p>
            <w:pPr>
              <w:snapToGrid w:val="0"/>
              <w:spacing w:line="276" w:lineRule="auto"/>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施工工期</w:t>
            </w:r>
          </w:p>
        </w:tc>
        <w:tc>
          <w:tcPr>
            <w:tcW w:w="3049" w:type="dxa"/>
            <w:vAlign w:val="center"/>
          </w:tcPr>
          <w:p>
            <w:pPr>
              <w:snapToGrid w:val="0"/>
              <w:spacing w:line="276" w:lineRule="auto"/>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rPr>
              <w:t>6个月</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624" w:hRule="atLeast"/>
          <w:jc w:val="center"/>
        </w:trPr>
        <w:tc>
          <w:tcPr>
            <w:tcW w:w="1084" w:type="dxa"/>
            <w:tcMar>
              <w:top w:w="16" w:type="dxa"/>
              <w:left w:w="16" w:type="dxa"/>
              <w:right w:w="16" w:type="dxa"/>
            </w:tcMar>
            <w:vAlign w:val="center"/>
          </w:tcPr>
          <w:p>
            <w:pPr>
              <w:snapToGrid w:val="0"/>
              <w:spacing w:line="276" w:lineRule="auto"/>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是否开工建设</w:t>
            </w:r>
          </w:p>
        </w:tc>
        <w:tc>
          <w:tcPr>
            <w:tcW w:w="2777" w:type="dxa"/>
            <w:vAlign w:val="center"/>
          </w:tcPr>
          <w:p>
            <w:pPr>
              <w:snapToGrid w:val="0"/>
              <w:spacing w:line="276" w:lineRule="auto"/>
              <w:rPr>
                <w:rFonts w:ascii="Times New Roman" w:hAnsi="Times New Roman" w:eastAsia="宋体" w:cs="Times New Roman"/>
                <w:color w:val="auto"/>
                <w:sz w:val="24"/>
                <w:szCs w:val="24"/>
              </w:rPr>
            </w:pPr>
            <w:r>
              <w:rPr>
                <w:rFonts w:ascii="Times New Roman" w:hAnsi="Times New Roman" w:eastAsia="宋体" w:cs="Times New Roman"/>
                <w:color w:val="auto"/>
                <w:sz w:val="24"/>
              </w:rPr>
              <w:sym w:font="Wingdings 2" w:char="00A3"/>
            </w:r>
            <w:r>
              <w:rPr>
                <w:rFonts w:ascii="Times New Roman" w:hAnsi="Times New Roman" w:eastAsia="宋体" w:cs="Times New Roman"/>
                <w:color w:val="auto"/>
                <w:sz w:val="24"/>
                <w:szCs w:val="24"/>
              </w:rPr>
              <w:t>否</w:t>
            </w:r>
          </w:p>
          <w:p>
            <w:pPr>
              <w:snapToGrid w:val="0"/>
              <w:spacing w:line="276" w:lineRule="auto"/>
              <w:rPr>
                <w:rFonts w:hint="default" w:ascii="Times New Roman" w:hAnsi="Times New Roman" w:eastAsia="宋体" w:cs="Times New Roman"/>
                <w:color w:val="auto"/>
                <w:sz w:val="24"/>
                <w:szCs w:val="24"/>
                <w:lang w:val="en-US" w:eastAsia="zh-CN"/>
              </w:rPr>
            </w:pPr>
            <w:r>
              <w:rPr>
                <w:rFonts w:ascii="Times New Roman" w:hAnsi="Times New Roman" w:eastAsia="宋体" w:cs="Times New Roman"/>
                <w:color w:val="auto"/>
                <w:sz w:val="24"/>
                <w:szCs w:val="24"/>
              </w:rPr>
              <w:sym w:font="Wingdings 2" w:char="0052"/>
            </w:r>
            <w:r>
              <w:rPr>
                <w:rFonts w:ascii="Times New Roman" w:hAnsi="Times New Roman" w:eastAsia="宋体" w:cs="Times New Roman"/>
                <w:color w:val="auto"/>
                <w:sz w:val="24"/>
                <w:szCs w:val="24"/>
              </w:rPr>
              <w:t>是：</w:t>
            </w:r>
            <w:r>
              <w:rPr>
                <w:rFonts w:hint="eastAsia" w:ascii="Times New Roman" w:hAnsi="Times New Roman" w:eastAsia="宋体" w:cs="Times New Roman"/>
                <w:color w:val="auto"/>
                <w:sz w:val="24"/>
                <w:szCs w:val="24"/>
              </w:rPr>
              <w:t>建设进程处于设备安装阶段</w:t>
            </w:r>
            <w:r>
              <w:rPr>
                <w:rFonts w:hint="eastAsia" w:ascii="Times New Roman" w:hAnsi="Times New Roman" w:eastAsia="宋体" w:cs="Times New Roman"/>
                <w:color w:val="auto"/>
                <w:sz w:val="24"/>
                <w:szCs w:val="24"/>
                <w:lang w:eastAsia="zh-CN"/>
              </w:rPr>
              <w:t>，淮南市生态环境局</w:t>
            </w:r>
            <w:r>
              <w:rPr>
                <w:rFonts w:hint="eastAsia" w:ascii="Times New Roman" w:hAnsi="Times New Roman" w:eastAsia="宋体" w:cs="Times New Roman"/>
                <w:color w:val="auto"/>
                <w:sz w:val="24"/>
                <w:szCs w:val="24"/>
                <w:lang w:val="en-US" w:eastAsia="zh-CN"/>
              </w:rPr>
              <w:t>以</w:t>
            </w:r>
            <w:r>
              <w:rPr>
                <w:rFonts w:hint="eastAsia" w:ascii="Times New Roman" w:hAnsi="Times New Roman" w:eastAsia="宋体" w:cs="Times New Roman"/>
                <w:color w:val="auto"/>
                <w:sz w:val="24"/>
                <w:szCs w:val="24"/>
              </w:rPr>
              <w:t>皖淮南环(八)罚</w:t>
            </w:r>
            <w:r>
              <w:rPr>
                <w:rFonts w:hint="eastAsia" w:ascii="Times New Roman" w:hAnsi="Times New Roman" w:eastAsia="宋体" w:cs="Times New Roman"/>
                <w:color w:val="auto"/>
                <w:sz w:val="24"/>
                <w:szCs w:val="24"/>
                <w:lang w:eastAsia="zh-CN"/>
              </w:rPr>
              <w:t>【</w:t>
            </w:r>
            <w:r>
              <w:rPr>
                <w:rFonts w:hint="eastAsia" w:ascii="Times New Roman" w:hAnsi="Times New Roman" w:eastAsia="宋体" w:cs="Times New Roman"/>
                <w:color w:val="auto"/>
                <w:sz w:val="24"/>
                <w:szCs w:val="24"/>
              </w:rPr>
              <w:t>2024</w:t>
            </w:r>
            <w:r>
              <w:rPr>
                <w:rFonts w:hint="eastAsia" w:ascii="Times New Roman" w:hAnsi="Times New Roman" w:eastAsia="宋体" w:cs="Times New Roman"/>
                <w:color w:val="auto"/>
                <w:sz w:val="24"/>
                <w:szCs w:val="24"/>
                <w:lang w:eastAsia="zh-CN"/>
              </w:rPr>
              <w:t>】</w:t>
            </w:r>
            <w:r>
              <w:rPr>
                <w:rFonts w:hint="eastAsia" w:ascii="Times New Roman" w:hAnsi="Times New Roman" w:eastAsia="宋体" w:cs="Times New Roman"/>
                <w:color w:val="auto"/>
                <w:sz w:val="24"/>
                <w:szCs w:val="24"/>
              </w:rPr>
              <w:t>2号</w:t>
            </w:r>
            <w:r>
              <w:rPr>
                <w:rFonts w:hint="eastAsia" w:ascii="Times New Roman" w:hAnsi="Times New Roman" w:eastAsia="宋体" w:cs="Times New Roman"/>
                <w:color w:val="auto"/>
                <w:sz w:val="24"/>
                <w:szCs w:val="24"/>
                <w:lang w:val="en-US" w:eastAsia="zh-CN"/>
              </w:rPr>
              <w:t>对建设单位出具行政处罚决定书，罚款人民币壹万玖仟玖佰伍拾元整。</w:t>
            </w:r>
          </w:p>
        </w:tc>
        <w:tc>
          <w:tcPr>
            <w:tcW w:w="1962" w:type="dxa"/>
            <w:tcMar>
              <w:top w:w="16" w:type="dxa"/>
              <w:left w:w="16" w:type="dxa"/>
              <w:right w:w="16" w:type="dxa"/>
            </w:tcMar>
            <w:vAlign w:val="center"/>
          </w:tcPr>
          <w:p>
            <w:pPr>
              <w:snapToGrid w:val="0"/>
              <w:spacing w:line="276" w:lineRule="auto"/>
              <w:jc w:val="center"/>
              <w:rPr>
                <w:rFonts w:ascii="Times New Roman" w:hAnsi="Times New Roman" w:eastAsia="宋体" w:cs="Times New Roman"/>
                <w:color w:val="auto"/>
                <w:sz w:val="24"/>
                <w:szCs w:val="24"/>
              </w:rPr>
            </w:pPr>
            <w:r>
              <w:rPr>
                <w:rFonts w:ascii="Times New Roman" w:hAnsi="Times New Roman" w:eastAsia="宋体" w:cs="Times New Roman"/>
                <w:color w:val="auto"/>
                <w:spacing w:val="-6"/>
                <w:sz w:val="24"/>
                <w:szCs w:val="24"/>
              </w:rPr>
              <w:t>用地（用海）面积（m</w:t>
            </w:r>
            <w:r>
              <w:rPr>
                <w:rFonts w:ascii="Times New Roman" w:hAnsi="Times New Roman" w:eastAsia="宋体" w:cs="Times New Roman"/>
                <w:color w:val="auto"/>
                <w:spacing w:val="-6"/>
                <w:sz w:val="24"/>
                <w:szCs w:val="24"/>
                <w:vertAlign w:val="superscript"/>
              </w:rPr>
              <w:t>2</w:t>
            </w:r>
            <w:r>
              <w:rPr>
                <w:rFonts w:ascii="Times New Roman" w:hAnsi="Times New Roman" w:eastAsia="宋体" w:cs="Times New Roman"/>
                <w:color w:val="auto"/>
                <w:spacing w:val="-6"/>
                <w:sz w:val="24"/>
                <w:szCs w:val="24"/>
              </w:rPr>
              <w:t>）</w:t>
            </w:r>
          </w:p>
        </w:tc>
        <w:tc>
          <w:tcPr>
            <w:tcW w:w="3049" w:type="dxa"/>
            <w:vAlign w:val="center"/>
          </w:tcPr>
          <w:p>
            <w:pPr>
              <w:snapToGrid w:val="0"/>
              <w:spacing w:line="276" w:lineRule="auto"/>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8390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084" w:type="dxa"/>
            <w:vAlign w:val="center"/>
          </w:tcPr>
          <w:p>
            <w:pPr>
              <w:autoSpaceDE w:val="0"/>
              <w:autoSpaceDN w:val="0"/>
              <w:snapToGrid w:val="0"/>
              <w:spacing w:line="276" w:lineRule="auto"/>
              <w:jc w:val="center"/>
              <w:rPr>
                <w:rFonts w:ascii="Times New Roman" w:hAnsi="Times New Roman" w:eastAsia="宋体" w:cs="Times New Roman"/>
                <w:color w:val="auto"/>
                <w:kern w:val="0"/>
                <w:sz w:val="24"/>
                <w:szCs w:val="24"/>
              </w:rPr>
            </w:pPr>
            <w:r>
              <w:rPr>
                <w:rFonts w:ascii="Times New Roman" w:hAnsi="Times New Roman" w:eastAsia="宋体" w:cs="Times New Roman"/>
                <w:color w:val="auto"/>
                <w:kern w:val="0"/>
                <w:sz w:val="24"/>
                <w:szCs w:val="24"/>
              </w:rPr>
              <w:t>专项评价设置情况</w:t>
            </w:r>
          </w:p>
        </w:tc>
        <w:tc>
          <w:tcPr>
            <w:tcW w:w="7788" w:type="dxa"/>
            <w:gridSpan w:val="3"/>
            <w:vAlign w:val="center"/>
          </w:tcPr>
          <w:p>
            <w:pPr>
              <w:autoSpaceDE w:val="0"/>
              <w:autoSpaceDN w:val="0"/>
              <w:adjustRightInd w:val="0"/>
              <w:spacing w:line="360" w:lineRule="auto"/>
              <w:jc w:val="left"/>
              <w:rPr>
                <w:rFonts w:ascii="Times New Roman" w:hAnsi="Times New Roman" w:eastAsia="宋体" w:cs="Times New Roman"/>
                <w:color w:val="auto"/>
                <w:sz w:val="24"/>
              </w:rPr>
            </w:pPr>
            <w:r>
              <w:rPr>
                <w:rFonts w:hint="eastAsia" w:ascii="Times New Roman" w:hAnsi="Times New Roman" w:eastAsia="宋体" w:cs="Times New Roman"/>
                <w:color w:val="auto"/>
                <w:sz w:val="24"/>
              </w:rPr>
              <w:t>无需设置</w:t>
            </w:r>
            <w:r>
              <w:rPr>
                <w:rFonts w:ascii="Times New Roman" w:hAnsi="Times New Roman" w:eastAsia="宋体" w:cs="Times New Roman"/>
                <w:color w:val="auto"/>
                <w:sz w:val="24"/>
              </w:rPr>
              <w:t>，判定依据具体详见下表：</w:t>
            </w:r>
          </w:p>
          <w:p>
            <w:pPr>
              <w:autoSpaceDE w:val="0"/>
              <w:autoSpaceDN w:val="0"/>
              <w:adjustRightInd w:val="0"/>
              <w:snapToGrid w:val="0"/>
              <w:jc w:val="center"/>
              <w:rPr>
                <w:rFonts w:ascii="Times New Roman" w:hAnsi="Times New Roman" w:eastAsia="宋体" w:cs="Times New Roman"/>
                <w:color w:val="auto"/>
                <w:sz w:val="24"/>
              </w:rPr>
            </w:pPr>
            <w:r>
              <w:rPr>
                <w:rFonts w:ascii="Times New Roman" w:hAnsi="Times New Roman" w:eastAsia="黑体" w:cs="Times New Roman"/>
                <w:color w:val="auto"/>
                <w:sz w:val="24"/>
              </w:rPr>
              <w:t>表1-1  专项评价设置原则表</w:t>
            </w:r>
          </w:p>
          <w:tbl>
            <w:tblPr>
              <w:tblStyle w:val="17"/>
              <w:tblW w:w="5000" w:type="pct"/>
              <w:tblInd w:w="0" w:type="dxa"/>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Layout w:type="autofit"/>
              <w:tblCellMar>
                <w:top w:w="0" w:type="dxa"/>
                <w:left w:w="108" w:type="dxa"/>
                <w:bottom w:w="0" w:type="dxa"/>
                <w:right w:w="108" w:type="dxa"/>
              </w:tblCellMar>
            </w:tblPr>
            <w:tblGrid>
              <w:gridCol w:w="1384"/>
              <w:gridCol w:w="2533"/>
              <w:gridCol w:w="2478"/>
              <w:gridCol w:w="1177"/>
            </w:tblGrid>
            <w:tr>
              <w:tblPrEx>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CellMar>
                  <w:top w:w="0" w:type="dxa"/>
                  <w:left w:w="108" w:type="dxa"/>
                  <w:bottom w:w="0" w:type="dxa"/>
                  <w:right w:w="108" w:type="dxa"/>
                </w:tblCellMar>
              </w:tblPrEx>
              <w:tc>
                <w:tcPr>
                  <w:tcW w:w="914" w:type="pct"/>
                  <w:tcBorders>
                    <w:tl2br w:val="nil"/>
                    <w:tr2bl w:val="nil"/>
                  </w:tcBorders>
                  <w:vAlign w:val="center"/>
                </w:tcPr>
                <w:p>
                  <w:pPr>
                    <w:autoSpaceDE w:val="0"/>
                    <w:autoSpaceDN w:val="0"/>
                    <w:snapToGrid w:val="0"/>
                    <w:spacing w:line="276" w:lineRule="auto"/>
                    <w:jc w:val="center"/>
                    <w:rPr>
                      <w:rFonts w:ascii="Times New Roman" w:hAnsi="Times New Roman" w:eastAsia="宋体" w:cs="Times New Roman"/>
                      <w:b/>
                      <w:color w:val="auto"/>
                      <w:sz w:val="18"/>
                      <w:szCs w:val="18"/>
                    </w:rPr>
                  </w:pPr>
                  <w:r>
                    <w:rPr>
                      <w:rFonts w:ascii="Times New Roman" w:hAnsi="Times New Roman" w:eastAsia="宋体" w:cs="Times New Roman"/>
                      <w:b/>
                      <w:color w:val="auto"/>
                      <w:sz w:val="18"/>
                      <w:szCs w:val="18"/>
                    </w:rPr>
                    <w:t>专项评价类别</w:t>
                  </w:r>
                </w:p>
              </w:tc>
              <w:tc>
                <w:tcPr>
                  <w:tcW w:w="1672" w:type="pct"/>
                  <w:tcBorders>
                    <w:tl2br w:val="nil"/>
                    <w:tr2bl w:val="nil"/>
                  </w:tcBorders>
                  <w:vAlign w:val="center"/>
                </w:tcPr>
                <w:p>
                  <w:pPr>
                    <w:autoSpaceDE w:val="0"/>
                    <w:autoSpaceDN w:val="0"/>
                    <w:snapToGrid w:val="0"/>
                    <w:spacing w:line="276" w:lineRule="auto"/>
                    <w:jc w:val="center"/>
                    <w:rPr>
                      <w:rFonts w:ascii="Times New Roman" w:hAnsi="Times New Roman" w:eastAsia="宋体" w:cs="Times New Roman"/>
                      <w:b/>
                      <w:color w:val="auto"/>
                      <w:sz w:val="18"/>
                      <w:szCs w:val="18"/>
                    </w:rPr>
                  </w:pPr>
                  <w:r>
                    <w:rPr>
                      <w:rFonts w:ascii="Times New Roman" w:hAnsi="Times New Roman" w:eastAsia="宋体" w:cs="Times New Roman"/>
                      <w:b/>
                      <w:color w:val="auto"/>
                      <w:sz w:val="18"/>
                      <w:szCs w:val="18"/>
                    </w:rPr>
                    <w:t>设置原则</w:t>
                  </w:r>
                </w:p>
              </w:tc>
              <w:tc>
                <w:tcPr>
                  <w:tcW w:w="1636" w:type="pct"/>
                  <w:tcBorders>
                    <w:tl2br w:val="nil"/>
                    <w:tr2bl w:val="nil"/>
                  </w:tcBorders>
                  <w:vAlign w:val="center"/>
                </w:tcPr>
                <w:p>
                  <w:pPr>
                    <w:autoSpaceDE w:val="0"/>
                    <w:autoSpaceDN w:val="0"/>
                    <w:snapToGrid w:val="0"/>
                    <w:spacing w:line="276" w:lineRule="auto"/>
                    <w:jc w:val="center"/>
                    <w:rPr>
                      <w:rFonts w:ascii="Times New Roman" w:hAnsi="Times New Roman" w:eastAsia="宋体" w:cs="Times New Roman"/>
                      <w:b/>
                      <w:color w:val="auto"/>
                      <w:sz w:val="18"/>
                      <w:szCs w:val="18"/>
                    </w:rPr>
                  </w:pPr>
                  <w:r>
                    <w:rPr>
                      <w:rFonts w:ascii="Times New Roman" w:hAnsi="Times New Roman" w:eastAsia="宋体" w:cs="Times New Roman"/>
                      <w:b/>
                      <w:color w:val="auto"/>
                      <w:sz w:val="18"/>
                      <w:szCs w:val="18"/>
                    </w:rPr>
                    <w:t>本项目情况</w:t>
                  </w:r>
                </w:p>
              </w:tc>
              <w:tc>
                <w:tcPr>
                  <w:tcW w:w="777" w:type="pct"/>
                  <w:tcBorders>
                    <w:tl2br w:val="nil"/>
                    <w:tr2bl w:val="nil"/>
                  </w:tcBorders>
                  <w:vAlign w:val="center"/>
                </w:tcPr>
                <w:p>
                  <w:pPr>
                    <w:autoSpaceDE w:val="0"/>
                    <w:autoSpaceDN w:val="0"/>
                    <w:snapToGrid w:val="0"/>
                    <w:spacing w:line="276" w:lineRule="auto"/>
                    <w:jc w:val="center"/>
                    <w:rPr>
                      <w:rFonts w:ascii="Times New Roman" w:hAnsi="Times New Roman" w:eastAsia="宋体" w:cs="Times New Roman"/>
                      <w:b/>
                      <w:color w:val="auto"/>
                      <w:sz w:val="18"/>
                      <w:szCs w:val="18"/>
                    </w:rPr>
                  </w:pPr>
                  <w:r>
                    <w:rPr>
                      <w:rFonts w:ascii="Times New Roman" w:hAnsi="Times New Roman" w:eastAsia="宋体" w:cs="Times New Roman"/>
                      <w:b/>
                      <w:color w:val="auto"/>
                      <w:sz w:val="18"/>
                      <w:szCs w:val="18"/>
                    </w:rPr>
                    <w:t>是否设置专项评价</w:t>
                  </w:r>
                </w:p>
              </w:tc>
            </w:tr>
            <w:tr>
              <w:tblPrEx>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CellMar>
                  <w:top w:w="0" w:type="dxa"/>
                  <w:left w:w="108" w:type="dxa"/>
                  <w:bottom w:w="0" w:type="dxa"/>
                  <w:right w:w="108" w:type="dxa"/>
                </w:tblCellMar>
              </w:tblPrEx>
              <w:tc>
                <w:tcPr>
                  <w:tcW w:w="914" w:type="pct"/>
                  <w:tcBorders>
                    <w:tl2br w:val="nil"/>
                    <w:tr2bl w:val="nil"/>
                  </w:tcBorders>
                  <w:vAlign w:val="center"/>
                </w:tcPr>
                <w:p>
                  <w:pPr>
                    <w:autoSpaceDE w:val="0"/>
                    <w:autoSpaceDN w:val="0"/>
                    <w:snapToGrid w:val="0"/>
                    <w:spacing w:line="276" w:lineRule="auto"/>
                    <w:jc w:val="center"/>
                    <w:rPr>
                      <w:rFonts w:ascii="Times New Roman" w:hAnsi="Times New Roman" w:eastAsia="宋体" w:cs="Times New Roman"/>
                      <w:color w:val="auto"/>
                      <w:sz w:val="18"/>
                      <w:szCs w:val="18"/>
                    </w:rPr>
                  </w:pPr>
                  <w:r>
                    <w:rPr>
                      <w:rFonts w:ascii="Times New Roman" w:hAnsi="Times New Roman" w:eastAsia="宋体" w:cs="Times New Roman"/>
                      <w:color w:val="auto"/>
                      <w:sz w:val="18"/>
                      <w:szCs w:val="18"/>
                    </w:rPr>
                    <w:t>大气</w:t>
                  </w:r>
                </w:p>
              </w:tc>
              <w:tc>
                <w:tcPr>
                  <w:tcW w:w="1672" w:type="pct"/>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rPr>
                  </w:pPr>
                  <w:r>
                    <w:rPr>
                      <w:rFonts w:ascii="Times New Roman" w:hAnsi="Times New Roman" w:eastAsia="宋体" w:cs="Times New Roman"/>
                      <w:color w:val="auto"/>
                      <w:sz w:val="18"/>
                      <w:szCs w:val="18"/>
                    </w:rPr>
                    <w:t>排放废气含有毒有害污染物、二噁英、苯并[a]芘、氰化物、氯气且厂界外500米范围内有环境空气保护目标的建设项目</w:t>
                  </w:r>
                </w:p>
              </w:tc>
              <w:tc>
                <w:tcPr>
                  <w:tcW w:w="1636" w:type="pct"/>
                  <w:tcBorders>
                    <w:tl2br w:val="nil"/>
                    <w:tr2bl w:val="nil"/>
                  </w:tcBorders>
                  <w:vAlign w:val="center"/>
                </w:tcPr>
                <w:p>
                  <w:pPr>
                    <w:autoSpaceDE w:val="0"/>
                    <w:autoSpaceDN w:val="0"/>
                    <w:snapToGrid w:val="0"/>
                    <w:spacing w:line="276" w:lineRule="auto"/>
                    <w:jc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本项目排放废气主要为颗粒物和VOCs</w:t>
                  </w:r>
                  <w:r>
                    <w:rPr>
                      <w:rFonts w:ascii="Times New Roman" w:hAnsi="Times New Roman" w:eastAsia="宋体" w:cs="Times New Roman"/>
                      <w:color w:val="auto"/>
                      <w:sz w:val="18"/>
                      <w:szCs w:val="18"/>
                    </w:rPr>
                    <w:t>，不</w:t>
                  </w:r>
                  <w:r>
                    <w:rPr>
                      <w:rFonts w:hint="eastAsia" w:ascii="Times New Roman" w:hAnsi="Times New Roman" w:eastAsia="宋体" w:cs="Times New Roman"/>
                      <w:color w:val="auto"/>
                      <w:sz w:val="18"/>
                      <w:szCs w:val="18"/>
                      <w:lang w:val="en-US" w:eastAsia="zh-CN"/>
                    </w:rPr>
                    <w:t>涉及</w:t>
                  </w:r>
                  <w:r>
                    <w:rPr>
                      <w:rFonts w:ascii="Times New Roman" w:hAnsi="Times New Roman" w:eastAsia="宋体" w:cs="Times New Roman"/>
                      <w:color w:val="auto"/>
                      <w:sz w:val="18"/>
                      <w:szCs w:val="18"/>
                    </w:rPr>
                    <w:t>二噁英、苯并[a]芘、氰化物、氯气以及《有毒有害大气污染物名录》中的有毒有害污染物</w:t>
                  </w:r>
                </w:p>
              </w:tc>
              <w:tc>
                <w:tcPr>
                  <w:tcW w:w="777" w:type="pct"/>
                  <w:tcBorders>
                    <w:tl2br w:val="nil"/>
                    <w:tr2bl w:val="nil"/>
                  </w:tcBorders>
                  <w:vAlign w:val="center"/>
                </w:tcPr>
                <w:p>
                  <w:pPr>
                    <w:autoSpaceDE w:val="0"/>
                    <w:autoSpaceDN w:val="0"/>
                    <w:snapToGrid w:val="0"/>
                    <w:spacing w:line="276" w:lineRule="auto"/>
                    <w:jc w:val="center"/>
                    <w:rPr>
                      <w:rFonts w:ascii="Times New Roman" w:hAnsi="Times New Roman" w:eastAsia="宋体" w:cs="Times New Roman"/>
                      <w:color w:val="auto"/>
                      <w:sz w:val="18"/>
                      <w:szCs w:val="18"/>
                      <w:lang w:eastAsia="en-US"/>
                    </w:rPr>
                  </w:pPr>
                  <w:r>
                    <w:rPr>
                      <w:rFonts w:ascii="Times New Roman" w:hAnsi="Times New Roman" w:eastAsia="宋体" w:cs="Times New Roman"/>
                      <w:color w:val="auto"/>
                      <w:sz w:val="18"/>
                      <w:szCs w:val="18"/>
                    </w:rPr>
                    <w:t>否</w:t>
                  </w:r>
                </w:p>
              </w:tc>
            </w:tr>
            <w:tr>
              <w:tblPrEx>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CellMar>
                  <w:top w:w="0" w:type="dxa"/>
                  <w:left w:w="108" w:type="dxa"/>
                  <w:bottom w:w="0" w:type="dxa"/>
                  <w:right w:w="108" w:type="dxa"/>
                </w:tblCellMar>
              </w:tblPrEx>
              <w:tc>
                <w:tcPr>
                  <w:tcW w:w="914" w:type="pct"/>
                  <w:tcBorders>
                    <w:tl2br w:val="nil"/>
                    <w:tr2bl w:val="nil"/>
                  </w:tcBorders>
                  <w:vAlign w:val="center"/>
                </w:tcPr>
                <w:p>
                  <w:pPr>
                    <w:autoSpaceDE w:val="0"/>
                    <w:autoSpaceDN w:val="0"/>
                    <w:snapToGrid w:val="0"/>
                    <w:spacing w:line="276" w:lineRule="auto"/>
                    <w:jc w:val="center"/>
                    <w:rPr>
                      <w:rFonts w:ascii="Times New Roman" w:hAnsi="Times New Roman" w:eastAsia="宋体" w:cs="Times New Roman"/>
                      <w:color w:val="auto"/>
                      <w:sz w:val="18"/>
                      <w:szCs w:val="18"/>
                      <w:lang w:eastAsia="en-US"/>
                    </w:rPr>
                  </w:pPr>
                  <w:r>
                    <w:rPr>
                      <w:rFonts w:ascii="Times New Roman" w:hAnsi="Times New Roman" w:eastAsia="宋体" w:cs="Times New Roman"/>
                      <w:color w:val="auto"/>
                      <w:sz w:val="18"/>
                      <w:szCs w:val="18"/>
                    </w:rPr>
                    <w:t>地表水</w:t>
                  </w:r>
                </w:p>
              </w:tc>
              <w:tc>
                <w:tcPr>
                  <w:tcW w:w="1672" w:type="pct"/>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rPr>
                  </w:pPr>
                  <w:r>
                    <w:rPr>
                      <w:rFonts w:ascii="Times New Roman" w:hAnsi="Times New Roman" w:eastAsia="宋体" w:cs="Times New Roman"/>
                      <w:color w:val="auto"/>
                      <w:sz w:val="18"/>
                      <w:szCs w:val="18"/>
                    </w:rPr>
                    <w:t>新增工业废水直排建设项目（槽罐车外送污水处理厂的除外）；新增废水直排的污水集中处理厂</w:t>
                  </w:r>
                </w:p>
              </w:tc>
              <w:tc>
                <w:tcPr>
                  <w:tcW w:w="1636" w:type="pct"/>
                  <w:tcBorders>
                    <w:tl2br w:val="nil"/>
                    <w:tr2bl w:val="nil"/>
                  </w:tcBorders>
                  <w:vAlign w:val="center"/>
                </w:tcPr>
                <w:p>
                  <w:pPr>
                    <w:autoSpaceDE w:val="0"/>
                    <w:autoSpaceDN w:val="0"/>
                    <w:snapToGrid w:val="0"/>
                    <w:spacing w:line="276" w:lineRule="auto"/>
                    <w:jc w:val="center"/>
                    <w:rPr>
                      <w:rFonts w:ascii="Times New Roman" w:hAnsi="Times New Roman" w:eastAsia="宋体" w:cs="Times New Roman"/>
                      <w:color w:val="auto"/>
                      <w:sz w:val="18"/>
                      <w:szCs w:val="18"/>
                    </w:rPr>
                  </w:pPr>
                  <w:r>
                    <w:rPr>
                      <w:rFonts w:ascii="Times New Roman" w:hAnsi="Times New Roman" w:eastAsia="宋体" w:cs="Times New Roman"/>
                      <w:color w:val="auto"/>
                      <w:sz w:val="18"/>
                      <w:szCs w:val="18"/>
                    </w:rPr>
                    <w:t>本项目</w:t>
                  </w:r>
                  <w:r>
                    <w:rPr>
                      <w:rFonts w:hint="eastAsia" w:ascii="Times New Roman" w:hAnsi="Times New Roman" w:eastAsia="宋体" w:cs="Times New Roman"/>
                      <w:color w:val="auto"/>
                      <w:sz w:val="18"/>
                      <w:szCs w:val="18"/>
                      <w:lang w:val="en-US" w:eastAsia="zh-CN"/>
                    </w:rPr>
                    <w:t>无生产废水</w:t>
                  </w:r>
                  <w:r>
                    <w:rPr>
                      <w:rFonts w:ascii="Times New Roman" w:hAnsi="Times New Roman" w:eastAsia="宋体" w:cs="Times New Roman"/>
                      <w:color w:val="auto"/>
                      <w:sz w:val="18"/>
                      <w:szCs w:val="18"/>
                    </w:rPr>
                    <w:t>不属于新增工业废水直排项目</w:t>
                  </w:r>
                </w:p>
              </w:tc>
              <w:tc>
                <w:tcPr>
                  <w:tcW w:w="777" w:type="pct"/>
                  <w:tcBorders>
                    <w:tl2br w:val="nil"/>
                    <w:tr2bl w:val="nil"/>
                  </w:tcBorders>
                  <w:vAlign w:val="center"/>
                </w:tcPr>
                <w:p>
                  <w:pPr>
                    <w:autoSpaceDE w:val="0"/>
                    <w:autoSpaceDN w:val="0"/>
                    <w:snapToGrid w:val="0"/>
                    <w:spacing w:line="276" w:lineRule="auto"/>
                    <w:jc w:val="center"/>
                    <w:rPr>
                      <w:rFonts w:ascii="Times New Roman" w:hAnsi="Times New Roman" w:eastAsia="宋体" w:cs="Times New Roman"/>
                      <w:color w:val="auto"/>
                      <w:sz w:val="18"/>
                      <w:szCs w:val="18"/>
                      <w:lang w:eastAsia="en-US"/>
                    </w:rPr>
                  </w:pPr>
                  <w:r>
                    <w:rPr>
                      <w:rFonts w:ascii="Times New Roman" w:hAnsi="Times New Roman" w:eastAsia="宋体" w:cs="Times New Roman"/>
                      <w:color w:val="auto"/>
                      <w:sz w:val="18"/>
                      <w:szCs w:val="18"/>
                    </w:rPr>
                    <w:t>否</w:t>
                  </w:r>
                </w:p>
              </w:tc>
            </w:tr>
            <w:tr>
              <w:tblPrEx>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CellMar>
                  <w:top w:w="0" w:type="dxa"/>
                  <w:left w:w="108" w:type="dxa"/>
                  <w:bottom w:w="0" w:type="dxa"/>
                  <w:right w:w="108" w:type="dxa"/>
                </w:tblCellMar>
              </w:tblPrEx>
              <w:tc>
                <w:tcPr>
                  <w:tcW w:w="914" w:type="pct"/>
                  <w:tcBorders>
                    <w:tl2br w:val="nil"/>
                    <w:tr2bl w:val="nil"/>
                  </w:tcBorders>
                  <w:vAlign w:val="center"/>
                </w:tcPr>
                <w:p>
                  <w:pPr>
                    <w:autoSpaceDE w:val="0"/>
                    <w:autoSpaceDN w:val="0"/>
                    <w:snapToGrid w:val="0"/>
                    <w:spacing w:line="276" w:lineRule="auto"/>
                    <w:jc w:val="center"/>
                    <w:rPr>
                      <w:rFonts w:ascii="Times New Roman" w:hAnsi="Times New Roman" w:eastAsia="宋体" w:cs="Times New Roman"/>
                      <w:color w:val="auto"/>
                      <w:sz w:val="18"/>
                      <w:szCs w:val="18"/>
                      <w:lang w:eastAsia="en-US"/>
                    </w:rPr>
                  </w:pPr>
                  <w:r>
                    <w:rPr>
                      <w:rFonts w:ascii="Times New Roman" w:hAnsi="Times New Roman" w:eastAsia="宋体" w:cs="Times New Roman"/>
                      <w:color w:val="auto"/>
                      <w:sz w:val="18"/>
                      <w:szCs w:val="18"/>
                    </w:rPr>
                    <w:t>环境风险</w:t>
                  </w:r>
                </w:p>
              </w:tc>
              <w:tc>
                <w:tcPr>
                  <w:tcW w:w="1672" w:type="pct"/>
                  <w:tcBorders>
                    <w:tl2br w:val="nil"/>
                    <w:tr2bl w:val="nil"/>
                  </w:tcBorders>
                  <w:vAlign w:val="center"/>
                </w:tcPr>
                <w:p>
                  <w:pPr>
                    <w:autoSpaceDE w:val="0"/>
                    <w:autoSpaceDN w:val="0"/>
                    <w:snapToGrid w:val="0"/>
                    <w:spacing w:line="276" w:lineRule="auto"/>
                    <w:jc w:val="center"/>
                    <w:rPr>
                      <w:rFonts w:ascii="Times New Roman" w:hAnsi="Times New Roman" w:eastAsia="宋体" w:cs="Times New Roman"/>
                      <w:color w:val="auto"/>
                      <w:sz w:val="18"/>
                      <w:szCs w:val="18"/>
                    </w:rPr>
                  </w:pPr>
                  <w:r>
                    <w:rPr>
                      <w:rFonts w:ascii="Times New Roman" w:hAnsi="Times New Roman" w:eastAsia="宋体" w:cs="Times New Roman"/>
                      <w:color w:val="auto"/>
                      <w:sz w:val="18"/>
                      <w:szCs w:val="18"/>
                    </w:rPr>
                    <w:t>有毒有害和易燃易爆危险物质存储量超过临界量的建设项目</w:t>
                  </w:r>
                </w:p>
              </w:tc>
              <w:tc>
                <w:tcPr>
                  <w:tcW w:w="1636" w:type="pct"/>
                  <w:tcBorders>
                    <w:tl2br w:val="nil"/>
                    <w:tr2bl w:val="nil"/>
                  </w:tcBorders>
                  <w:vAlign w:val="center"/>
                </w:tcPr>
                <w:p>
                  <w:pPr>
                    <w:autoSpaceDE w:val="0"/>
                    <w:autoSpaceDN w:val="0"/>
                    <w:snapToGrid w:val="0"/>
                    <w:spacing w:line="276" w:lineRule="auto"/>
                    <w:jc w:val="center"/>
                    <w:rPr>
                      <w:rFonts w:ascii="Times New Roman" w:hAnsi="Times New Roman" w:eastAsia="宋体" w:cs="Times New Roman"/>
                      <w:color w:val="auto"/>
                      <w:sz w:val="18"/>
                      <w:szCs w:val="18"/>
                    </w:rPr>
                  </w:pPr>
                  <w:r>
                    <w:rPr>
                      <w:rFonts w:ascii="Times New Roman" w:hAnsi="Times New Roman" w:eastAsia="宋体" w:cs="Times New Roman"/>
                      <w:color w:val="auto"/>
                      <w:sz w:val="18"/>
                      <w:szCs w:val="18"/>
                    </w:rPr>
                    <w:t>本项目危险物质储存量未超过临界值</w:t>
                  </w:r>
                </w:p>
              </w:tc>
              <w:tc>
                <w:tcPr>
                  <w:tcW w:w="777" w:type="pct"/>
                  <w:tcBorders>
                    <w:tl2br w:val="nil"/>
                    <w:tr2bl w:val="nil"/>
                  </w:tcBorders>
                  <w:vAlign w:val="center"/>
                </w:tcPr>
                <w:p>
                  <w:pPr>
                    <w:autoSpaceDE w:val="0"/>
                    <w:autoSpaceDN w:val="0"/>
                    <w:snapToGrid w:val="0"/>
                    <w:spacing w:line="276" w:lineRule="auto"/>
                    <w:jc w:val="center"/>
                    <w:rPr>
                      <w:rFonts w:ascii="Times New Roman" w:hAnsi="Times New Roman" w:eastAsia="宋体" w:cs="Times New Roman"/>
                      <w:color w:val="auto"/>
                      <w:sz w:val="18"/>
                      <w:szCs w:val="18"/>
                      <w:lang w:eastAsia="en-US"/>
                    </w:rPr>
                  </w:pPr>
                  <w:r>
                    <w:rPr>
                      <w:rFonts w:ascii="Times New Roman" w:hAnsi="Times New Roman" w:eastAsia="宋体" w:cs="Times New Roman"/>
                      <w:color w:val="auto"/>
                      <w:sz w:val="18"/>
                      <w:szCs w:val="18"/>
                    </w:rPr>
                    <w:t>否</w:t>
                  </w:r>
                </w:p>
              </w:tc>
            </w:tr>
            <w:tr>
              <w:tblPrEx>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CellMar>
                  <w:top w:w="0" w:type="dxa"/>
                  <w:left w:w="108" w:type="dxa"/>
                  <w:bottom w:w="0" w:type="dxa"/>
                  <w:right w:w="108" w:type="dxa"/>
                </w:tblCellMar>
              </w:tblPrEx>
              <w:tc>
                <w:tcPr>
                  <w:tcW w:w="914" w:type="pct"/>
                  <w:tcBorders>
                    <w:tl2br w:val="nil"/>
                    <w:tr2bl w:val="nil"/>
                  </w:tcBorders>
                  <w:vAlign w:val="center"/>
                </w:tcPr>
                <w:p>
                  <w:pPr>
                    <w:autoSpaceDE w:val="0"/>
                    <w:autoSpaceDN w:val="0"/>
                    <w:snapToGrid w:val="0"/>
                    <w:spacing w:line="276" w:lineRule="auto"/>
                    <w:jc w:val="center"/>
                    <w:rPr>
                      <w:rFonts w:ascii="Times New Roman" w:hAnsi="Times New Roman" w:eastAsia="宋体" w:cs="Times New Roman"/>
                      <w:color w:val="auto"/>
                      <w:sz w:val="18"/>
                      <w:szCs w:val="18"/>
                      <w:lang w:eastAsia="en-US"/>
                    </w:rPr>
                  </w:pPr>
                  <w:r>
                    <w:rPr>
                      <w:rFonts w:ascii="Times New Roman" w:hAnsi="Times New Roman" w:eastAsia="宋体" w:cs="Times New Roman"/>
                      <w:color w:val="auto"/>
                      <w:sz w:val="18"/>
                      <w:szCs w:val="18"/>
                    </w:rPr>
                    <w:t>生态</w:t>
                  </w:r>
                </w:p>
              </w:tc>
              <w:tc>
                <w:tcPr>
                  <w:tcW w:w="1672" w:type="pct"/>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rPr>
                  </w:pPr>
                  <w:r>
                    <w:rPr>
                      <w:rFonts w:ascii="Times New Roman" w:hAnsi="Times New Roman" w:eastAsia="宋体" w:cs="Times New Roman"/>
                      <w:color w:val="auto"/>
                      <w:sz w:val="18"/>
                      <w:szCs w:val="18"/>
                    </w:rPr>
                    <w:t>取水口下游500米范围内有重要水生生物的自然产卵场、索饵场、越冬场和洄游通道的新增河道取水的污染类建设项目</w:t>
                  </w:r>
                </w:p>
              </w:tc>
              <w:tc>
                <w:tcPr>
                  <w:tcW w:w="1636" w:type="pct"/>
                  <w:tcBorders>
                    <w:tl2br w:val="nil"/>
                    <w:tr2bl w:val="nil"/>
                  </w:tcBorders>
                  <w:vAlign w:val="center"/>
                </w:tcPr>
                <w:p>
                  <w:pPr>
                    <w:autoSpaceDE w:val="0"/>
                    <w:autoSpaceDN w:val="0"/>
                    <w:snapToGrid w:val="0"/>
                    <w:spacing w:line="276" w:lineRule="auto"/>
                    <w:jc w:val="center"/>
                    <w:rPr>
                      <w:rFonts w:ascii="Times New Roman" w:hAnsi="Times New Roman" w:eastAsia="宋体" w:cs="Times New Roman"/>
                      <w:color w:val="auto"/>
                      <w:sz w:val="18"/>
                      <w:szCs w:val="18"/>
                    </w:rPr>
                  </w:pPr>
                  <w:r>
                    <w:rPr>
                      <w:rFonts w:ascii="Times New Roman" w:hAnsi="Times New Roman" w:eastAsia="宋体" w:cs="Times New Roman"/>
                      <w:color w:val="auto"/>
                      <w:sz w:val="18"/>
                      <w:szCs w:val="18"/>
                    </w:rPr>
                    <w:t>不涉及</w:t>
                  </w:r>
                </w:p>
              </w:tc>
              <w:tc>
                <w:tcPr>
                  <w:tcW w:w="777" w:type="pct"/>
                  <w:tcBorders>
                    <w:tl2br w:val="nil"/>
                    <w:tr2bl w:val="nil"/>
                  </w:tcBorders>
                  <w:vAlign w:val="center"/>
                </w:tcPr>
                <w:p>
                  <w:pPr>
                    <w:autoSpaceDE w:val="0"/>
                    <w:autoSpaceDN w:val="0"/>
                    <w:snapToGrid w:val="0"/>
                    <w:spacing w:line="276" w:lineRule="auto"/>
                    <w:jc w:val="center"/>
                    <w:rPr>
                      <w:rFonts w:ascii="Times New Roman" w:hAnsi="Times New Roman" w:eastAsia="宋体" w:cs="Times New Roman"/>
                      <w:color w:val="auto"/>
                      <w:sz w:val="18"/>
                      <w:szCs w:val="18"/>
                      <w:lang w:eastAsia="en-US"/>
                    </w:rPr>
                  </w:pPr>
                  <w:r>
                    <w:rPr>
                      <w:rFonts w:ascii="Times New Roman" w:hAnsi="Times New Roman" w:eastAsia="宋体" w:cs="Times New Roman"/>
                      <w:color w:val="auto"/>
                      <w:sz w:val="18"/>
                      <w:szCs w:val="18"/>
                    </w:rPr>
                    <w:t>否</w:t>
                  </w:r>
                </w:p>
              </w:tc>
            </w:tr>
            <w:tr>
              <w:tblPrEx>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CellMar>
                  <w:top w:w="0" w:type="dxa"/>
                  <w:left w:w="108" w:type="dxa"/>
                  <w:bottom w:w="0" w:type="dxa"/>
                  <w:right w:w="108" w:type="dxa"/>
                </w:tblCellMar>
              </w:tblPrEx>
              <w:tc>
                <w:tcPr>
                  <w:tcW w:w="914" w:type="pct"/>
                  <w:tcBorders>
                    <w:tl2br w:val="nil"/>
                    <w:tr2bl w:val="nil"/>
                  </w:tcBorders>
                  <w:vAlign w:val="center"/>
                </w:tcPr>
                <w:p>
                  <w:pPr>
                    <w:autoSpaceDE w:val="0"/>
                    <w:autoSpaceDN w:val="0"/>
                    <w:snapToGrid w:val="0"/>
                    <w:spacing w:line="276" w:lineRule="auto"/>
                    <w:jc w:val="center"/>
                    <w:rPr>
                      <w:rFonts w:ascii="Times New Roman" w:hAnsi="Times New Roman" w:eastAsia="宋体" w:cs="Times New Roman"/>
                      <w:color w:val="auto"/>
                      <w:sz w:val="18"/>
                      <w:szCs w:val="18"/>
                      <w:lang w:eastAsia="en-US"/>
                    </w:rPr>
                  </w:pPr>
                  <w:r>
                    <w:rPr>
                      <w:rFonts w:ascii="Times New Roman" w:hAnsi="Times New Roman" w:eastAsia="宋体" w:cs="Times New Roman"/>
                      <w:color w:val="auto"/>
                      <w:sz w:val="18"/>
                      <w:szCs w:val="18"/>
                    </w:rPr>
                    <w:t>海洋</w:t>
                  </w:r>
                </w:p>
              </w:tc>
              <w:tc>
                <w:tcPr>
                  <w:tcW w:w="1672" w:type="pct"/>
                  <w:tcBorders>
                    <w:tl2br w:val="nil"/>
                    <w:tr2bl w:val="nil"/>
                  </w:tcBorders>
                  <w:vAlign w:val="center"/>
                </w:tcPr>
                <w:p>
                  <w:pPr>
                    <w:autoSpaceDE w:val="0"/>
                    <w:autoSpaceDN w:val="0"/>
                    <w:snapToGrid w:val="0"/>
                    <w:spacing w:line="276" w:lineRule="auto"/>
                    <w:jc w:val="center"/>
                    <w:rPr>
                      <w:rFonts w:ascii="Times New Roman" w:hAnsi="Times New Roman" w:eastAsia="宋体" w:cs="Times New Roman"/>
                      <w:color w:val="auto"/>
                      <w:sz w:val="18"/>
                      <w:szCs w:val="18"/>
                    </w:rPr>
                  </w:pPr>
                  <w:r>
                    <w:rPr>
                      <w:rFonts w:ascii="Times New Roman" w:hAnsi="Times New Roman" w:eastAsia="宋体" w:cs="Times New Roman"/>
                      <w:color w:val="auto"/>
                      <w:sz w:val="18"/>
                      <w:szCs w:val="18"/>
                    </w:rPr>
                    <w:t>直接向海排放污染物的海洋工程建设项目</w:t>
                  </w:r>
                </w:p>
              </w:tc>
              <w:tc>
                <w:tcPr>
                  <w:tcW w:w="1636" w:type="pct"/>
                  <w:tcBorders>
                    <w:tl2br w:val="nil"/>
                    <w:tr2bl w:val="nil"/>
                  </w:tcBorders>
                  <w:vAlign w:val="center"/>
                </w:tcPr>
                <w:p>
                  <w:pPr>
                    <w:autoSpaceDE w:val="0"/>
                    <w:autoSpaceDN w:val="0"/>
                    <w:snapToGrid w:val="0"/>
                    <w:spacing w:line="276" w:lineRule="auto"/>
                    <w:jc w:val="center"/>
                    <w:rPr>
                      <w:rFonts w:ascii="Times New Roman" w:hAnsi="Times New Roman" w:eastAsia="宋体" w:cs="Times New Roman"/>
                      <w:b/>
                      <w:color w:val="auto"/>
                      <w:sz w:val="18"/>
                      <w:szCs w:val="18"/>
                    </w:rPr>
                  </w:pPr>
                  <w:r>
                    <w:rPr>
                      <w:rFonts w:ascii="Times New Roman" w:hAnsi="Times New Roman" w:eastAsia="宋体" w:cs="Times New Roman"/>
                      <w:color w:val="auto"/>
                      <w:sz w:val="18"/>
                      <w:szCs w:val="18"/>
                    </w:rPr>
                    <w:t>不涉及</w:t>
                  </w:r>
                </w:p>
              </w:tc>
              <w:tc>
                <w:tcPr>
                  <w:tcW w:w="777" w:type="pct"/>
                  <w:tcBorders>
                    <w:tl2br w:val="nil"/>
                    <w:tr2bl w:val="nil"/>
                  </w:tcBorders>
                  <w:vAlign w:val="center"/>
                </w:tcPr>
                <w:p>
                  <w:pPr>
                    <w:autoSpaceDE w:val="0"/>
                    <w:autoSpaceDN w:val="0"/>
                    <w:snapToGrid w:val="0"/>
                    <w:spacing w:line="276" w:lineRule="auto"/>
                    <w:jc w:val="center"/>
                    <w:rPr>
                      <w:rFonts w:ascii="Times New Roman" w:hAnsi="Times New Roman" w:eastAsia="宋体" w:cs="Times New Roman"/>
                      <w:color w:val="auto"/>
                      <w:sz w:val="18"/>
                      <w:szCs w:val="18"/>
                    </w:rPr>
                  </w:pPr>
                  <w:r>
                    <w:rPr>
                      <w:rFonts w:ascii="Times New Roman" w:hAnsi="Times New Roman" w:eastAsia="宋体" w:cs="Times New Roman"/>
                      <w:color w:val="auto"/>
                      <w:sz w:val="18"/>
                      <w:szCs w:val="18"/>
                    </w:rPr>
                    <w:t>否</w:t>
                  </w:r>
                </w:p>
              </w:tc>
            </w:tr>
          </w:tbl>
          <w:p>
            <w:pPr>
              <w:autoSpaceDE w:val="0"/>
              <w:autoSpaceDN w:val="0"/>
              <w:snapToGrid w:val="0"/>
              <w:spacing w:line="276" w:lineRule="auto"/>
              <w:jc w:val="center"/>
              <w:rPr>
                <w:rFonts w:ascii="Times New Roman" w:hAnsi="Times New Roman" w:eastAsia="宋体" w:cs="Times New Roman"/>
                <w:color w:val="auto"/>
                <w:spacing w:val="-2"/>
                <w:kern w:val="0"/>
                <w:sz w:val="24"/>
                <w:szCs w:val="24"/>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084" w:type="dxa"/>
            <w:vAlign w:val="center"/>
          </w:tcPr>
          <w:p>
            <w:pPr>
              <w:autoSpaceDE w:val="0"/>
              <w:autoSpaceDN w:val="0"/>
              <w:snapToGrid w:val="0"/>
              <w:spacing w:line="276" w:lineRule="auto"/>
              <w:jc w:val="center"/>
              <w:rPr>
                <w:rFonts w:ascii="Times New Roman" w:hAnsi="Times New Roman" w:eastAsia="宋体" w:cs="Times New Roman"/>
                <w:color w:val="auto"/>
                <w:kern w:val="0"/>
                <w:sz w:val="24"/>
                <w:szCs w:val="24"/>
              </w:rPr>
            </w:pPr>
            <w:r>
              <w:rPr>
                <w:rFonts w:ascii="Times New Roman" w:hAnsi="Times New Roman" w:eastAsia="宋体" w:cs="Times New Roman"/>
                <w:color w:val="auto"/>
                <w:sz w:val="24"/>
                <w:szCs w:val="24"/>
              </w:rPr>
              <w:t>规划情况</w:t>
            </w:r>
          </w:p>
        </w:tc>
        <w:tc>
          <w:tcPr>
            <w:tcW w:w="7788" w:type="dxa"/>
            <w:gridSpan w:val="3"/>
            <w:vAlign w:val="center"/>
          </w:tcPr>
          <w:p>
            <w:pPr>
              <w:autoSpaceDE w:val="0"/>
              <w:autoSpaceDN w:val="0"/>
              <w:snapToGrid w:val="0"/>
              <w:spacing w:line="276" w:lineRule="auto"/>
              <w:jc w:val="center"/>
              <w:rPr>
                <w:rFonts w:ascii="Times New Roman" w:hAnsi="Times New Roman" w:eastAsia="宋体" w:cs="Times New Roman"/>
                <w:color w:val="auto"/>
                <w:sz w:val="24"/>
              </w:rPr>
            </w:pPr>
            <w:r>
              <w:rPr>
                <w:rFonts w:ascii="Times New Roman" w:hAnsi="Times New Roman" w:eastAsia="宋体" w:cs="Times New Roman"/>
                <w:color w:val="auto"/>
                <w:sz w:val="24"/>
              </w:rPr>
              <w:t>无</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084" w:type="dxa"/>
            <w:vAlign w:val="center"/>
          </w:tcPr>
          <w:p>
            <w:pPr>
              <w:snapToGrid w:val="0"/>
              <w:spacing w:line="276" w:lineRule="auto"/>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规划环境影响</w:t>
            </w:r>
          </w:p>
          <w:p>
            <w:pPr>
              <w:snapToGrid w:val="0"/>
              <w:spacing w:line="276" w:lineRule="auto"/>
              <w:jc w:val="center"/>
              <w:rPr>
                <w:rFonts w:ascii="Times New Roman" w:hAnsi="Times New Roman" w:eastAsia="宋体" w:cs="Times New Roman"/>
                <w:color w:val="auto"/>
                <w:kern w:val="0"/>
                <w:sz w:val="24"/>
                <w:szCs w:val="24"/>
              </w:rPr>
            </w:pPr>
            <w:r>
              <w:rPr>
                <w:rFonts w:ascii="Times New Roman" w:hAnsi="Times New Roman" w:eastAsia="宋体" w:cs="Times New Roman"/>
                <w:color w:val="auto"/>
                <w:sz w:val="24"/>
                <w:szCs w:val="24"/>
              </w:rPr>
              <w:t>评价情况</w:t>
            </w:r>
          </w:p>
        </w:tc>
        <w:tc>
          <w:tcPr>
            <w:tcW w:w="7788" w:type="dxa"/>
            <w:gridSpan w:val="3"/>
            <w:vAlign w:val="center"/>
          </w:tcPr>
          <w:p>
            <w:pPr>
              <w:autoSpaceDE w:val="0"/>
              <w:autoSpaceDN w:val="0"/>
              <w:snapToGrid w:val="0"/>
              <w:spacing w:line="276" w:lineRule="auto"/>
              <w:jc w:val="center"/>
              <w:rPr>
                <w:rFonts w:ascii="Times New Roman" w:hAnsi="Times New Roman" w:eastAsia="宋体" w:cs="Times New Roman"/>
                <w:color w:val="auto"/>
                <w:sz w:val="24"/>
              </w:rPr>
            </w:pPr>
            <w:r>
              <w:rPr>
                <w:rFonts w:ascii="Times New Roman" w:hAnsi="Times New Roman" w:eastAsia="宋体" w:cs="Times New Roman"/>
                <w:color w:val="auto"/>
                <w:sz w:val="24"/>
              </w:rPr>
              <w:t>无</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084" w:type="dxa"/>
            <w:vAlign w:val="center"/>
          </w:tcPr>
          <w:p>
            <w:pPr>
              <w:autoSpaceDE w:val="0"/>
              <w:autoSpaceDN w:val="0"/>
              <w:snapToGrid w:val="0"/>
              <w:spacing w:line="276" w:lineRule="auto"/>
              <w:jc w:val="center"/>
              <w:rPr>
                <w:rFonts w:ascii="Times New Roman" w:hAnsi="Times New Roman" w:eastAsia="宋体" w:cs="Times New Roman"/>
                <w:color w:val="auto"/>
                <w:kern w:val="0"/>
                <w:sz w:val="24"/>
                <w:szCs w:val="24"/>
              </w:rPr>
            </w:pPr>
            <w:r>
              <w:rPr>
                <w:rFonts w:ascii="Times New Roman" w:hAnsi="Times New Roman" w:eastAsia="宋体" w:cs="Times New Roman"/>
                <w:color w:val="auto"/>
                <w:kern w:val="0"/>
                <w:sz w:val="24"/>
                <w:szCs w:val="24"/>
              </w:rPr>
              <w:t>规划及规划环境影响评价符合性分析</w:t>
            </w:r>
          </w:p>
        </w:tc>
        <w:tc>
          <w:tcPr>
            <w:tcW w:w="7788" w:type="dxa"/>
            <w:gridSpan w:val="3"/>
            <w:vAlign w:val="center"/>
          </w:tcPr>
          <w:p>
            <w:pPr>
              <w:autoSpaceDE w:val="0"/>
              <w:autoSpaceDN w:val="0"/>
              <w:snapToGrid w:val="0"/>
              <w:spacing w:line="276" w:lineRule="auto"/>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无</w:t>
            </w:r>
          </w:p>
        </w:tc>
      </w:tr>
    </w:tbl>
    <w:p>
      <w:pPr>
        <w:rPr>
          <w:rFonts w:ascii="Times New Roman" w:hAnsi="Times New Roman" w:eastAsia="宋体" w:cs="Times New Roman"/>
        </w:rPr>
        <w:sectPr>
          <w:headerReference r:id="rId3" w:type="default"/>
          <w:footerReference r:id="rId5" w:type="default"/>
          <w:headerReference r:id="rId4" w:type="even"/>
          <w:pgSz w:w="11906" w:h="16838"/>
          <w:pgMar w:top="1701" w:right="1531" w:bottom="1701" w:left="1531" w:header="851" w:footer="992" w:gutter="0"/>
          <w:pgBorders>
            <w:top w:val="none" w:sz="0" w:space="0"/>
            <w:left w:val="none" w:sz="0" w:space="0"/>
            <w:bottom w:val="none" w:sz="0" w:space="0"/>
            <w:right w:val="none" w:sz="0" w:space="0"/>
          </w:pgBorders>
          <w:cols w:space="425" w:num="1"/>
          <w:docGrid w:type="lines" w:linePitch="312" w:charSpace="0"/>
        </w:sectPr>
      </w:pPr>
    </w:p>
    <w:tbl>
      <w:tblPr>
        <w:tblStyle w:val="17"/>
        <w:tblW w:w="8872"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781"/>
        <w:gridCol w:w="8091"/>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021" w:hRule="atLeast"/>
          <w:jc w:val="center"/>
        </w:trPr>
        <w:tc>
          <w:tcPr>
            <w:tcW w:w="781" w:type="dxa"/>
            <w:vAlign w:val="center"/>
          </w:tcPr>
          <w:p>
            <w:pPr>
              <w:autoSpaceDE w:val="0"/>
              <w:autoSpaceDN w:val="0"/>
              <w:spacing w:line="360" w:lineRule="auto"/>
              <w:jc w:val="center"/>
              <w:rPr>
                <w:rFonts w:ascii="Times New Roman" w:hAnsi="Times New Roman" w:eastAsia="宋体" w:cs="Times New Roman"/>
                <w:kern w:val="0"/>
                <w:sz w:val="24"/>
                <w:szCs w:val="24"/>
              </w:rPr>
            </w:pPr>
            <w:r>
              <w:rPr>
                <w:rFonts w:ascii="Times New Roman" w:hAnsi="Times New Roman" w:eastAsia="宋体" w:cs="Times New Roman"/>
                <w:kern w:val="0"/>
                <w:sz w:val="24"/>
                <w:szCs w:val="24"/>
              </w:rPr>
              <w:t>其他符合性</w:t>
            </w:r>
          </w:p>
          <w:p>
            <w:pPr>
              <w:autoSpaceDE w:val="0"/>
              <w:autoSpaceDN w:val="0"/>
              <w:spacing w:line="360" w:lineRule="auto"/>
              <w:jc w:val="center"/>
              <w:rPr>
                <w:rFonts w:ascii="Times New Roman" w:hAnsi="Times New Roman" w:eastAsia="宋体" w:cs="Times New Roman"/>
                <w:kern w:val="0"/>
                <w:sz w:val="24"/>
                <w:szCs w:val="24"/>
              </w:rPr>
            </w:pPr>
            <w:r>
              <w:rPr>
                <w:rFonts w:ascii="Times New Roman" w:hAnsi="Times New Roman" w:eastAsia="宋体" w:cs="Times New Roman"/>
                <w:kern w:val="0"/>
                <w:sz w:val="24"/>
                <w:szCs w:val="24"/>
              </w:rPr>
              <w:t>分析</w:t>
            </w:r>
          </w:p>
        </w:tc>
        <w:tc>
          <w:tcPr>
            <w:tcW w:w="8091" w:type="dxa"/>
            <w:vAlign w:val="center"/>
          </w:tcPr>
          <w:p>
            <w:pPr>
              <w:snapToGrid w:val="0"/>
              <w:spacing w:line="360" w:lineRule="auto"/>
              <w:ind w:firstLine="482" w:firstLineChars="200"/>
              <w:rPr>
                <w:rFonts w:ascii="Times New Roman" w:hAnsi="Times New Roman" w:eastAsia="宋体" w:cs="Times New Roman"/>
                <w:b/>
                <w:kern w:val="0"/>
                <w:sz w:val="24"/>
                <w:szCs w:val="24"/>
              </w:rPr>
            </w:pPr>
            <w:r>
              <w:rPr>
                <w:rFonts w:ascii="Times New Roman" w:hAnsi="Times New Roman" w:eastAsia="宋体" w:cs="Times New Roman"/>
                <w:b/>
                <w:kern w:val="0"/>
                <w:sz w:val="24"/>
                <w:szCs w:val="24"/>
              </w:rPr>
              <w:t>1、产业政策符合性分析</w:t>
            </w:r>
          </w:p>
          <w:p>
            <w:pPr>
              <w:snapToGrid w:val="0"/>
              <w:spacing w:line="360" w:lineRule="auto"/>
              <w:ind w:firstLine="480" w:firstLineChars="200"/>
              <w:rPr>
                <w:rFonts w:ascii="Times New Roman" w:hAnsi="Times New Roman" w:eastAsia="宋体" w:cs="Times New Roman"/>
                <w:color w:val="000000" w:themeColor="text1"/>
                <w:kern w:val="0"/>
                <w:sz w:val="24"/>
                <w:szCs w:val="24"/>
              </w:rPr>
            </w:pPr>
            <w:r>
              <w:rPr>
                <w:rFonts w:ascii="Times New Roman" w:hAnsi="Times New Roman" w:eastAsia="宋体" w:cs="Times New Roman"/>
                <w:bCs/>
                <w:sz w:val="24"/>
              </w:rPr>
              <w:t>本项目属于</w:t>
            </w:r>
            <w:r>
              <w:rPr>
                <w:rFonts w:ascii="Times New Roman" w:hAnsi="Times New Roman" w:eastAsia="宋体" w:cs="Times New Roman"/>
                <w:sz w:val="24"/>
              </w:rPr>
              <w:t>C3599其他专用设备制造</w:t>
            </w:r>
            <w:r>
              <w:rPr>
                <w:rFonts w:ascii="Times New Roman" w:hAnsi="Times New Roman" w:eastAsia="宋体" w:cs="Times New Roman"/>
                <w:bCs/>
                <w:sz w:val="24"/>
              </w:rPr>
              <w:t>，年加工10000台自动售货机及智能垃圾分类箱。根据国家产业政策，查阅《产业结构调整指导目录(2024年本)》，本项目不属于限制类或淘汰类项目，视为允许建设项目</w:t>
            </w:r>
            <w:r>
              <w:rPr>
                <w:rFonts w:ascii="Times New Roman" w:hAnsi="Times New Roman" w:eastAsia="宋体" w:cs="Times New Roman"/>
                <w:kern w:val="0"/>
                <w:sz w:val="24"/>
                <w:szCs w:val="24"/>
              </w:rPr>
              <w:t>。</w:t>
            </w:r>
            <w:r>
              <w:rPr>
                <w:rFonts w:ascii="Times New Roman" w:hAnsi="Times New Roman" w:eastAsia="宋体" w:cs="Times New Roman"/>
                <w:bCs/>
                <w:color w:val="000000" w:themeColor="text1"/>
                <w:sz w:val="24"/>
              </w:rPr>
              <w:t>同时，</w:t>
            </w:r>
            <w:r>
              <w:rPr>
                <w:rFonts w:ascii="Times New Roman" w:hAnsi="Times New Roman" w:eastAsia="宋体" w:cs="Times New Roman"/>
                <w:color w:val="000000" w:themeColor="text1"/>
                <w:kern w:val="0"/>
                <w:sz w:val="24"/>
                <w:szCs w:val="24"/>
              </w:rPr>
              <w:t>项目已取得淮南市八公山区发展和改革委员会项目备案表，项目代码为：</w:t>
            </w:r>
            <w:r>
              <w:rPr>
                <w:rFonts w:ascii="Times New Roman" w:hAnsi="Times New Roman" w:eastAsia="宋体" w:cs="Times New Roman"/>
                <w:sz w:val="24"/>
                <w:szCs w:val="24"/>
              </w:rPr>
              <w:t>2309-340405-04-01-228143</w:t>
            </w:r>
            <w:r>
              <w:rPr>
                <w:rFonts w:ascii="Times New Roman" w:hAnsi="Times New Roman" w:eastAsia="宋体" w:cs="Times New Roman"/>
                <w:color w:val="000000" w:themeColor="text1"/>
                <w:kern w:val="0"/>
                <w:sz w:val="24"/>
                <w:szCs w:val="24"/>
              </w:rPr>
              <w:t>。因此，本项目建设符合国家产业政策要求。</w:t>
            </w:r>
          </w:p>
          <w:p>
            <w:pPr>
              <w:snapToGrid w:val="0"/>
              <w:spacing w:line="360" w:lineRule="auto"/>
              <w:ind w:firstLine="482" w:firstLineChars="200"/>
              <w:rPr>
                <w:rFonts w:ascii="Times New Roman" w:hAnsi="Times New Roman" w:eastAsia="宋体" w:cs="Times New Roman"/>
                <w:b/>
                <w:kern w:val="0"/>
                <w:sz w:val="24"/>
                <w:szCs w:val="24"/>
              </w:rPr>
            </w:pPr>
            <w:r>
              <w:rPr>
                <w:rFonts w:ascii="Times New Roman" w:hAnsi="Times New Roman" w:eastAsia="宋体" w:cs="Times New Roman"/>
                <w:b/>
                <w:kern w:val="0"/>
                <w:sz w:val="24"/>
                <w:szCs w:val="24"/>
              </w:rPr>
              <w:t>2、用地性质符合性分析</w:t>
            </w:r>
          </w:p>
          <w:p>
            <w:pPr>
              <w:snapToGrid w:val="0"/>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color w:val="000000" w:themeColor="text1"/>
                <w:kern w:val="0"/>
                <w:sz w:val="24"/>
                <w:szCs w:val="24"/>
              </w:rPr>
              <w:t>本项目位于</w:t>
            </w:r>
            <w:r>
              <w:rPr>
                <w:rFonts w:ascii="Times New Roman" w:hAnsi="Times New Roman" w:eastAsia="宋体" w:cs="Times New Roman"/>
                <w:sz w:val="24"/>
              </w:rPr>
              <w:t>安徽省淮南市八公山区毕家岗街道新建社区，</w:t>
            </w:r>
            <w:r>
              <w:rPr>
                <w:rFonts w:ascii="Times New Roman" w:hAnsi="Times New Roman" w:eastAsia="宋体" w:cs="Times New Roman"/>
                <w:kern w:val="0"/>
                <w:sz w:val="24"/>
                <w:szCs w:val="24"/>
              </w:rPr>
              <w:t>租赁淮南中兴实业有限责任公司的现有厂区（详见附件2租赁协议）</w:t>
            </w:r>
            <w:r>
              <w:rPr>
                <w:rFonts w:ascii="Times New Roman" w:hAnsi="Times New Roman" w:eastAsia="宋体" w:cs="Times New Roman"/>
                <w:sz w:val="24"/>
              </w:rPr>
              <w:t>，本项目所在区域土地用途为工业。</w:t>
            </w:r>
          </w:p>
          <w:p>
            <w:pPr>
              <w:spacing w:line="360" w:lineRule="auto"/>
              <w:ind w:firstLine="482" w:firstLineChars="200"/>
              <w:rPr>
                <w:rFonts w:ascii="Times New Roman" w:hAnsi="Times New Roman" w:eastAsia="宋体" w:cs="Times New Roman"/>
                <w:b/>
                <w:kern w:val="0"/>
                <w:sz w:val="24"/>
                <w:szCs w:val="24"/>
              </w:rPr>
            </w:pPr>
            <w:r>
              <w:rPr>
                <w:rFonts w:ascii="Times New Roman" w:hAnsi="Times New Roman" w:eastAsia="宋体" w:cs="Times New Roman"/>
                <w:b/>
                <w:kern w:val="0"/>
                <w:sz w:val="24"/>
                <w:szCs w:val="24"/>
              </w:rPr>
              <w:t>3、</w:t>
            </w:r>
            <w:r>
              <w:rPr>
                <w:rFonts w:ascii="Times New Roman" w:hAnsi="Times New Roman" w:eastAsia="宋体" w:cs="Times New Roman"/>
                <w:b/>
                <w:sz w:val="24"/>
              </w:rPr>
              <w:t>“三线一单”符合性分析</w:t>
            </w:r>
          </w:p>
          <w:p>
            <w:pPr>
              <w:spacing w:line="324" w:lineRule="auto"/>
              <w:ind w:firstLine="480" w:firstLineChars="200"/>
              <w:rPr>
                <w:rFonts w:ascii="Times New Roman" w:hAnsi="Times New Roman" w:eastAsia="宋体" w:cs="Times New Roman"/>
                <w:kern w:val="0"/>
                <w:sz w:val="24"/>
                <w:szCs w:val="28"/>
              </w:rPr>
            </w:pPr>
            <w:r>
              <w:rPr>
                <w:rFonts w:ascii="Times New Roman" w:hAnsi="Times New Roman" w:eastAsia="宋体" w:cs="Times New Roman"/>
                <w:kern w:val="0"/>
                <w:sz w:val="24"/>
                <w:szCs w:val="28"/>
              </w:rPr>
              <w:t>（1）环境分区管控</w:t>
            </w:r>
          </w:p>
          <w:p>
            <w:pPr>
              <w:pStyle w:val="60"/>
              <w:ind w:firstLine="480"/>
              <w:jc w:val="left"/>
              <w:rPr>
                <w:rFonts w:ascii="Times New Roman" w:hAnsi="Times New Roman" w:cs="Times New Roman"/>
                <w:kern w:val="0"/>
                <w:szCs w:val="24"/>
              </w:rPr>
            </w:pPr>
            <w:r>
              <w:rPr>
                <w:rFonts w:ascii="Times New Roman" w:hAnsi="Times New Roman" w:cs="Times New Roman"/>
                <w:kern w:val="0"/>
              </w:rPr>
              <w:t>根据淮南市“三线一单”图集中淮南市环境管控单元图可知，本项目属于一般管控单元，不涉及生态保护红线，详见附图</w:t>
            </w:r>
            <w:r>
              <w:rPr>
                <w:rFonts w:hint="eastAsia" w:ascii="Times New Roman" w:hAnsi="Times New Roman" w:cs="Times New Roman"/>
                <w:kern w:val="0"/>
              </w:rPr>
              <w:t>5</w:t>
            </w:r>
            <w:r>
              <w:rPr>
                <w:rFonts w:ascii="Times New Roman" w:hAnsi="Times New Roman" w:cs="Times New Roman"/>
                <w:kern w:val="0"/>
              </w:rPr>
              <w:t>、</w:t>
            </w:r>
            <w:r>
              <w:rPr>
                <w:rFonts w:hint="eastAsia" w:ascii="Times New Roman" w:hAnsi="Times New Roman" w:cs="Times New Roman"/>
                <w:kern w:val="0"/>
              </w:rPr>
              <w:t>9</w:t>
            </w:r>
            <w:r>
              <w:rPr>
                <w:rFonts w:ascii="Times New Roman" w:hAnsi="Times New Roman" w:cs="Times New Roman"/>
                <w:kern w:val="0"/>
              </w:rPr>
              <w:t>。</w:t>
            </w:r>
          </w:p>
          <w:p>
            <w:pPr>
              <w:pStyle w:val="60"/>
              <w:ind w:firstLine="480"/>
              <w:rPr>
                <w:rFonts w:ascii="Times New Roman" w:hAnsi="Times New Roman" w:cs="Times New Roman"/>
                <w:kern w:val="0"/>
                <w:szCs w:val="24"/>
              </w:rPr>
            </w:pPr>
            <w:r>
              <w:rPr>
                <w:rFonts w:ascii="Times New Roman" w:hAnsi="Times New Roman" w:cs="Times New Roman"/>
                <w:kern w:val="0"/>
                <w:szCs w:val="24"/>
              </w:rPr>
              <w:t>（2）大气环境管控分区管控要求</w:t>
            </w:r>
          </w:p>
          <w:p>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kern w:val="0"/>
                <w:sz w:val="24"/>
                <w:szCs w:val="24"/>
              </w:rPr>
              <w:t>根据淮南市“三线一单”图集中淮南市大气环境分区管控单元图可知，本项目属于一般管控区，详见附图</w:t>
            </w:r>
            <w:r>
              <w:rPr>
                <w:rFonts w:hint="eastAsia" w:ascii="Times New Roman" w:hAnsi="Times New Roman" w:eastAsia="宋体" w:cs="Times New Roman"/>
                <w:kern w:val="0"/>
                <w:sz w:val="24"/>
                <w:szCs w:val="24"/>
              </w:rPr>
              <w:t>6</w:t>
            </w:r>
            <w:r>
              <w:rPr>
                <w:rFonts w:ascii="Times New Roman" w:hAnsi="Times New Roman" w:eastAsia="宋体" w:cs="Times New Roman"/>
                <w:kern w:val="0"/>
                <w:sz w:val="24"/>
                <w:szCs w:val="24"/>
              </w:rPr>
              <w:t>。</w:t>
            </w:r>
          </w:p>
          <w:p>
            <w:pPr>
              <w:autoSpaceDE w:val="0"/>
              <w:autoSpaceDN w:val="0"/>
              <w:adjustRightInd w:val="0"/>
              <w:snapToGrid w:val="0"/>
              <w:jc w:val="center"/>
              <w:rPr>
                <w:rFonts w:ascii="Times New Roman" w:hAnsi="Times New Roman" w:eastAsia="黑体" w:cs="Times New Roman"/>
                <w:sz w:val="24"/>
              </w:rPr>
            </w:pPr>
            <w:r>
              <w:rPr>
                <w:rFonts w:ascii="Times New Roman" w:hAnsi="Times New Roman" w:eastAsia="黑体" w:cs="Times New Roman"/>
                <w:sz w:val="24"/>
              </w:rPr>
              <w:t>表1-2  与大气环境分区管控要求的协调性分析</w:t>
            </w:r>
          </w:p>
          <w:tbl>
            <w:tblPr>
              <w:tblStyle w:val="17"/>
              <w:tblW w:w="5000" w:type="pct"/>
              <w:tblInd w:w="0" w:type="dxa"/>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autofit"/>
              <w:tblCellMar>
                <w:top w:w="0" w:type="dxa"/>
                <w:left w:w="108" w:type="dxa"/>
                <w:bottom w:w="0" w:type="dxa"/>
                <w:right w:w="108" w:type="dxa"/>
              </w:tblCellMar>
            </w:tblPr>
            <w:tblGrid>
              <w:gridCol w:w="1549"/>
              <w:gridCol w:w="4021"/>
              <w:gridCol w:w="2305"/>
            </w:tblGrid>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983" w:type="pct"/>
                  <w:tcBorders>
                    <w:top w:val="single" w:color="auto" w:sz="12" w:space="0"/>
                    <w:left w:val="nil"/>
                    <w:bottom w:val="single" w:color="auto" w:sz="6" w:space="0"/>
                    <w:right w:val="single" w:color="auto" w:sz="6" w:space="0"/>
                  </w:tcBorders>
                  <w:vAlign w:val="center"/>
                </w:tcPr>
                <w:p>
                  <w:pPr>
                    <w:snapToGrid w:val="0"/>
                    <w:spacing w:line="276" w:lineRule="auto"/>
                    <w:jc w:val="center"/>
                    <w:rPr>
                      <w:rFonts w:ascii="Times New Roman" w:hAnsi="Times New Roman" w:eastAsia="宋体" w:cs="Times New Roman"/>
                      <w:b/>
                      <w:bCs/>
                      <w:sz w:val="18"/>
                      <w:szCs w:val="18"/>
                    </w:rPr>
                  </w:pPr>
                  <w:r>
                    <w:rPr>
                      <w:rFonts w:ascii="Times New Roman" w:hAnsi="Times New Roman" w:eastAsia="宋体" w:cs="Times New Roman"/>
                      <w:b/>
                      <w:bCs/>
                      <w:sz w:val="18"/>
                      <w:szCs w:val="18"/>
                    </w:rPr>
                    <w:t>管控单元分类</w:t>
                  </w:r>
                </w:p>
              </w:tc>
              <w:tc>
                <w:tcPr>
                  <w:tcW w:w="2552" w:type="pct"/>
                  <w:tcBorders>
                    <w:top w:val="single" w:color="auto" w:sz="12" w:space="0"/>
                    <w:left w:val="single" w:color="auto" w:sz="6" w:space="0"/>
                    <w:bottom w:val="single" w:color="auto" w:sz="6" w:space="0"/>
                    <w:right w:val="single" w:color="auto" w:sz="6" w:space="0"/>
                  </w:tcBorders>
                  <w:vAlign w:val="center"/>
                </w:tcPr>
                <w:p>
                  <w:pPr>
                    <w:snapToGrid w:val="0"/>
                    <w:spacing w:line="276" w:lineRule="auto"/>
                    <w:jc w:val="center"/>
                    <w:rPr>
                      <w:rFonts w:ascii="Times New Roman" w:hAnsi="Times New Roman" w:eastAsia="宋体" w:cs="Times New Roman"/>
                      <w:b/>
                      <w:bCs/>
                      <w:sz w:val="18"/>
                      <w:szCs w:val="18"/>
                    </w:rPr>
                  </w:pPr>
                  <w:r>
                    <w:rPr>
                      <w:rFonts w:ascii="Times New Roman" w:hAnsi="Times New Roman" w:eastAsia="宋体" w:cs="Times New Roman"/>
                      <w:b/>
                      <w:bCs/>
                      <w:sz w:val="18"/>
                      <w:szCs w:val="18"/>
                    </w:rPr>
                    <w:t>环境管控要求</w:t>
                  </w:r>
                </w:p>
              </w:tc>
              <w:tc>
                <w:tcPr>
                  <w:tcW w:w="1463" w:type="pct"/>
                  <w:tcBorders>
                    <w:top w:val="single" w:color="auto" w:sz="12" w:space="0"/>
                    <w:left w:val="single" w:color="auto" w:sz="6" w:space="0"/>
                    <w:bottom w:val="single" w:color="auto" w:sz="6" w:space="0"/>
                    <w:right w:val="nil"/>
                  </w:tcBorders>
                  <w:vAlign w:val="center"/>
                </w:tcPr>
                <w:p>
                  <w:pPr>
                    <w:snapToGrid w:val="0"/>
                    <w:spacing w:line="276" w:lineRule="auto"/>
                    <w:jc w:val="center"/>
                    <w:rPr>
                      <w:rFonts w:ascii="Times New Roman" w:hAnsi="Times New Roman" w:eastAsia="宋体" w:cs="Times New Roman"/>
                      <w:b/>
                      <w:bCs/>
                      <w:sz w:val="18"/>
                      <w:szCs w:val="18"/>
                    </w:rPr>
                  </w:pPr>
                  <w:r>
                    <w:rPr>
                      <w:rFonts w:ascii="Times New Roman" w:hAnsi="Times New Roman" w:eastAsia="宋体" w:cs="Times New Roman"/>
                      <w:b/>
                      <w:bCs/>
                      <w:sz w:val="18"/>
                      <w:szCs w:val="18"/>
                    </w:rPr>
                    <w:t>协调性分析</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983" w:type="pct"/>
                  <w:tcBorders>
                    <w:top w:val="single" w:color="auto" w:sz="6" w:space="0"/>
                    <w:left w:val="nil"/>
                    <w:bottom w:val="single" w:color="auto" w:sz="12" w:space="0"/>
                    <w:right w:val="single" w:color="auto" w:sz="6" w:space="0"/>
                  </w:tcBorders>
                  <w:vAlign w:val="center"/>
                </w:tcPr>
                <w:p>
                  <w:pPr>
                    <w:snapToGrid w:val="0"/>
                    <w:spacing w:line="276"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一般管控区</w:t>
                  </w:r>
                </w:p>
              </w:tc>
              <w:tc>
                <w:tcPr>
                  <w:tcW w:w="2552" w:type="pct"/>
                  <w:tcBorders>
                    <w:top w:val="single" w:color="auto" w:sz="6" w:space="0"/>
                    <w:left w:val="single" w:color="auto" w:sz="6" w:space="0"/>
                    <w:bottom w:val="single" w:color="auto" w:sz="12" w:space="0"/>
                    <w:right w:val="single" w:color="auto" w:sz="6" w:space="0"/>
                  </w:tcBorders>
                  <w:vAlign w:val="center"/>
                </w:tcPr>
                <w:p>
                  <w:pPr>
                    <w:snapToGrid w:val="0"/>
                    <w:spacing w:line="276" w:lineRule="auto"/>
                    <w:jc w:val="center"/>
                    <w:rPr>
                      <w:rFonts w:ascii="Times New Roman" w:hAnsi="Times New Roman" w:eastAsia="宋体" w:cs="Times New Roman"/>
                      <w:bCs/>
                      <w:sz w:val="18"/>
                      <w:szCs w:val="18"/>
                    </w:rPr>
                  </w:pPr>
                  <w:r>
                    <w:rPr>
                      <w:rFonts w:ascii="Times New Roman" w:hAnsi="Times New Roman" w:eastAsia="宋体" w:cs="Times New Roman"/>
                      <w:bCs/>
                      <w:sz w:val="18"/>
                      <w:szCs w:val="18"/>
                      <w:lang w:bidi="en-US"/>
                    </w:rPr>
                    <w:t>落实《安徽省大气污染防治条例》《“十三五”生态环境保护规划》《安徽省“十三五”环境保护规划》《打赢蓝天保卫战三年行动计划》《安徽省打赢蓝天保卫战三年行动计划实施方案》《淮南市大气污染防治条例》《重点行业挥发性有机物综合治理方案》等要求，严格目标实施计划，加强环境监管，促进生态环境质量好转。上年度PM</w:t>
                  </w:r>
                  <w:r>
                    <w:rPr>
                      <w:rFonts w:ascii="Times New Roman" w:hAnsi="Times New Roman" w:eastAsia="宋体" w:cs="Times New Roman"/>
                      <w:bCs/>
                      <w:sz w:val="18"/>
                      <w:szCs w:val="18"/>
                      <w:vertAlign w:val="subscript"/>
                      <w:lang w:bidi="en-US"/>
                    </w:rPr>
                    <w:t>2.5</w:t>
                  </w:r>
                  <w:r>
                    <w:rPr>
                      <w:rFonts w:ascii="Times New Roman" w:hAnsi="Times New Roman" w:eastAsia="宋体" w:cs="Times New Roman"/>
                      <w:bCs/>
                      <w:sz w:val="18"/>
                      <w:szCs w:val="18"/>
                      <w:lang w:bidi="en-US"/>
                    </w:rPr>
                    <w:t>不达标城市新建、改建和扩建项目大气污染物实施“倍量替代”，执行特别排放标准的行业实施提标升级改造</w:t>
                  </w:r>
                </w:p>
              </w:tc>
              <w:tc>
                <w:tcPr>
                  <w:tcW w:w="1463" w:type="pct"/>
                  <w:tcBorders>
                    <w:top w:val="single" w:color="auto" w:sz="6" w:space="0"/>
                    <w:left w:val="single" w:color="auto" w:sz="6" w:space="0"/>
                    <w:bottom w:val="single" w:color="auto" w:sz="12" w:space="0"/>
                    <w:right w:val="nil"/>
                  </w:tcBorders>
                  <w:vAlign w:val="center"/>
                </w:tcPr>
                <w:p>
                  <w:pPr>
                    <w:snapToGrid w:val="0"/>
                    <w:spacing w:line="276" w:lineRule="auto"/>
                    <w:jc w:val="center"/>
                    <w:rPr>
                      <w:rFonts w:ascii="Times New Roman" w:hAnsi="Times New Roman" w:eastAsia="宋体" w:cs="Times New Roman"/>
                      <w:bCs/>
                      <w:sz w:val="18"/>
                      <w:szCs w:val="18"/>
                    </w:rPr>
                  </w:pPr>
                  <w:r>
                    <w:rPr>
                      <w:rFonts w:ascii="Times New Roman" w:hAnsi="Times New Roman" w:eastAsia="宋体" w:cs="Times New Roman"/>
                      <w:bCs/>
                      <w:sz w:val="18"/>
                      <w:szCs w:val="18"/>
                    </w:rPr>
                    <w:t>项目落实《安徽省大气污染防治条例》《安徽省“十四五”环境保护规划》《打赢蓝天保卫战三年行动计划》《安徽省打赢蓝天保卫战三年行动计划实施方案》《重点行业挥发性有机物综合治理方案》《淮南市“十四五”环境保护规划》等要求</w:t>
                  </w:r>
                </w:p>
              </w:tc>
            </w:tr>
          </w:tbl>
          <w:p>
            <w:pPr>
              <w:pStyle w:val="60"/>
              <w:ind w:firstLine="480"/>
              <w:rPr>
                <w:rFonts w:ascii="Times New Roman" w:hAnsi="Times New Roman" w:cs="Times New Roman"/>
                <w:kern w:val="0"/>
              </w:rPr>
            </w:pPr>
            <w:r>
              <w:rPr>
                <w:rFonts w:ascii="Times New Roman" w:hAnsi="Times New Roman" w:cs="Times New Roman"/>
                <w:kern w:val="0"/>
              </w:rPr>
              <w:t>（3）水环境分区管控要求</w:t>
            </w:r>
          </w:p>
          <w:p>
            <w:pPr>
              <w:spacing w:line="360" w:lineRule="auto"/>
              <w:ind w:firstLine="480" w:firstLineChars="200"/>
              <w:rPr>
                <w:rFonts w:ascii="Times New Roman" w:hAnsi="Times New Roman" w:eastAsia="宋体" w:cs="Times New Roman"/>
                <w:kern w:val="0"/>
                <w:sz w:val="24"/>
                <w:szCs w:val="24"/>
              </w:rPr>
            </w:pPr>
            <w:r>
              <w:rPr>
                <w:rFonts w:ascii="Times New Roman" w:hAnsi="Times New Roman" w:eastAsia="宋体" w:cs="Times New Roman"/>
                <w:kern w:val="0"/>
                <w:sz w:val="24"/>
                <w:szCs w:val="24"/>
              </w:rPr>
              <w:t>根据淮南市“三线一单”图集中淮南市水环境分区管控单元图可知，本项目属于一般管控区，详见附图</w:t>
            </w:r>
            <w:r>
              <w:rPr>
                <w:rFonts w:hint="eastAsia" w:ascii="Times New Roman" w:hAnsi="Times New Roman" w:eastAsia="宋体" w:cs="Times New Roman"/>
                <w:kern w:val="0"/>
                <w:sz w:val="24"/>
                <w:szCs w:val="24"/>
              </w:rPr>
              <w:t>7</w:t>
            </w:r>
            <w:r>
              <w:rPr>
                <w:rFonts w:ascii="Times New Roman" w:hAnsi="Times New Roman" w:eastAsia="宋体" w:cs="Times New Roman"/>
                <w:kern w:val="0"/>
                <w:sz w:val="24"/>
                <w:szCs w:val="24"/>
              </w:rPr>
              <w:t>。</w:t>
            </w:r>
          </w:p>
          <w:p>
            <w:pPr>
              <w:autoSpaceDE w:val="0"/>
              <w:autoSpaceDN w:val="0"/>
              <w:adjustRightInd w:val="0"/>
              <w:snapToGrid w:val="0"/>
              <w:jc w:val="center"/>
              <w:rPr>
                <w:rFonts w:ascii="Times New Roman" w:hAnsi="Times New Roman" w:eastAsia="黑体" w:cs="Times New Roman"/>
                <w:sz w:val="24"/>
              </w:rPr>
            </w:pPr>
            <w:r>
              <w:rPr>
                <w:rFonts w:ascii="Times New Roman" w:hAnsi="Times New Roman" w:eastAsia="黑体" w:cs="Times New Roman"/>
                <w:sz w:val="24"/>
              </w:rPr>
              <w:t>表1-3  与水环境分区管控要求的协调性分析</w:t>
            </w:r>
          </w:p>
          <w:tbl>
            <w:tblPr>
              <w:tblStyle w:val="17"/>
              <w:tblW w:w="5000" w:type="pct"/>
              <w:jc w:val="center"/>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autofit"/>
              <w:tblCellMar>
                <w:top w:w="0" w:type="dxa"/>
                <w:left w:w="108" w:type="dxa"/>
                <w:bottom w:w="0" w:type="dxa"/>
                <w:right w:w="108" w:type="dxa"/>
              </w:tblCellMar>
            </w:tblPr>
            <w:tblGrid>
              <w:gridCol w:w="1240"/>
              <w:gridCol w:w="4768"/>
              <w:gridCol w:w="1867"/>
            </w:tblGrid>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787" w:type="pct"/>
                  <w:tcBorders>
                    <w:top w:val="single" w:color="auto" w:sz="12" w:space="0"/>
                    <w:left w:val="nil"/>
                    <w:bottom w:val="single" w:color="auto" w:sz="6" w:space="0"/>
                    <w:right w:val="single" w:color="auto" w:sz="6" w:space="0"/>
                  </w:tcBorders>
                  <w:vAlign w:val="center"/>
                </w:tcPr>
                <w:p>
                  <w:pPr>
                    <w:snapToGrid w:val="0"/>
                    <w:spacing w:line="276" w:lineRule="auto"/>
                    <w:jc w:val="center"/>
                    <w:rPr>
                      <w:rFonts w:ascii="Times New Roman" w:hAnsi="Times New Roman" w:eastAsia="宋体" w:cs="Times New Roman"/>
                      <w:b/>
                      <w:bCs/>
                      <w:sz w:val="18"/>
                      <w:szCs w:val="18"/>
                    </w:rPr>
                  </w:pPr>
                  <w:r>
                    <w:rPr>
                      <w:rFonts w:ascii="Times New Roman" w:hAnsi="Times New Roman" w:eastAsia="宋体" w:cs="Times New Roman"/>
                      <w:b/>
                      <w:bCs/>
                      <w:sz w:val="18"/>
                      <w:szCs w:val="18"/>
                    </w:rPr>
                    <w:t>管控单元分类</w:t>
                  </w:r>
                </w:p>
              </w:tc>
              <w:tc>
                <w:tcPr>
                  <w:tcW w:w="3026" w:type="pct"/>
                  <w:tcBorders>
                    <w:top w:val="single" w:color="auto" w:sz="12" w:space="0"/>
                    <w:left w:val="single" w:color="auto" w:sz="6" w:space="0"/>
                    <w:bottom w:val="single" w:color="auto" w:sz="6" w:space="0"/>
                    <w:right w:val="single" w:color="auto" w:sz="6" w:space="0"/>
                  </w:tcBorders>
                  <w:vAlign w:val="center"/>
                </w:tcPr>
                <w:p>
                  <w:pPr>
                    <w:snapToGrid w:val="0"/>
                    <w:spacing w:line="276" w:lineRule="auto"/>
                    <w:jc w:val="center"/>
                    <w:rPr>
                      <w:rFonts w:ascii="Times New Roman" w:hAnsi="Times New Roman" w:eastAsia="宋体" w:cs="Times New Roman"/>
                      <w:b/>
                      <w:bCs/>
                      <w:sz w:val="18"/>
                      <w:szCs w:val="18"/>
                    </w:rPr>
                  </w:pPr>
                  <w:r>
                    <w:rPr>
                      <w:rFonts w:ascii="Times New Roman" w:hAnsi="Times New Roman" w:eastAsia="宋体" w:cs="Times New Roman"/>
                      <w:b/>
                      <w:bCs/>
                      <w:sz w:val="18"/>
                      <w:szCs w:val="18"/>
                    </w:rPr>
                    <w:t>环境管控要求</w:t>
                  </w:r>
                </w:p>
              </w:tc>
              <w:tc>
                <w:tcPr>
                  <w:tcW w:w="1185" w:type="pct"/>
                  <w:tcBorders>
                    <w:top w:val="single" w:color="auto" w:sz="12" w:space="0"/>
                    <w:left w:val="single" w:color="auto" w:sz="6" w:space="0"/>
                    <w:bottom w:val="single" w:color="auto" w:sz="6" w:space="0"/>
                    <w:right w:val="nil"/>
                  </w:tcBorders>
                  <w:vAlign w:val="center"/>
                </w:tcPr>
                <w:p>
                  <w:pPr>
                    <w:snapToGrid w:val="0"/>
                    <w:spacing w:line="276" w:lineRule="auto"/>
                    <w:jc w:val="center"/>
                    <w:rPr>
                      <w:rFonts w:ascii="Times New Roman" w:hAnsi="Times New Roman" w:eastAsia="宋体" w:cs="Times New Roman"/>
                      <w:b/>
                      <w:bCs/>
                      <w:sz w:val="18"/>
                      <w:szCs w:val="18"/>
                    </w:rPr>
                  </w:pPr>
                  <w:r>
                    <w:rPr>
                      <w:rFonts w:ascii="Times New Roman" w:hAnsi="Times New Roman" w:eastAsia="宋体" w:cs="Times New Roman"/>
                      <w:b/>
                      <w:bCs/>
                      <w:sz w:val="18"/>
                      <w:szCs w:val="18"/>
                    </w:rPr>
                    <w:t>协调性分析</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787" w:type="pct"/>
                  <w:tcBorders>
                    <w:top w:val="single" w:color="auto" w:sz="6" w:space="0"/>
                    <w:left w:val="nil"/>
                    <w:bottom w:val="single" w:color="auto" w:sz="12" w:space="0"/>
                    <w:right w:val="single" w:color="auto" w:sz="6" w:space="0"/>
                  </w:tcBorders>
                  <w:vAlign w:val="center"/>
                </w:tcPr>
                <w:p>
                  <w:pPr>
                    <w:snapToGrid w:val="0"/>
                    <w:spacing w:line="276" w:lineRule="auto"/>
                    <w:jc w:val="center"/>
                    <w:rPr>
                      <w:rFonts w:ascii="Times New Roman" w:hAnsi="Times New Roman" w:eastAsia="宋体" w:cs="Times New Roman"/>
                      <w:bCs/>
                      <w:sz w:val="18"/>
                      <w:szCs w:val="18"/>
                    </w:rPr>
                  </w:pPr>
                  <w:r>
                    <w:rPr>
                      <w:rFonts w:ascii="Times New Roman" w:hAnsi="Times New Roman" w:eastAsia="宋体" w:cs="Times New Roman"/>
                      <w:bCs/>
                      <w:sz w:val="18"/>
                      <w:szCs w:val="18"/>
                    </w:rPr>
                    <w:t>城镇生活污染管控区</w:t>
                  </w:r>
                </w:p>
              </w:tc>
              <w:tc>
                <w:tcPr>
                  <w:tcW w:w="3026" w:type="pct"/>
                  <w:tcBorders>
                    <w:top w:val="single" w:color="auto" w:sz="6" w:space="0"/>
                    <w:left w:val="single" w:color="auto" w:sz="6" w:space="0"/>
                    <w:bottom w:val="single" w:color="auto" w:sz="12" w:space="0"/>
                    <w:right w:val="single" w:color="auto" w:sz="6" w:space="0"/>
                  </w:tcBorders>
                  <w:vAlign w:val="center"/>
                </w:tcPr>
                <w:p>
                  <w:pPr>
                    <w:snapToGrid w:val="0"/>
                    <w:spacing w:line="276" w:lineRule="auto"/>
                    <w:jc w:val="center"/>
                    <w:rPr>
                      <w:rFonts w:ascii="Times New Roman" w:hAnsi="Times New Roman" w:eastAsia="宋体" w:cs="Times New Roman"/>
                      <w:bCs/>
                      <w:sz w:val="18"/>
                      <w:szCs w:val="18"/>
                      <w:lang w:bidi="en-US"/>
                    </w:rPr>
                  </w:pPr>
                  <w:r>
                    <w:rPr>
                      <w:rFonts w:ascii="Times New Roman" w:hAnsi="Times New Roman" w:eastAsia="宋体" w:cs="Times New Roman"/>
                      <w:bCs/>
                      <w:sz w:val="18"/>
                      <w:szCs w:val="18"/>
                      <w:lang w:bidi="en-US"/>
                    </w:rPr>
                    <w:t>依据《中华人民共和国水污染防治法》《水污染防治行动计划》《安徽省水污染防治工作方案》及《淮南市水污染防治工作方案》对</w:t>
                  </w:r>
                  <w:r>
                    <w:rPr>
                      <w:rFonts w:ascii="Times New Roman" w:hAnsi="Times New Roman" w:eastAsia="宋体" w:cs="Times New Roman"/>
                      <w:bCs/>
                      <w:sz w:val="18"/>
                      <w:szCs w:val="18"/>
                    </w:rPr>
                    <w:t>一般管控区</w:t>
                  </w:r>
                  <w:r>
                    <w:rPr>
                      <w:rFonts w:ascii="Times New Roman" w:hAnsi="Times New Roman" w:eastAsia="宋体" w:cs="Times New Roman"/>
                      <w:bCs/>
                      <w:sz w:val="18"/>
                      <w:szCs w:val="18"/>
                      <w:lang w:bidi="en-US"/>
                    </w:rPr>
                    <w:t>实施管控；依据《安徽省淮河流域水污染防治条例》对淮河流域实施管控；依据开发区规划、规划环评及审查意见相关要求对开发区实施管控；落实《“十三五”生态环境保护规划》《安徽省“十三五”环境保护规划》《安徽省“十三五”节能减排实施方案》等要求，新建、改建和扩建项目水污染物实施“等量替代”</w:t>
                  </w:r>
                </w:p>
              </w:tc>
              <w:tc>
                <w:tcPr>
                  <w:tcW w:w="1185" w:type="pct"/>
                  <w:tcBorders>
                    <w:top w:val="single" w:color="auto" w:sz="6" w:space="0"/>
                    <w:left w:val="single" w:color="auto" w:sz="6" w:space="0"/>
                    <w:bottom w:val="single" w:color="auto" w:sz="12" w:space="0"/>
                    <w:right w:val="nil"/>
                  </w:tcBorders>
                  <w:vAlign w:val="center"/>
                </w:tcPr>
                <w:p>
                  <w:pPr>
                    <w:snapToGrid w:val="0"/>
                    <w:spacing w:line="276" w:lineRule="auto"/>
                    <w:jc w:val="center"/>
                    <w:rPr>
                      <w:rFonts w:ascii="Times New Roman" w:hAnsi="Times New Roman" w:eastAsia="宋体" w:cs="Times New Roman"/>
                      <w:bCs/>
                      <w:sz w:val="18"/>
                      <w:szCs w:val="18"/>
                    </w:rPr>
                  </w:pPr>
                  <w:r>
                    <w:rPr>
                      <w:rFonts w:ascii="Times New Roman" w:hAnsi="Times New Roman" w:eastAsia="宋体" w:cs="Times New Roman"/>
                      <w:bCs/>
                      <w:sz w:val="18"/>
                      <w:szCs w:val="18"/>
                    </w:rPr>
                    <w:t>项目符合《安徽省淮河流域水污染防治条例》、园区规划、规划环评及审查意见相关要求、《安徽省“十四五”生态环境保护规划》等规划要求</w:t>
                  </w:r>
                </w:p>
              </w:tc>
            </w:tr>
          </w:tbl>
          <w:p>
            <w:pPr>
              <w:pStyle w:val="60"/>
              <w:ind w:firstLine="480"/>
              <w:rPr>
                <w:rFonts w:ascii="Times New Roman" w:hAnsi="Times New Roman" w:cs="Times New Roman"/>
                <w:kern w:val="0"/>
              </w:rPr>
            </w:pPr>
            <w:r>
              <w:rPr>
                <w:rFonts w:ascii="Times New Roman" w:hAnsi="Times New Roman" w:cs="Times New Roman"/>
                <w:kern w:val="0"/>
              </w:rPr>
              <w:t>（4）土壤环境分区管控要求</w:t>
            </w:r>
          </w:p>
          <w:p>
            <w:pPr>
              <w:spacing w:line="360" w:lineRule="auto"/>
              <w:ind w:firstLine="480" w:firstLineChars="200"/>
              <w:jc w:val="left"/>
              <w:rPr>
                <w:rFonts w:ascii="Times New Roman" w:hAnsi="Times New Roman" w:eastAsia="宋体" w:cs="Times New Roman"/>
                <w:kern w:val="0"/>
                <w:sz w:val="24"/>
                <w:szCs w:val="24"/>
              </w:rPr>
            </w:pPr>
            <w:r>
              <w:rPr>
                <w:rFonts w:ascii="Times New Roman" w:hAnsi="Times New Roman" w:eastAsia="宋体" w:cs="Times New Roman"/>
                <w:kern w:val="0"/>
                <w:sz w:val="24"/>
                <w:szCs w:val="24"/>
              </w:rPr>
              <w:t>根据淮南市“三线一单”图集中淮南市土壤环境分区管控单元图可知，本项目属于一般管控区，详见附图</w:t>
            </w:r>
            <w:r>
              <w:rPr>
                <w:rFonts w:hint="eastAsia" w:ascii="Times New Roman" w:hAnsi="Times New Roman" w:eastAsia="宋体" w:cs="Times New Roman"/>
                <w:kern w:val="0"/>
                <w:sz w:val="24"/>
                <w:szCs w:val="24"/>
              </w:rPr>
              <w:t>8</w:t>
            </w:r>
            <w:r>
              <w:rPr>
                <w:rFonts w:ascii="Times New Roman" w:hAnsi="Times New Roman" w:eastAsia="宋体" w:cs="Times New Roman"/>
                <w:kern w:val="0"/>
                <w:sz w:val="24"/>
                <w:szCs w:val="24"/>
              </w:rPr>
              <w:t>。</w:t>
            </w:r>
          </w:p>
          <w:p>
            <w:pPr>
              <w:adjustRightInd w:val="0"/>
              <w:spacing w:line="324" w:lineRule="auto"/>
              <w:jc w:val="center"/>
              <w:rPr>
                <w:rFonts w:ascii="Times New Roman" w:hAnsi="Times New Roman" w:eastAsia="宋体" w:cs="Times New Roman"/>
                <w:bCs/>
                <w:sz w:val="24"/>
                <w:szCs w:val="24"/>
              </w:rPr>
            </w:pPr>
            <w:r>
              <w:rPr>
                <w:rFonts w:ascii="Times New Roman" w:hAnsi="Times New Roman" w:eastAsia="黑体" w:cs="Times New Roman"/>
                <w:sz w:val="24"/>
              </w:rPr>
              <w:t>表1-4  与土壤环境分区管控要求的协调性分析</w:t>
            </w:r>
          </w:p>
          <w:tbl>
            <w:tblPr>
              <w:tblStyle w:val="17"/>
              <w:tblW w:w="5000" w:type="pct"/>
              <w:jc w:val="center"/>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autofit"/>
              <w:tblCellMar>
                <w:top w:w="0" w:type="dxa"/>
                <w:left w:w="108" w:type="dxa"/>
                <w:bottom w:w="0" w:type="dxa"/>
                <w:right w:w="108" w:type="dxa"/>
              </w:tblCellMar>
            </w:tblPr>
            <w:tblGrid>
              <w:gridCol w:w="1408"/>
              <w:gridCol w:w="3142"/>
              <w:gridCol w:w="3325"/>
            </w:tblGrid>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515" w:hRule="atLeast"/>
                <w:jc w:val="center"/>
              </w:trPr>
              <w:tc>
                <w:tcPr>
                  <w:tcW w:w="894" w:type="pct"/>
                  <w:tcBorders>
                    <w:top w:val="single" w:color="auto" w:sz="12" w:space="0"/>
                    <w:left w:val="nil"/>
                    <w:bottom w:val="single" w:color="auto" w:sz="6" w:space="0"/>
                    <w:right w:val="single" w:color="auto" w:sz="6" w:space="0"/>
                  </w:tcBorders>
                  <w:vAlign w:val="center"/>
                </w:tcPr>
                <w:p>
                  <w:pPr>
                    <w:snapToGrid w:val="0"/>
                    <w:spacing w:line="276" w:lineRule="auto"/>
                    <w:jc w:val="center"/>
                    <w:rPr>
                      <w:rFonts w:ascii="Times New Roman" w:hAnsi="Times New Roman" w:eastAsia="宋体" w:cs="Times New Roman"/>
                      <w:b/>
                      <w:sz w:val="18"/>
                      <w:szCs w:val="18"/>
                    </w:rPr>
                  </w:pPr>
                  <w:r>
                    <w:rPr>
                      <w:rFonts w:ascii="Times New Roman" w:hAnsi="Times New Roman" w:eastAsia="宋体" w:cs="Times New Roman"/>
                      <w:b/>
                      <w:sz w:val="18"/>
                      <w:szCs w:val="18"/>
                    </w:rPr>
                    <w:t>管控单元</w:t>
                  </w:r>
                </w:p>
                <w:p>
                  <w:pPr>
                    <w:snapToGrid w:val="0"/>
                    <w:spacing w:line="276" w:lineRule="auto"/>
                    <w:jc w:val="center"/>
                    <w:rPr>
                      <w:rFonts w:ascii="Times New Roman" w:hAnsi="Times New Roman" w:eastAsia="宋体" w:cs="Times New Roman"/>
                      <w:b/>
                      <w:sz w:val="18"/>
                      <w:szCs w:val="18"/>
                    </w:rPr>
                  </w:pPr>
                  <w:r>
                    <w:rPr>
                      <w:rFonts w:ascii="Times New Roman" w:hAnsi="Times New Roman" w:eastAsia="宋体" w:cs="Times New Roman"/>
                      <w:b/>
                      <w:sz w:val="18"/>
                      <w:szCs w:val="18"/>
                    </w:rPr>
                    <w:t>分类</w:t>
                  </w:r>
                </w:p>
              </w:tc>
              <w:tc>
                <w:tcPr>
                  <w:tcW w:w="1994" w:type="pct"/>
                  <w:tcBorders>
                    <w:top w:val="single" w:color="auto" w:sz="12" w:space="0"/>
                    <w:left w:val="single" w:color="auto" w:sz="6" w:space="0"/>
                    <w:bottom w:val="single" w:color="auto" w:sz="6" w:space="0"/>
                    <w:right w:val="single" w:color="auto" w:sz="6" w:space="0"/>
                  </w:tcBorders>
                  <w:vAlign w:val="center"/>
                </w:tcPr>
                <w:p>
                  <w:pPr>
                    <w:snapToGrid w:val="0"/>
                    <w:spacing w:line="276" w:lineRule="auto"/>
                    <w:jc w:val="center"/>
                    <w:rPr>
                      <w:rFonts w:ascii="Times New Roman" w:hAnsi="Times New Roman" w:eastAsia="宋体" w:cs="Times New Roman"/>
                      <w:b/>
                      <w:sz w:val="18"/>
                      <w:szCs w:val="18"/>
                    </w:rPr>
                  </w:pPr>
                  <w:r>
                    <w:rPr>
                      <w:rFonts w:ascii="Times New Roman" w:hAnsi="Times New Roman" w:eastAsia="宋体" w:cs="Times New Roman"/>
                      <w:b/>
                      <w:sz w:val="18"/>
                      <w:szCs w:val="18"/>
                    </w:rPr>
                    <w:t>环境管控要求</w:t>
                  </w:r>
                </w:p>
              </w:tc>
              <w:tc>
                <w:tcPr>
                  <w:tcW w:w="2110" w:type="pct"/>
                  <w:tcBorders>
                    <w:top w:val="single" w:color="auto" w:sz="12" w:space="0"/>
                    <w:left w:val="single" w:color="auto" w:sz="6" w:space="0"/>
                    <w:bottom w:val="single" w:color="auto" w:sz="6" w:space="0"/>
                    <w:right w:val="nil"/>
                  </w:tcBorders>
                  <w:vAlign w:val="center"/>
                </w:tcPr>
                <w:p>
                  <w:pPr>
                    <w:snapToGrid w:val="0"/>
                    <w:spacing w:line="276" w:lineRule="auto"/>
                    <w:jc w:val="center"/>
                    <w:rPr>
                      <w:rFonts w:ascii="Times New Roman" w:hAnsi="Times New Roman" w:eastAsia="宋体" w:cs="Times New Roman"/>
                      <w:b/>
                      <w:sz w:val="18"/>
                      <w:szCs w:val="18"/>
                    </w:rPr>
                  </w:pPr>
                  <w:r>
                    <w:rPr>
                      <w:rFonts w:ascii="Times New Roman" w:hAnsi="Times New Roman" w:eastAsia="宋体" w:cs="Times New Roman"/>
                      <w:b/>
                      <w:sz w:val="18"/>
                      <w:szCs w:val="18"/>
                    </w:rPr>
                    <w:t>协调性分析</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894" w:type="pct"/>
                  <w:tcBorders>
                    <w:top w:val="single" w:color="auto" w:sz="6" w:space="0"/>
                    <w:left w:val="nil"/>
                    <w:bottom w:val="single" w:color="auto" w:sz="12" w:space="0"/>
                    <w:right w:val="single" w:color="auto" w:sz="6" w:space="0"/>
                  </w:tcBorders>
                  <w:vAlign w:val="center"/>
                </w:tcPr>
                <w:p>
                  <w:pPr>
                    <w:snapToGrid w:val="0"/>
                    <w:spacing w:line="276" w:lineRule="auto"/>
                    <w:jc w:val="center"/>
                    <w:rPr>
                      <w:rFonts w:ascii="Times New Roman" w:hAnsi="Times New Roman" w:eastAsia="宋体" w:cs="Times New Roman"/>
                      <w:bCs/>
                      <w:sz w:val="18"/>
                      <w:szCs w:val="18"/>
                    </w:rPr>
                  </w:pPr>
                  <w:r>
                    <w:rPr>
                      <w:rFonts w:ascii="Times New Roman" w:hAnsi="Times New Roman" w:eastAsia="宋体" w:cs="Times New Roman"/>
                      <w:bCs/>
                      <w:sz w:val="18"/>
                      <w:szCs w:val="18"/>
                    </w:rPr>
                    <w:t>一般管控区</w:t>
                  </w:r>
                </w:p>
              </w:tc>
              <w:tc>
                <w:tcPr>
                  <w:tcW w:w="1994" w:type="pct"/>
                  <w:tcBorders>
                    <w:top w:val="single" w:color="auto" w:sz="6" w:space="0"/>
                    <w:left w:val="single" w:color="auto" w:sz="6" w:space="0"/>
                    <w:bottom w:val="single" w:color="auto" w:sz="12" w:space="0"/>
                    <w:right w:val="single" w:color="auto" w:sz="6" w:space="0"/>
                  </w:tcBorders>
                  <w:vAlign w:val="center"/>
                </w:tcPr>
                <w:p>
                  <w:pPr>
                    <w:snapToGrid w:val="0"/>
                    <w:spacing w:line="276" w:lineRule="auto"/>
                    <w:jc w:val="center"/>
                    <w:rPr>
                      <w:rFonts w:ascii="Times New Roman" w:hAnsi="Times New Roman" w:eastAsia="宋体" w:cs="Times New Roman"/>
                      <w:bCs/>
                      <w:sz w:val="18"/>
                      <w:szCs w:val="18"/>
                    </w:rPr>
                  </w:pPr>
                  <w:r>
                    <w:rPr>
                      <w:rFonts w:ascii="Times New Roman" w:hAnsi="Times New Roman" w:eastAsia="宋体" w:cs="Times New Roman"/>
                      <w:bCs/>
                      <w:sz w:val="18"/>
                      <w:szCs w:val="18"/>
                    </w:rPr>
                    <w:t>依据《中华人民共和国土壤污染防治法》</w:t>
                  </w:r>
                  <w:r>
                    <w:fldChar w:fldCharType="begin"/>
                  </w:r>
                  <w:r>
                    <w:instrText xml:space="preserve"> HYPERLINK "http://www.so.com/link?m=aS3aETxrXeb7g0%2BVtEkMlIHHqrqpQCed6syvQnHqGH8jL2exDyJFMjYoxSqmBKORD33K1mOg8SIh0PweXU%2BnWsSZkNNnsWd%2BUzB7SXXQSWb6utmRf4dbxSlrM27BBwrKNK39BuSxHN6O630mTOSLO9Sd%2F7kb0xJVqXFw5t%2BxMne3sRsHQItY3Ux1%2Fjr60Yg4ANvI%2FOhoyC5PSM4Xy%2FQJydVEVSxevKAfYb5XfkTYcEQJZICQxQDbqK3QxTwaosdPZ7cNuALAP70SVv2%2BFvac7j8%2BJZ%2FizhGEf69rAWW46Nmdoqrv58KLMnIM65pCDQCGQ" \t "_blank" </w:instrText>
                  </w:r>
                  <w:r>
                    <w:fldChar w:fldCharType="separate"/>
                  </w:r>
                  <w:r>
                    <w:rPr>
                      <w:rFonts w:ascii="Times New Roman" w:hAnsi="Times New Roman" w:eastAsia="宋体" w:cs="Times New Roman"/>
                      <w:bCs/>
                      <w:sz w:val="18"/>
                      <w:szCs w:val="18"/>
                    </w:rPr>
                    <w:t>《基本农田保护条例》</w:t>
                  </w:r>
                  <w:r>
                    <w:rPr>
                      <w:rFonts w:ascii="Times New Roman" w:hAnsi="Times New Roman" w:eastAsia="宋体" w:cs="Times New Roman"/>
                      <w:bCs/>
                      <w:sz w:val="18"/>
                      <w:szCs w:val="18"/>
                    </w:rPr>
                    <w:fldChar w:fldCharType="end"/>
                  </w:r>
                  <w:r>
                    <w:rPr>
                      <w:rFonts w:ascii="Times New Roman" w:hAnsi="Times New Roman" w:eastAsia="宋体" w:cs="Times New Roman"/>
                      <w:bCs/>
                      <w:sz w:val="18"/>
                      <w:szCs w:val="18"/>
                    </w:rPr>
                    <w:t>《土壤污染防治行动计划》《安徽省土壤污染防治工作方案》等要求对一般管控区实施管控。</w:t>
                  </w:r>
                </w:p>
              </w:tc>
              <w:tc>
                <w:tcPr>
                  <w:tcW w:w="2110" w:type="pct"/>
                  <w:tcBorders>
                    <w:top w:val="single" w:color="auto" w:sz="6" w:space="0"/>
                    <w:left w:val="single" w:color="auto" w:sz="6" w:space="0"/>
                    <w:bottom w:val="single" w:color="auto" w:sz="12" w:space="0"/>
                    <w:right w:val="nil"/>
                  </w:tcBorders>
                  <w:vAlign w:val="center"/>
                </w:tcPr>
                <w:p>
                  <w:pPr>
                    <w:snapToGrid w:val="0"/>
                    <w:spacing w:line="276" w:lineRule="auto"/>
                    <w:jc w:val="center"/>
                    <w:rPr>
                      <w:rFonts w:ascii="Times New Roman" w:hAnsi="Times New Roman" w:eastAsia="宋体" w:cs="Times New Roman"/>
                      <w:bCs/>
                      <w:sz w:val="18"/>
                      <w:szCs w:val="18"/>
                    </w:rPr>
                  </w:pPr>
                  <w:r>
                    <w:rPr>
                      <w:rFonts w:ascii="Times New Roman" w:hAnsi="Times New Roman" w:eastAsia="宋体" w:cs="Times New Roman"/>
                      <w:bCs/>
                      <w:sz w:val="18"/>
                      <w:szCs w:val="18"/>
                    </w:rPr>
                    <w:t>项目符合《中华人民共和国土壤污染防治法》《基本农田保护条例》《土壤污染防治行动计划》《安徽省土壤污染防治工作方案》等要求。</w:t>
                  </w:r>
                </w:p>
              </w:tc>
            </w:tr>
          </w:tbl>
          <w:p>
            <w:pPr>
              <w:adjustRightInd w:val="0"/>
              <w:spacing w:line="324" w:lineRule="auto"/>
              <w:jc w:val="center"/>
              <w:rPr>
                <w:rFonts w:ascii="Times New Roman" w:hAnsi="Times New Roman" w:eastAsia="黑体" w:cs="Times New Roman"/>
                <w:sz w:val="24"/>
              </w:rPr>
            </w:pPr>
            <w:r>
              <w:rPr>
                <w:rFonts w:ascii="Times New Roman" w:hAnsi="Times New Roman" w:eastAsia="黑体" w:cs="Times New Roman"/>
                <w:sz w:val="24"/>
              </w:rPr>
              <w:t>表1-5  “三线一单”符合性分析</w:t>
            </w:r>
          </w:p>
          <w:tbl>
            <w:tblPr>
              <w:tblStyle w:val="17"/>
              <w:tblW w:w="5000"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3881"/>
              <w:gridCol w:w="3994"/>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13" w:hRule="atLeast"/>
              </w:trPr>
              <w:tc>
                <w:tcPr>
                  <w:tcW w:w="2464" w:type="pct"/>
                  <w:vAlign w:val="center"/>
                </w:tcPr>
                <w:p>
                  <w:pPr>
                    <w:spacing w:line="276" w:lineRule="auto"/>
                    <w:jc w:val="center"/>
                    <w:rPr>
                      <w:rFonts w:ascii="Times New Roman" w:hAnsi="Times New Roman" w:eastAsia="宋体" w:cs="Times New Roman"/>
                      <w:b/>
                      <w:sz w:val="18"/>
                      <w:szCs w:val="18"/>
                    </w:rPr>
                  </w:pPr>
                  <w:r>
                    <w:rPr>
                      <w:rFonts w:ascii="Times New Roman" w:hAnsi="Times New Roman" w:eastAsia="宋体" w:cs="Times New Roman"/>
                      <w:b/>
                      <w:sz w:val="18"/>
                      <w:szCs w:val="18"/>
                    </w:rPr>
                    <w:t>环环评〔2016〕150号、</w:t>
                  </w:r>
                </w:p>
                <w:p>
                  <w:pPr>
                    <w:spacing w:line="276" w:lineRule="auto"/>
                    <w:jc w:val="center"/>
                    <w:rPr>
                      <w:rFonts w:ascii="Times New Roman" w:hAnsi="Times New Roman" w:eastAsia="宋体" w:cs="Times New Roman"/>
                      <w:b/>
                      <w:sz w:val="18"/>
                      <w:szCs w:val="18"/>
                    </w:rPr>
                  </w:pPr>
                  <w:r>
                    <w:rPr>
                      <w:rFonts w:ascii="Times New Roman" w:hAnsi="Times New Roman" w:eastAsia="宋体" w:cs="Times New Roman"/>
                      <w:b/>
                      <w:sz w:val="18"/>
                      <w:szCs w:val="18"/>
                    </w:rPr>
                    <w:t>淮南市“三线一单”技术成果</w:t>
                  </w:r>
                </w:p>
              </w:tc>
              <w:tc>
                <w:tcPr>
                  <w:tcW w:w="2535" w:type="pct"/>
                  <w:vAlign w:val="center"/>
                </w:tcPr>
                <w:p>
                  <w:pPr>
                    <w:spacing w:line="276" w:lineRule="auto"/>
                    <w:jc w:val="center"/>
                    <w:rPr>
                      <w:rFonts w:ascii="Times New Roman" w:hAnsi="Times New Roman" w:eastAsia="宋体" w:cs="Times New Roman"/>
                      <w:b/>
                      <w:sz w:val="18"/>
                      <w:szCs w:val="18"/>
                    </w:rPr>
                  </w:pPr>
                  <w:r>
                    <w:rPr>
                      <w:rFonts w:ascii="Times New Roman" w:hAnsi="Times New Roman" w:eastAsia="宋体" w:cs="Times New Roman"/>
                      <w:b/>
                      <w:sz w:val="18"/>
                      <w:szCs w:val="18"/>
                    </w:rPr>
                    <w:t>项目符合性分析</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13" w:hRule="atLeast"/>
              </w:trPr>
              <w:tc>
                <w:tcPr>
                  <w:tcW w:w="2464" w:type="pct"/>
                  <w:vAlign w:val="center"/>
                </w:tcPr>
                <w:p>
                  <w:pPr>
                    <w:spacing w:line="276" w:lineRule="auto"/>
                    <w:jc w:val="center"/>
                    <w:rPr>
                      <w:rFonts w:ascii="Times New Roman" w:hAnsi="Times New Roman" w:eastAsia="宋体" w:cs="Times New Roman"/>
                      <w:sz w:val="18"/>
                      <w:szCs w:val="18"/>
                    </w:rPr>
                  </w:pPr>
                  <w:r>
                    <w:rPr>
                      <w:rFonts w:ascii="Times New Roman" w:hAnsi="Times New Roman" w:eastAsia="宋体" w:cs="Times New Roman"/>
                      <w:sz w:val="18"/>
                      <w:szCs w:val="18"/>
                      <w:lang w:val="zh-CN"/>
                    </w:rPr>
                    <w:t>生态保护红线是生态空间范围内具有特殊重要生态功能必须实行强制性严格保护的区域。相关规划环评应将生态空间管控作为重要内容，规划区域设计生态保护红线的，在规划环评结论和审查意见中应落实生态保护红线的管理要求，提出相应对策措施。除受自然条件限制、确实无法避让的铁路、公路、航道、防洪、管道、干渠、通讯、输变电等重要基础设施项目外，在生态保护红线范围内，严控各类开发建设活动，依法不予审批新建工业项目和矿产开发项目的环评文件</w:t>
                  </w:r>
                </w:p>
              </w:tc>
              <w:tc>
                <w:tcPr>
                  <w:tcW w:w="2535" w:type="pct"/>
                  <w:vAlign w:val="center"/>
                </w:tcPr>
                <w:p>
                  <w:pPr>
                    <w:widowControl/>
                    <w:spacing w:line="276" w:lineRule="auto"/>
                    <w:jc w:val="center"/>
                    <w:rPr>
                      <w:rFonts w:ascii="Times New Roman" w:hAnsi="Times New Roman" w:eastAsia="宋体" w:cs="Times New Roman"/>
                      <w:kern w:val="0"/>
                      <w:sz w:val="18"/>
                      <w:szCs w:val="18"/>
                    </w:rPr>
                  </w:pPr>
                  <w:r>
                    <w:rPr>
                      <w:rFonts w:ascii="Times New Roman" w:hAnsi="Times New Roman" w:eastAsia="宋体" w:cs="Times New Roman"/>
                      <w:color w:val="000000" w:themeColor="text1"/>
                      <w:sz w:val="18"/>
                      <w:szCs w:val="18"/>
                    </w:rPr>
                    <w:t>本项目位于安徽省淮南市八公山区毕家岗街道新建社区，</w:t>
                  </w:r>
                  <w:r>
                    <w:rPr>
                      <w:rFonts w:ascii="Times New Roman" w:hAnsi="Times New Roman" w:eastAsia="宋体" w:cs="Times New Roman"/>
                      <w:sz w:val="18"/>
                      <w:szCs w:val="18"/>
                    </w:rPr>
                    <w:t>据淮南市生态保护红线图</w:t>
                  </w:r>
                  <w:r>
                    <w:rPr>
                      <w:rFonts w:ascii="Times New Roman" w:hAnsi="Times New Roman" w:eastAsia="宋体" w:cs="Times New Roman"/>
                      <w:color w:val="000000" w:themeColor="text1"/>
                      <w:sz w:val="18"/>
                      <w:szCs w:val="18"/>
                    </w:rPr>
                    <w:t>，本项目不在生态保护红线范围内，且不在当地饮用水源、风景区、自然保护区等生态保护区内，项目的建设不涉及生态保护红线</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13" w:hRule="atLeast"/>
              </w:trPr>
              <w:tc>
                <w:tcPr>
                  <w:tcW w:w="2464" w:type="pct"/>
                  <w:vAlign w:val="center"/>
                </w:tcPr>
                <w:p>
                  <w:pPr>
                    <w:spacing w:line="276" w:lineRule="auto"/>
                    <w:jc w:val="center"/>
                    <w:rPr>
                      <w:rFonts w:ascii="Times New Roman" w:hAnsi="Times New Roman" w:eastAsia="宋体" w:cs="Times New Roman"/>
                      <w:sz w:val="18"/>
                      <w:szCs w:val="18"/>
                    </w:rPr>
                  </w:pPr>
                  <w:r>
                    <w:rPr>
                      <w:rFonts w:ascii="Times New Roman" w:hAnsi="Times New Roman" w:eastAsia="宋体" w:cs="Times New Roman"/>
                      <w:sz w:val="18"/>
                      <w:szCs w:val="18"/>
                      <w:lang w:val="zh-CN"/>
                    </w:rPr>
                    <w:t>环境质量底线是国家和地方设置的大气、水和土壤环境质量目标，也是改善环境质量的基准线。有关规划环评应落实区域环境质量目标管理要求，提出区域或者行业污染物排放总量管控建议以及优化落实区域环境质量目标管理要求，提出区域或者行业污染物排放总量管控建议以及优化区域或行业发展布局、结构和规模的对策措施。项目环评应对照区域环境质量目标，深入分析预测项目建设对环境质量的影响，强化污染防治措施和污染物排放控制要求</w:t>
                  </w:r>
                </w:p>
              </w:tc>
              <w:tc>
                <w:tcPr>
                  <w:tcW w:w="2535" w:type="pct"/>
                  <w:vAlign w:val="center"/>
                </w:tcPr>
                <w:p>
                  <w:pPr>
                    <w:spacing w:line="276" w:lineRule="auto"/>
                    <w:rPr>
                      <w:rFonts w:ascii="Times New Roman" w:hAnsi="Times New Roman" w:eastAsia="宋体" w:cs="Times New Roman"/>
                      <w:kern w:val="0"/>
                      <w:sz w:val="18"/>
                      <w:szCs w:val="18"/>
                    </w:rPr>
                  </w:pPr>
                  <w:r>
                    <w:rPr>
                      <w:rFonts w:ascii="Times New Roman" w:hAnsi="Times New Roman" w:eastAsia="宋体" w:cs="Times New Roman"/>
                      <w:sz w:val="18"/>
                      <w:szCs w:val="18"/>
                    </w:rPr>
                    <w:t>项目选址区域为环境空气功能区二类区，执行二级标准。根据《2023年淮南市环境质量状况公报》可知，项目选址区域环境空气质量不能满足《环境空气质量标准》（GB3095-2012）及其2018年修改单中二级标准要求，</w:t>
                  </w:r>
                  <w:r>
                    <w:rPr>
                      <w:rFonts w:ascii="Times New Roman" w:hAnsi="Times New Roman" w:eastAsia="宋体" w:cs="Times New Roman"/>
                      <w:bCs/>
                      <w:sz w:val="18"/>
                      <w:szCs w:val="18"/>
                    </w:rPr>
                    <w:t>可吸入颗粒物（PM</w:t>
                  </w:r>
                  <w:r>
                    <w:rPr>
                      <w:rFonts w:ascii="Times New Roman" w:hAnsi="Times New Roman" w:eastAsia="宋体" w:cs="Times New Roman"/>
                      <w:bCs/>
                      <w:sz w:val="18"/>
                      <w:szCs w:val="18"/>
                      <w:vertAlign w:val="subscript"/>
                    </w:rPr>
                    <w:t>10</w:t>
                  </w:r>
                  <w:r>
                    <w:rPr>
                      <w:rFonts w:ascii="Times New Roman" w:hAnsi="Times New Roman" w:eastAsia="宋体" w:cs="Times New Roman"/>
                      <w:bCs/>
                      <w:sz w:val="18"/>
                      <w:szCs w:val="18"/>
                    </w:rPr>
                    <w:t>）年均浓度和细颗粒物（PM</w:t>
                  </w:r>
                  <w:r>
                    <w:rPr>
                      <w:rFonts w:ascii="Times New Roman" w:hAnsi="Times New Roman" w:eastAsia="宋体" w:cs="Times New Roman"/>
                      <w:bCs/>
                      <w:sz w:val="18"/>
                      <w:szCs w:val="18"/>
                      <w:vertAlign w:val="subscript"/>
                    </w:rPr>
                    <w:t>2.5</w:t>
                  </w:r>
                  <w:r>
                    <w:rPr>
                      <w:rFonts w:ascii="Times New Roman" w:hAnsi="Times New Roman" w:eastAsia="宋体" w:cs="Times New Roman"/>
                      <w:bCs/>
                      <w:sz w:val="18"/>
                      <w:szCs w:val="18"/>
                    </w:rPr>
                    <w:t>）年均浓度均超过《环境空气质量标准》（GB3095-2012）及其2018年修改单中二级标准。</w:t>
                  </w:r>
                  <w:r>
                    <w:rPr>
                      <w:rFonts w:ascii="Times New Roman" w:hAnsi="Times New Roman" w:eastAsia="宋体" w:cs="Times New Roman"/>
                      <w:color w:val="000000" w:themeColor="text1"/>
                      <w:sz w:val="18"/>
                      <w:szCs w:val="18"/>
                      <w:lang w:val="zh-CN"/>
                    </w:rPr>
                    <w:t>目前，淮南市已制订《淮南市“十四五”大气污染防治规划（2021-2025年）》，围绕工业大气污染治理、扬（烟）尘污染防治等开</w:t>
                  </w:r>
                  <w:r>
                    <w:rPr>
                      <w:rFonts w:ascii="Times New Roman" w:hAnsi="Times New Roman" w:eastAsia="宋体" w:cs="Times New Roman"/>
                      <w:sz w:val="18"/>
                      <w:szCs w:val="18"/>
                      <w:lang w:val="zh-CN"/>
                    </w:rPr>
                    <w:t>展专项治理活动，进一步削减大气污染物排放</w:t>
                  </w:r>
                  <w:r>
                    <w:rPr>
                      <w:rFonts w:ascii="Times New Roman" w:hAnsi="Times New Roman" w:eastAsia="宋体" w:cs="Times New Roman"/>
                      <w:bCs/>
                      <w:sz w:val="18"/>
                      <w:szCs w:val="18"/>
                    </w:rPr>
                    <w:t>。根据补充监测，评价数据引用《安徽宏盛年产8500万支雨伞项目环境影响报告表》中的监测数据，项目区域TSP日均值现状监测结果满足《环境空气质量标准》（GB3095-2012）及修改单中的二级标准。</w:t>
                  </w:r>
                  <w:r>
                    <w:rPr>
                      <w:rFonts w:ascii="Times New Roman" w:hAnsi="Times New Roman" w:eastAsia="宋体" w:cs="Times New Roman"/>
                      <w:sz w:val="18"/>
                      <w:szCs w:val="18"/>
                      <w:lang w:val="zh-CN"/>
                    </w:rPr>
                    <w:t>与本项目有关的水体为淮河，根据</w:t>
                  </w:r>
                  <w:r>
                    <w:rPr>
                      <w:rFonts w:ascii="Times New Roman" w:hAnsi="Times New Roman" w:eastAsia="宋体" w:cs="Times New Roman"/>
                      <w:sz w:val="18"/>
                      <w:szCs w:val="18"/>
                    </w:rPr>
                    <w:t>淮南市生态环境局发布的《2023年淮南市环境质量状况公报》，淮河水环境质量现状</w:t>
                  </w:r>
                  <w:r>
                    <w:rPr>
                      <w:rFonts w:ascii="Times New Roman" w:hAnsi="Times New Roman" w:eastAsia="宋体" w:cs="Times New Roman"/>
                      <w:sz w:val="18"/>
                      <w:szCs w:val="18"/>
                      <w:lang w:val="zh-CN"/>
                    </w:rPr>
                    <w:t>满足《地表水环境质量标准》（GB3838-2002）中Ⅲ类标准。</w:t>
                  </w:r>
                  <w:r>
                    <w:rPr>
                      <w:rFonts w:ascii="Times New Roman" w:hAnsi="Times New Roman" w:eastAsia="宋体" w:cs="Times New Roman"/>
                      <w:color w:val="000000" w:themeColor="text1"/>
                      <w:kern w:val="0"/>
                      <w:sz w:val="18"/>
                      <w:szCs w:val="18"/>
                      <w:lang w:val="zh-CN"/>
                    </w:rPr>
                    <w:t>本项目废水、废气、固体废物均得到合理处置，不会突破项目所在地的环境质量底线。因此项目的建设符合环境质量底线标准。</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13" w:hRule="atLeast"/>
              </w:trPr>
              <w:tc>
                <w:tcPr>
                  <w:tcW w:w="2464" w:type="pct"/>
                  <w:vAlign w:val="center"/>
                </w:tcPr>
                <w:p>
                  <w:pPr>
                    <w:spacing w:line="276"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资源是环境的载体，资源利用上限是各地区能源、水、土地等资源消耗不得突破的“天花板”。相关规划环评应依据有关资源利用上限，对规划实施以及规划内项目的资源开发利用，区分不同行业，从能源资源开发等量或减量替代、开采方式和规模控制、利用效率和保护措施等方面提出建议，为规划编制和审批决策提供重要依据</w:t>
                  </w:r>
                </w:p>
              </w:tc>
              <w:tc>
                <w:tcPr>
                  <w:tcW w:w="2535" w:type="pct"/>
                  <w:vAlign w:val="center"/>
                </w:tcPr>
                <w:p>
                  <w:pPr>
                    <w:autoSpaceDE w:val="0"/>
                    <w:autoSpaceDN w:val="0"/>
                    <w:spacing w:line="276" w:lineRule="auto"/>
                    <w:jc w:val="center"/>
                    <w:rPr>
                      <w:rFonts w:ascii="Times New Roman" w:hAnsi="Times New Roman" w:eastAsia="宋体" w:cs="Times New Roman"/>
                      <w:color w:val="000000" w:themeColor="text1"/>
                      <w:kern w:val="0"/>
                      <w:sz w:val="18"/>
                      <w:szCs w:val="18"/>
                    </w:rPr>
                  </w:pPr>
                  <w:r>
                    <w:rPr>
                      <w:rFonts w:ascii="Times New Roman" w:hAnsi="Times New Roman" w:eastAsia="宋体" w:cs="Times New Roman"/>
                      <w:color w:val="000000" w:themeColor="text1"/>
                      <w:sz w:val="18"/>
                      <w:szCs w:val="18"/>
                    </w:rPr>
                    <w:t>项目用水由市政供水管网接入，本项目新鲜水源使用量较小，市政供水能够满足本项目新鲜用水的使用要求；用电由市政供电管网接入，可满足使用电量要求；本项目位于安徽省淮南市八公山区毕家岗街道新建社区，本项目用地性质为工业用地，不新增工业用地。因此，拟建项目建设不会突破资源利用上线。</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13" w:hRule="atLeast"/>
              </w:trPr>
              <w:tc>
                <w:tcPr>
                  <w:tcW w:w="2464" w:type="pct"/>
                  <w:vAlign w:val="center"/>
                </w:tcPr>
                <w:p>
                  <w:pPr>
                    <w:spacing w:line="276" w:lineRule="auto"/>
                    <w:jc w:val="center"/>
                    <w:rPr>
                      <w:rFonts w:ascii="Times New Roman" w:hAnsi="Times New Roman" w:eastAsia="宋体" w:cs="Times New Roman"/>
                      <w:sz w:val="18"/>
                      <w:szCs w:val="18"/>
                      <w:lang w:val="zh-CN"/>
                    </w:rPr>
                  </w:pPr>
                  <w:r>
                    <w:rPr>
                      <w:rFonts w:ascii="Times New Roman" w:hAnsi="Times New Roman" w:eastAsia="宋体" w:cs="Times New Roman"/>
                      <w:sz w:val="18"/>
                      <w:szCs w:val="18"/>
                      <w:lang w:val="zh-CN"/>
                    </w:rPr>
                    <w:t>环境准入负面清单是基于生态保护红线、环境质量底线、资源利用上限，以清单方式列出的精致、限值等差别化环境准入条件和要求。要在规划环评清单式管理试点的基础上，从布局选址、资源利用效率、资源配置方式等方面入手，制定环境准入负面清单，充分发挥负面清单对产业发展和项目准入的指导和约束作用</w:t>
                  </w:r>
                </w:p>
              </w:tc>
              <w:tc>
                <w:tcPr>
                  <w:tcW w:w="2535" w:type="pct"/>
                  <w:vAlign w:val="center"/>
                </w:tcPr>
                <w:p>
                  <w:pPr>
                    <w:spacing w:line="276" w:lineRule="auto"/>
                    <w:jc w:val="center"/>
                    <w:rPr>
                      <w:rFonts w:ascii="Times New Roman" w:hAnsi="Times New Roman" w:eastAsia="宋体" w:cs="Times New Roman"/>
                      <w:color w:val="FF0000"/>
                      <w:kern w:val="0"/>
                      <w:sz w:val="18"/>
                      <w:szCs w:val="18"/>
                    </w:rPr>
                  </w:pPr>
                  <w:r>
                    <w:rPr>
                      <w:rFonts w:ascii="Times New Roman" w:hAnsi="Times New Roman" w:eastAsia="宋体" w:cs="Times New Roman"/>
                      <w:color w:val="000000" w:themeColor="text1"/>
                      <w:kern w:val="0"/>
                      <w:sz w:val="18"/>
                      <w:szCs w:val="18"/>
                    </w:rPr>
                    <w:t>本项目属于C3594  商业、饮食、服务专用设备制造</w:t>
                  </w:r>
                  <w:r>
                    <w:rPr>
                      <w:rFonts w:hint="eastAsia" w:ascii="Times New Roman" w:hAnsi="Times New Roman" w:eastAsia="宋体" w:cs="Times New Roman"/>
                      <w:color w:val="000000" w:themeColor="text1"/>
                      <w:kern w:val="0"/>
                      <w:sz w:val="18"/>
                      <w:szCs w:val="18"/>
                      <w:lang w:val="en-US" w:eastAsia="zh-CN"/>
                    </w:rPr>
                    <w:t>和</w:t>
                  </w:r>
                  <w:r>
                    <w:rPr>
                      <w:rFonts w:ascii="Times New Roman" w:hAnsi="Times New Roman" w:eastAsia="宋体" w:cs="Times New Roman"/>
                      <w:color w:val="000000" w:themeColor="text1"/>
                      <w:kern w:val="0"/>
                      <w:sz w:val="18"/>
                      <w:szCs w:val="18"/>
                    </w:rPr>
                    <w:t>C3599其他专用设备制造，根据《产业结构调整指导目录(2024年本)》，本项目不属于限制类或淘汰类项目，视为允许建设项目。项目已取得淮南市八公山区发展改革局项目备案表，项目代码为：2309-340405-04-01-228143，项目符合国家产业政策。</w:t>
                  </w:r>
                </w:p>
              </w:tc>
            </w:tr>
          </w:tbl>
          <w:p>
            <w:pPr>
              <w:spacing w:line="360" w:lineRule="auto"/>
              <w:ind w:firstLine="482" w:firstLineChars="200"/>
              <w:rPr>
                <w:rFonts w:ascii="Times New Roman" w:hAnsi="Times New Roman" w:eastAsia="宋体" w:cs="Times New Roman"/>
                <w:b/>
                <w:color w:val="000000" w:themeColor="text1"/>
                <w:sz w:val="24"/>
                <w:szCs w:val="24"/>
              </w:rPr>
            </w:pPr>
            <w:r>
              <w:rPr>
                <w:rFonts w:ascii="Times New Roman" w:hAnsi="Times New Roman" w:eastAsia="宋体" w:cs="Times New Roman"/>
                <w:b/>
                <w:color w:val="000000" w:themeColor="text1"/>
                <w:sz w:val="24"/>
                <w:szCs w:val="24"/>
              </w:rPr>
              <w:t>4、与《安徽省淮河流域水污染防治条例》相符性分析</w:t>
            </w:r>
          </w:p>
          <w:p>
            <w:pPr>
              <w:adjustRightInd w:val="0"/>
              <w:spacing w:line="324" w:lineRule="auto"/>
              <w:jc w:val="center"/>
              <w:rPr>
                <w:rFonts w:ascii="Times New Roman" w:hAnsi="Times New Roman" w:eastAsia="黑体" w:cs="Times New Roman"/>
                <w:sz w:val="24"/>
              </w:rPr>
            </w:pPr>
            <w:r>
              <w:rPr>
                <w:rFonts w:ascii="Times New Roman" w:hAnsi="Times New Roman" w:eastAsia="黑体" w:cs="Times New Roman"/>
                <w:sz w:val="24"/>
              </w:rPr>
              <w:t>表1-</w:t>
            </w:r>
            <w:r>
              <w:rPr>
                <w:rFonts w:hint="eastAsia" w:ascii="Times New Roman" w:hAnsi="Times New Roman" w:eastAsia="黑体" w:cs="Times New Roman"/>
                <w:sz w:val="24"/>
              </w:rPr>
              <w:t>6</w:t>
            </w:r>
            <w:r>
              <w:rPr>
                <w:rFonts w:ascii="Times New Roman" w:hAnsi="Times New Roman" w:eastAsia="黑体" w:cs="Times New Roman"/>
                <w:sz w:val="24"/>
              </w:rPr>
              <w:t xml:space="preserve"> 与《安徽省淮河流域水污染防治条例》相符性分析</w:t>
            </w:r>
          </w:p>
          <w:tbl>
            <w:tblPr>
              <w:tblStyle w:val="17"/>
              <w:tblW w:w="5000" w:type="pct"/>
              <w:jc w:val="center"/>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autofit"/>
              <w:tblCellMar>
                <w:top w:w="0" w:type="dxa"/>
                <w:left w:w="108" w:type="dxa"/>
                <w:bottom w:w="0" w:type="dxa"/>
                <w:right w:w="108" w:type="dxa"/>
              </w:tblCellMar>
            </w:tblPr>
            <w:tblGrid>
              <w:gridCol w:w="780"/>
              <w:gridCol w:w="3048"/>
              <w:gridCol w:w="2996"/>
              <w:gridCol w:w="1051"/>
            </w:tblGrid>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95" w:type="pct"/>
                  <w:shd w:val="clear" w:color="auto" w:fill="auto"/>
                  <w:vAlign w:val="center"/>
                </w:tcPr>
                <w:p>
                  <w:pPr>
                    <w:jc w:val="center"/>
                    <w:rPr>
                      <w:rFonts w:ascii="Times New Roman" w:hAnsi="Times New Roman" w:eastAsia="宋体" w:cs="Times New Roman"/>
                      <w:b/>
                      <w:color w:val="000000" w:themeColor="text1"/>
                      <w:sz w:val="18"/>
                      <w:szCs w:val="18"/>
                    </w:rPr>
                  </w:pPr>
                  <w:r>
                    <w:rPr>
                      <w:rFonts w:ascii="Times New Roman" w:hAnsi="Times New Roman" w:eastAsia="宋体" w:cs="Times New Roman"/>
                      <w:b/>
                      <w:color w:val="000000" w:themeColor="text1"/>
                      <w:sz w:val="18"/>
                      <w:szCs w:val="18"/>
                    </w:rPr>
                    <w:t>序号</w:t>
                  </w:r>
                </w:p>
              </w:tc>
              <w:tc>
                <w:tcPr>
                  <w:tcW w:w="1934" w:type="pct"/>
                  <w:shd w:val="clear" w:color="auto" w:fill="auto"/>
                  <w:vAlign w:val="center"/>
                </w:tcPr>
                <w:p>
                  <w:pPr>
                    <w:jc w:val="center"/>
                    <w:rPr>
                      <w:rFonts w:ascii="Times New Roman" w:hAnsi="Times New Roman" w:eastAsia="宋体" w:cs="Times New Roman"/>
                      <w:b/>
                      <w:color w:val="000000" w:themeColor="text1"/>
                      <w:sz w:val="18"/>
                      <w:szCs w:val="18"/>
                    </w:rPr>
                  </w:pPr>
                  <w:r>
                    <w:rPr>
                      <w:rFonts w:ascii="Times New Roman" w:hAnsi="Times New Roman" w:eastAsia="宋体" w:cs="Times New Roman"/>
                      <w:b/>
                      <w:color w:val="000000" w:themeColor="text1"/>
                      <w:sz w:val="18"/>
                      <w:szCs w:val="18"/>
                    </w:rPr>
                    <w:t>措施内容</w:t>
                  </w:r>
                </w:p>
              </w:tc>
              <w:tc>
                <w:tcPr>
                  <w:tcW w:w="1901" w:type="pct"/>
                  <w:shd w:val="clear" w:color="auto" w:fill="auto"/>
                  <w:vAlign w:val="center"/>
                </w:tcPr>
                <w:p>
                  <w:pPr>
                    <w:jc w:val="center"/>
                    <w:rPr>
                      <w:rFonts w:ascii="Times New Roman" w:hAnsi="Times New Roman" w:eastAsia="宋体" w:cs="Times New Roman"/>
                      <w:b/>
                      <w:color w:val="000000" w:themeColor="text1"/>
                      <w:sz w:val="18"/>
                      <w:szCs w:val="18"/>
                    </w:rPr>
                  </w:pPr>
                  <w:r>
                    <w:rPr>
                      <w:rFonts w:ascii="Times New Roman" w:hAnsi="Times New Roman" w:eastAsia="宋体" w:cs="Times New Roman"/>
                      <w:b/>
                      <w:color w:val="000000" w:themeColor="text1"/>
                      <w:sz w:val="18"/>
                      <w:szCs w:val="18"/>
                    </w:rPr>
                    <w:t>本项目措施</w:t>
                  </w:r>
                </w:p>
              </w:tc>
              <w:tc>
                <w:tcPr>
                  <w:tcW w:w="667" w:type="pct"/>
                  <w:shd w:val="clear" w:color="auto" w:fill="auto"/>
                  <w:vAlign w:val="center"/>
                </w:tcPr>
                <w:p>
                  <w:pPr>
                    <w:jc w:val="center"/>
                    <w:rPr>
                      <w:rFonts w:ascii="Times New Roman" w:hAnsi="Times New Roman" w:eastAsia="宋体" w:cs="Times New Roman"/>
                      <w:b/>
                      <w:color w:val="000000" w:themeColor="text1"/>
                      <w:sz w:val="18"/>
                      <w:szCs w:val="18"/>
                    </w:rPr>
                  </w:pPr>
                  <w:r>
                    <w:rPr>
                      <w:rFonts w:ascii="Times New Roman" w:hAnsi="Times New Roman" w:eastAsia="宋体" w:cs="Times New Roman"/>
                      <w:b/>
                      <w:color w:val="000000" w:themeColor="text1"/>
                      <w:sz w:val="18"/>
                      <w:szCs w:val="18"/>
                    </w:rPr>
                    <w:t>相符性</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95" w:type="pct"/>
                  <w:shd w:val="clear" w:color="auto" w:fill="auto"/>
                  <w:vAlign w:val="center"/>
                </w:tcPr>
                <w:p>
                  <w:pPr>
                    <w:jc w:val="center"/>
                    <w:rPr>
                      <w:rFonts w:ascii="Times New Roman" w:hAnsi="Times New Roman" w:eastAsia="宋体" w:cs="Times New Roman"/>
                      <w:color w:val="000000" w:themeColor="text1"/>
                      <w:sz w:val="18"/>
                      <w:szCs w:val="18"/>
                    </w:rPr>
                  </w:pPr>
                  <w:r>
                    <w:rPr>
                      <w:rFonts w:ascii="Times New Roman" w:hAnsi="Times New Roman" w:eastAsia="宋体" w:cs="Times New Roman"/>
                      <w:color w:val="000000" w:themeColor="text1"/>
                      <w:sz w:val="18"/>
                      <w:szCs w:val="18"/>
                    </w:rPr>
                    <w:t>1</w:t>
                  </w:r>
                </w:p>
              </w:tc>
              <w:tc>
                <w:tcPr>
                  <w:tcW w:w="1934" w:type="pct"/>
                  <w:shd w:val="clear" w:color="auto" w:fill="auto"/>
                  <w:vAlign w:val="center"/>
                </w:tcPr>
                <w:p>
                  <w:pPr>
                    <w:jc w:val="center"/>
                    <w:rPr>
                      <w:rFonts w:ascii="Times New Roman" w:hAnsi="Times New Roman" w:eastAsia="宋体" w:cs="Times New Roman"/>
                      <w:color w:val="000000" w:themeColor="text1"/>
                      <w:sz w:val="18"/>
                      <w:szCs w:val="18"/>
                    </w:rPr>
                  </w:pPr>
                  <w:r>
                    <w:rPr>
                      <w:rFonts w:ascii="Times New Roman" w:hAnsi="Times New Roman" w:eastAsia="宋体" w:cs="Times New Roman"/>
                      <w:color w:val="000000" w:themeColor="text1"/>
                      <w:sz w:val="18"/>
                      <w:szCs w:val="18"/>
                    </w:rPr>
                    <w:t>禁止在淮河流域新建化学制浆造纸企业和印染、制革、化工、电镀、酿造等污染严重的小型企业。严格限制在淮河流域新建印染、制革、化工、电镀、酿造等大中型项目或者其他污染严重的项目；建设该类项目的，应当事前征得省人民政府生态环境行政主管部门的同意，并按照规定办理有关手续</w:t>
                  </w:r>
                </w:p>
              </w:tc>
              <w:tc>
                <w:tcPr>
                  <w:tcW w:w="1901" w:type="pct"/>
                  <w:shd w:val="clear" w:color="auto" w:fill="auto"/>
                  <w:vAlign w:val="center"/>
                </w:tcPr>
                <w:p>
                  <w:pPr>
                    <w:jc w:val="center"/>
                    <w:rPr>
                      <w:rFonts w:ascii="Times New Roman" w:hAnsi="Times New Roman" w:eastAsia="宋体" w:cs="Times New Roman"/>
                      <w:color w:val="000000" w:themeColor="text1"/>
                      <w:sz w:val="18"/>
                      <w:szCs w:val="18"/>
                    </w:rPr>
                  </w:pPr>
                  <w:r>
                    <w:rPr>
                      <w:rFonts w:ascii="Times New Roman" w:hAnsi="Times New Roman" w:eastAsia="宋体" w:cs="Times New Roman"/>
                      <w:color w:val="000000" w:themeColor="text1"/>
                      <w:sz w:val="18"/>
                      <w:szCs w:val="18"/>
                    </w:rPr>
                    <w:t>本项目年加工自动售货机和智能分类垃圾箱10000台，企业不属于印染、制革、化工、电镀、酿造等污染严重的小型企业。项目已取得淮南市八公山区发展改革局项目备案</w:t>
                  </w:r>
                </w:p>
              </w:tc>
              <w:tc>
                <w:tcPr>
                  <w:tcW w:w="667" w:type="pct"/>
                  <w:shd w:val="clear" w:color="auto" w:fill="auto"/>
                  <w:vAlign w:val="center"/>
                </w:tcPr>
                <w:p>
                  <w:pPr>
                    <w:jc w:val="center"/>
                    <w:rPr>
                      <w:rFonts w:ascii="Times New Roman" w:hAnsi="Times New Roman" w:eastAsia="宋体" w:cs="Times New Roman"/>
                      <w:color w:val="000000" w:themeColor="text1"/>
                      <w:sz w:val="18"/>
                      <w:szCs w:val="18"/>
                    </w:rPr>
                  </w:pPr>
                  <w:r>
                    <w:rPr>
                      <w:rFonts w:ascii="Times New Roman" w:hAnsi="Times New Roman" w:eastAsia="宋体" w:cs="Times New Roman"/>
                      <w:color w:val="000000" w:themeColor="text1"/>
                      <w:sz w:val="18"/>
                      <w:szCs w:val="18"/>
                    </w:rPr>
                    <w:t>符合</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95" w:type="pct"/>
                  <w:shd w:val="clear" w:color="auto" w:fill="auto"/>
                  <w:vAlign w:val="center"/>
                </w:tcPr>
                <w:p>
                  <w:pPr>
                    <w:jc w:val="center"/>
                    <w:rPr>
                      <w:rFonts w:ascii="Times New Roman" w:hAnsi="Times New Roman" w:eastAsia="宋体" w:cs="Times New Roman"/>
                      <w:color w:val="000000" w:themeColor="text1"/>
                      <w:sz w:val="18"/>
                      <w:szCs w:val="18"/>
                    </w:rPr>
                  </w:pPr>
                  <w:r>
                    <w:rPr>
                      <w:rFonts w:ascii="Times New Roman" w:hAnsi="Times New Roman" w:eastAsia="宋体" w:cs="Times New Roman"/>
                      <w:color w:val="000000" w:themeColor="text1"/>
                      <w:sz w:val="18"/>
                      <w:szCs w:val="18"/>
                    </w:rPr>
                    <w:t>2</w:t>
                  </w:r>
                </w:p>
              </w:tc>
              <w:tc>
                <w:tcPr>
                  <w:tcW w:w="2754" w:type="dxa"/>
                  <w:shd w:val="clear" w:color="auto" w:fill="auto"/>
                  <w:vAlign w:val="center"/>
                </w:tcPr>
                <w:p>
                  <w:pPr>
                    <w:jc w:val="center"/>
                    <w:rPr>
                      <w:rFonts w:ascii="Times New Roman" w:hAnsi="Times New Roman" w:eastAsia="宋体" w:cs="Times New Roman"/>
                      <w:color w:val="000000" w:themeColor="text1"/>
                      <w:sz w:val="18"/>
                      <w:szCs w:val="18"/>
                    </w:rPr>
                  </w:pPr>
                  <w:r>
                    <w:rPr>
                      <w:rFonts w:ascii="Times New Roman" w:hAnsi="Times New Roman" w:eastAsia="宋体" w:cs="Times New Roman"/>
                      <w:color w:val="000000" w:themeColor="text1"/>
                      <w:sz w:val="18"/>
                      <w:szCs w:val="18"/>
                    </w:rPr>
                    <w:t>第十四条新建、改建、改建直接或者间接向水体排放污染物的建设项目和其他水上设施，应当依法进行环境影响评价。建设项目的水污染防治设施，应当符合经批准或者备案的环境影响评价文件的要求，并与主体工程同时设计、同时施工、同时投入使用。</w:t>
                  </w:r>
                </w:p>
              </w:tc>
              <w:tc>
                <w:tcPr>
                  <w:tcW w:w="2707" w:type="dxa"/>
                  <w:shd w:val="clear" w:color="auto" w:fill="auto"/>
                  <w:vAlign w:val="center"/>
                </w:tcPr>
                <w:p>
                  <w:pPr>
                    <w:jc w:val="center"/>
                    <w:rPr>
                      <w:rFonts w:ascii="Times New Roman" w:hAnsi="Times New Roman" w:eastAsia="宋体" w:cs="Times New Roman"/>
                      <w:color w:val="000000" w:themeColor="text1"/>
                      <w:sz w:val="18"/>
                      <w:szCs w:val="18"/>
                    </w:rPr>
                  </w:pPr>
                  <w:r>
                    <w:rPr>
                      <w:rFonts w:ascii="Times New Roman" w:hAnsi="Times New Roman" w:eastAsia="宋体" w:cs="Times New Roman"/>
                      <w:color w:val="000000" w:themeColor="text1"/>
                      <w:sz w:val="18"/>
                      <w:szCs w:val="18"/>
                    </w:rPr>
                    <w:t>项目实行雨污分流制。</w:t>
                  </w:r>
                </w:p>
                <w:p>
                  <w:pPr>
                    <w:jc w:val="center"/>
                    <w:rPr>
                      <w:rFonts w:ascii="Times New Roman" w:hAnsi="Times New Roman" w:eastAsia="宋体" w:cs="Times New Roman"/>
                      <w:color w:val="000000" w:themeColor="text1"/>
                      <w:sz w:val="18"/>
                      <w:szCs w:val="18"/>
                    </w:rPr>
                  </w:pPr>
                  <w:r>
                    <w:rPr>
                      <w:rFonts w:ascii="Times New Roman" w:hAnsi="Times New Roman" w:eastAsia="宋体" w:cs="Times New Roman"/>
                      <w:color w:val="000000" w:themeColor="text1"/>
                      <w:sz w:val="18"/>
                      <w:szCs w:val="18"/>
                    </w:rPr>
                    <w:t>无生产废水产生。</w:t>
                  </w:r>
                </w:p>
              </w:tc>
              <w:tc>
                <w:tcPr>
                  <w:tcW w:w="951" w:type="dxa"/>
                  <w:shd w:val="clear" w:color="auto" w:fill="auto"/>
                  <w:vAlign w:val="center"/>
                </w:tcPr>
                <w:p>
                  <w:pPr>
                    <w:jc w:val="center"/>
                    <w:rPr>
                      <w:rFonts w:ascii="Times New Roman" w:hAnsi="Times New Roman" w:eastAsia="宋体" w:cs="Times New Roman"/>
                      <w:color w:val="000000" w:themeColor="text1"/>
                      <w:sz w:val="18"/>
                      <w:szCs w:val="18"/>
                    </w:rPr>
                  </w:pPr>
                  <w:r>
                    <w:rPr>
                      <w:rFonts w:ascii="Times New Roman" w:hAnsi="Times New Roman" w:eastAsia="宋体" w:cs="Times New Roman"/>
                      <w:color w:val="000000" w:themeColor="text1"/>
                      <w:sz w:val="18"/>
                      <w:szCs w:val="18"/>
                    </w:rPr>
                    <w:t>符合</w:t>
                  </w:r>
                </w:p>
              </w:tc>
            </w:tr>
          </w:tbl>
          <w:p>
            <w:pPr>
              <w:spacing w:line="360" w:lineRule="auto"/>
              <w:ind w:firstLine="480" w:firstLineChars="200"/>
              <w:rPr>
                <w:rFonts w:ascii="Times New Roman" w:hAnsi="Times New Roman" w:eastAsia="宋体" w:cs="Times New Roman"/>
                <w:kern w:val="0"/>
                <w:sz w:val="24"/>
                <w:szCs w:val="24"/>
              </w:rPr>
            </w:pPr>
            <w:r>
              <w:rPr>
                <w:rFonts w:ascii="Times New Roman" w:hAnsi="Times New Roman" w:eastAsia="宋体" w:cs="Times New Roman"/>
                <w:kern w:val="0"/>
                <w:sz w:val="24"/>
                <w:szCs w:val="24"/>
              </w:rPr>
              <w:t>根据上表可知，本项目与《安徽省淮河流域水污染防治条例》中的规定相符。</w:t>
            </w:r>
          </w:p>
          <w:p>
            <w:pPr>
              <w:spacing w:line="348" w:lineRule="auto"/>
              <w:ind w:firstLine="482" w:firstLineChars="200"/>
              <w:rPr>
                <w:rFonts w:ascii="Times New Roman" w:hAnsi="Times New Roman" w:eastAsia="宋体" w:cs="Times New Roman"/>
                <w:b/>
                <w:sz w:val="24"/>
                <w:szCs w:val="24"/>
              </w:rPr>
            </w:pPr>
            <w:r>
              <w:rPr>
                <w:rFonts w:ascii="Times New Roman" w:hAnsi="Times New Roman" w:eastAsia="宋体" w:cs="Times New Roman"/>
                <w:b/>
                <w:sz w:val="24"/>
                <w:szCs w:val="24"/>
              </w:rPr>
              <w:t>10、与排污许可证衔接</w:t>
            </w:r>
          </w:p>
          <w:p>
            <w:pPr>
              <w:spacing w:line="360" w:lineRule="auto"/>
              <w:ind w:firstLine="480" w:firstLineChars="200"/>
              <w:rPr>
                <w:rFonts w:ascii="Times New Roman" w:hAnsi="Times New Roman" w:eastAsia="宋体" w:cs="Times New Roman"/>
                <w:spacing w:val="-2"/>
                <w:sz w:val="24"/>
                <w:szCs w:val="24"/>
              </w:rPr>
            </w:pPr>
            <w:r>
              <w:rPr>
                <w:rFonts w:ascii="Times New Roman" w:hAnsi="Times New Roman" w:eastAsia="宋体" w:cs="Times New Roman"/>
                <w:sz w:val="24"/>
                <w:szCs w:val="24"/>
              </w:rPr>
              <w:t>本项目建设内容</w:t>
            </w:r>
            <w:r>
              <w:rPr>
                <w:rFonts w:hint="eastAsia" w:ascii="Times New Roman" w:hAnsi="Times New Roman" w:eastAsia="宋体" w:cs="Times New Roman"/>
                <w:sz w:val="24"/>
                <w:szCs w:val="24"/>
              </w:rPr>
              <w:t>为自动售货机和智能垃圾分类箱加工</w:t>
            </w:r>
            <w:r>
              <w:rPr>
                <w:rFonts w:ascii="Times New Roman" w:hAnsi="Times New Roman" w:eastAsia="宋体" w:cs="Times New Roman"/>
                <w:sz w:val="24"/>
              </w:rPr>
              <w:t>，对照</w:t>
            </w:r>
            <w:r>
              <w:rPr>
                <w:rFonts w:ascii="Times New Roman" w:hAnsi="Times New Roman" w:eastAsia="宋体" w:cs="Times New Roman"/>
                <w:sz w:val="24"/>
                <w:szCs w:val="24"/>
              </w:rPr>
              <w:t>《固定污染源排污许可分类管理名录》（2019年版），本项目</w:t>
            </w:r>
            <w:r>
              <w:rPr>
                <w:rFonts w:hint="eastAsia" w:ascii="Times New Roman" w:hAnsi="Times New Roman" w:eastAsia="宋体" w:cs="Times New Roman"/>
                <w:sz w:val="24"/>
                <w:szCs w:val="24"/>
                <w:lang w:val="en-US" w:eastAsia="zh-CN"/>
              </w:rPr>
              <w:t>本项目不涉及通用工序，</w:t>
            </w:r>
            <w:r>
              <w:rPr>
                <w:rFonts w:ascii="Times New Roman" w:hAnsi="Times New Roman" w:eastAsia="宋体" w:cs="Times New Roman"/>
                <w:sz w:val="24"/>
                <w:szCs w:val="24"/>
              </w:rPr>
              <w:t>属于登记管理</w:t>
            </w:r>
            <w:r>
              <w:rPr>
                <w:rFonts w:ascii="Times New Roman" w:hAnsi="Times New Roman" w:eastAsia="宋体" w:cs="Times New Roman"/>
                <w:spacing w:val="-2"/>
                <w:sz w:val="24"/>
                <w:szCs w:val="24"/>
              </w:rPr>
              <w:t>。</w:t>
            </w:r>
          </w:p>
          <w:p>
            <w:pPr>
              <w:adjustRightInd w:val="0"/>
              <w:spacing w:line="324" w:lineRule="auto"/>
              <w:jc w:val="center"/>
              <w:rPr>
                <w:rFonts w:ascii="Times New Roman" w:hAnsi="Times New Roman" w:eastAsia="黑体" w:cs="Times New Roman"/>
                <w:sz w:val="24"/>
              </w:rPr>
            </w:pPr>
            <w:r>
              <w:rPr>
                <w:rFonts w:ascii="Times New Roman" w:hAnsi="Times New Roman" w:eastAsia="黑体" w:cs="Times New Roman"/>
                <w:sz w:val="24"/>
              </w:rPr>
              <w:t>表1-</w:t>
            </w:r>
            <w:r>
              <w:rPr>
                <w:rFonts w:hint="eastAsia" w:ascii="Times New Roman" w:hAnsi="Times New Roman" w:eastAsia="黑体" w:cs="Times New Roman"/>
                <w:sz w:val="24"/>
              </w:rPr>
              <w:t>7</w:t>
            </w:r>
            <w:r>
              <w:rPr>
                <w:rFonts w:ascii="Times New Roman" w:hAnsi="Times New Roman" w:eastAsia="黑体" w:cs="Times New Roman"/>
                <w:sz w:val="24"/>
              </w:rPr>
              <w:t xml:space="preserve">  排污许可证申领类别一览表</w:t>
            </w:r>
          </w:p>
          <w:tbl>
            <w:tblPr>
              <w:tblStyle w:val="18"/>
              <w:tblW w:w="4998" w:type="pct"/>
              <w:tblInd w:w="0" w:type="dxa"/>
              <w:tblBorders>
                <w:top w:val="single" w:color="000000" w:themeColor="text1" w:sz="8" w:space="0"/>
                <w:left w:val="none" w:color="auto" w:sz="0" w:space="0"/>
                <w:bottom w:val="single" w:color="000000" w:themeColor="text1" w:sz="8" w:space="0"/>
                <w:right w:val="none" w:color="auto" w:sz="0" w:space="0"/>
                <w:insideH w:val="single" w:color="000000" w:themeColor="text1" w:sz="4" w:space="0"/>
                <w:insideV w:val="single" w:color="000000" w:themeColor="text1" w:sz="4" w:space="0"/>
              </w:tblBorders>
              <w:tblLayout w:type="autofit"/>
              <w:tblCellMar>
                <w:top w:w="0" w:type="dxa"/>
                <w:left w:w="108" w:type="dxa"/>
                <w:bottom w:w="0" w:type="dxa"/>
                <w:right w:w="108" w:type="dxa"/>
              </w:tblCellMar>
            </w:tblPr>
            <w:tblGrid>
              <w:gridCol w:w="411"/>
              <w:gridCol w:w="3498"/>
              <w:gridCol w:w="1376"/>
              <w:gridCol w:w="1455"/>
              <w:gridCol w:w="1132"/>
            </w:tblGrid>
            <w:tr>
              <w:tblPrEx>
                <w:tblBorders>
                  <w:top w:val="single" w:color="000000" w:themeColor="text1" w:sz="8" w:space="0"/>
                  <w:left w:val="none" w:color="auto" w:sz="0" w:space="0"/>
                  <w:bottom w:val="single" w:color="000000" w:themeColor="text1" w:sz="8" w:space="0"/>
                  <w:right w:val="none" w:color="auto" w:sz="0"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340" w:hRule="atLeast"/>
              </w:trPr>
              <w:tc>
                <w:tcPr>
                  <w:tcW w:w="2483" w:type="pct"/>
                  <w:gridSpan w:val="2"/>
                  <w:tcBorders>
                    <w:tl2br w:val="nil"/>
                    <w:tr2bl w:val="nil"/>
                  </w:tcBorders>
                  <w:vAlign w:val="center"/>
                </w:tcPr>
                <w:p>
                  <w:pPr>
                    <w:snapToGrid w:val="0"/>
                    <w:spacing w:line="276" w:lineRule="auto"/>
                    <w:jc w:val="center"/>
                    <w:rPr>
                      <w:rFonts w:ascii="Times New Roman" w:hAnsi="Times New Roman" w:eastAsia="宋体" w:cs="Times New Roman"/>
                      <w:b/>
                      <w:bCs/>
                      <w:sz w:val="18"/>
                      <w:szCs w:val="18"/>
                    </w:rPr>
                  </w:pPr>
                  <w:r>
                    <w:rPr>
                      <w:rFonts w:ascii="Times New Roman" w:hAnsi="Times New Roman" w:eastAsia="宋体" w:cs="Times New Roman"/>
                      <w:b/>
                      <w:bCs/>
                      <w:sz w:val="18"/>
                      <w:szCs w:val="18"/>
                    </w:rPr>
                    <w:t>行业类别</w:t>
                  </w:r>
                </w:p>
              </w:tc>
              <w:tc>
                <w:tcPr>
                  <w:tcW w:w="874" w:type="pct"/>
                  <w:tcBorders>
                    <w:tl2br w:val="nil"/>
                    <w:tr2bl w:val="nil"/>
                  </w:tcBorders>
                  <w:vAlign w:val="center"/>
                </w:tcPr>
                <w:p>
                  <w:pPr>
                    <w:snapToGrid w:val="0"/>
                    <w:spacing w:line="276" w:lineRule="auto"/>
                    <w:jc w:val="center"/>
                    <w:rPr>
                      <w:rFonts w:ascii="Times New Roman" w:hAnsi="Times New Roman" w:eastAsia="宋体" w:cs="Times New Roman"/>
                      <w:b/>
                      <w:bCs/>
                      <w:sz w:val="18"/>
                      <w:szCs w:val="18"/>
                    </w:rPr>
                  </w:pPr>
                  <w:r>
                    <w:rPr>
                      <w:rFonts w:ascii="Times New Roman" w:hAnsi="Times New Roman" w:eastAsia="宋体" w:cs="Times New Roman"/>
                      <w:b/>
                      <w:bCs/>
                      <w:sz w:val="18"/>
                      <w:szCs w:val="18"/>
                    </w:rPr>
                    <w:t>重点管理</w:t>
                  </w:r>
                </w:p>
              </w:tc>
              <w:tc>
                <w:tcPr>
                  <w:tcW w:w="924" w:type="pct"/>
                  <w:tcBorders>
                    <w:tl2br w:val="nil"/>
                    <w:tr2bl w:val="nil"/>
                  </w:tcBorders>
                  <w:vAlign w:val="center"/>
                </w:tcPr>
                <w:p>
                  <w:pPr>
                    <w:snapToGrid w:val="0"/>
                    <w:spacing w:line="276" w:lineRule="auto"/>
                    <w:jc w:val="center"/>
                    <w:rPr>
                      <w:rFonts w:ascii="Times New Roman" w:hAnsi="Times New Roman" w:eastAsia="宋体" w:cs="Times New Roman"/>
                      <w:b/>
                      <w:bCs/>
                      <w:sz w:val="18"/>
                      <w:szCs w:val="18"/>
                    </w:rPr>
                  </w:pPr>
                  <w:r>
                    <w:rPr>
                      <w:rFonts w:ascii="Times New Roman" w:hAnsi="Times New Roman" w:eastAsia="宋体" w:cs="Times New Roman"/>
                      <w:b/>
                      <w:bCs/>
                      <w:sz w:val="18"/>
                      <w:szCs w:val="18"/>
                    </w:rPr>
                    <w:t>简化管理</w:t>
                  </w:r>
                </w:p>
              </w:tc>
              <w:tc>
                <w:tcPr>
                  <w:tcW w:w="718" w:type="pct"/>
                  <w:tcBorders>
                    <w:tl2br w:val="nil"/>
                    <w:tr2bl w:val="nil"/>
                  </w:tcBorders>
                  <w:vAlign w:val="center"/>
                </w:tcPr>
                <w:p>
                  <w:pPr>
                    <w:snapToGrid w:val="0"/>
                    <w:spacing w:line="276" w:lineRule="auto"/>
                    <w:jc w:val="center"/>
                    <w:rPr>
                      <w:rFonts w:ascii="Times New Roman" w:hAnsi="Times New Roman" w:eastAsia="宋体" w:cs="Times New Roman"/>
                      <w:b/>
                      <w:bCs/>
                      <w:sz w:val="18"/>
                      <w:szCs w:val="18"/>
                    </w:rPr>
                  </w:pPr>
                  <w:r>
                    <w:rPr>
                      <w:rFonts w:ascii="Times New Roman" w:hAnsi="Times New Roman" w:eastAsia="宋体" w:cs="Times New Roman"/>
                      <w:b/>
                      <w:bCs/>
                      <w:sz w:val="18"/>
                      <w:szCs w:val="18"/>
                    </w:rPr>
                    <w:t>登记管理</w:t>
                  </w:r>
                </w:p>
              </w:tc>
            </w:tr>
            <w:tr>
              <w:tblPrEx>
                <w:tblBorders>
                  <w:top w:val="single" w:color="000000" w:themeColor="text1" w:sz="8" w:space="0"/>
                  <w:left w:val="none" w:color="auto" w:sz="0" w:space="0"/>
                  <w:bottom w:val="single" w:color="000000" w:themeColor="text1" w:sz="8" w:space="0"/>
                  <w:right w:val="none" w:color="auto" w:sz="0"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527" w:hRule="atLeast"/>
              </w:trPr>
              <w:tc>
                <w:tcPr>
                  <w:tcW w:w="5000" w:type="pct"/>
                  <w:gridSpan w:val="5"/>
                  <w:tcBorders>
                    <w:tl2br w:val="nil"/>
                    <w:tr2bl w:val="nil"/>
                  </w:tcBorders>
                  <w:vAlign w:val="center"/>
                </w:tcPr>
                <w:p>
                  <w:pPr>
                    <w:snapToGrid w:val="0"/>
                    <w:spacing w:line="276" w:lineRule="auto"/>
                    <w:jc w:val="left"/>
                    <w:rPr>
                      <w:rFonts w:ascii="Times New Roman" w:hAnsi="Times New Roman" w:eastAsia="宋体" w:cs="Times New Roman"/>
                      <w:sz w:val="18"/>
                      <w:szCs w:val="18"/>
                    </w:rPr>
                  </w:pPr>
                  <w:r>
                    <w:rPr>
                      <w:rFonts w:ascii="Times New Roman" w:hAnsi="Times New Roman" w:eastAsia="宋体" w:cs="Times New Roman"/>
                      <w:sz w:val="18"/>
                      <w:szCs w:val="18"/>
                    </w:rPr>
                    <w:t>三十、专用设备制造业 35</w:t>
                  </w:r>
                </w:p>
              </w:tc>
            </w:tr>
            <w:tr>
              <w:tblPrEx>
                <w:tblBorders>
                  <w:top w:val="single" w:color="000000" w:themeColor="text1" w:sz="8" w:space="0"/>
                  <w:left w:val="none" w:color="auto" w:sz="0" w:space="0"/>
                  <w:bottom w:val="single" w:color="000000" w:themeColor="text1" w:sz="8" w:space="0"/>
                  <w:right w:val="none" w:color="auto" w:sz="0"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340" w:hRule="atLeast"/>
              </w:trPr>
              <w:tc>
                <w:tcPr>
                  <w:tcW w:w="261" w:type="pct"/>
                  <w:tcBorders>
                    <w:right w:val="single" w:color="auto" w:sz="4" w:space="0"/>
                    <w:tl2br w:val="nil"/>
                    <w:tr2bl w:val="nil"/>
                  </w:tcBorders>
                  <w:vAlign w:val="center"/>
                </w:tcPr>
                <w:p>
                  <w:pPr>
                    <w:snapToGrid w:val="0"/>
                    <w:spacing w:line="276"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84</w:t>
                  </w:r>
                </w:p>
              </w:tc>
              <w:tc>
                <w:tcPr>
                  <w:tcW w:w="2221" w:type="pct"/>
                  <w:tcBorders>
                    <w:left w:val="single" w:color="auto" w:sz="4" w:space="0"/>
                    <w:tl2br w:val="nil"/>
                    <w:tr2bl w:val="nil"/>
                  </w:tcBorders>
                  <w:vAlign w:val="center"/>
                </w:tcPr>
                <w:p>
                  <w:pPr>
                    <w:snapToGrid w:val="0"/>
                    <w:spacing w:line="276"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采矿、冶金、建筑专用设备制造 351，化工、木材、非金属加工专用设备制造 352，食品、饮料、烟草及饲料生产专用设备制造 353，印刷、制药、日化及日用品生产专用设备制造 354，纺织、服装和皮革加工专用设备制造355，电子和电工机械专用设备制造356，农、林、牧、渔专用机械制造357，医疗仪器设备及器械制造 358，</w:t>
                  </w:r>
                  <w:r>
                    <w:rPr>
                      <w:rFonts w:ascii="Times New Roman" w:hAnsi="Times New Roman" w:eastAsia="宋体" w:cs="Times New Roman"/>
                      <w:b/>
                      <w:bCs/>
                      <w:sz w:val="18"/>
                      <w:szCs w:val="18"/>
                    </w:rPr>
                    <w:t>环保、邮政、社会公共服务及其他专用设备制造 359</w:t>
                  </w:r>
                </w:p>
              </w:tc>
              <w:tc>
                <w:tcPr>
                  <w:tcW w:w="874" w:type="pct"/>
                  <w:tcBorders>
                    <w:tl2br w:val="nil"/>
                    <w:tr2bl w:val="nil"/>
                  </w:tcBorders>
                  <w:vAlign w:val="center"/>
                </w:tcPr>
                <w:p>
                  <w:pPr>
                    <w:snapToGrid w:val="0"/>
                    <w:spacing w:line="276"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涉及通用工序重点管理的</w:t>
                  </w:r>
                </w:p>
              </w:tc>
              <w:tc>
                <w:tcPr>
                  <w:tcW w:w="924" w:type="pct"/>
                  <w:tcBorders>
                    <w:tl2br w:val="nil"/>
                    <w:tr2bl w:val="nil"/>
                  </w:tcBorders>
                  <w:vAlign w:val="center"/>
                </w:tcPr>
                <w:p>
                  <w:pPr>
                    <w:snapToGrid w:val="0"/>
                    <w:spacing w:line="276"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涉及通用工序简化管理的</w:t>
                  </w:r>
                </w:p>
              </w:tc>
              <w:tc>
                <w:tcPr>
                  <w:tcW w:w="718" w:type="pct"/>
                  <w:tcBorders>
                    <w:tl2br w:val="nil"/>
                    <w:tr2bl w:val="nil"/>
                  </w:tcBorders>
                  <w:vAlign w:val="center"/>
                </w:tcPr>
                <w:p>
                  <w:pPr>
                    <w:snapToGrid w:val="0"/>
                    <w:spacing w:line="276" w:lineRule="auto"/>
                    <w:jc w:val="center"/>
                    <w:rPr>
                      <w:rFonts w:ascii="Times New Roman" w:hAnsi="Times New Roman" w:eastAsia="宋体" w:cs="Times New Roman"/>
                      <w:sz w:val="18"/>
                      <w:szCs w:val="18"/>
                    </w:rPr>
                  </w:pPr>
                  <w:r>
                    <w:rPr>
                      <w:rFonts w:ascii="Times New Roman" w:hAnsi="Times New Roman" w:eastAsia="宋体" w:cs="Times New Roman"/>
                      <w:b/>
                      <w:bCs/>
                      <w:sz w:val="18"/>
                      <w:szCs w:val="18"/>
                    </w:rPr>
                    <w:t>其他</w:t>
                  </w:r>
                </w:p>
              </w:tc>
            </w:tr>
          </w:tbl>
          <w:p>
            <w:pPr>
              <w:spacing w:line="360" w:lineRule="auto"/>
              <w:rPr>
                <w:rFonts w:ascii="Times New Roman" w:hAnsi="Times New Roman" w:eastAsia="宋体" w:cs="Times New Roman"/>
                <w:kern w:val="0"/>
                <w:sz w:val="24"/>
                <w:szCs w:val="24"/>
              </w:rPr>
            </w:pPr>
          </w:p>
        </w:tc>
      </w:tr>
    </w:tbl>
    <w:p>
      <w:pPr>
        <w:rPr>
          <w:rFonts w:ascii="Times New Roman" w:hAnsi="Times New Roman" w:eastAsia="宋体" w:cs="Times New Roman"/>
        </w:rPr>
        <w:sectPr>
          <w:pgSz w:w="11906" w:h="16838"/>
          <w:pgMar w:top="1701" w:right="1531" w:bottom="1701" w:left="1531" w:header="851" w:footer="992" w:gutter="0"/>
          <w:pgBorders>
            <w:top w:val="none" w:sz="0" w:space="0"/>
            <w:left w:val="none" w:sz="0" w:space="0"/>
            <w:bottom w:val="none" w:sz="0" w:space="0"/>
            <w:right w:val="none" w:sz="0" w:space="0"/>
          </w:pgBorders>
          <w:cols w:space="425" w:num="1"/>
          <w:docGrid w:type="lines" w:linePitch="312" w:charSpace="0"/>
        </w:sectPr>
      </w:pPr>
    </w:p>
    <w:p>
      <w:pPr>
        <w:widowControl/>
        <w:jc w:val="center"/>
        <w:outlineLvl w:val="0"/>
        <w:rPr>
          <w:rFonts w:ascii="Times New Roman" w:hAnsi="Times New Roman" w:eastAsia="宋体" w:cs="Times New Roman"/>
          <w:snapToGrid w:val="0"/>
          <w:kern w:val="0"/>
          <w:sz w:val="32"/>
          <w:szCs w:val="32"/>
        </w:rPr>
      </w:pPr>
      <w:r>
        <w:rPr>
          <w:rFonts w:ascii="Times New Roman" w:hAnsi="Times New Roman" w:eastAsia="宋体" w:cs="Times New Roman"/>
          <w:snapToGrid w:val="0"/>
          <w:kern w:val="0"/>
          <w:sz w:val="32"/>
          <w:szCs w:val="32"/>
        </w:rPr>
        <w:t>二、建设项目工程分析</w:t>
      </w:r>
    </w:p>
    <w:tbl>
      <w:tblPr>
        <w:tblStyle w:val="17"/>
        <w:tblW w:w="9060"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516"/>
        <w:gridCol w:w="8544"/>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1649" w:hRule="atLeast"/>
          <w:jc w:val="center"/>
        </w:trPr>
        <w:tc>
          <w:tcPr>
            <w:tcW w:w="516" w:type="dxa"/>
            <w:shd w:val="clear" w:color="auto" w:fill="auto"/>
            <w:vAlign w:val="center"/>
          </w:tcPr>
          <w:p>
            <w:pPr>
              <w:widowControl/>
              <w:adjustRightInd w:val="0"/>
              <w:snapToGrid w:val="0"/>
              <w:jc w:val="center"/>
              <w:rPr>
                <w:rFonts w:ascii="Times New Roman" w:hAnsi="Times New Roman" w:eastAsia="宋体" w:cs="Times New Roman"/>
                <w:color w:val="auto"/>
                <w:kern w:val="0"/>
                <w:sz w:val="24"/>
                <w:szCs w:val="24"/>
                <w:highlight w:val="none"/>
              </w:rPr>
            </w:pPr>
            <w:r>
              <w:rPr>
                <w:rFonts w:ascii="Times New Roman" w:hAnsi="Times New Roman" w:eastAsia="宋体" w:cs="Times New Roman"/>
                <w:color w:val="auto"/>
                <w:kern w:val="0"/>
                <w:sz w:val="24"/>
                <w:szCs w:val="24"/>
                <w:highlight w:val="none"/>
              </w:rPr>
              <w:t>建设内容</w:t>
            </w:r>
          </w:p>
        </w:tc>
        <w:tc>
          <w:tcPr>
            <w:tcW w:w="8544" w:type="dxa"/>
            <w:shd w:val="clear" w:color="auto" w:fill="auto"/>
          </w:tcPr>
          <w:p>
            <w:pPr>
              <w:spacing w:line="360" w:lineRule="auto"/>
              <w:ind w:firstLine="482" w:firstLineChars="200"/>
              <w:rPr>
                <w:rFonts w:ascii="Times New Roman" w:hAnsi="Times New Roman" w:eastAsia="宋体" w:cs="Times New Roman"/>
                <w:b/>
                <w:color w:val="auto"/>
                <w:sz w:val="24"/>
                <w:szCs w:val="24"/>
                <w:highlight w:val="none"/>
              </w:rPr>
            </w:pPr>
            <w:r>
              <w:rPr>
                <w:rFonts w:ascii="Times New Roman" w:hAnsi="Times New Roman" w:eastAsia="宋体" w:cs="Times New Roman"/>
                <w:b/>
                <w:color w:val="auto"/>
                <w:sz w:val="24"/>
                <w:szCs w:val="24"/>
                <w:highlight w:val="none"/>
              </w:rPr>
              <w:t>1、项目背景</w:t>
            </w:r>
          </w:p>
          <w:p>
            <w:pPr>
              <w:spacing w:line="360" w:lineRule="auto"/>
              <w:ind w:firstLine="480" w:firstLineChars="200"/>
              <w:rPr>
                <w:rFonts w:ascii="Times New Roman" w:hAnsi="Times New Roman" w:eastAsia="宋体" w:cs="Times New Roman"/>
                <w:color w:val="auto"/>
                <w:kern w:val="0"/>
                <w:sz w:val="24"/>
                <w:szCs w:val="24"/>
                <w:highlight w:val="none"/>
              </w:rPr>
            </w:pPr>
            <w:r>
              <w:rPr>
                <w:rFonts w:ascii="Times New Roman" w:hAnsi="Times New Roman" w:eastAsia="宋体" w:cs="Times New Roman"/>
                <w:color w:val="auto"/>
                <w:kern w:val="0"/>
                <w:sz w:val="24"/>
                <w:szCs w:val="24"/>
                <w:highlight w:val="none"/>
              </w:rPr>
              <w:t>安徽福斯特智能科技有限公司拟投资6000万元，租赁淮南中兴实业有限责任公司位于</w:t>
            </w:r>
            <w:r>
              <w:rPr>
                <w:rFonts w:ascii="Times New Roman" w:hAnsi="Times New Roman" w:eastAsia="宋体" w:cs="Times New Roman"/>
                <w:color w:val="auto"/>
                <w:sz w:val="24"/>
                <w:highlight w:val="none"/>
              </w:rPr>
              <w:t>八公山区</w:t>
            </w:r>
            <w:r>
              <w:rPr>
                <w:rFonts w:ascii="Times New Roman" w:hAnsi="Times New Roman" w:eastAsia="宋体" w:cs="Times New Roman"/>
                <w:color w:val="auto"/>
                <w:kern w:val="0"/>
                <w:sz w:val="24"/>
                <w:szCs w:val="24"/>
                <w:highlight w:val="none"/>
              </w:rPr>
              <w:t>毕家岗街道新建社区</w:t>
            </w:r>
            <w:r>
              <w:rPr>
                <w:rFonts w:ascii="Times New Roman" w:hAnsi="Times New Roman" w:eastAsia="宋体" w:cs="Times New Roman"/>
                <w:color w:val="auto"/>
                <w:sz w:val="24"/>
                <w:highlight w:val="none"/>
              </w:rPr>
              <w:t>的现有厂房</w:t>
            </w:r>
            <w:r>
              <w:rPr>
                <w:rFonts w:ascii="Times New Roman" w:hAnsi="Times New Roman" w:eastAsia="宋体" w:cs="Times New Roman"/>
                <w:color w:val="auto"/>
                <w:kern w:val="0"/>
                <w:sz w:val="24"/>
                <w:szCs w:val="24"/>
                <w:highlight w:val="none"/>
              </w:rPr>
              <w:t>，用地面积</w:t>
            </w:r>
            <w:r>
              <w:rPr>
                <w:rFonts w:ascii="Times New Roman" w:hAnsi="Times New Roman" w:eastAsia="宋体" w:cs="Times New Roman"/>
                <w:color w:val="auto"/>
                <w:sz w:val="24"/>
                <w:szCs w:val="24"/>
                <w:highlight w:val="none"/>
              </w:rPr>
              <w:t>8390</w:t>
            </w:r>
            <w:r>
              <w:rPr>
                <w:rFonts w:ascii="Times New Roman" w:hAnsi="Times New Roman" w:eastAsia="宋体" w:cs="Times New Roman"/>
                <w:color w:val="auto"/>
                <w:kern w:val="0"/>
                <w:sz w:val="24"/>
                <w:szCs w:val="24"/>
                <w:highlight w:val="none"/>
              </w:rPr>
              <w:t>m</w:t>
            </w:r>
            <w:r>
              <w:rPr>
                <w:rFonts w:ascii="Times New Roman" w:hAnsi="Times New Roman" w:eastAsia="宋体" w:cs="Times New Roman"/>
                <w:color w:val="auto"/>
                <w:kern w:val="0"/>
                <w:sz w:val="24"/>
                <w:szCs w:val="24"/>
                <w:highlight w:val="none"/>
                <w:vertAlign w:val="superscript"/>
              </w:rPr>
              <w:t>2</w:t>
            </w:r>
            <w:r>
              <w:rPr>
                <w:rFonts w:ascii="Times New Roman" w:hAnsi="Times New Roman" w:eastAsia="宋体" w:cs="Times New Roman"/>
                <w:color w:val="auto"/>
                <w:kern w:val="0"/>
                <w:sz w:val="24"/>
                <w:szCs w:val="24"/>
                <w:highlight w:val="none"/>
              </w:rPr>
              <w:t>，在淮南市八公山区毕家岗街道新建社区新建“安徽福斯特智能科技有限公司智能装备产业园项目”，建设自动售货机和分类垃圾箱生产线，形成</w:t>
            </w:r>
            <w:r>
              <w:rPr>
                <w:rFonts w:ascii="Times New Roman" w:hAnsi="Times New Roman" w:eastAsia="宋体" w:cs="Times New Roman"/>
                <w:bCs/>
                <w:color w:val="auto"/>
                <w:sz w:val="24"/>
                <w:highlight w:val="none"/>
              </w:rPr>
              <w:t>年加工10000台自动售货机及智能垃圾分类箱</w:t>
            </w:r>
            <w:r>
              <w:rPr>
                <w:rFonts w:ascii="Times New Roman" w:hAnsi="Times New Roman" w:eastAsia="宋体" w:cs="Times New Roman"/>
                <w:color w:val="auto"/>
                <w:kern w:val="0"/>
                <w:sz w:val="24"/>
                <w:szCs w:val="24"/>
                <w:highlight w:val="none"/>
              </w:rPr>
              <w:t>的生产规模。该项目于</w:t>
            </w:r>
            <w:r>
              <w:rPr>
                <w:rFonts w:hint="eastAsia" w:ascii="Times New Roman" w:hAnsi="Times New Roman" w:eastAsia="宋体" w:cs="Times New Roman"/>
                <w:color w:val="auto"/>
                <w:kern w:val="0"/>
                <w:sz w:val="24"/>
                <w:szCs w:val="24"/>
                <w:highlight w:val="none"/>
              </w:rPr>
              <w:t>2023年09月19日首次备案</w:t>
            </w:r>
            <w:r>
              <w:rPr>
                <w:rFonts w:hint="eastAsia" w:ascii="Times New Roman" w:hAnsi="Times New Roman" w:eastAsia="宋体" w:cs="Times New Roman"/>
                <w:color w:val="auto"/>
                <w:kern w:val="0"/>
                <w:sz w:val="24"/>
                <w:szCs w:val="24"/>
                <w:highlight w:val="none"/>
                <w:lang w:eastAsia="zh-CN"/>
              </w:rPr>
              <w:t>，</w:t>
            </w:r>
            <w:r>
              <w:rPr>
                <w:rFonts w:ascii="Times New Roman" w:hAnsi="Times New Roman" w:eastAsia="宋体" w:cs="Times New Roman"/>
                <w:color w:val="auto"/>
                <w:kern w:val="0"/>
                <w:sz w:val="24"/>
                <w:szCs w:val="24"/>
                <w:highlight w:val="none"/>
              </w:rPr>
              <w:t>2024年4月15日经淮南市八公山区发展改革局通过备案，项目编码为</w:t>
            </w:r>
            <w:r>
              <w:rPr>
                <w:rFonts w:ascii="Times New Roman" w:hAnsi="Times New Roman" w:eastAsia="宋体" w:cs="Times New Roman"/>
                <w:color w:val="auto"/>
                <w:sz w:val="24"/>
                <w:szCs w:val="24"/>
                <w:highlight w:val="none"/>
              </w:rPr>
              <w:t>2309-340405-04-01-228143</w:t>
            </w:r>
            <w:r>
              <w:rPr>
                <w:rFonts w:ascii="Times New Roman" w:hAnsi="Times New Roman" w:eastAsia="宋体" w:cs="Times New Roman"/>
                <w:color w:val="auto"/>
                <w:kern w:val="0"/>
                <w:sz w:val="24"/>
                <w:szCs w:val="24"/>
                <w:highlight w:val="none"/>
              </w:rPr>
              <w:t>。</w:t>
            </w:r>
          </w:p>
          <w:p>
            <w:pPr>
              <w:spacing w:line="360" w:lineRule="auto"/>
              <w:ind w:firstLine="480" w:firstLineChars="200"/>
              <w:rPr>
                <w:rFonts w:ascii="Times New Roman" w:hAnsi="Times New Roman" w:eastAsia="宋体" w:cs="Times New Roman"/>
                <w:iCs/>
                <w:color w:val="auto"/>
                <w:spacing w:val="4"/>
                <w:sz w:val="24"/>
                <w:szCs w:val="20"/>
                <w:highlight w:val="none"/>
              </w:rPr>
            </w:pPr>
            <w:r>
              <w:rPr>
                <w:rFonts w:ascii="Times New Roman" w:hAnsi="Times New Roman" w:eastAsia="宋体" w:cs="Times New Roman"/>
                <w:color w:val="auto"/>
                <w:sz w:val="24"/>
                <w:highlight w:val="none"/>
              </w:rPr>
              <w:t>根据《中华人民共和国环境保护法》（主席令2014年第9号）、《中华人民共和国环境影响评价法》（2018年12月29日修订）、《建设项目环境保护管理条例》（2017年10月1日施行）及《建设项目环境影响评价分类管理名录》（2021年版）中要求，本项目属于</w:t>
            </w:r>
            <w:r>
              <w:rPr>
                <w:rFonts w:ascii="Times New Roman" w:hAnsi="Times New Roman" w:eastAsia="宋体" w:cs="Times New Roman"/>
                <w:color w:val="auto"/>
                <w:kern w:val="0"/>
                <w:sz w:val="24"/>
                <w:szCs w:val="20"/>
                <w:highlight w:val="none"/>
              </w:rPr>
              <w:t>“三十二、专用设备制造业”的“环保、邮政、社会公共服务及其他专用设备制造”中的“其他”，</w:t>
            </w:r>
            <w:r>
              <w:rPr>
                <w:rFonts w:ascii="Times New Roman" w:hAnsi="Times New Roman" w:eastAsia="宋体" w:cs="Times New Roman"/>
                <w:iCs/>
                <w:color w:val="auto"/>
                <w:spacing w:val="4"/>
                <w:sz w:val="24"/>
                <w:szCs w:val="20"/>
                <w:highlight w:val="none"/>
              </w:rPr>
              <w:t>需要编制环境影响报告表，详细见下表。</w:t>
            </w:r>
          </w:p>
          <w:p>
            <w:pPr>
              <w:adjustRightInd w:val="0"/>
              <w:spacing w:line="324" w:lineRule="auto"/>
              <w:jc w:val="center"/>
              <w:rPr>
                <w:rFonts w:ascii="Times New Roman" w:hAnsi="Times New Roman" w:eastAsia="黑体" w:cs="Times New Roman"/>
                <w:color w:val="auto"/>
                <w:sz w:val="24"/>
                <w:highlight w:val="none"/>
              </w:rPr>
            </w:pPr>
            <w:r>
              <w:rPr>
                <w:rFonts w:ascii="Times New Roman" w:hAnsi="Times New Roman" w:eastAsia="黑体" w:cs="Times New Roman"/>
                <w:color w:val="auto"/>
                <w:sz w:val="24"/>
                <w:highlight w:val="none"/>
              </w:rPr>
              <w:t>表2-1  环境影响评价报告类别</w:t>
            </w:r>
          </w:p>
          <w:tbl>
            <w:tblPr>
              <w:tblStyle w:val="17"/>
              <w:tblW w:w="8328" w:type="dxa"/>
              <w:jc w:val="center"/>
              <w:tblBorders>
                <w:top w:val="single" w:color="auto" w:sz="8" w:space="0"/>
                <w:left w:val="none" w:color="auto" w:sz="0" w:space="0"/>
                <w:bottom w:val="single" w:color="auto" w:sz="8"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545"/>
              <w:gridCol w:w="3330"/>
              <w:gridCol w:w="1731"/>
              <w:gridCol w:w="1733"/>
              <w:gridCol w:w="989"/>
            </w:tblGrid>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PrEx>
              <w:trPr>
                <w:trHeight w:val="556" w:hRule="atLeast"/>
                <w:jc w:val="center"/>
              </w:trPr>
              <w:tc>
                <w:tcPr>
                  <w:tcW w:w="3875" w:type="dxa"/>
                  <w:gridSpan w:val="2"/>
                  <w:tcBorders>
                    <w:tl2br w:val="nil"/>
                    <w:tr2bl w:val="nil"/>
                  </w:tcBorders>
                  <w:vAlign w:val="center"/>
                </w:tcPr>
                <w:p>
                  <w:pPr>
                    <w:snapToGrid w:val="0"/>
                    <w:spacing w:line="276" w:lineRule="auto"/>
                    <w:jc w:val="right"/>
                    <w:rPr>
                      <w:rFonts w:ascii="Times New Roman" w:hAnsi="Times New Roman" w:eastAsia="宋体" w:cs="Times New Roman"/>
                      <w:b/>
                      <w:color w:val="auto"/>
                      <w:sz w:val="18"/>
                      <w:szCs w:val="18"/>
                      <w:highlight w:val="none"/>
                    </w:rPr>
                  </w:pPr>
                </w:p>
                <w:p>
                  <w:pPr>
                    <w:snapToGrid w:val="0"/>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项目类别</w:t>
                  </w:r>
                </w:p>
                <w:p>
                  <w:pPr>
                    <w:snapToGrid w:val="0"/>
                    <w:spacing w:line="276" w:lineRule="auto"/>
                    <w:jc w:val="right"/>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环评类别</w:t>
                  </w:r>
                </w:p>
              </w:tc>
              <w:tc>
                <w:tcPr>
                  <w:tcW w:w="1731" w:type="dxa"/>
                  <w:tcBorders>
                    <w:tl2br w:val="nil"/>
                    <w:tr2bl w:val="nil"/>
                  </w:tcBorders>
                  <w:vAlign w:val="center"/>
                </w:tcPr>
                <w:p>
                  <w:pPr>
                    <w:snapToGrid w:val="0"/>
                    <w:spacing w:line="276" w:lineRule="auto"/>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报告书</w:t>
                  </w:r>
                </w:p>
              </w:tc>
              <w:tc>
                <w:tcPr>
                  <w:tcW w:w="1733" w:type="dxa"/>
                  <w:tcBorders>
                    <w:tl2br w:val="nil"/>
                    <w:tr2bl w:val="nil"/>
                  </w:tcBorders>
                  <w:shd w:val="clear" w:color="auto" w:fill="D8D8D8" w:themeFill="background1" w:themeFillShade="D9"/>
                  <w:vAlign w:val="center"/>
                </w:tcPr>
                <w:p>
                  <w:pPr>
                    <w:snapToGrid w:val="0"/>
                    <w:spacing w:line="276" w:lineRule="auto"/>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报告表</w:t>
                  </w:r>
                </w:p>
              </w:tc>
              <w:tc>
                <w:tcPr>
                  <w:tcW w:w="989" w:type="dxa"/>
                  <w:tcBorders>
                    <w:tl2br w:val="nil"/>
                    <w:tr2bl w:val="nil"/>
                  </w:tcBorders>
                  <w:vAlign w:val="center"/>
                </w:tcPr>
                <w:p>
                  <w:pPr>
                    <w:snapToGrid w:val="0"/>
                    <w:spacing w:line="276" w:lineRule="auto"/>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登记表</w:t>
                  </w: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28" w:type="dxa"/>
                  <w:gridSpan w:val="5"/>
                  <w:tcBorders>
                    <w:tl2br w:val="nil"/>
                    <w:tr2bl w:val="nil"/>
                  </w:tcBorders>
                  <w:vAlign w:val="center"/>
                </w:tcPr>
                <w:p>
                  <w:pPr>
                    <w:snapToGrid w:val="0"/>
                    <w:spacing w:line="276" w:lineRule="auto"/>
                    <w:jc w:val="left"/>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三十二、专用设备制造业 35</w:t>
                  </w: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45" w:type="dxa"/>
                  <w:tcBorders>
                    <w:tl2br w:val="nil"/>
                    <w:tr2bl w:val="nil"/>
                  </w:tcBorders>
                  <w:vAlign w:val="center"/>
                </w:tcPr>
                <w:p>
                  <w:pPr>
                    <w:adjustRightInd w:val="0"/>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70</w:t>
                  </w:r>
                </w:p>
              </w:tc>
              <w:tc>
                <w:tcPr>
                  <w:tcW w:w="3330" w:type="dxa"/>
                  <w:tcBorders>
                    <w:tl2br w:val="nil"/>
                    <w:tr2bl w:val="nil"/>
                  </w:tcBorders>
                  <w:vAlign w:val="center"/>
                </w:tcPr>
                <w:p>
                  <w:pPr>
                    <w:adjustRightInd w:val="0"/>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采矿、冶金、建筑专用设备制造 351，化工、木材、非金属加工专用设备制造 352，食品、饮料、烟草及饲料生产专用设备制造 353，印刷、制药、日化及日用品生产专用设备制造 354，纺织、服装和皮革加工专用设备制造355，电子和电工机械专用设备制造356，农、林、牧、渔专用机械制造357，医疗仪器设备及器械制造 358，</w:t>
                  </w:r>
                  <w:r>
                    <w:rPr>
                      <w:rFonts w:ascii="Times New Roman" w:hAnsi="Times New Roman" w:eastAsia="宋体" w:cs="Times New Roman"/>
                      <w:b/>
                      <w:bCs/>
                      <w:color w:val="auto"/>
                      <w:sz w:val="18"/>
                      <w:szCs w:val="18"/>
                      <w:highlight w:val="none"/>
                    </w:rPr>
                    <w:t>环保、邮政、社会公共服务及其他专用设备制造 359</w:t>
                  </w:r>
                </w:p>
              </w:tc>
              <w:tc>
                <w:tcPr>
                  <w:tcW w:w="1731" w:type="dxa"/>
                  <w:tcBorders>
                    <w:tl2br w:val="nil"/>
                    <w:tr2bl w:val="nil"/>
                  </w:tcBorders>
                  <w:vAlign w:val="center"/>
                </w:tcPr>
                <w:p>
                  <w:pPr>
                    <w:adjustRightInd w:val="0"/>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有电镀工艺的；年用溶剂型涂料(含稀释剂)10吨及以上的</w:t>
                  </w:r>
                </w:p>
              </w:tc>
              <w:tc>
                <w:tcPr>
                  <w:tcW w:w="1733" w:type="dxa"/>
                  <w:tcBorders>
                    <w:tl2br w:val="nil"/>
                    <w:tr2bl w:val="nil"/>
                  </w:tcBorders>
                  <w:shd w:val="clear" w:color="auto" w:fill="D8D8D8" w:themeFill="background1" w:themeFillShade="D9"/>
                  <w:vAlign w:val="center"/>
                </w:tcPr>
                <w:p>
                  <w:pPr>
                    <w:adjustRightInd w:val="0"/>
                    <w:snapToGrid w:val="0"/>
                    <w:spacing w:line="276" w:lineRule="auto"/>
                    <w:jc w:val="center"/>
                    <w:rPr>
                      <w:rFonts w:ascii="Times New Roman" w:hAnsi="Times New Roman" w:eastAsia="宋体" w:cs="Times New Roman"/>
                      <w:b/>
                      <w:color w:val="auto"/>
                      <w:kern w:val="0"/>
                      <w:sz w:val="18"/>
                      <w:szCs w:val="18"/>
                      <w:highlight w:val="none"/>
                    </w:rPr>
                  </w:pPr>
                  <w:r>
                    <w:rPr>
                      <w:rFonts w:ascii="Times New Roman" w:hAnsi="Times New Roman" w:eastAsia="宋体" w:cs="Times New Roman"/>
                      <w:b/>
                      <w:color w:val="auto"/>
                      <w:kern w:val="0"/>
                      <w:sz w:val="18"/>
                      <w:szCs w:val="18"/>
                      <w:highlight w:val="none"/>
                    </w:rPr>
                    <w:t>其他（仅分割、焊接、组装的途外；年用非溶剂型低VOCa含量涂料10吨以下的除外）</w:t>
                  </w:r>
                </w:p>
              </w:tc>
              <w:tc>
                <w:tcPr>
                  <w:tcW w:w="989" w:type="dxa"/>
                  <w:tcBorders>
                    <w:tl2br w:val="nil"/>
                    <w:tr2bl w:val="nil"/>
                  </w:tcBorders>
                  <w:vAlign w:val="center"/>
                </w:tcPr>
                <w:p>
                  <w:pPr>
                    <w:adjustRightInd w:val="0"/>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w:t>
                  </w:r>
                </w:p>
              </w:tc>
            </w:tr>
          </w:tbl>
          <w:p>
            <w:pPr>
              <w:spacing w:line="360" w:lineRule="auto"/>
              <w:ind w:firstLine="480" w:firstLineChars="200"/>
              <w:rPr>
                <w:rFonts w:ascii="Times New Roman" w:hAnsi="Times New Roman" w:eastAsia="宋体" w:cs="Times New Roman"/>
                <w:color w:val="auto"/>
                <w:sz w:val="24"/>
                <w:highlight w:val="none"/>
              </w:rPr>
            </w:pPr>
            <w:r>
              <w:rPr>
                <w:rFonts w:ascii="Times New Roman" w:hAnsi="Times New Roman" w:eastAsia="宋体" w:cs="Times New Roman"/>
                <w:color w:val="auto"/>
                <w:kern w:val="0"/>
                <w:sz w:val="24"/>
                <w:szCs w:val="24"/>
                <w:highlight w:val="none"/>
              </w:rPr>
              <w:t>安徽福斯特智能科技有限公司</w:t>
            </w:r>
            <w:r>
              <w:rPr>
                <w:rFonts w:ascii="Times New Roman" w:hAnsi="Times New Roman" w:eastAsia="宋体" w:cs="Times New Roman"/>
                <w:color w:val="auto"/>
                <w:sz w:val="24"/>
                <w:highlight w:val="none"/>
              </w:rPr>
              <w:t>委托我公司为该项目进行环境影响评价。我公司在接受委托后，立即到现场踏勘，认真了解项目所在区域的周边环境情况，收集了有关资料，编写完成本项目的环境影响报告表，现呈报生态环境主管部门审批。</w:t>
            </w:r>
          </w:p>
          <w:p>
            <w:pPr>
              <w:spacing w:line="360" w:lineRule="auto"/>
              <w:ind w:firstLine="482" w:firstLineChars="200"/>
              <w:rPr>
                <w:rFonts w:ascii="Times New Roman" w:hAnsi="Times New Roman" w:eastAsia="宋体" w:cs="Times New Roman"/>
                <w:b/>
                <w:color w:val="auto"/>
                <w:sz w:val="24"/>
                <w:highlight w:val="none"/>
              </w:rPr>
            </w:pPr>
            <w:r>
              <w:rPr>
                <w:rFonts w:ascii="Times New Roman" w:hAnsi="Times New Roman" w:eastAsia="宋体" w:cs="Times New Roman"/>
                <w:b/>
                <w:color w:val="auto"/>
                <w:sz w:val="24"/>
                <w:highlight w:val="none"/>
              </w:rPr>
              <w:t>2、建设规模及内容</w:t>
            </w:r>
          </w:p>
          <w:p>
            <w:pPr>
              <w:spacing w:line="360" w:lineRule="auto"/>
              <w:ind w:firstLine="480" w:firstLineChars="200"/>
              <w:rPr>
                <w:rFonts w:ascii="Times New Roman" w:hAnsi="Times New Roman" w:eastAsia="宋体" w:cs="Times New Roman"/>
                <w:color w:val="auto"/>
                <w:kern w:val="0"/>
                <w:sz w:val="24"/>
                <w:szCs w:val="24"/>
                <w:highlight w:val="none"/>
              </w:rPr>
            </w:pPr>
            <w:r>
              <w:rPr>
                <w:rFonts w:ascii="Times New Roman" w:hAnsi="Times New Roman" w:eastAsia="宋体" w:cs="Times New Roman"/>
                <w:color w:val="auto"/>
                <w:sz w:val="24"/>
                <w:highlight w:val="none"/>
              </w:rPr>
              <w:t>项目名称：</w:t>
            </w:r>
            <w:r>
              <w:rPr>
                <w:rFonts w:ascii="Times New Roman" w:hAnsi="Times New Roman" w:eastAsia="宋体" w:cs="Times New Roman"/>
                <w:color w:val="auto"/>
                <w:kern w:val="0"/>
                <w:sz w:val="24"/>
                <w:szCs w:val="24"/>
                <w:highlight w:val="none"/>
              </w:rPr>
              <w:t>安徽福斯特智能科技有限公司智能装备产业园项目</w:t>
            </w:r>
          </w:p>
          <w:p>
            <w:pPr>
              <w:spacing w:line="360" w:lineRule="auto"/>
              <w:ind w:firstLine="480" w:firstLineChars="200"/>
              <w:rPr>
                <w:rFonts w:ascii="Times New Roman" w:hAnsi="Times New Roman" w:eastAsia="宋体" w:cs="Times New Roman"/>
                <w:color w:val="auto"/>
                <w:kern w:val="0"/>
                <w:sz w:val="24"/>
                <w:szCs w:val="24"/>
                <w:highlight w:val="none"/>
              </w:rPr>
            </w:pPr>
            <w:r>
              <w:rPr>
                <w:rFonts w:ascii="Times New Roman" w:hAnsi="Times New Roman" w:eastAsia="宋体" w:cs="Times New Roman"/>
                <w:bCs/>
                <w:color w:val="auto"/>
                <w:sz w:val="24"/>
                <w:highlight w:val="none"/>
              </w:rPr>
              <w:t>建设单位：</w:t>
            </w:r>
            <w:r>
              <w:rPr>
                <w:rFonts w:ascii="Times New Roman" w:hAnsi="Times New Roman" w:eastAsia="宋体" w:cs="Times New Roman"/>
                <w:color w:val="auto"/>
                <w:kern w:val="0"/>
                <w:sz w:val="24"/>
                <w:szCs w:val="24"/>
                <w:highlight w:val="none"/>
              </w:rPr>
              <w:t>安徽福斯特智能科技有限公司</w:t>
            </w:r>
          </w:p>
          <w:p>
            <w:pPr>
              <w:spacing w:line="360" w:lineRule="auto"/>
              <w:ind w:firstLine="480" w:firstLineChars="200"/>
              <w:rPr>
                <w:rFonts w:ascii="Times New Roman" w:hAnsi="Times New Roman" w:eastAsia="宋体" w:cs="Times New Roman"/>
                <w:bCs/>
                <w:color w:val="auto"/>
                <w:sz w:val="24"/>
                <w:highlight w:val="none"/>
              </w:rPr>
            </w:pPr>
            <w:r>
              <w:rPr>
                <w:rFonts w:ascii="Times New Roman" w:hAnsi="Times New Roman" w:eastAsia="宋体" w:cs="Times New Roman"/>
                <w:bCs/>
                <w:color w:val="auto"/>
                <w:sz w:val="24"/>
                <w:highlight w:val="none"/>
              </w:rPr>
              <w:t>项目性质：新建</w:t>
            </w:r>
          </w:p>
          <w:p>
            <w:pPr>
              <w:spacing w:line="360" w:lineRule="auto"/>
              <w:ind w:firstLine="480" w:firstLineChars="200"/>
              <w:rPr>
                <w:rFonts w:ascii="Times New Roman" w:hAnsi="Times New Roman" w:eastAsia="宋体" w:cs="Times New Roman"/>
                <w:bCs/>
                <w:color w:val="auto"/>
                <w:sz w:val="24"/>
                <w:highlight w:val="none"/>
              </w:rPr>
            </w:pPr>
            <w:r>
              <w:rPr>
                <w:rFonts w:ascii="Times New Roman" w:hAnsi="Times New Roman" w:eastAsia="宋体" w:cs="Times New Roman"/>
                <w:bCs/>
                <w:color w:val="auto"/>
                <w:sz w:val="24"/>
                <w:highlight w:val="none"/>
              </w:rPr>
              <w:t>投资总额：6000万元</w:t>
            </w:r>
          </w:p>
          <w:p>
            <w:pPr>
              <w:spacing w:line="360" w:lineRule="auto"/>
              <w:ind w:firstLine="480" w:firstLineChars="200"/>
              <w:rPr>
                <w:rFonts w:ascii="Times New Roman" w:hAnsi="Times New Roman" w:eastAsia="宋体" w:cs="Times New Roman"/>
                <w:bCs/>
                <w:color w:val="auto"/>
                <w:sz w:val="24"/>
                <w:highlight w:val="none"/>
              </w:rPr>
            </w:pPr>
            <w:r>
              <w:rPr>
                <w:rFonts w:ascii="Times New Roman" w:hAnsi="Times New Roman" w:eastAsia="宋体" w:cs="Times New Roman"/>
                <w:bCs/>
                <w:color w:val="auto"/>
                <w:sz w:val="24"/>
                <w:highlight w:val="none"/>
              </w:rPr>
              <w:t>建设地点：淮南市八公山区毕家岗街道新建社区，项目区域地块中心地理坐标为经度：</w:t>
            </w:r>
            <w:r>
              <w:rPr>
                <w:rFonts w:ascii="Times New Roman" w:hAnsi="Times New Roman" w:eastAsia="宋体" w:cs="Times New Roman"/>
                <w:color w:val="auto"/>
                <w:sz w:val="24"/>
                <w:highlight w:val="none"/>
                <w:u w:val="single"/>
              </w:rPr>
              <w:t>116</w:t>
            </w:r>
            <w:r>
              <w:rPr>
                <w:rFonts w:ascii="Times New Roman" w:hAnsi="Times New Roman" w:eastAsia="宋体" w:cs="Times New Roman"/>
                <w:color w:val="auto"/>
                <w:sz w:val="24"/>
                <w:highlight w:val="none"/>
              </w:rPr>
              <w:t>度</w:t>
            </w:r>
            <w:r>
              <w:rPr>
                <w:rFonts w:ascii="Times New Roman" w:hAnsi="Times New Roman" w:eastAsia="宋体" w:cs="Times New Roman"/>
                <w:color w:val="auto"/>
                <w:sz w:val="24"/>
                <w:highlight w:val="none"/>
                <w:u w:val="single"/>
              </w:rPr>
              <w:t>50</w:t>
            </w:r>
            <w:r>
              <w:rPr>
                <w:rFonts w:ascii="Times New Roman" w:hAnsi="Times New Roman" w:eastAsia="宋体" w:cs="Times New Roman"/>
                <w:color w:val="auto"/>
                <w:sz w:val="24"/>
                <w:highlight w:val="none"/>
              </w:rPr>
              <w:t>分</w:t>
            </w:r>
            <w:r>
              <w:rPr>
                <w:rFonts w:ascii="Times New Roman" w:hAnsi="Times New Roman" w:eastAsia="宋体" w:cs="Times New Roman"/>
                <w:color w:val="auto"/>
                <w:sz w:val="24"/>
                <w:highlight w:val="none"/>
                <w:u w:val="single"/>
              </w:rPr>
              <w:t>15.348</w:t>
            </w:r>
            <w:r>
              <w:rPr>
                <w:rFonts w:ascii="Times New Roman" w:hAnsi="Times New Roman" w:eastAsia="宋体" w:cs="Times New Roman"/>
                <w:color w:val="auto"/>
                <w:sz w:val="24"/>
                <w:highlight w:val="none"/>
              </w:rPr>
              <w:t>秒，纬度：</w:t>
            </w:r>
            <w:r>
              <w:rPr>
                <w:rFonts w:ascii="Times New Roman" w:hAnsi="Times New Roman" w:eastAsia="宋体" w:cs="Times New Roman"/>
                <w:color w:val="auto"/>
                <w:sz w:val="24"/>
                <w:highlight w:val="none"/>
                <w:u w:val="single"/>
              </w:rPr>
              <w:t>32</w:t>
            </w:r>
            <w:r>
              <w:rPr>
                <w:rFonts w:ascii="Times New Roman" w:hAnsi="Times New Roman" w:eastAsia="宋体" w:cs="Times New Roman"/>
                <w:color w:val="auto"/>
                <w:sz w:val="24"/>
                <w:highlight w:val="none"/>
              </w:rPr>
              <w:t>度</w:t>
            </w:r>
            <w:r>
              <w:rPr>
                <w:rFonts w:ascii="Times New Roman" w:hAnsi="Times New Roman" w:eastAsia="宋体" w:cs="Times New Roman"/>
                <w:color w:val="auto"/>
                <w:sz w:val="24"/>
                <w:highlight w:val="none"/>
                <w:u w:val="single"/>
              </w:rPr>
              <w:t>39</w:t>
            </w:r>
            <w:r>
              <w:rPr>
                <w:rFonts w:ascii="Times New Roman" w:hAnsi="Times New Roman" w:eastAsia="宋体" w:cs="Times New Roman"/>
                <w:color w:val="auto"/>
                <w:sz w:val="24"/>
                <w:highlight w:val="none"/>
              </w:rPr>
              <w:t>分</w:t>
            </w:r>
            <w:r>
              <w:rPr>
                <w:rFonts w:ascii="Times New Roman" w:hAnsi="Times New Roman" w:eastAsia="宋体" w:cs="Times New Roman"/>
                <w:color w:val="auto"/>
                <w:sz w:val="24"/>
                <w:highlight w:val="none"/>
                <w:u w:val="single"/>
              </w:rPr>
              <w:t>14.232</w:t>
            </w:r>
            <w:r>
              <w:rPr>
                <w:rFonts w:ascii="Times New Roman" w:hAnsi="Times New Roman" w:eastAsia="宋体" w:cs="Times New Roman"/>
                <w:color w:val="auto"/>
                <w:sz w:val="24"/>
                <w:highlight w:val="none"/>
              </w:rPr>
              <w:t>秒</w:t>
            </w:r>
            <w:r>
              <w:rPr>
                <w:rFonts w:ascii="Times New Roman" w:hAnsi="Times New Roman" w:eastAsia="宋体" w:cs="Times New Roman"/>
                <w:bCs/>
                <w:color w:val="auto"/>
                <w:sz w:val="24"/>
                <w:highlight w:val="none"/>
              </w:rPr>
              <w:t>。</w:t>
            </w:r>
          </w:p>
          <w:p>
            <w:pPr>
              <w:spacing w:line="360" w:lineRule="auto"/>
              <w:ind w:firstLine="480" w:firstLineChars="200"/>
              <w:rPr>
                <w:rFonts w:ascii="Times New Roman" w:hAnsi="Times New Roman" w:eastAsia="宋体" w:cs="Times New Roman"/>
                <w:b/>
                <w:bCs/>
                <w:color w:val="auto"/>
                <w:sz w:val="24"/>
                <w:szCs w:val="24"/>
                <w:highlight w:val="none"/>
              </w:rPr>
            </w:pPr>
            <w:r>
              <w:rPr>
                <w:rFonts w:ascii="Times New Roman" w:hAnsi="Times New Roman" w:eastAsia="宋体" w:cs="Times New Roman"/>
                <w:color w:val="auto"/>
                <w:sz w:val="24"/>
                <w:highlight w:val="none"/>
              </w:rPr>
              <w:t>本项目租赁</w:t>
            </w:r>
            <w:r>
              <w:rPr>
                <w:rFonts w:ascii="Times New Roman" w:hAnsi="Times New Roman" w:eastAsia="宋体" w:cs="Times New Roman"/>
                <w:color w:val="auto"/>
                <w:kern w:val="0"/>
                <w:sz w:val="24"/>
                <w:szCs w:val="24"/>
                <w:highlight w:val="none"/>
              </w:rPr>
              <w:t>淮南中兴实业有限责任公司位于</w:t>
            </w:r>
            <w:r>
              <w:rPr>
                <w:rFonts w:ascii="Times New Roman" w:hAnsi="Times New Roman" w:eastAsia="宋体" w:cs="Times New Roman"/>
                <w:color w:val="auto"/>
                <w:sz w:val="24"/>
                <w:highlight w:val="none"/>
              </w:rPr>
              <w:t>八公山区</w:t>
            </w:r>
            <w:r>
              <w:rPr>
                <w:rFonts w:ascii="Times New Roman" w:hAnsi="Times New Roman" w:eastAsia="宋体" w:cs="Times New Roman"/>
                <w:color w:val="auto"/>
                <w:kern w:val="0"/>
                <w:sz w:val="24"/>
                <w:szCs w:val="24"/>
                <w:highlight w:val="none"/>
              </w:rPr>
              <w:t>毕家岗街道新建社区</w:t>
            </w:r>
            <w:r>
              <w:rPr>
                <w:rFonts w:ascii="Times New Roman" w:hAnsi="Times New Roman" w:eastAsia="宋体" w:cs="Times New Roman"/>
                <w:color w:val="auto"/>
                <w:sz w:val="24"/>
                <w:highlight w:val="none"/>
              </w:rPr>
              <w:t>的现有厂房，建设</w:t>
            </w:r>
            <w:r>
              <w:rPr>
                <w:rFonts w:ascii="Times New Roman" w:hAnsi="Times New Roman" w:eastAsia="宋体" w:cs="Times New Roman"/>
                <w:color w:val="auto"/>
                <w:kern w:val="0"/>
                <w:sz w:val="24"/>
                <w:szCs w:val="24"/>
                <w:highlight w:val="none"/>
              </w:rPr>
              <w:t>安徽福斯特智能科技有限公司智能装备产业园项目</w:t>
            </w:r>
            <w:r>
              <w:rPr>
                <w:rFonts w:ascii="Times New Roman" w:hAnsi="Times New Roman" w:eastAsia="宋体" w:cs="Times New Roman"/>
                <w:color w:val="auto"/>
                <w:sz w:val="24"/>
                <w:highlight w:val="none"/>
              </w:rPr>
              <w:t>，项目主要工程内容详见下表。总平面布置图见附图3。</w:t>
            </w:r>
          </w:p>
          <w:p>
            <w:pPr>
              <w:adjustRightInd w:val="0"/>
              <w:spacing w:line="324" w:lineRule="auto"/>
              <w:jc w:val="center"/>
              <w:rPr>
                <w:rFonts w:ascii="Times New Roman" w:hAnsi="Times New Roman" w:eastAsia="黑体" w:cs="Times New Roman"/>
                <w:color w:val="auto"/>
                <w:sz w:val="24"/>
                <w:highlight w:val="none"/>
              </w:rPr>
            </w:pPr>
            <w:r>
              <w:rPr>
                <w:rFonts w:ascii="Times New Roman" w:hAnsi="Times New Roman" w:eastAsia="黑体" w:cs="Times New Roman"/>
                <w:color w:val="auto"/>
                <w:sz w:val="24"/>
                <w:highlight w:val="none"/>
              </w:rPr>
              <w:t>表2-2  本项目组成一览表</w:t>
            </w:r>
          </w:p>
          <w:tbl>
            <w:tblPr>
              <w:tblStyle w:val="17"/>
              <w:tblW w:w="8325"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940"/>
              <w:gridCol w:w="971"/>
              <w:gridCol w:w="1150"/>
              <w:gridCol w:w="2965"/>
              <w:gridCol w:w="1298"/>
              <w:gridCol w:w="1001"/>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21" w:hRule="atLeast"/>
                <w:jc w:val="center"/>
              </w:trPr>
              <w:tc>
                <w:tcPr>
                  <w:tcW w:w="940" w:type="dxa"/>
                  <w:tcBorders>
                    <w:top w:val="single" w:color="auto" w:sz="8" w:space="0"/>
                  </w:tcBorders>
                  <w:vAlign w:val="center"/>
                </w:tcPr>
                <w:p>
                  <w:pPr>
                    <w:snapToGrid w:val="0"/>
                    <w:spacing w:line="276" w:lineRule="auto"/>
                    <w:jc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sz w:val="18"/>
                      <w:szCs w:val="18"/>
                      <w:highlight w:val="none"/>
                    </w:rPr>
                    <w:t>工程类别</w:t>
                  </w:r>
                </w:p>
              </w:tc>
              <w:tc>
                <w:tcPr>
                  <w:tcW w:w="971" w:type="dxa"/>
                  <w:tcBorders>
                    <w:top w:val="single" w:color="auto" w:sz="8" w:space="0"/>
                  </w:tcBorders>
                  <w:vAlign w:val="center"/>
                </w:tcPr>
                <w:p>
                  <w:pPr>
                    <w:snapToGrid w:val="0"/>
                    <w:spacing w:line="276" w:lineRule="auto"/>
                    <w:jc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sz w:val="18"/>
                      <w:szCs w:val="18"/>
                      <w:highlight w:val="none"/>
                    </w:rPr>
                    <w:t>单项工程</w:t>
                  </w:r>
                </w:p>
                <w:p>
                  <w:pPr>
                    <w:snapToGrid w:val="0"/>
                    <w:spacing w:line="276" w:lineRule="auto"/>
                    <w:jc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sz w:val="18"/>
                      <w:szCs w:val="18"/>
                      <w:highlight w:val="none"/>
                    </w:rPr>
                    <w:t>名称</w:t>
                  </w:r>
                </w:p>
              </w:tc>
              <w:tc>
                <w:tcPr>
                  <w:tcW w:w="4115" w:type="dxa"/>
                  <w:gridSpan w:val="2"/>
                  <w:tcBorders>
                    <w:top w:val="single" w:color="auto" w:sz="8" w:space="0"/>
                  </w:tcBorders>
                  <w:vAlign w:val="center"/>
                </w:tcPr>
                <w:p>
                  <w:pPr>
                    <w:snapToGrid w:val="0"/>
                    <w:spacing w:line="276" w:lineRule="auto"/>
                    <w:jc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sz w:val="18"/>
                      <w:szCs w:val="18"/>
                      <w:highlight w:val="none"/>
                    </w:rPr>
                    <w:t>工程内容</w:t>
                  </w:r>
                </w:p>
              </w:tc>
              <w:tc>
                <w:tcPr>
                  <w:tcW w:w="1298" w:type="dxa"/>
                  <w:tcBorders>
                    <w:top w:val="single" w:color="auto" w:sz="8" w:space="0"/>
                  </w:tcBorders>
                  <w:vAlign w:val="center"/>
                </w:tcPr>
                <w:p>
                  <w:pPr>
                    <w:snapToGrid w:val="0"/>
                    <w:spacing w:line="276" w:lineRule="auto"/>
                    <w:jc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sz w:val="18"/>
                      <w:szCs w:val="18"/>
                      <w:highlight w:val="none"/>
                    </w:rPr>
                    <w:t>工程规模</w:t>
                  </w:r>
                </w:p>
              </w:tc>
              <w:tc>
                <w:tcPr>
                  <w:tcW w:w="1001" w:type="dxa"/>
                  <w:tcBorders>
                    <w:top w:val="single" w:color="auto" w:sz="8" w:space="0"/>
                  </w:tcBorders>
                  <w:vAlign w:val="center"/>
                </w:tcPr>
                <w:p>
                  <w:pPr>
                    <w:snapToGrid w:val="0"/>
                    <w:spacing w:line="276" w:lineRule="auto"/>
                    <w:jc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sz w:val="18"/>
                      <w:szCs w:val="18"/>
                      <w:highlight w:val="none"/>
                    </w:rPr>
                    <w:t>备注</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40" w:type="dxa"/>
                  <w:vMerge w:val="restart"/>
                  <w:vAlign w:val="center"/>
                </w:tcPr>
                <w:p>
                  <w:pPr>
                    <w:snapToGrid w:val="0"/>
                    <w:spacing w:line="276" w:lineRule="auto"/>
                    <w:jc w:val="center"/>
                    <w:rPr>
                      <w:rFonts w:ascii="Times New Roman" w:hAnsi="Times New Roman" w:eastAsia="宋体" w:cs="Times New Roman"/>
                      <w:b/>
                      <w:bCs/>
                      <w:color w:val="auto"/>
                      <w:sz w:val="18"/>
                      <w:szCs w:val="18"/>
                      <w:highlight w:val="none"/>
                    </w:rPr>
                  </w:pPr>
                  <w:r>
                    <w:rPr>
                      <w:rFonts w:ascii="Times New Roman" w:hAnsi="Times New Roman" w:eastAsia="宋体" w:cs="Times New Roman"/>
                      <w:bCs/>
                      <w:color w:val="auto"/>
                      <w:sz w:val="18"/>
                      <w:szCs w:val="18"/>
                      <w:highlight w:val="none"/>
                    </w:rPr>
                    <w:t>主体工程</w:t>
                  </w:r>
                </w:p>
              </w:tc>
              <w:tc>
                <w:tcPr>
                  <w:tcW w:w="971" w:type="dxa"/>
                  <w:vMerge w:val="restart"/>
                  <w:vAlign w:val="center"/>
                </w:tcPr>
                <w:p>
                  <w:pPr>
                    <w:snapToGrid w:val="0"/>
                    <w:spacing w:line="276" w:lineRule="auto"/>
                    <w:jc w:val="center"/>
                    <w:rPr>
                      <w:rFonts w:ascii="Times New Roman" w:hAnsi="Times New Roman" w:eastAsia="宋体" w:cs="Times New Roman"/>
                      <w:b/>
                      <w:bCs/>
                      <w:color w:val="auto"/>
                      <w:sz w:val="18"/>
                      <w:szCs w:val="18"/>
                      <w:highlight w:val="none"/>
                    </w:rPr>
                  </w:pPr>
                  <w:r>
                    <w:rPr>
                      <w:rFonts w:ascii="Times New Roman" w:hAnsi="Times New Roman" w:eastAsia="宋体" w:cs="Times New Roman"/>
                      <w:bCs/>
                      <w:color w:val="auto"/>
                      <w:sz w:val="18"/>
                      <w:szCs w:val="18"/>
                      <w:highlight w:val="none"/>
                    </w:rPr>
                    <w:t>生产车间</w:t>
                  </w:r>
                </w:p>
              </w:tc>
              <w:tc>
                <w:tcPr>
                  <w:tcW w:w="1150" w:type="dxa"/>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机加工区</w:t>
                  </w:r>
                </w:p>
              </w:tc>
              <w:tc>
                <w:tcPr>
                  <w:tcW w:w="2965" w:type="dxa"/>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在厂房1层北部，购置切割机、折弯机、焊机等机加工设备</w:t>
                  </w:r>
                </w:p>
              </w:tc>
              <w:tc>
                <w:tcPr>
                  <w:tcW w:w="1298" w:type="dxa"/>
                  <w:vMerge w:val="restart"/>
                  <w:vAlign w:val="center"/>
                </w:tcPr>
                <w:p>
                  <w:pPr>
                    <w:snapToGrid w:val="0"/>
                    <w:spacing w:line="276" w:lineRule="auto"/>
                    <w:jc w:val="center"/>
                    <w:rPr>
                      <w:rFonts w:hint="eastAsia" w:ascii="Times New Roman" w:hAnsi="Times New Roman" w:eastAsia="宋体" w:cs="Times New Roman"/>
                      <w:bCs/>
                      <w:color w:val="auto"/>
                      <w:sz w:val="18"/>
                      <w:szCs w:val="18"/>
                      <w:highlight w:val="none"/>
                      <w:lang w:val="en-US" w:eastAsia="zh-CN"/>
                    </w:rPr>
                  </w:pPr>
                  <w:r>
                    <w:rPr>
                      <w:rFonts w:hint="eastAsia" w:ascii="Times New Roman" w:hAnsi="Times New Roman" w:eastAsia="宋体" w:cs="Times New Roman"/>
                      <w:bCs/>
                      <w:color w:val="auto"/>
                      <w:sz w:val="18"/>
                      <w:szCs w:val="18"/>
                      <w:highlight w:val="none"/>
                    </w:rPr>
                    <w:t>厂房高</w:t>
                  </w:r>
                  <w:r>
                    <w:rPr>
                      <w:rFonts w:hint="eastAsia" w:ascii="Times New Roman" w:hAnsi="Times New Roman" w:eastAsia="宋体" w:cs="Times New Roman"/>
                      <w:bCs/>
                      <w:color w:val="auto"/>
                      <w:sz w:val="18"/>
                      <w:szCs w:val="18"/>
                      <w:highlight w:val="none"/>
                      <w:lang w:val="en-US" w:eastAsia="zh-CN"/>
                    </w:rPr>
                    <w:t>8</w:t>
                  </w:r>
                  <w:r>
                    <w:rPr>
                      <w:rFonts w:hint="eastAsia" w:ascii="Times New Roman" w:hAnsi="Times New Roman" w:eastAsia="宋体" w:cs="Times New Roman"/>
                      <w:bCs/>
                      <w:color w:val="auto"/>
                      <w:sz w:val="18"/>
                      <w:szCs w:val="18"/>
                      <w:highlight w:val="none"/>
                    </w:rPr>
                    <w:t>m，</w:t>
                  </w:r>
                  <w:r>
                    <w:rPr>
                      <w:rFonts w:ascii="Times New Roman" w:hAnsi="Times New Roman" w:eastAsia="宋体" w:cs="Times New Roman"/>
                      <w:bCs/>
                      <w:color w:val="auto"/>
                      <w:sz w:val="18"/>
                      <w:szCs w:val="18"/>
                      <w:highlight w:val="none"/>
                    </w:rPr>
                    <w:t>占地面积8390㎡</w:t>
                  </w:r>
                  <w:r>
                    <w:rPr>
                      <w:rFonts w:hint="eastAsia" w:ascii="Times New Roman" w:hAnsi="Times New Roman" w:eastAsia="宋体" w:cs="Times New Roman"/>
                      <w:bCs/>
                      <w:color w:val="auto"/>
                      <w:sz w:val="18"/>
                      <w:szCs w:val="18"/>
                      <w:highlight w:val="none"/>
                    </w:rPr>
                    <w:t>，项目建成后</w:t>
                  </w:r>
                  <w:r>
                    <w:rPr>
                      <w:rFonts w:hint="eastAsia" w:ascii="Times New Roman" w:hAnsi="Times New Roman" w:eastAsia="宋体" w:cs="Times New Roman"/>
                      <w:bCs/>
                      <w:color w:val="auto"/>
                      <w:sz w:val="18"/>
                      <w:szCs w:val="18"/>
                      <w:highlight w:val="none"/>
                      <w:lang w:val="en-US" w:eastAsia="zh-CN"/>
                    </w:rPr>
                    <w:t>形成年加工10000台自动售货机及智能垃圾分类箱的生产规模</w:t>
                  </w:r>
                </w:p>
              </w:tc>
              <w:tc>
                <w:tcPr>
                  <w:tcW w:w="1001" w:type="dxa"/>
                  <w:vMerge w:val="restart"/>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依托现有厂房</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40" w:type="dxa"/>
                  <w:vMerge w:val="continue"/>
                  <w:vAlign w:val="center"/>
                </w:tcPr>
                <w:p>
                  <w:pPr>
                    <w:snapToGrid w:val="0"/>
                    <w:spacing w:line="276" w:lineRule="auto"/>
                    <w:jc w:val="center"/>
                    <w:rPr>
                      <w:rFonts w:ascii="Times New Roman" w:hAnsi="Times New Roman" w:eastAsia="宋体" w:cs="Times New Roman"/>
                      <w:bCs/>
                      <w:color w:val="auto"/>
                      <w:sz w:val="18"/>
                      <w:szCs w:val="18"/>
                      <w:highlight w:val="none"/>
                    </w:rPr>
                  </w:pPr>
                </w:p>
              </w:tc>
              <w:tc>
                <w:tcPr>
                  <w:tcW w:w="971" w:type="dxa"/>
                  <w:vMerge w:val="continue"/>
                  <w:vAlign w:val="center"/>
                </w:tcPr>
                <w:p>
                  <w:pPr>
                    <w:snapToGrid w:val="0"/>
                    <w:spacing w:line="276" w:lineRule="auto"/>
                    <w:jc w:val="center"/>
                    <w:rPr>
                      <w:rFonts w:ascii="Times New Roman" w:hAnsi="Times New Roman" w:eastAsia="宋体" w:cs="Times New Roman"/>
                      <w:bCs/>
                      <w:color w:val="auto"/>
                      <w:sz w:val="18"/>
                      <w:szCs w:val="18"/>
                      <w:highlight w:val="none"/>
                    </w:rPr>
                  </w:pPr>
                </w:p>
              </w:tc>
              <w:tc>
                <w:tcPr>
                  <w:tcW w:w="1150" w:type="dxa"/>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hint="eastAsia" w:ascii="Times New Roman" w:hAnsi="Times New Roman" w:eastAsia="宋体" w:cs="Times New Roman"/>
                      <w:bCs/>
                      <w:color w:val="auto"/>
                      <w:sz w:val="18"/>
                      <w:szCs w:val="18"/>
                      <w:highlight w:val="none"/>
                    </w:rPr>
                    <w:t>打磨区</w:t>
                  </w:r>
                </w:p>
              </w:tc>
              <w:tc>
                <w:tcPr>
                  <w:tcW w:w="2965" w:type="dxa"/>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在厂房1层</w:t>
                  </w:r>
                  <w:r>
                    <w:rPr>
                      <w:rFonts w:hint="eastAsia" w:ascii="Times New Roman" w:hAnsi="Times New Roman" w:eastAsia="宋体" w:cs="Times New Roman"/>
                      <w:bCs/>
                      <w:color w:val="auto"/>
                      <w:sz w:val="18"/>
                      <w:szCs w:val="18"/>
                      <w:highlight w:val="none"/>
                    </w:rPr>
                    <w:t>中</w:t>
                  </w:r>
                  <w:r>
                    <w:rPr>
                      <w:rFonts w:ascii="Times New Roman" w:hAnsi="Times New Roman" w:eastAsia="宋体" w:cs="Times New Roman"/>
                      <w:bCs/>
                      <w:color w:val="auto"/>
                      <w:sz w:val="18"/>
                      <w:szCs w:val="18"/>
                      <w:highlight w:val="none"/>
                    </w:rPr>
                    <w:t>部，</w:t>
                  </w:r>
                  <w:r>
                    <w:rPr>
                      <w:rFonts w:hint="eastAsia" w:ascii="Times New Roman" w:hAnsi="Times New Roman" w:eastAsia="宋体" w:cs="Times New Roman"/>
                      <w:bCs/>
                      <w:color w:val="auto"/>
                      <w:sz w:val="18"/>
                      <w:szCs w:val="18"/>
                      <w:highlight w:val="none"/>
                    </w:rPr>
                    <w:t>设置打磨区用于人工打磨</w:t>
                  </w:r>
                </w:p>
              </w:tc>
              <w:tc>
                <w:tcPr>
                  <w:tcW w:w="1298" w:type="dxa"/>
                  <w:vMerge w:val="continue"/>
                  <w:vAlign w:val="center"/>
                </w:tcPr>
                <w:p>
                  <w:pPr>
                    <w:snapToGrid w:val="0"/>
                    <w:spacing w:line="276" w:lineRule="auto"/>
                    <w:jc w:val="center"/>
                    <w:rPr>
                      <w:rFonts w:ascii="Times New Roman" w:hAnsi="Times New Roman" w:eastAsia="宋体" w:cs="Times New Roman"/>
                      <w:bCs/>
                      <w:color w:val="auto"/>
                      <w:sz w:val="18"/>
                      <w:szCs w:val="18"/>
                      <w:highlight w:val="none"/>
                    </w:rPr>
                  </w:pPr>
                </w:p>
              </w:tc>
              <w:tc>
                <w:tcPr>
                  <w:tcW w:w="1001" w:type="dxa"/>
                  <w:vMerge w:val="continue"/>
                  <w:vAlign w:val="center"/>
                </w:tcPr>
                <w:p>
                  <w:pPr>
                    <w:snapToGrid w:val="0"/>
                    <w:spacing w:line="276" w:lineRule="auto"/>
                    <w:jc w:val="center"/>
                    <w:rPr>
                      <w:rFonts w:ascii="Times New Roman" w:hAnsi="Times New Roman" w:eastAsia="宋体" w:cs="Times New Roman"/>
                      <w:bCs/>
                      <w:color w:val="auto"/>
                      <w:sz w:val="18"/>
                      <w:szCs w:val="18"/>
                      <w:highlight w:val="none"/>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40" w:type="dxa"/>
                  <w:vMerge w:val="continue"/>
                  <w:vAlign w:val="center"/>
                </w:tcPr>
                <w:p>
                  <w:pPr>
                    <w:snapToGrid w:val="0"/>
                    <w:spacing w:line="276" w:lineRule="auto"/>
                    <w:jc w:val="center"/>
                    <w:rPr>
                      <w:rFonts w:ascii="Times New Roman" w:hAnsi="Times New Roman" w:eastAsia="宋体" w:cs="Times New Roman"/>
                      <w:bCs/>
                      <w:color w:val="auto"/>
                      <w:sz w:val="18"/>
                      <w:szCs w:val="18"/>
                      <w:highlight w:val="none"/>
                    </w:rPr>
                  </w:pPr>
                </w:p>
              </w:tc>
              <w:tc>
                <w:tcPr>
                  <w:tcW w:w="971" w:type="dxa"/>
                  <w:vMerge w:val="continue"/>
                  <w:vAlign w:val="center"/>
                </w:tcPr>
                <w:p>
                  <w:pPr>
                    <w:snapToGrid w:val="0"/>
                    <w:spacing w:line="276" w:lineRule="auto"/>
                    <w:jc w:val="center"/>
                    <w:rPr>
                      <w:rFonts w:ascii="Times New Roman" w:hAnsi="Times New Roman" w:eastAsia="宋体" w:cs="Times New Roman"/>
                      <w:bCs/>
                      <w:color w:val="auto"/>
                      <w:sz w:val="18"/>
                      <w:szCs w:val="18"/>
                      <w:highlight w:val="none"/>
                    </w:rPr>
                  </w:pPr>
                </w:p>
              </w:tc>
              <w:tc>
                <w:tcPr>
                  <w:tcW w:w="1150" w:type="dxa"/>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hint="eastAsia" w:ascii="Times New Roman" w:hAnsi="Times New Roman" w:eastAsia="宋体" w:cs="Times New Roman"/>
                      <w:bCs/>
                      <w:color w:val="auto"/>
                      <w:sz w:val="18"/>
                      <w:szCs w:val="18"/>
                      <w:highlight w:val="none"/>
                    </w:rPr>
                    <w:t>组装区</w:t>
                  </w:r>
                </w:p>
              </w:tc>
              <w:tc>
                <w:tcPr>
                  <w:tcW w:w="2965" w:type="dxa"/>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在厂房1层</w:t>
                  </w:r>
                  <w:r>
                    <w:rPr>
                      <w:rFonts w:hint="eastAsia" w:ascii="Times New Roman" w:hAnsi="Times New Roman" w:eastAsia="宋体" w:cs="Times New Roman"/>
                      <w:bCs/>
                      <w:color w:val="auto"/>
                      <w:sz w:val="18"/>
                      <w:szCs w:val="18"/>
                      <w:highlight w:val="none"/>
                    </w:rPr>
                    <w:t>中</w:t>
                  </w:r>
                  <w:r>
                    <w:rPr>
                      <w:rFonts w:ascii="Times New Roman" w:hAnsi="Times New Roman" w:eastAsia="宋体" w:cs="Times New Roman"/>
                      <w:bCs/>
                      <w:color w:val="auto"/>
                      <w:sz w:val="18"/>
                      <w:szCs w:val="18"/>
                      <w:highlight w:val="none"/>
                    </w:rPr>
                    <w:t>部，</w:t>
                  </w:r>
                  <w:r>
                    <w:rPr>
                      <w:rFonts w:hint="eastAsia" w:ascii="Times New Roman" w:hAnsi="Times New Roman" w:eastAsia="宋体" w:cs="Times New Roman"/>
                      <w:bCs/>
                      <w:color w:val="auto"/>
                      <w:sz w:val="18"/>
                      <w:szCs w:val="18"/>
                      <w:highlight w:val="none"/>
                    </w:rPr>
                    <w:t>设置组装区用于设备组装</w:t>
                  </w:r>
                </w:p>
              </w:tc>
              <w:tc>
                <w:tcPr>
                  <w:tcW w:w="1298" w:type="dxa"/>
                  <w:vMerge w:val="continue"/>
                  <w:vAlign w:val="center"/>
                </w:tcPr>
                <w:p>
                  <w:pPr>
                    <w:snapToGrid w:val="0"/>
                    <w:spacing w:line="276" w:lineRule="auto"/>
                    <w:jc w:val="center"/>
                    <w:rPr>
                      <w:rFonts w:ascii="Times New Roman" w:hAnsi="Times New Roman" w:eastAsia="宋体" w:cs="Times New Roman"/>
                      <w:bCs/>
                      <w:color w:val="auto"/>
                      <w:sz w:val="18"/>
                      <w:szCs w:val="18"/>
                      <w:highlight w:val="none"/>
                    </w:rPr>
                  </w:pPr>
                </w:p>
              </w:tc>
              <w:tc>
                <w:tcPr>
                  <w:tcW w:w="1001" w:type="dxa"/>
                  <w:vMerge w:val="continue"/>
                  <w:vAlign w:val="center"/>
                </w:tcPr>
                <w:p>
                  <w:pPr>
                    <w:snapToGrid w:val="0"/>
                    <w:spacing w:line="276" w:lineRule="auto"/>
                    <w:jc w:val="center"/>
                    <w:rPr>
                      <w:rFonts w:ascii="Times New Roman" w:hAnsi="Times New Roman" w:eastAsia="宋体" w:cs="Times New Roman"/>
                      <w:bCs/>
                      <w:color w:val="auto"/>
                      <w:sz w:val="18"/>
                      <w:szCs w:val="18"/>
                      <w:highlight w:val="none"/>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40" w:type="dxa"/>
                  <w:vMerge w:val="continue"/>
                  <w:vAlign w:val="center"/>
                </w:tcPr>
                <w:p>
                  <w:pPr>
                    <w:snapToGrid w:val="0"/>
                    <w:spacing w:line="276" w:lineRule="auto"/>
                    <w:jc w:val="center"/>
                    <w:rPr>
                      <w:rFonts w:ascii="Times New Roman" w:hAnsi="Times New Roman" w:eastAsia="宋体" w:cs="Times New Roman"/>
                      <w:bCs/>
                      <w:color w:val="auto"/>
                      <w:sz w:val="18"/>
                      <w:szCs w:val="18"/>
                      <w:highlight w:val="none"/>
                    </w:rPr>
                  </w:pPr>
                </w:p>
              </w:tc>
              <w:tc>
                <w:tcPr>
                  <w:tcW w:w="971" w:type="dxa"/>
                  <w:vMerge w:val="continue"/>
                  <w:vAlign w:val="center"/>
                </w:tcPr>
                <w:p>
                  <w:pPr>
                    <w:snapToGrid w:val="0"/>
                    <w:spacing w:line="276" w:lineRule="auto"/>
                    <w:jc w:val="center"/>
                    <w:rPr>
                      <w:rFonts w:ascii="Times New Roman" w:hAnsi="Times New Roman" w:eastAsia="宋体" w:cs="Times New Roman"/>
                      <w:bCs/>
                      <w:color w:val="auto"/>
                      <w:sz w:val="18"/>
                      <w:szCs w:val="18"/>
                      <w:highlight w:val="none"/>
                    </w:rPr>
                  </w:pPr>
                </w:p>
              </w:tc>
              <w:tc>
                <w:tcPr>
                  <w:tcW w:w="1150" w:type="dxa"/>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喷塑</w:t>
                  </w:r>
                  <w:r>
                    <w:rPr>
                      <w:rFonts w:hint="eastAsia" w:ascii="Times New Roman" w:hAnsi="Times New Roman" w:eastAsia="宋体" w:cs="Times New Roman"/>
                      <w:bCs/>
                      <w:color w:val="auto"/>
                      <w:sz w:val="18"/>
                      <w:szCs w:val="18"/>
                      <w:highlight w:val="none"/>
                    </w:rPr>
                    <w:t>固化</w:t>
                  </w:r>
                  <w:r>
                    <w:rPr>
                      <w:rFonts w:ascii="Times New Roman" w:hAnsi="Times New Roman" w:eastAsia="宋体" w:cs="Times New Roman"/>
                      <w:bCs/>
                      <w:color w:val="auto"/>
                      <w:sz w:val="18"/>
                      <w:szCs w:val="18"/>
                      <w:highlight w:val="none"/>
                    </w:rPr>
                    <w:t>区</w:t>
                  </w:r>
                </w:p>
              </w:tc>
              <w:tc>
                <w:tcPr>
                  <w:tcW w:w="2965" w:type="dxa"/>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在厂房1层</w:t>
                  </w:r>
                  <w:r>
                    <w:rPr>
                      <w:rFonts w:hint="eastAsia" w:ascii="Times New Roman" w:hAnsi="Times New Roman" w:eastAsia="宋体" w:cs="Times New Roman"/>
                      <w:bCs/>
                      <w:color w:val="auto"/>
                      <w:sz w:val="18"/>
                      <w:szCs w:val="18"/>
                      <w:highlight w:val="none"/>
                    </w:rPr>
                    <w:t>东</w:t>
                  </w:r>
                  <w:r>
                    <w:rPr>
                      <w:rFonts w:ascii="Times New Roman" w:hAnsi="Times New Roman" w:eastAsia="宋体" w:cs="Times New Roman"/>
                      <w:bCs/>
                      <w:color w:val="auto"/>
                      <w:sz w:val="18"/>
                      <w:szCs w:val="18"/>
                      <w:highlight w:val="none"/>
                    </w:rPr>
                    <w:t>南部，购置</w:t>
                  </w:r>
                  <w:r>
                    <w:rPr>
                      <w:rFonts w:hint="eastAsia" w:ascii="Times New Roman" w:hAnsi="Times New Roman" w:eastAsia="宋体" w:cs="Times New Roman"/>
                      <w:bCs/>
                      <w:color w:val="auto"/>
                      <w:sz w:val="18"/>
                      <w:szCs w:val="18"/>
                      <w:highlight w:val="none"/>
                    </w:rPr>
                    <w:t>喷塑固化</w:t>
                  </w:r>
                  <w:r>
                    <w:rPr>
                      <w:rFonts w:ascii="Times New Roman" w:hAnsi="Times New Roman" w:eastAsia="宋体" w:cs="Times New Roman"/>
                      <w:bCs/>
                      <w:color w:val="auto"/>
                      <w:sz w:val="18"/>
                      <w:szCs w:val="18"/>
                      <w:highlight w:val="none"/>
                    </w:rPr>
                    <w:t>设备</w:t>
                  </w:r>
                </w:p>
              </w:tc>
              <w:tc>
                <w:tcPr>
                  <w:tcW w:w="1298" w:type="dxa"/>
                  <w:vMerge w:val="continue"/>
                  <w:vAlign w:val="center"/>
                </w:tcPr>
                <w:p>
                  <w:pPr>
                    <w:snapToGrid w:val="0"/>
                    <w:spacing w:line="276" w:lineRule="auto"/>
                    <w:jc w:val="center"/>
                    <w:rPr>
                      <w:rFonts w:ascii="Times New Roman" w:hAnsi="Times New Roman" w:eastAsia="宋体" w:cs="Times New Roman"/>
                      <w:bCs/>
                      <w:color w:val="auto"/>
                      <w:sz w:val="18"/>
                      <w:szCs w:val="18"/>
                      <w:highlight w:val="none"/>
                    </w:rPr>
                  </w:pPr>
                </w:p>
              </w:tc>
              <w:tc>
                <w:tcPr>
                  <w:tcW w:w="1001" w:type="dxa"/>
                  <w:vMerge w:val="continue"/>
                  <w:vAlign w:val="center"/>
                </w:tcPr>
                <w:p>
                  <w:pPr>
                    <w:snapToGrid w:val="0"/>
                    <w:spacing w:line="276" w:lineRule="auto"/>
                    <w:jc w:val="center"/>
                    <w:rPr>
                      <w:rFonts w:ascii="Times New Roman" w:hAnsi="Times New Roman" w:eastAsia="宋体" w:cs="Times New Roman"/>
                      <w:bCs/>
                      <w:color w:val="auto"/>
                      <w:sz w:val="18"/>
                      <w:szCs w:val="18"/>
                      <w:highlight w:val="none"/>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40" w:type="dxa"/>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辅助工程</w:t>
                  </w:r>
                </w:p>
              </w:tc>
              <w:tc>
                <w:tcPr>
                  <w:tcW w:w="971" w:type="dxa"/>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办公楼</w:t>
                  </w:r>
                </w:p>
              </w:tc>
              <w:tc>
                <w:tcPr>
                  <w:tcW w:w="4115" w:type="dxa"/>
                  <w:gridSpan w:val="2"/>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设位于厂房2层</w:t>
                  </w:r>
                  <w:r>
                    <w:rPr>
                      <w:rFonts w:hint="eastAsia" w:ascii="Times New Roman" w:hAnsi="Times New Roman" w:eastAsia="宋体" w:cs="Times New Roman"/>
                      <w:bCs/>
                      <w:color w:val="auto"/>
                      <w:sz w:val="18"/>
                      <w:szCs w:val="18"/>
                      <w:highlight w:val="none"/>
                    </w:rPr>
                    <w:t>南</w:t>
                  </w:r>
                  <w:r>
                    <w:rPr>
                      <w:rFonts w:ascii="Times New Roman" w:hAnsi="Times New Roman" w:eastAsia="宋体" w:cs="Times New Roman"/>
                      <w:bCs/>
                      <w:color w:val="auto"/>
                      <w:sz w:val="18"/>
                      <w:szCs w:val="18"/>
                      <w:highlight w:val="none"/>
                    </w:rPr>
                    <w:t>部，用于办公</w:t>
                  </w:r>
                </w:p>
              </w:tc>
              <w:tc>
                <w:tcPr>
                  <w:tcW w:w="1298" w:type="dxa"/>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占地面积</w:t>
                  </w:r>
                  <w:r>
                    <w:rPr>
                      <w:rFonts w:hint="eastAsia" w:ascii="Times New Roman" w:hAnsi="Times New Roman" w:eastAsia="宋体" w:cs="Times New Roman"/>
                      <w:bCs/>
                      <w:color w:val="auto"/>
                      <w:sz w:val="18"/>
                      <w:szCs w:val="18"/>
                      <w:highlight w:val="none"/>
                    </w:rPr>
                    <w:t>400</w:t>
                  </w:r>
                  <w:r>
                    <w:rPr>
                      <w:rFonts w:ascii="Times New Roman" w:hAnsi="Times New Roman" w:eastAsia="宋体" w:cs="Times New Roman"/>
                      <w:bCs/>
                      <w:color w:val="auto"/>
                      <w:sz w:val="18"/>
                      <w:szCs w:val="18"/>
                      <w:highlight w:val="none"/>
                    </w:rPr>
                    <w:t>m</w:t>
                  </w:r>
                  <w:r>
                    <w:rPr>
                      <w:rFonts w:ascii="Times New Roman" w:hAnsi="Times New Roman" w:eastAsia="宋体" w:cs="Times New Roman"/>
                      <w:bCs/>
                      <w:color w:val="auto"/>
                      <w:sz w:val="18"/>
                      <w:szCs w:val="18"/>
                      <w:highlight w:val="none"/>
                      <w:vertAlign w:val="superscript"/>
                    </w:rPr>
                    <w:t>2</w:t>
                  </w:r>
                </w:p>
              </w:tc>
              <w:tc>
                <w:tcPr>
                  <w:tcW w:w="1001" w:type="dxa"/>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依托现有厂房</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40" w:type="dxa"/>
                  <w:vMerge w:val="restart"/>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储运工程</w:t>
                  </w:r>
                </w:p>
              </w:tc>
              <w:tc>
                <w:tcPr>
                  <w:tcW w:w="971" w:type="dxa"/>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成品区</w:t>
                  </w:r>
                </w:p>
              </w:tc>
              <w:tc>
                <w:tcPr>
                  <w:tcW w:w="4115" w:type="dxa"/>
                  <w:gridSpan w:val="2"/>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hint="eastAsia" w:ascii="Times New Roman" w:hAnsi="Times New Roman" w:eastAsia="宋体" w:cs="Times New Roman"/>
                      <w:bCs/>
                      <w:color w:val="auto"/>
                      <w:sz w:val="18"/>
                      <w:szCs w:val="18"/>
                      <w:highlight w:val="none"/>
                    </w:rPr>
                    <w:t>设置</w:t>
                  </w:r>
                  <w:r>
                    <w:rPr>
                      <w:rFonts w:ascii="Times New Roman" w:hAnsi="Times New Roman" w:eastAsia="宋体" w:cs="Times New Roman"/>
                      <w:bCs/>
                      <w:color w:val="auto"/>
                      <w:sz w:val="18"/>
                      <w:szCs w:val="18"/>
                      <w:highlight w:val="none"/>
                    </w:rPr>
                    <w:t>在厂房1层西部，主要用于自动售货机及智能垃圾分类箱成品的存放</w:t>
                  </w:r>
                </w:p>
              </w:tc>
              <w:tc>
                <w:tcPr>
                  <w:tcW w:w="1298" w:type="dxa"/>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占地面积400m</w:t>
                  </w:r>
                  <w:r>
                    <w:rPr>
                      <w:rFonts w:ascii="Times New Roman" w:hAnsi="Times New Roman" w:eastAsia="宋体" w:cs="Times New Roman"/>
                      <w:bCs/>
                      <w:color w:val="auto"/>
                      <w:sz w:val="18"/>
                      <w:szCs w:val="18"/>
                      <w:highlight w:val="none"/>
                      <w:vertAlign w:val="superscript"/>
                    </w:rPr>
                    <w:t>2</w:t>
                  </w:r>
                </w:p>
              </w:tc>
              <w:tc>
                <w:tcPr>
                  <w:tcW w:w="1001" w:type="dxa"/>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依托现有厂房</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40" w:type="dxa"/>
                  <w:vMerge w:val="continue"/>
                  <w:vAlign w:val="center"/>
                </w:tcPr>
                <w:p>
                  <w:pPr>
                    <w:snapToGrid w:val="0"/>
                    <w:spacing w:line="276" w:lineRule="auto"/>
                    <w:jc w:val="center"/>
                    <w:rPr>
                      <w:rFonts w:ascii="Times New Roman" w:hAnsi="Times New Roman" w:eastAsia="宋体" w:cs="Times New Roman"/>
                      <w:bCs/>
                      <w:color w:val="auto"/>
                      <w:sz w:val="18"/>
                      <w:szCs w:val="18"/>
                      <w:highlight w:val="none"/>
                    </w:rPr>
                  </w:pPr>
                </w:p>
              </w:tc>
              <w:tc>
                <w:tcPr>
                  <w:tcW w:w="971" w:type="dxa"/>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原料区</w:t>
                  </w:r>
                </w:p>
              </w:tc>
              <w:tc>
                <w:tcPr>
                  <w:tcW w:w="4115" w:type="dxa"/>
                  <w:gridSpan w:val="2"/>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hint="eastAsia" w:ascii="Times New Roman" w:hAnsi="Times New Roman" w:eastAsia="宋体" w:cs="Times New Roman"/>
                      <w:bCs/>
                      <w:color w:val="auto"/>
                      <w:sz w:val="18"/>
                      <w:szCs w:val="18"/>
                      <w:highlight w:val="none"/>
                    </w:rPr>
                    <w:t>设置</w:t>
                  </w:r>
                  <w:r>
                    <w:rPr>
                      <w:rFonts w:ascii="Times New Roman" w:hAnsi="Times New Roman" w:eastAsia="宋体" w:cs="Times New Roman"/>
                      <w:bCs/>
                      <w:color w:val="auto"/>
                      <w:sz w:val="18"/>
                      <w:szCs w:val="18"/>
                      <w:highlight w:val="none"/>
                    </w:rPr>
                    <w:t>在厂房1层中部，主要用于钢板、塑粉等原料的存放</w:t>
                  </w:r>
                </w:p>
              </w:tc>
              <w:tc>
                <w:tcPr>
                  <w:tcW w:w="1298" w:type="dxa"/>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占地面积</w:t>
                  </w:r>
                  <w:r>
                    <w:rPr>
                      <w:rFonts w:hint="eastAsia" w:ascii="Times New Roman" w:hAnsi="Times New Roman" w:eastAsia="宋体" w:cs="Times New Roman"/>
                      <w:bCs/>
                      <w:color w:val="auto"/>
                      <w:sz w:val="18"/>
                      <w:szCs w:val="18"/>
                      <w:highlight w:val="none"/>
                    </w:rPr>
                    <w:t>6</w:t>
                  </w:r>
                  <w:r>
                    <w:rPr>
                      <w:rFonts w:ascii="Times New Roman" w:hAnsi="Times New Roman" w:eastAsia="宋体" w:cs="Times New Roman"/>
                      <w:bCs/>
                      <w:color w:val="auto"/>
                      <w:sz w:val="18"/>
                      <w:szCs w:val="18"/>
                      <w:highlight w:val="none"/>
                    </w:rPr>
                    <w:t>00m</w:t>
                  </w:r>
                  <w:r>
                    <w:rPr>
                      <w:rFonts w:ascii="Times New Roman" w:hAnsi="Times New Roman" w:eastAsia="宋体" w:cs="Times New Roman"/>
                      <w:bCs/>
                      <w:color w:val="auto"/>
                      <w:sz w:val="18"/>
                      <w:szCs w:val="18"/>
                      <w:highlight w:val="none"/>
                      <w:vertAlign w:val="superscript"/>
                    </w:rPr>
                    <w:t>2</w:t>
                  </w:r>
                </w:p>
              </w:tc>
              <w:tc>
                <w:tcPr>
                  <w:tcW w:w="1001" w:type="dxa"/>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依托现有厂房</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40" w:type="dxa"/>
                  <w:vMerge w:val="continue"/>
                  <w:vAlign w:val="center"/>
                </w:tcPr>
                <w:p>
                  <w:pPr>
                    <w:snapToGrid w:val="0"/>
                    <w:spacing w:line="276" w:lineRule="auto"/>
                    <w:jc w:val="center"/>
                    <w:rPr>
                      <w:rFonts w:ascii="Times New Roman" w:hAnsi="Times New Roman" w:eastAsia="宋体" w:cs="Times New Roman"/>
                      <w:bCs/>
                      <w:color w:val="auto"/>
                      <w:sz w:val="18"/>
                      <w:szCs w:val="18"/>
                      <w:highlight w:val="none"/>
                    </w:rPr>
                  </w:pPr>
                </w:p>
              </w:tc>
              <w:tc>
                <w:tcPr>
                  <w:tcW w:w="971" w:type="dxa"/>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hint="eastAsia" w:ascii="Times New Roman" w:hAnsi="Times New Roman" w:eastAsia="宋体" w:cs="Times New Roman"/>
                      <w:bCs/>
                      <w:color w:val="auto"/>
                      <w:sz w:val="18"/>
                      <w:szCs w:val="18"/>
                      <w:highlight w:val="none"/>
                    </w:rPr>
                    <w:t>仓库</w:t>
                  </w:r>
                </w:p>
              </w:tc>
              <w:tc>
                <w:tcPr>
                  <w:tcW w:w="4115" w:type="dxa"/>
                  <w:gridSpan w:val="2"/>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hint="eastAsia" w:ascii="Times New Roman" w:hAnsi="Times New Roman" w:eastAsia="宋体" w:cs="Times New Roman"/>
                      <w:bCs/>
                      <w:color w:val="auto"/>
                      <w:sz w:val="18"/>
                      <w:szCs w:val="18"/>
                      <w:highlight w:val="none"/>
                    </w:rPr>
                    <w:t>设置</w:t>
                  </w:r>
                  <w:r>
                    <w:rPr>
                      <w:rFonts w:ascii="Times New Roman" w:hAnsi="Times New Roman" w:eastAsia="宋体" w:cs="Times New Roman"/>
                      <w:bCs/>
                      <w:color w:val="auto"/>
                      <w:sz w:val="18"/>
                      <w:szCs w:val="18"/>
                      <w:highlight w:val="none"/>
                    </w:rPr>
                    <w:t>在厂房</w:t>
                  </w:r>
                  <w:r>
                    <w:rPr>
                      <w:rFonts w:hint="eastAsia" w:ascii="Times New Roman" w:hAnsi="Times New Roman" w:eastAsia="宋体" w:cs="Times New Roman"/>
                      <w:bCs/>
                      <w:color w:val="auto"/>
                      <w:sz w:val="18"/>
                      <w:szCs w:val="18"/>
                      <w:highlight w:val="none"/>
                    </w:rPr>
                    <w:t>2</w:t>
                  </w:r>
                  <w:r>
                    <w:rPr>
                      <w:rFonts w:ascii="Times New Roman" w:hAnsi="Times New Roman" w:eastAsia="宋体" w:cs="Times New Roman"/>
                      <w:bCs/>
                      <w:color w:val="auto"/>
                      <w:sz w:val="18"/>
                      <w:szCs w:val="18"/>
                      <w:highlight w:val="none"/>
                    </w:rPr>
                    <w:t>层</w:t>
                  </w:r>
                  <w:r>
                    <w:rPr>
                      <w:rFonts w:hint="eastAsia" w:ascii="Times New Roman" w:hAnsi="Times New Roman" w:eastAsia="宋体" w:cs="Times New Roman"/>
                      <w:bCs/>
                      <w:color w:val="auto"/>
                      <w:sz w:val="18"/>
                      <w:szCs w:val="18"/>
                      <w:highlight w:val="none"/>
                    </w:rPr>
                    <w:t>北</w:t>
                  </w:r>
                  <w:r>
                    <w:rPr>
                      <w:rFonts w:ascii="Times New Roman" w:hAnsi="Times New Roman" w:eastAsia="宋体" w:cs="Times New Roman"/>
                      <w:bCs/>
                      <w:color w:val="auto"/>
                      <w:sz w:val="18"/>
                      <w:szCs w:val="18"/>
                      <w:highlight w:val="none"/>
                    </w:rPr>
                    <w:t>部，主要用于</w:t>
                  </w:r>
                  <w:r>
                    <w:rPr>
                      <w:rFonts w:hint="eastAsia" w:ascii="Times New Roman" w:hAnsi="Times New Roman" w:eastAsia="宋体" w:cs="Times New Roman"/>
                      <w:bCs/>
                      <w:color w:val="auto"/>
                      <w:sz w:val="18"/>
                      <w:szCs w:val="18"/>
                      <w:highlight w:val="none"/>
                    </w:rPr>
                    <w:t>包装材料</w:t>
                  </w:r>
                  <w:r>
                    <w:rPr>
                      <w:rFonts w:ascii="Times New Roman" w:hAnsi="Times New Roman" w:eastAsia="宋体" w:cs="Times New Roman"/>
                      <w:bCs/>
                      <w:color w:val="auto"/>
                      <w:sz w:val="18"/>
                      <w:szCs w:val="18"/>
                      <w:highlight w:val="none"/>
                    </w:rPr>
                    <w:t>的存放</w:t>
                  </w:r>
                </w:p>
              </w:tc>
              <w:tc>
                <w:tcPr>
                  <w:tcW w:w="1298" w:type="dxa"/>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占地面积</w:t>
                  </w:r>
                  <w:r>
                    <w:rPr>
                      <w:rFonts w:hint="eastAsia" w:ascii="Times New Roman" w:hAnsi="Times New Roman" w:eastAsia="宋体" w:cs="Times New Roman"/>
                      <w:bCs/>
                      <w:color w:val="auto"/>
                      <w:sz w:val="18"/>
                      <w:szCs w:val="18"/>
                      <w:highlight w:val="none"/>
                    </w:rPr>
                    <w:t>4</w:t>
                  </w:r>
                  <w:r>
                    <w:rPr>
                      <w:rFonts w:ascii="Times New Roman" w:hAnsi="Times New Roman" w:eastAsia="宋体" w:cs="Times New Roman"/>
                      <w:bCs/>
                      <w:color w:val="auto"/>
                      <w:sz w:val="18"/>
                      <w:szCs w:val="18"/>
                      <w:highlight w:val="none"/>
                    </w:rPr>
                    <w:t>00m</w:t>
                  </w:r>
                  <w:r>
                    <w:rPr>
                      <w:rFonts w:ascii="Times New Roman" w:hAnsi="Times New Roman" w:eastAsia="宋体" w:cs="Times New Roman"/>
                      <w:bCs/>
                      <w:color w:val="auto"/>
                      <w:sz w:val="18"/>
                      <w:szCs w:val="18"/>
                      <w:highlight w:val="none"/>
                      <w:vertAlign w:val="superscript"/>
                    </w:rPr>
                    <w:t>2</w:t>
                  </w:r>
                </w:p>
              </w:tc>
              <w:tc>
                <w:tcPr>
                  <w:tcW w:w="1001" w:type="dxa"/>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依托现有厂房</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40" w:type="dxa"/>
                  <w:vMerge w:val="restart"/>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公用工程</w:t>
                  </w:r>
                </w:p>
              </w:tc>
              <w:tc>
                <w:tcPr>
                  <w:tcW w:w="971" w:type="dxa"/>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供电</w:t>
                  </w:r>
                </w:p>
              </w:tc>
              <w:tc>
                <w:tcPr>
                  <w:tcW w:w="4115" w:type="dxa"/>
                  <w:gridSpan w:val="2"/>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color w:val="auto"/>
                      <w:sz w:val="18"/>
                      <w:szCs w:val="18"/>
                      <w:highlight w:val="none"/>
                    </w:rPr>
                    <w:t>市政电网供电</w:t>
                  </w:r>
                </w:p>
              </w:tc>
              <w:tc>
                <w:tcPr>
                  <w:tcW w:w="1298" w:type="dxa"/>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用电量</w:t>
                  </w:r>
                  <w:r>
                    <w:rPr>
                      <w:rFonts w:ascii="Times New Roman" w:hAnsi="Times New Roman" w:eastAsia="宋体" w:cs="Times New Roman"/>
                      <w:color w:val="auto"/>
                      <w:sz w:val="18"/>
                      <w:szCs w:val="18"/>
                      <w:highlight w:val="none"/>
                    </w:rPr>
                    <w:t>50万</w:t>
                  </w:r>
                  <w:r>
                    <w:rPr>
                      <w:rFonts w:ascii="Times New Roman" w:hAnsi="Times New Roman" w:eastAsia="宋体" w:cs="Times New Roman"/>
                      <w:bCs/>
                      <w:color w:val="auto"/>
                      <w:sz w:val="18"/>
                      <w:szCs w:val="18"/>
                      <w:highlight w:val="none"/>
                    </w:rPr>
                    <w:t>kw·h/a</w:t>
                  </w:r>
                </w:p>
              </w:tc>
              <w:tc>
                <w:tcPr>
                  <w:tcW w:w="1001" w:type="dxa"/>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40" w:type="dxa"/>
                  <w:vMerge w:val="continue"/>
                  <w:vAlign w:val="center"/>
                </w:tcPr>
                <w:p>
                  <w:pPr>
                    <w:snapToGrid w:val="0"/>
                    <w:spacing w:line="276" w:lineRule="auto"/>
                    <w:jc w:val="center"/>
                    <w:rPr>
                      <w:rFonts w:ascii="Times New Roman" w:hAnsi="Times New Roman" w:eastAsia="宋体" w:cs="Times New Roman"/>
                      <w:bCs/>
                      <w:color w:val="auto"/>
                      <w:sz w:val="18"/>
                      <w:szCs w:val="18"/>
                      <w:highlight w:val="none"/>
                    </w:rPr>
                  </w:pPr>
                </w:p>
              </w:tc>
              <w:tc>
                <w:tcPr>
                  <w:tcW w:w="971" w:type="dxa"/>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给水</w:t>
                  </w:r>
                </w:p>
              </w:tc>
              <w:tc>
                <w:tcPr>
                  <w:tcW w:w="4115" w:type="dxa"/>
                  <w:gridSpan w:val="2"/>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color w:val="auto"/>
                      <w:sz w:val="18"/>
                      <w:szCs w:val="18"/>
                      <w:highlight w:val="none"/>
                    </w:rPr>
                    <w:t>市政管网供水</w:t>
                  </w:r>
                </w:p>
              </w:tc>
              <w:tc>
                <w:tcPr>
                  <w:tcW w:w="1298" w:type="dxa"/>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用水量2.25m</w:t>
                  </w:r>
                  <w:r>
                    <w:rPr>
                      <w:rFonts w:ascii="Times New Roman" w:hAnsi="Times New Roman" w:eastAsia="宋体" w:cs="Times New Roman"/>
                      <w:bCs/>
                      <w:color w:val="auto"/>
                      <w:sz w:val="18"/>
                      <w:szCs w:val="18"/>
                      <w:highlight w:val="none"/>
                      <w:vertAlign w:val="superscript"/>
                    </w:rPr>
                    <w:t>3</w:t>
                  </w:r>
                  <w:r>
                    <w:rPr>
                      <w:rFonts w:ascii="Times New Roman" w:hAnsi="Times New Roman" w:eastAsia="宋体" w:cs="Times New Roman"/>
                      <w:bCs/>
                      <w:color w:val="auto"/>
                      <w:sz w:val="18"/>
                      <w:szCs w:val="18"/>
                      <w:highlight w:val="none"/>
                    </w:rPr>
                    <w:t>/d</w:t>
                  </w:r>
                </w:p>
              </w:tc>
              <w:tc>
                <w:tcPr>
                  <w:tcW w:w="1001" w:type="dxa"/>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40" w:type="dxa"/>
                  <w:vMerge w:val="continue"/>
                  <w:vAlign w:val="center"/>
                </w:tcPr>
                <w:p>
                  <w:pPr>
                    <w:snapToGrid w:val="0"/>
                    <w:spacing w:line="276" w:lineRule="auto"/>
                    <w:jc w:val="center"/>
                    <w:rPr>
                      <w:rFonts w:ascii="Times New Roman" w:hAnsi="Times New Roman" w:eastAsia="宋体" w:cs="Times New Roman"/>
                      <w:bCs/>
                      <w:color w:val="auto"/>
                      <w:sz w:val="18"/>
                      <w:szCs w:val="18"/>
                      <w:highlight w:val="none"/>
                    </w:rPr>
                  </w:pPr>
                </w:p>
              </w:tc>
              <w:tc>
                <w:tcPr>
                  <w:tcW w:w="971" w:type="dxa"/>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排水</w:t>
                  </w:r>
                </w:p>
              </w:tc>
              <w:tc>
                <w:tcPr>
                  <w:tcW w:w="5413" w:type="dxa"/>
                  <w:gridSpan w:val="3"/>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雨污分流。本项</w:t>
                  </w:r>
                  <w:r>
                    <w:rPr>
                      <w:rFonts w:ascii="Times New Roman" w:hAnsi="Times New Roman" w:eastAsia="宋体" w:cs="Times New Roman"/>
                      <w:bCs/>
                      <w:color w:val="auto"/>
                      <w:sz w:val="18"/>
                      <w:szCs w:val="18"/>
                      <w:highlight w:val="none"/>
                      <w:lang w:val="en-GB"/>
                    </w:rPr>
                    <w:t>目雨水</w:t>
                  </w:r>
                  <w:r>
                    <w:rPr>
                      <w:rFonts w:ascii="Times New Roman" w:hAnsi="Times New Roman" w:eastAsia="宋体" w:cs="Times New Roman"/>
                      <w:bCs/>
                      <w:color w:val="auto"/>
                      <w:sz w:val="18"/>
                      <w:szCs w:val="18"/>
                      <w:highlight w:val="none"/>
                    </w:rPr>
                    <w:t>排入市政雨水管网</w:t>
                  </w:r>
                  <w:r>
                    <w:rPr>
                      <w:rFonts w:ascii="Times New Roman" w:hAnsi="Times New Roman" w:eastAsia="宋体" w:cs="Times New Roman"/>
                      <w:bCs/>
                      <w:color w:val="auto"/>
                      <w:sz w:val="18"/>
                      <w:szCs w:val="18"/>
                      <w:highlight w:val="none"/>
                      <w:lang w:val="en-GB"/>
                    </w:rPr>
                    <w:t>；生活污水排入化粪池后，</w:t>
                  </w:r>
                  <w:r>
                    <w:rPr>
                      <w:rFonts w:ascii="Times New Roman" w:hAnsi="Times New Roman" w:eastAsia="宋体" w:cs="Times New Roman"/>
                      <w:bCs/>
                      <w:color w:val="auto"/>
                      <w:sz w:val="18"/>
                      <w:szCs w:val="18"/>
                      <w:highlight w:val="none"/>
                    </w:rPr>
                    <w:t>接管至市政污水管网，</w:t>
                  </w:r>
                  <w:r>
                    <w:rPr>
                      <w:rFonts w:ascii="Times New Roman" w:hAnsi="Times New Roman" w:eastAsia="宋体" w:cs="Times New Roman"/>
                      <w:color w:val="auto"/>
                      <w:sz w:val="18"/>
                      <w:szCs w:val="18"/>
                      <w:highlight w:val="none"/>
                    </w:rPr>
                    <w:t>送至八公山污水处理厂处理后排入淮河</w:t>
                  </w:r>
                </w:p>
              </w:tc>
              <w:tc>
                <w:tcPr>
                  <w:tcW w:w="1001" w:type="dxa"/>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40" w:type="dxa"/>
                  <w:vMerge w:val="restart"/>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环保工程</w:t>
                  </w:r>
                </w:p>
              </w:tc>
              <w:tc>
                <w:tcPr>
                  <w:tcW w:w="971" w:type="dxa"/>
                  <w:vMerge w:val="restart"/>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废气</w:t>
                  </w:r>
                </w:p>
              </w:tc>
              <w:tc>
                <w:tcPr>
                  <w:tcW w:w="5413" w:type="dxa"/>
                  <w:gridSpan w:val="3"/>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切割和焊接产生的切割粉尘和焊接烟尘由</w:t>
                  </w:r>
                  <w:r>
                    <w:rPr>
                      <w:rFonts w:ascii="Times New Roman" w:hAnsi="Times New Roman" w:eastAsia="宋体" w:cs="Times New Roman"/>
                      <w:color w:val="auto"/>
                      <w:kern w:val="0"/>
                      <w:sz w:val="18"/>
                      <w:szCs w:val="18"/>
                      <w:highlight w:val="none"/>
                    </w:rPr>
                    <w:t>集气罩分别收集，通过袋式除尘器处理后，经由15m高的</w:t>
                  </w:r>
                  <w:r>
                    <w:rPr>
                      <w:rFonts w:hint="eastAsia" w:ascii="Times New Roman" w:hAnsi="Times New Roman" w:eastAsia="宋体" w:cs="Times New Roman"/>
                      <w:color w:val="auto"/>
                      <w:kern w:val="0"/>
                      <w:sz w:val="18"/>
                      <w:szCs w:val="18"/>
                      <w:highlight w:val="none"/>
                    </w:rPr>
                    <w:t>DA001</w:t>
                  </w:r>
                  <w:r>
                    <w:rPr>
                      <w:rFonts w:ascii="Times New Roman" w:hAnsi="Times New Roman" w:eastAsia="宋体" w:cs="Times New Roman"/>
                      <w:color w:val="auto"/>
                      <w:kern w:val="0"/>
                      <w:sz w:val="18"/>
                      <w:szCs w:val="18"/>
                      <w:highlight w:val="none"/>
                    </w:rPr>
                    <w:t>排气筒排放（风量10000m³/h）</w:t>
                  </w:r>
                </w:p>
              </w:tc>
              <w:tc>
                <w:tcPr>
                  <w:tcW w:w="1001" w:type="dxa"/>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新建</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40" w:type="dxa"/>
                  <w:vMerge w:val="continue"/>
                  <w:vAlign w:val="center"/>
                </w:tcPr>
                <w:p>
                  <w:pPr>
                    <w:snapToGrid w:val="0"/>
                    <w:spacing w:line="276" w:lineRule="auto"/>
                    <w:jc w:val="center"/>
                    <w:rPr>
                      <w:rFonts w:ascii="Times New Roman" w:hAnsi="Times New Roman" w:eastAsia="宋体" w:cs="Times New Roman"/>
                      <w:bCs/>
                      <w:color w:val="auto"/>
                      <w:sz w:val="18"/>
                      <w:szCs w:val="18"/>
                      <w:highlight w:val="none"/>
                    </w:rPr>
                  </w:pPr>
                </w:p>
              </w:tc>
              <w:tc>
                <w:tcPr>
                  <w:tcW w:w="971" w:type="dxa"/>
                  <w:vMerge w:val="continue"/>
                  <w:vAlign w:val="center"/>
                </w:tcPr>
                <w:p>
                  <w:pPr>
                    <w:snapToGrid w:val="0"/>
                    <w:spacing w:line="276" w:lineRule="auto"/>
                    <w:jc w:val="center"/>
                    <w:rPr>
                      <w:rFonts w:ascii="Times New Roman" w:hAnsi="Times New Roman" w:eastAsia="宋体" w:cs="Times New Roman"/>
                      <w:bCs/>
                      <w:color w:val="auto"/>
                      <w:sz w:val="18"/>
                      <w:szCs w:val="18"/>
                      <w:highlight w:val="none"/>
                    </w:rPr>
                  </w:pPr>
                </w:p>
              </w:tc>
              <w:tc>
                <w:tcPr>
                  <w:tcW w:w="5413" w:type="dxa"/>
                  <w:gridSpan w:val="3"/>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喷塑产生的喷塑粉尘，通过喷塑间内设置大旋风+滤芯粉末回收装置进行收集处理后回用于喷塑工序</w:t>
                  </w:r>
                </w:p>
              </w:tc>
              <w:tc>
                <w:tcPr>
                  <w:tcW w:w="1001" w:type="dxa"/>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新建</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40" w:type="dxa"/>
                  <w:vMerge w:val="continue"/>
                  <w:vAlign w:val="center"/>
                </w:tcPr>
                <w:p>
                  <w:pPr>
                    <w:snapToGrid w:val="0"/>
                    <w:spacing w:line="276" w:lineRule="auto"/>
                    <w:jc w:val="center"/>
                    <w:rPr>
                      <w:rFonts w:ascii="Times New Roman" w:hAnsi="Times New Roman" w:eastAsia="宋体" w:cs="Times New Roman"/>
                      <w:bCs/>
                      <w:color w:val="auto"/>
                      <w:sz w:val="18"/>
                      <w:szCs w:val="18"/>
                      <w:highlight w:val="none"/>
                    </w:rPr>
                  </w:pPr>
                </w:p>
              </w:tc>
              <w:tc>
                <w:tcPr>
                  <w:tcW w:w="971" w:type="dxa"/>
                  <w:vMerge w:val="continue"/>
                  <w:vAlign w:val="center"/>
                </w:tcPr>
                <w:p>
                  <w:pPr>
                    <w:snapToGrid w:val="0"/>
                    <w:spacing w:line="276" w:lineRule="auto"/>
                    <w:jc w:val="center"/>
                    <w:rPr>
                      <w:rFonts w:ascii="Times New Roman" w:hAnsi="Times New Roman" w:eastAsia="宋体" w:cs="Times New Roman"/>
                      <w:bCs/>
                      <w:color w:val="auto"/>
                      <w:sz w:val="18"/>
                      <w:szCs w:val="18"/>
                      <w:highlight w:val="none"/>
                    </w:rPr>
                  </w:pPr>
                </w:p>
              </w:tc>
              <w:tc>
                <w:tcPr>
                  <w:tcW w:w="5413" w:type="dxa"/>
                  <w:gridSpan w:val="3"/>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固化产生的固化废气封闭管道</w:t>
                  </w:r>
                  <w:r>
                    <w:rPr>
                      <w:rFonts w:ascii="Times New Roman" w:hAnsi="Times New Roman" w:eastAsia="宋体" w:cs="Times New Roman"/>
                      <w:color w:val="auto"/>
                      <w:kern w:val="0"/>
                      <w:sz w:val="18"/>
                      <w:szCs w:val="18"/>
                      <w:highlight w:val="none"/>
                    </w:rPr>
                    <w:t>收集，通过二级活性炭吸附处理后，经由15m高的</w:t>
                  </w:r>
                  <w:r>
                    <w:rPr>
                      <w:rFonts w:hint="eastAsia" w:ascii="Times New Roman" w:hAnsi="Times New Roman" w:eastAsia="宋体" w:cs="Times New Roman"/>
                      <w:color w:val="auto"/>
                      <w:kern w:val="0"/>
                      <w:sz w:val="18"/>
                      <w:szCs w:val="18"/>
                      <w:highlight w:val="none"/>
                    </w:rPr>
                    <w:t>DA002</w:t>
                  </w:r>
                  <w:r>
                    <w:rPr>
                      <w:rFonts w:ascii="Times New Roman" w:hAnsi="Times New Roman" w:eastAsia="宋体" w:cs="Times New Roman"/>
                      <w:color w:val="auto"/>
                      <w:kern w:val="0"/>
                      <w:sz w:val="18"/>
                      <w:szCs w:val="18"/>
                      <w:highlight w:val="none"/>
                    </w:rPr>
                    <w:t>排气筒排放（风量5000m³/h）</w:t>
                  </w:r>
                </w:p>
              </w:tc>
              <w:tc>
                <w:tcPr>
                  <w:tcW w:w="1001" w:type="dxa"/>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新建</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40" w:type="dxa"/>
                  <w:vMerge w:val="continue"/>
                  <w:vAlign w:val="center"/>
                </w:tcPr>
                <w:p>
                  <w:pPr>
                    <w:snapToGrid w:val="0"/>
                    <w:spacing w:line="276" w:lineRule="auto"/>
                    <w:jc w:val="center"/>
                    <w:rPr>
                      <w:rFonts w:ascii="Times New Roman" w:hAnsi="Times New Roman" w:eastAsia="宋体" w:cs="Times New Roman"/>
                      <w:bCs/>
                      <w:color w:val="auto"/>
                      <w:sz w:val="18"/>
                      <w:szCs w:val="18"/>
                      <w:highlight w:val="none"/>
                    </w:rPr>
                  </w:pPr>
                </w:p>
              </w:tc>
              <w:tc>
                <w:tcPr>
                  <w:tcW w:w="971" w:type="dxa"/>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废水</w:t>
                  </w:r>
                </w:p>
              </w:tc>
              <w:tc>
                <w:tcPr>
                  <w:tcW w:w="5413" w:type="dxa"/>
                  <w:gridSpan w:val="3"/>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雨污分流。</w:t>
                  </w:r>
                  <w:r>
                    <w:rPr>
                      <w:rFonts w:ascii="Times New Roman" w:hAnsi="Times New Roman" w:eastAsia="宋体" w:cs="Times New Roman"/>
                      <w:bCs/>
                      <w:color w:val="auto"/>
                      <w:sz w:val="18"/>
                      <w:szCs w:val="18"/>
                      <w:highlight w:val="none"/>
                      <w:lang w:val="en-GB"/>
                    </w:rPr>
                    <w:t>本项目雨水排入市政雨水管网；</w:t>
                  </w:r>
                  <w:r>
                    <w:rPr>
                      <w:rFonts w:ascii="Times New Roman" w:hAnsi="Times New Roman" w:eastAsia="宋体" w:cs="Times New Roman"/>
                      <w:bCs/>
                      <w:color w:val="auto"/>
                      <w:sz w:val="18"/>
                      <w:szCs w:val="18"/>
                      <w:highlight w:val="none"/>
                    </w:rPr>
                    <w:t>生活污水</w:t>
                  </w:r>
                  <w:r>
                    <w:rPr>
                      <w:rFonts w:ascii="Times New Roman" w:hAnsi="Times New Roman" w:eastAsia="宋体" w:cs="Times New Roman"/>
                      <w:color w:val="auto"/>
                      <w:sz w:val="18"/>
                      <w:szCs w:val="18"/>
                      <w:highlight w:val="none"/>
                    </w:rPr>
                    <w:t>经化粪池处理后接管至市政污水管网，送至八公山污水处理厂处理后排入淮河</w:t>
                  </w:r>
                </w:p>
              </w:tc>
              <w:tc>
                <w:tcPr>
                  <w:tcW w:w="1001" w:type="dxa"/>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新建</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40" w:type="dxa"/>
                  <w:vMerge w:val="continue"/>
                  <w:vAlign w:val="center"/>
                </w:tcPr>
                <w:p>
                  <w:pPr>
                    <w:snapToGrid w:val="0"/>
                    <w:spacing w:line="276" w:lineRule="auto"/>
                    <w:jc w:val="center"/>
                    <w:rPr>
                      <w:rFonts w:ascii="Times New Roman" w:hAnsi="Times New Roman" w:eastAsia="宋体" w:cs="Times New Roman"/>
                      <w:bCs/>
                      <w:color w:val="auto"/>
                      <w:sz w:val="18"/>
                      <w:szCs w:val="18"/>
                      <w:highlight w:val="none"/>
                    </w:rPr>
                  </w:pPr>
                </w:p>
              </w:tc>
              <w:tc>
                <w:tcPr>
                  <w:tcW w:w="971" w:type="dxa"/>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噪声</w:t>
                  </w:r>
                </w:p>
              </w:tc>
              <w:tc>
                <w:tcPr>
                  <w:tcW w:w="5413" w:type="dxa"/>
                  <w:gridSpan w:val="3"/>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color w:val="auto"/>
                      <w:sz w:val="18"/>
                      <w:szCs w:val="18"/>
                      <w:highlight w:val="none"/>
                    </w:rPr>
                    <w:t>产噪设备采取消声、减振、隔声等措施</w:t>
                  </w:r>
                </w:p>
              </w:tc>
              <w:tc>
                <w:tcPr>
                  <w:tcW w:w="1001" w:type="dxa"/>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bCs/>
                      <w:color w:val="auto"/>
                      <w:sz w:val="18"/>
                      <w:szCs w:val="18"/>
                      <w:highlight w:val="none"/>
                    </w:rP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40" w:type="dxa"/>
                  <w:vMerge w:val="continue"/>
                  <w:vAlign w:val="center"/>
                </w:tcPr>
                <w:p>
                  <w:pPr>
                    <w:snapToGrid w:val="0"/>
                    <w:spacing w:line="276" w:lineRule="auto"/>
                    <w:jc w:val="center"/>
                    <w:rPr>
                      <w:rFonts w:ascii="Times New Roman" w:hAnsi="Times New Roman" w:eastAsia="宋体" w:cs="Times New Roman"/>
                      <w:bCs/>
                      <w:color w:val="auto"/>
                      <w:sz w:val="18"/>
                      <w:szCs w:val="18"/>
                      <w:highlight w:val="none"/>
                    </w:rPr>
                  </w:pPr>
                </w:p>
              </w:tc>
              <w:tc>
                <w:tcPr>
                  <w:tcW w:w="971" w:type="dxa"/>
                  <w:vMerge w:val="restart"/>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固废</w:t>
                  </w:r>
                </w:p>
              </w:tc>
              <w:tc>
                <w:tcPr>
                  <w:tcW w:w="5413" w:type="dxa"/>
                  <w:gridSpan w:val="3"/>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危险废物：新建一座20m</w:t>
                  </w:r>
                  <w:r>
                    <w:rPr>
                      <w:rFonts w:ascii="Times New Roman" w:hAnsi="Times New Roman" w:eastAsia="宋体" w:cs="Times New Roman"/>
                      <w:bCs/>
                      <w:color w:val="auto"/>
                      <w:sz w:val="18"/>
                      <w:szCs w:val="18"/>
                      <w:highlight w:val="none"/>
                      <w:vertAlign w:val="superscript"/>
                    </w:rPr>
                    <w:t>2</w:t>
                  </w:r>
                  <w:r>
                    <w:rPr>
                      <w:rFonts w:ascii="Times New Roman" w:hAnsi="Times New Roman" w:eastAsia="宋体" w:cs="Times New Roman"/>
                      <w:bCs/>
                      <w:color w:val="auto"/>
                      <w:sz w:val="18"/>
                      <w:szCs w:val="18"/>
                      <w:highlight w:val="none"/>
                    </w:rPr>
                    <w:t>危废暂存库，废活性炭、废机油、机油桶暂存于危废暂存库，定期委托有资质的单位处置</w:t>
                  </w:r>
                </w:p>
              </w:tc>
              <w:tc>
                <w:tcPr>
                  <w:tcW w:w="1001" w:type="dxa"/>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新建</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40" w:type="dxa"/>
                  <w:vMerge w:val="continue"/>
                  <w:vAlign w:val="center"/>
                </w:tcPr>
                <w:p>
                  <w:pPr>
                    <w:snapToGrid w:val="0"/>
                    <w:spacing w:line="276" w:lineRule="auto"/>
                    <w:jc w:val="center"/>
                    <w:rPr>
                      <w:rFonts w:ascii="Times New Roman" w:hAnsi="Times New Roman" w:eastAsia="宋体" w:cs="Times New Roman"/>
                      <w:bCs/>
                      <w:color w:val="auto"/>
                      <w:sz w:val="18"/>
                      <w:szCs w:val="18"/>
                      <w:highlight w:val="none"/>
                    </w:rPr>
                  </w:pPr>
                </w:p>
              </w:tc>
              <w:tc>
                <w:tcPr>
                  <w:tcW w:w="971" w:type="dxa"/>
                  <w:vMerge w:val="continue"/>
                  <w:vAlign w:val="center"/>
                </w:tcPr>
                <w:p>
                  <w:pPr>
                    <w:snapToGrid w:val="0"/>
                    <w:spacing w:line="276" w:lineRule="auto"/>
                    <w:jc w:val="center"/>
                    <w:rPr>
                      <w:rFonts w:ascii="Times New Roman" w:hAnsi="Times New Roman" w:eastAsia="宋体" w:cs="Times New Roman"/>
                      <w:bCs/>
                      <w:color w:val="auto"/>
                      <w:sz w:val="18"/>
                      <w:szCs w:val="18"/>
                      <w:highlight w:val="none"/>
                    </w:rPr>
                  </w:pPr>
                </w:p>
              </w:tc>
              <w:tc>
                <w:tcPr>
                  <w:tcW w:w="5413" w:type="dxa"/>
                  <w:gridSpan w:val="3"/>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一般工业固体废物：设一座20m</w:t>
                  </w:r>
                  <w:r>
                    <w:rPr>
                      <w:rFonts w:ascii="Times New Roman" w:hAnsi="Times New Roman" w:eastAsia="宋体" w:cs="Times New Roman"/>
                      <w:bCs/>
                      <w:color w:val="auto"/>
                      <w:sz w:val="18"/>
                      <w:szCs w:val="18"/>
                      <w:highlight w:val="none"/>
                      <w:vertAlign w:val="superscript"/>
                    </w:rPr>
                    <w:t>2</w:t>
                  </w:r>
                  <w:r>
                    <w:rPr>
                      <w:rFonts w:ascii="Times New Roman" w:hAnsi="Times New Roman" w:eastAsia="宋体" w:cs="Times New Roman"/>
                      <w:bCs/>
                      <w:color w:val="auto"/>
                      <w:sz w:val="18"/>
                      <w:szCs w:val="18"/>
                      <w:highlight w:val="none"/>
                    </w:rPr>
                    <w:t>一般固废暂存间，废包装物</w:t>
                  </w:r>
                  <w:r>
                    <w:rPr>
                      <w:rFonts w:hint="eastAsia" w:ascii="Times New Roman" w:hAnsi="Times New Roman" w:eastAsia="宋体" w:cs="Times New Roman"/>
                      <w:bCs/>
                      <w:color w:val="auto"/>
                      <w:sz w:val="18"/>
                      <w:szCs w:val="18"/>
                      <w:highlight w:val="none"/>
                      <w:lang w:eastAsia="zh-CN"/>
                    </w:rPr>
                    <w:t>、</w:t>
                  </w:r>
                  <w:r>
                    <w:rPr>
                      <w:rFonts w:hint="eastAsia" w:ascii="Times New Roman" w:hAnsi="Times New Roman" w:eastAsia="宋体" w:cs="Times New Roman"/>
                      <w:bCs/>
                      <w:color w:val="auto"/>
                      <w:sz w:val="18"/>
                      <w:szCs w:val="18"/>
                      <w:highlight w:val="none"/>
                      <w:lang w:val="en-US" w:eastAsia="zh-CN"/>
                    </w:rPr>
                    <w:t>废塑粉</w:t>
                  </w:r>
                  <w:r>
                    <w:rPr>
                      <w:rFonts w:ascii="Times New Roman" w:hAnsi="Times New Roman" w:eastAsia="宋体" w:cs="Times New Roman"/>
                      <w:bCs/>
                      <w:color w:val="auto"/>
                      <w:sz w:val="18"/>
                      <w:szCs w:val="18"/>
                      <w:highlight w:val="none"/>
                    </w:rPr>
                    <w:t>、边角料和焊渣统一收集在一般固废暂存间，</w:t>
                  </w:r>
                  <w:r>
                    <w:rPr>
                      <w:rFonts w:hint="eastAsia" w:ascii="Times New Roman" w:hAnsi="Times New Roman" w:eastAsia="宋体" w:cs="Times New Roman"/>
                      <w:bCs/>
                      <w:color w:val="auto"/>
                      <w:sz w:val="18"/>
                      <w:szCs w:val="18"/>
                      <w:highlight w:val="none"/>
                      <w:lang w:val="en-US" w:eastAsia="zh-CN"/>
                    </w:rPr>
                    <w:t>废塑粉回用于生产，其他一般固废</w:t>
                  </w:r>
                  <w:r>
                    <w:rPr>
                      <w:rFonts w:ascii="Times New Roman" w:hAnsi="Times New Roman" w:eastAsia="宋体" w:cs="Times New Roman"/>
                      <w:bCs/>
                      <w:color w:val="auto"/>
                      <w:sz w:val="18"/>
                      <w:szCs w:val="18"/>
                      <w:highlight w:val="none"/>
                    </w:rPr>
                    <w:t>定期外售</w:t>
                  </w:r>
                </w:p>
              </w:tc>
              <w:tc>
                <w:tcPr>
                  <w:tcW w:w="1001" w:type="dxa"/>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新建</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40" w:type="dxa"/>
                  <w:vMerge w:val="continue"/>
                  <w:vAlign w:val="center"/>
                </w:tcPr>
                <w:p>
                  <w:pPr>
                    <w:snapToGrid w:val="0"/>
                    <w:spacing w:line="276" w:lineRule="auto"/>
                    <w:jc w:val="center"/>
                    <w:rPr>
                      <w:rFonts w:ascii="Times New Roman" w:hAnsi="Times New Roman" w:eastAsia="宋体" w:cs="Times New Roman"/>
                      <w:bCs/>
                      <w:color w:val="auto"/>
                      <w:sz w:val="18"/>
                      <w:szCs w:val="18"/>
                      <w:highlight w:val="none"/>
                    </w:rPr>
                  </w:pPr>
                </w:p>
              </w:tc>
              <w:tc>
                <w:tcPr>
                  <w:tcW w:w="971" w:type="dxa"/>
                  <w:vMerge w:val="continue"/>
                  <w:vAlign w:val="center"/>
                </w:tcPr>
                <w:p>
                  <w:pPr>
                    <w:snapToGrid w:val="0"/>
                    <w:spacing w:line="276" w:lineRule="auto"/>
                    <w:jc w:val="center"/>
                    <w:rPr>
                      <w:rFonts w:ascii="Times New Roman" w:hAnsi="Times New Roman" w:eastAsia="宋体" w:cs="Times New Roman"/>
                      <w:bCs/>
                      <w:color w:val="auto"/>
                      <w:sz w:val="18"/>
                      <w:szCs w:val="18"/>
                      <w:highlight w:val="none"/>
                    </w:rPr>
                  </w:pPr>
                </w:p>
              </w:tc>
              <w:tc>
                <w:tcPr>
                  <w:tcW w:w="5413" w:type="dxa"/>
                  <w:gridSpan w:val="3"/>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生活垃圾集中收集后由当地环卫部门统一清运</w:t>
                  </w:r>
                </w:p>
              </w:tc>
              <w:tc>
                <w:tcPr>
                  <w:tcW w:w="1001" w:type="dxa"/>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40" w:type="dxa"/>
                  <w:vMerge w:val="continue"/>
                  <w:vAlign w:val="center"/>
                </w:tcPr>
                <w:p>
                  <w:pPr>
                    <w:snapToGrid w:val="0"/>
                    <w:spacing w:line="276" w:lineRule="auto"/>
                    <w:jc w:val="center"/>
                    <w:rPr>
                      <w:rFonts w:ascii="Times New Roman" w:hAnsi="Times New Roman" w:eastAsia="宋体" w:cs="Times New Roman"/>
                      <w:bCs/>
                      <w:color w:val="auto"/>
                      <w:sz w:val="18"/>
                      <w:szCs w:val="18"/>
                      <w:highlight w:val="none"/>
                    </w:rPr>
                  </w:pPr>
                </w:p>
              </w:tc>
              <w:tc>
                <w:tcPr>
                  <w:tcW w:w="971" w:type="dxa"/>
                  <w:vMerge w:val="restart"/>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hint="eastAsia" w:ascii="Times New Roman" w:hAnsi="Times New Roman" w:eastAsia="宋体" w:cs="Times New Roman"/>
                      <w:bCs/>
                      <w:color w:val="auto"/>
                      <w:sz w:val="18"/>
                      <w:szCs w:val="18"/>
                      <w:highlight w:val="none"/>
                    </w:rPr>
                    <w:t>地下水防控</w:t>
                  </w:r>
                </w:p>
              </w:tc>
              <w:tc>
                <w:tcPr>
                  <w:tcW w:w="5413" w:type="dxa"/>
                  <w:gridSpan w:val="3"/>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hint="eastAsia" w:ascii="Times New Roman" w:hAnsi="Times New Roman" w:eastAsia="宋体" w:cs="Times New Roman"/>
                      <w:bCs/>
                      <w:color w:val="auto"/>
                      <w:sz w:val="18"/>
                      <w:szCs w:val="18"/>
                      <w:highlight w:val="none"/>
                    </w:rPr>
                    <w:t>全厂按“分区防渗”要求，落实不同区域防渗措施。危险废物暂存间设置重点防渗，防渗技术要求等效黏土防渗层Mb≥6.0m，K≤10</w:t>
                  </w:r>
                  <w:r>
                    <w:rPr>
                      <w:rFonts w:hint="eastAsia" w:ascii="Times New Roman" w:hAnsi="Times New Roman" w:eastAsia="宋体" w:cs="Times New Roman"/>
                      <w:bCs/>
                      <w:color w:val="auto"/>
                      <w:sz w:val="18"/>
                      <w:szCs w:val="18"/>
                      <w:highlight w:val="none"/>
                      <w:vertAlign w:val="superscript"/>
                    </w:rPr>
                    <w:t>-7</w:t>
                  </w:r>
                  <w:r>
                    <w:rPr>
                      <w:rFonts w:hint="eastAsia" w:ascii="Times New Roman" w:hAnsi="Times New Roman" w:eastAsia="宋体" w:cs="Times New Roman"/>
                      <w:bCs/>
                      <w:color w:val="auto"/>
                      <w:sz w:val="18"/>
                      <w:szCs w:val="18"/>
                      <w:highlight w:val="none"/>
                    </w:rPr>
                    <w:t>cm/s</w:t>
                  </w:r>
                </w:p>
              </w:tc>
              <w:tc>
                <w:tcPr>
                  <w:tcW w:w="1001" w:type="dxa"/>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新建</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40" w:type="dxa"/>
                  <w:vMerge w:val="continue"/>
                  <w:tcBorders>
                    <w:bottom w:val="single" w:color="auto" w:sz="8" w:space="0"/>
                  </w:tcBorders>
                  <w:vAlign w:val="center"/>
                </w:tcPr>
                <w:p>
                  <w:pPr>
                    <w:snapToGrid w:val="0"/>
                    <w:spacing w:line="276" w:lineRule="auto"/>
                    <w:jc w:val="center"/>
                    <w:rPr>
                      <w:rFonts w:ascii="Times New Roman" w:hAnsi="Times New Roman" w:eastAsia="宋体" w:cs="Times New Roman"/>
                      <w:bCs/>
                      <w:color w:val="auto"/>
                      <w:sz w:val="18"/>
                      <w:szCs w:val="18"/>
                      <w:highlight w:val="none"/>
                    </w:rPr>
                  </w:pPr>
                </w:p>
              </w:tc>
              <w:tc>
                <w:tcPr>
                  <w:tcW w:w="971" w:type="dxa"/>
                  <w:vMerge w:val="continue"/>
                  <w:tcBorders>
                    <w:bottom w:val="single" w:color="auto" w:sz="8" w:space="0"/>
                  </w:tcBorders>
                  <w:vAlign w:val="center"/>
                </w:tcPr>
                <w:p>
                  <w:pPr>
                    <w:snapToGrid w:val="0"/>
                    <w:spacing w:line="276" w:lineRule="auto"/>
                    <w:jc w:val="center"/>
                    <w:rPr>
                      <w:rFonts w:ascii="Times New Roman" w:hAnsi="Times New Roman" w:eastAsia="宋体" w:cs="Times New Roman"/>
                      <w:bCs/>
                      <w:color w:val="auto"/>
                      <w:sz w:val="18"/>
                      <w:szCs w:val="18"/>
                      <w:highlight w:val="none"/>
                    </w:rPr>
                  </w:pPr>
                </w:p>
              </w:tc>
              <w:tc>
                <w:tcPr>
                  <w:tcW w:w="5413" w:type="dxa"/>
                  <w:gridSpan w:val="3"/>
                  <w:tcBorders>
                    <w:bottom w:val="single" w:color="auto" w:sz="8" w:space="0"/>
                  </w:tcBorders>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hint="eastAsia" w:ascii="Times New Roman" w:hAnsi="Times New Roman" w:eastAsia="宋体" w:cs="Times New Roman"/>
                      <w:bCs/>
                      <w:color w:val="auto"/>
                      <w:sz w:val="18"/>
                      <w:szCs w:val="18"/>
                      <w:highlight w:val="none"/>
                    </w:rPr>
                    <w:t>生产区域、一般固废库、化粪池等设置一般防渗，防渗技术要求等效黏土防渗层Mb≥1.5m，K≤10</w:t>
                  </w:r>
                  <w:r>
                    <w:rPr>
                      <w:rFonts w:hint="eastAsia" w:ascii="Times New Roman" w:hAnsi="Times New Roman" w:eastAsia="宋体" w:cs="Times New Roman"/>
                      <w:bCs/>
                      <w:color w:val="auto"/>
                      <w:sz w:val="18"/>
                      <w:szCs w:val="18"/>
                      <w:highlight w:val="none"/>
                      <w:vertAlign w:val="superscript"/>
                    </w:rPr>
                    <w:t>-7</w:t>
                  </w:r>
                  <w:r>
                    <w:rPr>
                      <w:rFonts w:hint="eastAsia" w:ascii="Times New Roman" w:hAnsi="Times New Roman" w:eastAsia="宋体" w:cs="Times New Roman"/>
                      <w:bCs/>
                      <w:color w:val="auto"/>
                      <w:sz w:val="18"/>
                      <w:szCs w:val="18"/>
                      <w:highlight w:val="none"/>
                    </w:rPr>
                    <w:t>cm/s</w:t>
                  </w:r>
                </w:p>
              </w:tc>
              <w:tc>
                <w:tcPr>
                  <w:tcW w:w="1001" w:type="dxa"/>
                  <w:tcBorders>
                    <w:bottom w:val="single" w:color="auto" w:sz="8" w:space="0"/>
                  </w:tcBorders>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新建</w:t>
                  </w:r>
                </w:p>
              </w:tc>
            </w:tr>
          </w:tbl>
          <w:p>
            <w:pPr>
              <w:spacing w:line="360" w:lineRule="auto"/>
              <w:ind w:firstLine="482" w:firstLineChars="200"/>
              <w:jc w:val="left"/>
              <w:rPr>
                <w:rFonts w:ascii="Times New Roman" w:hAnsi="Times New Roman" w:eastAsia="宋体" w:cs="Times New Roman"/>
                <w:b/>
                <w:bCs/>
                <w:color w:val="auto"/>
                <w:sz w:val="24"/>
                <w:szCs w:val="24"/>
                <w:highlight w:val="none"/>
              </w:rPr>
            </w:pPr>
            <w:r>
              <w:rPr>
                <w:rFonts w:ascii="Times New Roman" w:hAnsi="Times New Roman" w:eastAsia="宋体" w:cs="Times New Roman"/>
                <w:b/>
                <w:bCs/>
                <w:color w:val="auto"/>
                <w:sz w:val="24"/>
                <w:szCs w:val="24"/>
                <w:highlight w:val="none"/>
              </w:rPr>
              <w:t>3、产品方案</w:t>
            </w:r>
          </w:p>
          <w:p>
            <w:pPr>
              <w:spacing w:line="360" w:lineRule="auto"/>
              <w:ind w:firstLine="480" w:firstLineChars="200"/>
              <w:jc w:val="left"/>
              <w:rPr>
                <w:rFonts w:ascii="Times New Roman" w:hAnsi="Times New Roman" w:eastAsia="宋体" w:cs="Times New Roman"/>
                <w:bCs/>
                <w:color w:val="auto"/>
                <w:sz w:val="24"/>
                <w:szCs w:val="24"/>
                <w:highlight w:val="none"/>
              </w:rPr>
            </w:pPr>
            <w:r>
              <w:rPr>
                <w:rFonts w:ascii="Times New Roman" w:hAnsi="Times New Roman" w:eastAsia="宋体" w:cs="Times New Roman"/>
                <w:bCs/>
                <w:color w:val="auto"/>
                <w:sz w:val="24"/>
                <w:szCs w:val="24"/>
                <w:highlight w:val="none"/>
              </w:rPr>
              <w:t>本项目产品方案见下表。</w:t>
            </w:r>
          </w:p>
          <w:p>
            <w:pPr>
              <w:adjustRightInd w:val="0"/>
              <w:spacing w:line="324" w:lineRule="auto"/>
              <w:jc w:val="center"/>
              <w:rPr>
                <w:rFonts w:ascii="Times New Roman" w:hAnsi="Times New Roman" w:eastAsia="黑体" w:cs="Times New Roman"/>
                <w:color w:val="auto"/>
                <w:sz w:val="24"/>
                <w:highlight w:val="none"/>
              </w:rPr>
            </w:pPr>
            <w:r>
              <w:rPr>
                <w:rFonts w:ascii="Times New Roman" w:hAnsi="Times New Roman" w:eastAsia="黑体" w:cs="Times New Roman"/>
                <w:color w:val="auto"/>
                <w:sz w:val="24"/>
                <w:highlight w:val="none"/>
              </w:rPr>
              <w:t>表2-3  项目产品方案一览表</w:t>
            </w:r>
          </w:p>
          <w:tbl>
            <w:tblPr>
              <w:tblStyle w:val="17"/>
              <w:tblW w:w="4998" w:type="pct"/>
              <w:jc w:val="center"/>
              <w:tblBorders>
                <w:top w:val="single" w:color="auto" w:sz="8" w:space="0"/>
                <w:left w:val="none" w:color="auto" w:sz="0" w:space="0"/>
                <w:bottom w:val="single" w:color="auto" w:sz="8"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609"/>
              <w:gridCol w:w="1618"/>
              <w:gridCol w:w="2333"/>
              <w:gridCol w:w="1322"/>
              <w:gridCol w:w="1845"/>
              <w:gridCol w:w="598"/>
            </w:tblGrid>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tblHeader/>
                <w:jc w:val="center"/>
              </w:trPr>
              <w:tc>
                <w:tcPr>
                  <w:tcW w:w="365" w:type="pct"/>
                  <w:tcBorders>
                    <w:tl2br w:val="nil"/>
                    <w:tr2bl w:val="nil"/>
                  </w:tcBorders>
                  <w:vAlign w:val="center"/>
                </w:tcPr>
                <w:p>
                  <w:pPr>
                    <w:widowControl/>
                    <w:jc w:val="center"/>
                    <w:textAlignment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kern w:val="0"/>
                      <w:sz w:val="18"/>
                      <w:szCs w:val="18"/>
                      <w:highlight w:val="none"/>
                    </w:rPr>
                    <w:t>序号</w:t>
                  </w:r>
                </w:p>
              </w:tc>
              <w:tc>
                <w:tcPr>
                  <w:tcW w:w="972" w:type="pct"/>
                  <w:tcBorders>
                    <w:tl2br w:val="nil"/>
                    <w:tr2bl w:val="nil"/>
                  </w:tcBorders>
                  <w:vAlign w:val="center"/>
                </w:tcPr>
                <w:p>
                  <w:pPr>
                    <w:widowControl/>
                    <w:jc w:val="center"/>
                    <w:textAlignment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kern w:val="0"/>
                      <w:sz w:val="18"/>
                      <w:szCs w:val="18"/>
                      <w:highlight w:val="none"/>
                    </w:rPr>
                    <w:t>产品名称</w:t>
                  </w:r>
                </w:p>
              </w:tc>
              <w:tc>
                <w:tcPr>
                  <w:tcW w:w="1400" w:type="pct"/>
                  <w:tcBorders>
                    <w:tl2br w:val="nil"/>
                    <w:tr2bl w:val="nil"/>
                  </w:tcBorders>
                  <w:vAlign w:val="center"/>
                </w:tcPr>
                <w:p>
                  <w:pPr>
                    <w:widowControl/>
                    <w:jc w:val="center"/>
                    <w:textAlignment w:val="center"/>
                    <w:rPr>
                      <w:rFonts w:ascii="Times New Roman" w:hAnsi="Times New Roman" w:eastAsia="宋体" w:cs="Times New Roman"/>
                      <w:b/>
                      <w:bCs/>
                      <w:color w:val="auto"/>
                      <w:kern w:val="0"/>
                      <w:sz w:val="18"/>
                      <w:szCs w:val="18"/>
                      <w:highlight w:val="none"/>
                    </w:rPr>
                  </w:pPr>
                  <w:r>
                    <w:rPr>
                      <w:rFonts w:ascii="Times New Roman" w:hAnsi="Times New Roman" w:eastAsia="宋体" w:cs="Times New Roman"/>
                      <w:b/>
                      <w:bCs/>
                      <w:color w:val="auto"/>
                      <w:kern w:val="0"/>
                      <w:sz w:val="18"/>
                      <w:szCs w:val="18"/>
                      <w:highlight w:val="none"/>
                    </w:rPr>
                    <w:t>生产线名称</w:t>
                  </w:r>
                </w:p>
              </w:tc>
              <w:tc>
                <w:tcPr>
                  <w:tcW w:w="794" w:type="pct"/>
                  <w:tcBorders>
                    <w:tl2br w:val="nil"/>
                    <w:tr2bl w:val="nil"/>
                  </w:tcBorders>
                  <w:vAlign w:val="center"/>
                </w:tcPr>
                <w:p>
                  <w:pPr>
                    <w:widowControl/>
                    <w:jc w:val="center"/>
                    <w:textAlignment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kern w:val="0"/>
                      <w:sz w:val="18"/>
                      <w:szCs w:val="18"/>
                      <w:highlight w:val="none"/>
                    </w:rPr>
                    <w:t>规格</w:t>
                  </w:r>
                </w:p>
              </w:tc>
              <w:tc>
                <w:tcPr>
                  <w:tcW w:w="1108" w:type="pct"/>
                  <w:tcBorders>
                    <w:tl2br w:val="nil"/>
                    <w:tr2bl w:val="nil"/>
                  </w:tcBorders>
                  <w:vAlign w:val="center"/>
                </w:tcPr>
                <w:p>
                  <w:pPr>
                    <w:widowControl/>
                    <w:jc w:val="center"/>
                    <w:textAlignment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kern w:val="0"/>
                      <w:sz w:val="18"/>
                      <w:szCs w:val="18"/>
                      <w:highlight w:val="none"/>
                    </w:rPr>
                    <w:t>年产量（台/套）</w:t>
                  </w:r>
                </w:p>
              </w:tc>
              <w:tc>
                <w:tcPr>
                  <w:tcW w:w="359" w:type="pct"/>
                  <w:tcBorders>
                    <w:tl2br w:val="nil"/>
                    <w:tr2bl w:val="nil"/>
                  </w:tcBorders>
                  <w:vAlign w:val="center"/>
                </w:tcPr>
                <w:p>
                  <w:pPr>
                    <w:widowControl/>
                    <w:jc w:val="center"/>
                    <w:textAlignment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kern w:val="0"/>
                      <w:sz w:val="18"/>
                      <w:szCs w:val="18"/>
                      <w:highlight w:val="none"/>
                    </w:rPr>
                    <w:t>备注</w:t>
                  </w: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tblHeader/>
                <w:jc w:val="center"/>
              </w:trPr>
              <w:tc>
                <w:tcPr>
                  <w:tcW w:w="365" w:type="pct"/>
                  <w:tcBorders>
                    <w:tl2br w:val="nil"/>
                    <w:tr2bl w:val="nil"/>
                  </w:tcBorders>
                  <w:vAlign w:val="center"/>
                </w:tcPr>
                <w:p>
                  <w:pPr>
                    <w:widowControl/>
                    <w:jc w:val="center"/>
                    <w:textAlignment w:val="center"/>
                    <w:rPr>
                      <w:rFonts w:ascii="Times New Roman" w:hAnsi="Times New Roman" w:eastAsia="宋体" w:cs="Times New Roman"/>
                      <w:bCs/>
                      <w:color w:val="auto"/>
                      <w:sz w:val="18"/>
                      <w:szCs w:val="18"/>
                      <w:highlight w:val="none"/>
                    </w:rPr>
                  </w:pPr>
                  <w:r>
                    <w:rPr>
                      <w:rFonts w:ascii="Times New Roman" w:hAnsi="Times New Roman" w:eastAsia="宋体" w:cs="Times New Roman"/>
                      <w:color w:val="auto"/>
                      <w:kern w:val="0"/>
                      <w:sz w:val="18"/>
                      <w:szCs w:val="18"/>
                      <w:highlight w:val="none"/>
                    </w:rPr>
                    <w:t>1</w:t>
                  </w:r>
                </w:p>
              </w:tc>
              <w:tc>
                <w:tcPr>
                  <w:tcW w:w="972" w:type="pct"/>
                  <w:tcBorders>
                    <w:tl2br w:val="nil"/>
                    <w:tr2bl w:val="nil"/>
                  </w:tcBorders>
                  <w:vAlign w:val="center"/>
                </w:tcPr>
                <w:p>
                  <w:pPr>
                    <w:widowControl/>
                    <w:jc w:val="center"/>
                    <w:textAlignment w:val="center"/>
                    <w:rPr>
                      <w:rFonts w:ascii="Times New Roman" w:hAnsi="Times New Roman" w:eastAsia="宋体" w:cs="Times New Roman"/>
                      <w:bCs/>
                      <w:color w:val="auto"/>
                      <w:sz w:val="18"/>
                      <w:szCs w:val="18"/>
                      <w:highlight w:val="none"/>
                    </w:rPr>
                  </w:pPr>
                  <w:r>
                    <w:rPr>
                      <w:rFonts w:ascii="Times New Roman" w:hAnsi="Times New Roman" w:eastAsia="宋体" w:cs="Times New Roman"/>
                      <w:color w:val="auto"/>
                      <w:kern w:val="0"/>
                      <w:sz w:val="18"/>
                      <w:szCs w:val="18"/>
                      <w:highlight w:val="none"/>
                    </w:rPr>
                    <w:t>自动售货机</w:t>
                  </w:r>
                </w:p>
              </w:tc>
              <w:tc>
                <w:tcPr>
                  <w:tcW w:w="1400" w:type="pct"/>
                  <w:tcBorders>
                    <w:tl2br w:val="nil"/>
                    <w:tr2bl w:val="nil"/>
                  </w:tcBorders>
                  <w:vAlign w:val="center"/>
                </w:tcPr>
                <w:p>
                  <w:pPr>
                    <w:widowControl/>
                    <w:jc w:val="center"/>
                    <w:textAlignment w:val="center"/>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自动售货机生产线</w:t>
                  </w:r>
                </w:p>
              </w:tc>
              <w:tc>
                <w:tcPr>
                  <w:tcW w:w="794" w:type="pct"/>
                  <w:tcBorders>
                    <w:tl2br w:val="nil"/>
                    <w:tr2bl w:val="nil"/>
                  </w:tcBorders>
                  <w:vAlign w:val="center"/>
                </w:tcPr>
                <w:p>
                  <w:pPr>
                    <w:widowControl/>
                    <w:jc w:val="center"/>
                    <w:textAlignment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w:t>
                  </w:r>
                </w:p>
              </w:tc>
              <w:tc>
                <w:tcPr>
                  <w:tcW w:w="1108" w:type="pct"/>
                  <w:tcBorders>
                    <w:tl2br w:val="nil"/>
                    <w:tr2bl w:val="nil"/>
                  </w:tcBorders>
                  <w:vAlign w:val="center"/>
                </w:tcPr>
                <w:p>
                  <w:pPr>
                    <w:widowControl/>
                    <w:jc w:val="center"/>
                    <w:textAlignment w:val="center"/>
                    <w:rPr>
                      <w:rFonts w:ascii="Times New Roman" w:hAnsi="Times New Roman" w:eastAsia="宋体" w:cs="Times New Roman"/>
                      <w:bCs/>
                      <w:color w:val="auto"/>
                      <w:sz w:val="18"/>
                      <w:szCs w:val="18"/>
                      <w:highlight w:val="none"/>
                    </w:rPr>
                  </w:pPr>
                  <w:r>
                    <w:rPr>
                      <w:rFonts w:ascii="Times New Roman" w:hAnsi="Times New Roman" w:eastAsia="宋体" w:cs="Times New Roman"/>
                      <w:color w:val="auto"/>
                      <w:kern w:val="0"/>
                      <w:sz w:val="18"/>
                      <w:szCs w:val="18"/>
                      <w:highlight w:val="none"/>
                    </w:rPr>
                    <w:t>5000</w:t>
                  </w:r>
                </w:p>
              </w:tc>
              <w:tc>
                <w:tcPr>
                  <w:tcW w:w="359" w:type="pct"/>
                  <w:tcBorders>
                    <w:tl2br w:val="nil"/>
                    <w:tr2bl w:val="nil"/>
                  </w:tcBorders>
                  <w:vAlign w:val="center"/>
                </w:tcPr>
                <w:p>
                  <w:pPr>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w:t>
                  </w: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tblHeader/>
                <w:jc w:val="center"/>
              </w:trPr>
              <w:tc>
                <w:tcPr>
                  <w:tcW w:w="365" w:type="pct"/>
                  <w:tcBorders>
                    <w:tl2br w:val="nil"/>
                    <w:tr2bl w:val="nil"/>
                  </w:tcBorders>
                  <w:vAlign w:val="center"/>
                </w:tcPr>
                <w:p>
                  <w:pPr>
                    <w:widowControl/>
                    <w:jc w:val="center"/>
                    <w:textAlignment w:val="center"/>
                    <w:rPr>
                      <w:rFonts w:ascii="Times New Roman" w:hAnsi="Times New Roman" w:eastAsia="宋体" w:cs="Times New Roman"/>
                      <w:bCs/>
                      <w:color w:val="auto"/>
                      <w:sz w:val="18"/>
                      <w:szCs w:val="18"/>
                      <w:highlight w:val="none"/>
                    </w:rPr>
                  </w:pPr>
                  <w:r>
                    <w:rPr>
                      <w:rFonts w:ascii="Times New Roman" w:hAnsi="Times New Roman" w:eastAsia="宋体" w:cs="Times New Roman"/>
                      <w:color w:val="auto"/>
                      <w:kern w:val="0"/>
                      <w:sz w:val="18"/>
                      <w:szCs w:val="18"/>
                      <w:highlight w:val="none"/>
                    </w:rPr>
                    <w:t>2</w:t>
                  </w:r>
                </w:p>
              </w:tc>
              <w:tc>
                <w:tcPr>
                  <w:tcW w:w="972" w:type="pct"/>
                  <w:tcBorders>
                    <w:tl2br w:val="nil"/>
                    <w:tr2bl w:val="nil"/>
                  </w:tcBorders>
                  <w:vAlign w:val="center"/>
                </w:tcPr>
                <w:p>
                  <w:pPr>
                    <w:widowControl/>
                    <w:jc w:val="center"/>
                    <w:textAlignment w:val="center"/>
                    <w:rPr>
                      <w:rFonts w:ascii="Times New Roman" w:hAnsi="Times New Roman" w:eastAsia="宋体" w:cs="Times New Roman"/>
                      <w:bCs/>
                      <w:color w:val="auto"/>
                      <w:sz w:val="18"/>
                      <w:szCs w:val="18"/>
                      <w:highlight w:val="none"/>
                    </w:rPr>
                  </w:pPr>
                  <w:r>
                    <w:rPr>
                      <w:rFonts w:ascii="Times New Roman" w:hAnsi="Times New Roman" w:eastAsia="宋体" w:cs="Times New Roman"/>
                      <w:color w:val="auto"/>
                      <w:kern w:val="0"/>
                      <w:sz w:val="18"/>
                      <w:szCs w:val="18"/>
                      <w:highlight w:val="none"/>
                    </w:rPr>
                    <w:t>智能垃圾分类箱</w:t>
                  </w:r>
                </w:p>
              </w:tc>
              <w:tc>
                <w:tcPr>
                  <w:tcW w:w="1400" w:type="pct"/>
                  <w:tcBorders>
                    <w:tl2br w:val="nil"/>
                    <w:tr2bl w:val="nil"/>
                  </w:tcBorders>
                  <w:vAlign w:val="center"/>
                </w:tcPr>
                <w:p>
                  <w:pPr>
                    <w:widowControl/>
                    <w:jc w:val="center"/>
                    <w:textAlignment w:val="center"/>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智能垃圾分类箱生产线</w:t>
                  </w:r>
                </w:p>
              </w:tc>
              <w:tc>
                <w:tcPr>
                  <w:tcW w:w="794" w:type="pct"/>
                  <w:tcBorders>
                    <w:tl2br w:val="nil"/>
                    <w:tr2bl w:val="nil"/>
                  </w:tcBorders>
                  <w:vAlign w:val="center"/>
                </w:tcPr>
                <w:p>
                  <w:pPr>
                    <w:widowControl/>
                    <w:jc w:val="center"/>
                    <w:textAlignment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w:t>
                  </w:r>
                </w:p>
              </w:tc>
              <w:tc>
                <w:tcPr>
                  <w:tcW w:w="1108" w:type="pct"/>
                  <w:tcBorders>
                    <w:tl2br w:val="nil"/>
                    <w:tr2bl w:val="nil"/>
                  </w:tcBorders>
                  <w:vAlign w:val="center"/>
                </w:tcPr>
                <w:p>
                  <w:pPr>
                    <w:widowControl/>
                    <w:jc w:val="center"/>
                    <w:textAlignment w:val="center"/>
                    <w:rPr>
                      <w:rFonts w:ascii="Times New Roman" w:hAnsi="Times New Roman" w:eastAsia="宋体" w:cs="Times New Roman"/>
                      <w:bCs/>
                      <w:color w:val="auto"/>
                      <w:sz w:val="18"/>
                      <w:szCs w:val="18"/>
                      <w:highlight w:val="none"/>
                    </w:rPr>
                  </w:pPr>
                  <w:r>
                    <w:rPr>
                      <w:rFonts w:ascii="Times New Roman" w:hAnsi="Times New Roman" w:eastAsia="宋体" w:cs="Times New Roman"/>
                      <w:color w:val="auto"/>
                      <w:kern w:val="0"/>
                      <w:sz w:val="18"/>
                      <w:szCs w:val="18"/>
                      <w:highlight w:val="none"/>
                    </w:rPr>
                    <w:t>5000</w:t>
                  </w:r>
                </w:p>
              </w:tc>
              <w:tc>
                <w:tcPr>
                  <w:tcW w:w="359" w:type="pct"/>
                  <w:tcBorders>
                    <w:tl2br w:val="nil"/>
                    <w:tr2bl w:val="nil"/>
                  </w:tcBorders>
                  <w:vAlign w:val="center"/>
                </w:tcPr>
                <w:p>
                  <w:pPr>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w:t>
                  </w:r>
                </w:p>
              </w:tc>
            </w:tr>
          </w:tbl>
          <w:p>
            <w:pPr>
              <w:spacing w:line="360" w:lineRule="auto"/>
              <w:ind w:firstLine="482" w:firstLineChars="200"/>
              <w:jc w:val="left"/>
              <w:rPr>
                <w:rFonts w:ascii="Times New Roman" w:hAnsi="Times New Roman" w:eastAsia="宋体" w:cs="Times New Roman"/>
                <w:b/>
                <w:bCs/>
                <w:color w:val="auto"/>
                <w:sz w:val="24"/>
                <w:szCs w:val="24"/>
                <w:highlight w:val="none"/>
              </w:rPr>
            </w:pPr>
            <w:r>
              <w:rPr>
                <w:rFonts w:ascii="Times New Roman" w:hAnsi="Times New Roman" w:eastAsia="宋体" w:cs="Times New Roman"/>
                <w:b/>
                <w:bCs/>
                <w:color w:val="auto"/>
                <w:sz w:val="24"/>
                <w:szCs w:val="24"/>
                <w:highlight w:val="none"/>
              </w:rPr>
              <w:t>4、主要生产设备</w:t>
            </w:r>
          </w:p>
          <w:p>
            <w:pPr>
              <w:adjustRightInd w:val="0"/>
              <w:spacing w:line="324" w:lineRule="auto"/>
              <w:jc w:val="center"/>
              <w:rPr>
                <w:rFonts w:ascii="Times New Roman" w:hAnsi="Times New Roman" w:eastAsia="黑体" w:cs="Times New Roman"/>
                <w:color w:val="auto"/>
                <w:sz w:val="24"/>
                <w:highlight w:val="none"/>
              </w:rPr>
            </w:pPr>
            <w:r>
              <w:rPr>
                <w:rFonts w:ascii="Times New Roman" w:hAnsi="Times New Roman" w:eastAsia="黑体" w:cs="Times New Roman"/>
                <w:color w:val="auto"/>
                <w:sz w:val="24"/>
                <w:highlight w:val="none"/>
              </w:rPr>
              <w:t>表2-4  项目生产设备一览表</w:t>
            </w:r>
          </w:p>
          <w:tbl>
            <w:tblPr>
              <w:tblStyle w:val="17"/>
              <w:tblW w:w="4998" w:type="pct"/>
              <w:jc w:val="center"/>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Layout w:type="fixed"/>
              <w:tblCellMar>
                <w:top w:w="0" w:type="dxa"/>
                <w:left w:w="108" w:type="dxa"/>
                <w:bottom w:w="0" w:type="dxa"/>
                <w:right w:w="108" w:type="dxa"/>
              </w:tblCellMar>
            </w:tblPr>
            <w:tblGrid>
              <w:gridCol w:w="832"/>
              <w:gridCol w:w="2691"/>
              <w:gridCol w:w="2388"/>
              <w:gridCol w:w="1480"/>
              <w:gridCol w:w="934"/>
            </w:tblGrid>
            <w:tr>
              <w:tblPrEx>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499"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kern w:val="0"/>
                      <w:sz w:val="18"/>
                      <w:szCs w:val="18"/>
                      <w:highlight w:val="none"/>
                    </w:rPr>
                    <w:t>序号</w:t>
                  </w:r>
                </w:p>
              </w:tc>
              <w:tc>
                <w:tcPr>
                  <w:tcW w:w="1616"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kern w:val="0"/>
                      <w:sz w:val="18"/>
                      <w:szCs w:val="18"/>
                      <w:highlight w:val="none"/>
                    </w:rPr>
                    <w:t>设备名称</w:t>
                  </w:r>
                </w:p>
              </w:tc>
              <w:tc>
                <w:tcPr>
                  <w:tcW w:w="1434"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kern w:val="0"/>
                      <w:sz w:val="18"/>
                      <w:szCs w:val="18"/>
                      <w:highlight w:val="none"/>
                    </w:rPr>
                    <w:t>型号</w:t>
                  </w:r>
                </w:p>
              </w:tc>
              <w:tc>
                <w:tcPr>
                  <w:tcW w:w="888"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kern w:val="0"/>
                      <w:sz w:val="18"/>
                      <w:szCs w:val="18"/>
                      <w:highlight w:val="none"/>
                    </w:rPr>
                    <w:t>数量（台/套）</w:t>
                  </w:r>
                </w:p>
              </w:tc>
              <w:tc>
                <w:tcPr>
                  <w:tcW w:w="560"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kern w:val="0"/>
                      <w:sz w:val="18"/>
                      <w:szCs w:val="18"/>
                      <w:highlight w:val="none"/>
                    </w:rPr>
                    <w:t>备注</w:t>
                  </w:r>
                </w:p>
              </w:tc>
            </w:tr>
            <w:tr>
              <w:tblPrEx>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499"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1</w:t>
                  </w:r>
                </w:p>
              </w:tc>
              <w:tc>
                <w:tcPr>
                  <w:tcW w:w="1616" w:type="pct"/>
                  <w:tcBorders>
                    <w:tl2br w:val="nil"/>
                    <w:tr2bl w:val="nil"/>
                  </w:tcBorders>
                  <w:shd w:val="clear" w:color="auto" w:fill="auto"/>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激光切割机</w:t>
                  </w:r>
                </w:p>
              </w:tc>
              <w:tc>
                <w:tcPr>
                  <w:tcW w:w="1434"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3000瓦</w:t>
                  </w:r>
                </w:p>
              </w:tc>
              <w:tc>
                <w:tcPr>
                  <w:tcW w:w="888"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5</w:t>
                  </w:r>
                </w:p>
              </w:tc>
              <w:tc>
                <w:tcPr>
                  <w:tcW w:w="560"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w:t>
                  </w:r>
                </w:p>
              </w:tc>
            </w:tr>
            <w:tr>
              <w:tblPrEx>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499" w:type="pct"/>
                  <w:tcBorders>
                    <w:bottom w:val="single" w:color="auto" w:sz="4" w:space="0"/>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2</w:t>
                  </w:r>
                </w:p>
              </w:tc>
              <w:tc>
                <w:tcPr>
                  <w:tcW w:w="1616" w:type="pct"/>
                  <w:tcBorders>
                    <w:bottom w:val="single" w:color="auto" w:sz="4" w:space="0"/>
                    <w:tl2br w:val="nil"/>
                    <w:tr2bl w:val="nil"/>
                  </w:tcBorders>
                  <w:shd w:val="clear" w:color="auto" w:fill="auto"/>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数控折弯机</w:t>
                  </w:r>
                </w:p>
              </w:tc>
              <w:tc>
                <w:tcPr>
                  <w:tcW w:w="1434" w:type="pct"/>
                  <w:tcBorders>
                    <w:bottom w:val="single" w:color="auto" w:sz="4" w:space="0"/>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70T，2.5m</w:t>
                  </w:r>
                </w:p>
              </w:tc>
              <w:tc>
                <w:tcPr>
                  <w:tcW w:w="888" w:type="pct"/>
                  <w:tcBorders>
                    <w:bottom w:val="single" w:color="auto" w:sz="4" w:space="0"/>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10</w:t>
                  </w:r>
                </w:p>
              </w:tc>
              <w:tc>
                <w:tcPr>
                  <w:tcW w:w="560" w:type="pct"/>
                  <w:tcBorders>
                    <w:bottom w:val="single" w:color="auto" w:sz="4" w:space="0"/>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w:t>
                  </w:r>
                </w:p>
              </w:tc>
            </w:tr>
            <w:tr>
              <w:tblPrEx>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499" w:type="pct"/>
                  <w:tcBorders>
                    <w:top w:val="single" w:color="auto" w:sz="4" w:space="0"/>
                    <w:tl2br w:val="nil"/>
                    <w:tr2bl w:val="nil"/>
                  </w:tcBorders>
                  <w:shd w:val="clear" w:color="auto" w:fill="auto"/>
                  <w:vAlign w:val="center"/>
                </w:tcPr>
                <w:p>
                  <w:pPr>
                    <w:widowControl/>
                    <w:adjustRightInd w:val="0"/>
                    <w:snapToGrid w:val="0"/>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3</w:t>
                  </w:r>
                </w:p>
              </w:tc>
              <w:tc>
                <w:tcPr>
                  <w:tcW w:w="1616" w:type="pct"/>
                  <w:tcBorders>
                    <w:top w:val="single" w:color="auto" w:sz="4" w:space="0"/>
                    <w:tl2br w:val="nil"/>
                    <w:tr2bl w:val="nil"/>
                  </w:tcBorders>
                  <w:shd w:val="clear" w:color="auto" w:fill="auto"/>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氩弧焊机</w:t>
                  </w:r>
                </w:p>
              </w:tc>
              <w:tc>
                <w:tcPr>
                  <w:tcW w:w="1434" w:type="pct"/>
                  <w:tcBorders>
                    <w:top w:val="single" w:color="auto" w:sz="4" w:space="0"/>
                    <w:tl2br w:val="nil"/>
                    <w:tr2bl w:val="nil"/>
                  </w:tcBorders>
                  <w:shd w:val="clear" w:color="auto" w:fill="auto"/>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250A</w:t>
                  </w:r>
                </w:p>
              </w:tc>
              <w:tc>
                <w:tcPr>
                  <w:tcW w:w="888" w:type="pct"/>
                  <w:tcBorders>
                    <w:top w:val="single" w:color="auto" w:sz="4" w:space="0"/>
                    <w:tl2br w:val="nil"/>
                    <w:tr2bl w:val="nil"/>
                  </w:tcBorders>
                  <w:shd w:val="clear" w:color="auto" w:fill="auto"/>
                  <w:vAlign w:val="center"/>
                </w:tcPr>
                <w:p>
                  <w:pPr>
                    <w:widowControl/>
                    <w:adjustRightInd w:val="0"/>
                    <w:snapToGrid w:val="0"/>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10</w:t>
                  </w:r>
                </w:p>
              </w:tc>
              <w:tc>
                <w:tcPr>
                  <w:tcW w:w="560" w:type="pct"/>
                  <w:tcBorders>
                    <w:top w:val="single" w:color="auto" w:sz="4" w:space="0"/>
                    <w:tl2br w:val="nil"/>
                    <w:tr2bl w:val="nil"/>
                  </w:tcBorders>
                  <w:shd w:val="clear" w:color="auto" w:fill="auto"/>
                  <w:vAlign w:val="center"/>
                </w:tcPr>
                <w:p>
                  <w:pPr>
                    <w:widowControl/>
                    <w:adjustRightInd w:val="0"/>
                    <w:snapToGrid w:val="0"/>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w:t>
                  </w:r>
                </w:p>
              </w:tc>
            </w:tr>
            <w:tr>
              <w:tblPrEx>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499"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4</w:t>
                  </w:r>
                </w:p>
              </w:tc>
              <w:tc>
                <w:tcPr>
                  <w:tcW w:w="1616" w:type="pct"/>
                  <w:tcBorders>
                    <w:tl2br w:val="nil"/>
                    <w:tr2bl w:val="nil"/>
                  </w:tcBorders>
                  <w:shd w:val="clear" w:color="auto" w:fill="auto"/>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气保焊机</w:t>
                  </w:r>
                </w:p>
              </w:tc>
              <w:tc>
                <w:tcPr>
                  <w:tcW w:w="1434" w:type="pct"/>
                  <w:tcBorders>
                    <w:tl2br w:val="nil"/>
                    <w:tr2bl w:val="nil"/>
                  </w:tcBorders>
                  <w:shd w:val="clear" w:color="auto" w:fill="auto"/>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250A</w:t>
                  </w:r>
                </w:p>
              </w:tc>
              <w:tc>
                <w:tcPr>
                  <w:tcW w:w="888"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10</w:t>
                  </w:r>
                </w:p>
              </w:tc>
              <w:tc>
                <w:tcPr>
                  <w:tcW w:w="560"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w:t>
                  </w:r>
                </w:p>
              </w:tc>
            </w:tr>
            <w:tr>
              <w:tblPrEx>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499"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5</w:t>
                  </w:r>
                </w:p>
              </w:tc>
              <w:tc>
                <w:tcPr>
                  <w:tcW w:w="1616" w:type="pct"/>
                  <w:tcBorders>
                    <w:tl2br w:val="nil"/>
                    <w:tr2bl w:val="nil"/>
                  </w:tcBorders>
                  <w:shd w:val="clear" w:color="auto" w:fill="auto"/>
                  <w:vAlign w:val="center"/>
                </w:tcPr>
                <w:p>
                  <w:pPr>
                    <w:widowControl/>
                    <w:jc w:val="center"/>
                    <w:textAlignment w:val="center"/>
                    <w:rPr>
                      <w:rFonts w:ascii="Times New Roman" w:hAnsi="Times New Roman" w:eastAsia="宋体" w:cs="Times New Roman"/>
                      <w:color w:val="auto"/>
                      <w:sz w:val="18"/>
                      <w:szCs w:val="18"/>
                      <w:highlight w:val="none"/>
                    </w:rPr>
                  </w:pPr>
                  <w:r>
                    <w:rPr>
                      <w:rFonts w:hint="eastAsia" w:ascii="Times New Roman" w:hAnsi="Times New Roman" w:eastAsia="宋体" w:cs="Times New Roman"/>
                      <w:color w:val="auto"/>
                      <w:sz w:val="18"/>
                      <w:szCs w:val="18"/>
                      <w:highlight w:val="none"/>
                      <w:lang w:val="en-US" w:eastAsia="zh-CN"/>
                    </w:rPr>
                    <w:t>喷塑一体设备</w:t>
                  </w:r>
                </w:p>
              </w:tc>
              <w:tc>
                <w:tcPr>
                  <w:tcW w:w="1434"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L2500*W1000*H1600mm</w:t>
                  </w:r>
                </w:p>
              </w:tc>
              <w:tc>
                <w:tcPr>
                  <w:tcW w:w="888"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1</w:t>
                  </w:r>
                </w:p>
              </w:tc>
              <w:tc>
                <w:tcPr>
                  <w:tcW w:w="560"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w:t>
                  </w:r>
                </w:p>
              </w:tc>
            </w:tr>
            <w:tr>
              <w:tblPrEx>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499" w:type="pct"/>
                  <w:vMerge w:val="restart"/>
                  <w:tcBorders>
                    <w:tl2br w:val="nil"/>
                    <w:tr2bl w:val="nil"/>
                  </w:tcBorders>
                  <w:shd w:val="clear" w:color="auto" w:fill="auto"/>
                  <w:vAlign w:val="center"/>
                </w:tcPr>
                <w:p>
                  <w:pPr>
                    <w:widowControl/>
                    <w:adjustRightInd w:val="0"/>
                    <w:snapToGrid w:val="0"/>
                    <w:jc w:val="center"/>
                    <w:textAlignment w:val="center"/>
                    <w:rPr>
                      <w:rFonts w:hint="eastAsia" w:ascii="Times New Roman" w:hAnsi="Times New Roman" w:eastAsia="宋体" w:cs="Times New Roman"/>
                      <w:color w:val="auto"/>
                      <w:kern w:val="0"/>
                      <w:sz w:val="18"/>
                      <w:szCs w:val="18"/>
                      <w:highlight w:val="none"/>
                      <w:lang w:val="en-US" w:eastAsia="zh-CN"/>
                    </w:rPr>
                  </w:pPr>
                  <w:r>
                    <w:rPr>
                      <w:rFonts w:hint="eastAsia" w:ascii="Times New Roman" w:hAnsi="Times New Roman" w:eastAsia="宋体" w:cs="Times New Roman"/>
                      <w:color w:val="auto"/>
                      <w:kern w:val="0"/>
                      <w:sz w:val="18"/>
                      <w:szCs w:val="18"/>
                      <w:highlight w:val="none"/>
                      <w:lang w:val="en-US" w:eastAsia="zh-CN"/>
                    </w:rPr>
                    <w:t>6</w:t>
                  </w:r>
                </w:p>
              </w:tc>
              <w:tc>
                <w:tcPr>
                  <w:tcW w:w="1616" w:type="pct"/>
                  <w:vMerge w:val="restart"/>
                  <w:tcBorders>
                    <w:tl2br w:val="nil"/>
                    <w:tr2bl w:val="nil"/>
                  </w:tcBorders>
                  <w:shd w:val="clear" w:color="auto" w:fill="auto"/>
                  <w:vAlign w:val="center"/>
                </w:tcPr>
                <w:p>
                  <w:pPr>
                    <w:widowControl/>
                    <w:jc w:val="center"/>
                    <w:textAlignment w:val="center"/>
                    <w:rPr>
                      <w:rFonts w:hint="default" w:ascii="Times New Roman" w:hAnsi="Times New Roman" w:eastAsia="宋体" w:cs="Times New Roman"/>
                      <w:color w:val="auto"/>
                      <w:sz w:val="18"/>
                      <w:szCs w:val="18"/>
                      <w:highlight w:val="none"/>
                      <w:lang w:val="en-US" w:eastAsia="zh-CN"/>
                    </w:rPr>
                  </w:pPr>
                  <w:r>
                    <w:rPr>
                      <w:rFonts w:hint="eastAsia" w:ascii="Times New Roman" w:hAnsi="Times New Roman" w:eastAsia="宋体" w:cs="Times New Roman"/>
                      <w:color w:val="auto"/>
                      <w:sz w:val="18"/>
                      <w:szCs w:val="18"/>
                      <w:highlight w:val="none"/>
                      <w:lang w:val="en-US" w:eastAsia="zh-CN"/>
                    </w:rPr>
                    <w:t>固化一体设备</w:t>
                  </w:r>
                </w:p>
              </w:tc>
              <w:tc>
                <w:tcPr>
                  <w:tcW w:w="1434" w:type="pct"/>
                  <w:tcBorders>
                    <w:tl2br w:val="nil"/>
                    <w:tr2bl w:val="nil"/>
                  </w:tcBorders>
                  <w:shd w:val="clear" w:color="auto" w:fill="auto"/>
                  <w:vAlign w:val="center"/>
                </w:tcPr>
                <w:p>
                  <w:pPr>
                    <w:widowControl/>
                    <w:adjustRightInd w:val="0"/>
                    <w:snapToGrid w:val="0"/>
                    <w:jc w:val="center"/>
                    <w:textAlignment w:val="center"/>
                    <w:rPr>
                      <w:rFonts w:hint="eastAsia" w:ascii="Times New Roman" w:hAnsi="Times New Roman" w:eastAsia="宋体" w:cs="Times New Roman"/>
                      <w:color w:val="auto"/>
                      <w:sz w:val="18"/>
                      <w:szCs w:val="18"/>
                      <w:highlight w:val="none"/>
                      <w:lang w:val="en-US" w:eastAsia="zh-CN"/>
                    </w:rPr>
                  </w:pPr>
                  <w:r>
                    <w:rPr>
                      <w:rFonts w:ascii="Times New Roman" w:hAnsi="Times New Roman" w:eastAsia="宋体" w:cs="Times New Roman"/>
                      <w:color w:val="auto"/>
                      <w:sz w:val="18"/>
                      <w:szCs w:val="18"/>
                      <w:highlight w:val="none"/>
                    </w:rPr>
                    <w:t>L</w:t>
                  </w:r>
                  <w:r>
                    <w:rPr>
                      <w:rFonts w:hint="eastAsia" w:ascii="Times New Roman" w:hAnsi="Times New Roman" w:eastAsia="宋体" w:cs="Times New Roman"/>
                      <w:color w:val="auto"/>
                      <w:sz w:val="18"/>
                      <w:szCs w:val="18"/>
                      <w:highlight w:val="none"/>
                      <w:lang w:val="en-US" w:eastAsia="zh-CN"/>
                    </w:rPr>
                    <w:t>32m</w:t>
                  </w:r>
                  <w:r>
                    <w:rPr>
                      <w:rFonts w:ascii="Times New Roman" w:hAnsi="Times New Roman" w:eastAsia="宋体" w:cs="Times New Roman"/>
                      <w:color w:val="auto"/>
                      <w:sz w:val="18"/>
                      <w:szCs w:val="18"/>
                      <w:highlight w:val="none"/>
                    </w:rPr>
                    <w:t>*W</w:t>
                  </w:r>
                  <w:r>
                    <w:rPr>
                      <w:rFonts w:hint="eastAsia" w:ascii="Times New Roman" w:hAnsi="Times New Roman" w:eastAsia="宋体" w:cs="Times New Roman"/>
                      <w:color w:val="auto"/>
                      <w:sz w:val="18"/>
                      <w:szCs w:val="18"/>
                      <w:highlight w:val="none"/>
                      <w:lang w:val="en-US" w:eastAsia="zh-CN"/>
                    </w:rPr>
                    <w:t>3.4m</w:t>
                  </w:r>
                  <w:r>
                    <w:rPr>
                      <w:rFonts w:ascii="Times New Roman" w:hAnsi="Times New Roman" w:eastAsia="宋体" w:cs="Times New Roman"/>
                      <w:color w:val="auto"/>
                      <w:sz w:val="18"/>
                      <w:szCs w:val="18"/>
                      <w:highlight w:val="none"/>
                    </w:rPr>
                    <w:t>*H</w:t>
                  </w:r>
                  <w:r>
                    <w:rPr>
                      <w:rFonts w:hint="eastAsia" w:ascii="Times New Roman" w:hAnsi="Times New Roman" w:eastAsia="宋体" w:cs="Times New Roman"/>
                      <w:color w:val="auto"/>
                      <w:sz w:val="18"/>
                      <w:szCs w:val="18"/>
                      <w:highlight w:val="none"/>
                      <w:lang w:val="en-US" w:eastAsia="zh-CN"/>
                    </w:rPr>
                    <w:t>3.9</w:t>
                  </w:r>
                  <w:r>
                    <w:rPr>
                      <w:rFonts w:ascii="Times New Roman" w:hAnsi="Times New Roman" w:eastAsia="宋体" w:cs="Times New Roman"/>
                      <w:color w:val="auto"/>
                      <w:sz w:val="18"/>
                      <w:szCs w:val="18"/>
                      <w:highlight w:val="none"/>
                    </w:rPr>
                    <w:t>m</w:t>
                  </w:r>
                </w:p>
              </w:tc>
              <w:tc>
                <w:tcPr>
                  <w:tcW w:w="888" w:type="pct"/>
                  <w:tcBorders>
                    <w:tl2br w:val="nil"/>
                    <w:tr2bl w:val="nil"/>
                  </w:tcBorders>
                  <w:shd w:val="clear" w:color="auto" w:fill="auto"/>
                  <w:vAlign w:val="center"/>
                </w:tcPr>
                <w:p>
                  <w:pPr>
                    <w:widowControl/>
                    <w:adjustRightInd w:val="0"/>
                    <w:snapToGrid w:val="0"/>
                    <w:jc w:val="center"/>
                    <w:textAlignment w:val="center"/>
                    <w:rPr>
                      <w:rFonts w:hint="eastAsia" w:ascii="Times New Roman" w:hAnsi="Times New Roman" w:eastAsia="宋体" w:cs="Times New Roman"/>
                      <w:color w:val="auto"/>
                      <w:kern w:val="0"/>
                      <w:sz w:val="18"/>
                      <w:szCs w:val="18"/>
                      <w:highlight w:val="none"/>
                      <w:lang w:val="en-US" w:eastAsia="zh-CN"/>
                    </w:rPr>
                  </w:pPr>
                  <w:r>
                    <w:rPr>
                      <w:rFonts w:hint="eastAsia" w:ascii="Times New Roman" w:hAnsi="Times New Roman" w:eastAsia="宋体" w:cs="Times New Roman"/>
                      <w:color w:val="auto"/>
                      <w:kern w:val="0"/>
                      <w:sz w:val="18"/>
                      <w:szCs w:val="18"/>
                      <w:highlight w:val="none"/>
                      <w:lang w:val="en-US" w:eastAsia="zh-CN"/>
                    </w:rPr>
                    <w:t>1</w:t>
                  </w:r>
                </w:p>
              </w:tc>
              <w:tc>
                <w:tcPr>
                  <w:tcW w:w="560" w:type="pct"/>
                  <w:vMerge w:val="restar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w:t>
                  </w:r>
                </w:p>
              </w:tc>
            </w:tr>
            <w:tr>
              <w:tblPrEx>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499" w:type="pct"/>
                  <w:vMerge w:val="continue"/>
                  <w:tcBorders>
                    <w:tl2br w:val="nil"/>
                    <w:tr2bl w:val="nil"/>
                  </w:tcBorders>
                  <w:shd w:val="clear" w:color="auto" w:fill="auto"/>
                  <w:vAlign w:val="center"/>
                </w:tcPr>
                <w:p>
                  <w:pPr>
                    <w:widowControl/>
                    <w:adjustRightInd w:val="0"/>
                    <w:snapToGrid w:val="0"/>
                    <w:jc w:val="center"/>
                    <w:textAlignment w:val="center"/>
                    <w:rPr>
                      <w:color w:val="auto"/>
                      <w:highlight w:val="none"/>
                    </w:rPr>
                  </w:pPr>
                </w:p>
              </w:tc>
              <w:tc>
                <w:tcPr>
                  <w:tcW w:w="1616" w:type="pct"/>
                  <w:vMerge w:val="continue"/>
                  <w:tcBorders>
                    <w:tl2br w:val="nil"/>
                    <w:tr2bl w:val="nil"/>
                  </w:tcBorders>
                  <w:shd w:val="clear" w:color="auto" w:fill="auto"/>
                  <w:vAlign w:val="center"/>
                </w:tcPr>
                <w:p>
                  <w:pPr>
                    <w:widowControl/>
                    <w:adjustRightInd w:val="0"/>
                    <w:snapToGrid w:val="0"/>
                    <w:jc w:val="center"/>
                    <w:textAlignment w:val="center"/>
                    <w:rPr>
                      <w:color w:val="auto"/>
                      <w:highlight w:val="none"/>
                    </w:rPr>
                  </w:pPr>
                </w:p>
              </w:tc>
              <w:tc>
                <w:tcPr>
                  <w:tcW w:w="1434"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L</w:t>
                  </w:r>
                  <w:r>
                    <w:rPr>
                      <w:rFonts w:hint="eastAsia" w:ascii="Times New Roman" w:hAnsi="Times New Roman" w:eastAsia="宋体" w:cs="Times New Roman"/>
                      <w:color w:val="auto"/>
                      <w:sz w:val="18"/>
                      <w:szCs w:val="18"/>
                      <w:highlight w:val="none"/>
                      <w:lang w:val="en-US" w:eastAsia="zh-CN"/>
                    </w:rPr>
                    <w:t>6m</w:t>
                  </w:r>
                  <w:r>
                    <w:rPr>
                      <w:rFonts w:ascii="Times New Roman" w:hAnsi="Times New Roman" w:eastAsia="宋体" w:cs="Times New Roman"/>
                      <w:color w:val="auto"/>
                      <w:sz w:val="18"/>
                      <w:szCs w:val="18"/>
                      <w:highlight w:val="none"/>
                    </w:rPr>
                    <w:t>*W</w:t>
                  </w:r>
                  <w:r>
                    <w:rPr>
                      <w:rFonts w:hint="eastAsia" w:ascii="Times New Roman" w:hAnsi="Times New Roman" w:eastAsia="宋体" w:cs="Times New Roman"/>
                      <w:color w:val="auto"/>
                      <w:sz w:val="18"/>
                      <w:szCs w:val="18"/>
                      <w:highlight w:val="none"/>
                      <w:lang w:val="en-US" w:eastAsia="zh-CN"/>
                    </w:rPr>
                    <w:t>2.5m</w:t>
                  </w:r>
                  <w:r>
                    <w:rPr>
                      <w:rFonts w:ascii="Times New Roman" w:hAnsi="Times New Roman" w:eastAsia="宋体" w:cs="Times New Roman"/>
                      <w:color w:val="auto"/>
                      <w:sz w:val="18"/>
                      <w:szCs w:val="18"/>
                      <w:highlight w:val="none"/>
                    </w:rPr>
                    <w:t>*H</w:t>
                  </w:r>
                  <w:r>
                    <w:rPr>
                      <w:rFonts w:hint="eastAsia" w:ascii="Times New Roman" w:hAnsi="Times New Roman" w:eastAsia="宋体" w:cs="Times New Roman"/>
                      <w:color w:val="auto"/>
                      <w:sz w:val="18"/>
                      <w:szCs w:val="18"/>
                      <w:highlight w:val="none"/>
                      <w:lang w:val="en-US" w:eastAsia="zh-CN"/>
                    </w:rPr>
                    <w:t>3</w:t>
                  </w:r>
                  <w:r>
                    <w:rPr>
                      <w:rFonts w:ascii="Times New Roman" w:hAnsi="Times New Roman" w:eastAsia="宋体" w:cs="Times New Roman"/>
                      <w:color w:val="auto"/>
                      <w:sz w:val="18"/>
                      <w:szCs w:val="18"/>
                      <w:highlight w:val="none"/>
                    </w:rPr>
                    <w:t>m</w:t>
                  </w:r>
                </w:p>
              </w:tc>
              <w:tc>
                <w:tcPr>
                  <w:tcW w:w="888" w:type="pct"/>
                  <w:tcBorders>
                    <w:tl2br w:val="nil"/>
                    <w:tr2bl w:val="nil"/>
                  </w:tcBorders>
                  <w:shd w:val="clear" w:color="auto" w:fill="auto"/>
                  <w:vAlign w:val="center"/>
                </w:tcPr>
                <w:p>
                  <w:pPr>
                    <w:widowControl/>
                    <w:adjustRightInd w:val="0"/>
                    <w:snapToGrid w:val="0"/>
                    <w:jc w:val="center"/>
                    <w:textAlignment w:val="center"/>
                    <w:rPr>
                      <w:rFonts w:hint="eastAsia" w:ascii="Times New Roman" w:hAnsi="Times New Roman" w:eastAsia="宋体" w:cs="Times New Roman"/>
                      <w:color w:val="auto"/>
                      <w:sz w:val="18"/>
                      <w:szCs w:val="18"/>
                      <w:highlight w:val="none"/>
                      <w:lang w:val="en-US" w:eastAsia="zh-CN"/>
                    </w:rPr>
                  </w:pPr>
                  <w:r>
                    <w:rPr>
                      <w:rFonts w:hint="eastAsia" w:ascii="Times New Roman" w:hAnsi="Times New Roman" w:eastAsia="宋体" w:cs="Times New Roman"/>
                      <w:color w:val="auto"/>
                      <w:sz w:val="18"/>
                      <w:szCs w:val="18"/>
                      <w:highlight w:val="none"/>
                      <w:lang w:val="en-US" w:eastAsia="zh-CN"/>
                    </w:rPr>
                    <w:t>2</w:t>
                  </w:r>
                </w:p>
              </w:tc>
              <w:tc>
                <w:tcPr>
                  <w:tcW w:w="560" w:type="pct"/>
                  <w:vMerge w:val="continue"/>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p>
              </w:tc>
            </w:tr>
          </w:tbl>
          <w:p>
            <w:pPr>
              <w:spacing w:line="360" w:lineRule="auto"/>
              <w:ind w:firstLine="482" w:firstLineChars="200"/>
              <w:jc w:val="left"/>
              <w:rPr>
                <w:rFonts w:ascii="Times New Roman" w:hAnsi="Times New Roman" w:eastAsia="宋体" w:cs="Times New Roman"/>
                <w:b/>
                <w:bCs/>
                <w:color w:val="auto"/>
                <w:sz w:val="24"/>
                <w:szCs w:val="24"/>
                <w:highlight w:val="none"/>
              </w:rPr>
            </w:pPr>
            <w:r>
              <w:rPr>
                <w:rFonts w:ascii="Times New Roman" w:hAnsi="Times New Roman" w:eastAsia="宋体" w:cs="Times New Roman"/>
                <w:b/>
                <w:bCs/>
                <w:color w:val="auto"/>
                <w:sz w:val="24"/>
                <w:szCs w:val="24"/>
                <w:highlight w:val="none"/>
              </w:rPr>
              <w:t>5、主要原辅材料</w:t>
            </w:r>
          </w:p>
          <w:p>
            <w:pPr>
              <w:adjustRightInd w:val="0"/>
              <w:spacing w:line="324" w:lineRule="auto"/>
              <w:jc w:val="center"/>
              <w:rPr>
                <w:rFonts w:ascii="Times New Roman" w:hAnsi="Times New Roman" w:eastAsia="黑体" w:cs="Times New Roman"/>
                <w:color w:val="auto"/>
                <w:sz w:val="24"/>
                <w:highlight w:val="none"/>
              </w:rPr>
            </w:pPr>
            <w:r>
              <w:rPr>
                <w:rFonts w:ascii="Times New Roman" w:hAnsi="Times New Roman" w:eastAsia="黑体" w:cs="Times New Roman"/>
                <w:color w:val="auto"/>
                <w:sz w:val="24"/>
                <w:highlight w:val="none"/>
              </w:rPr>
              <w:t>表2-5 项目原辅材料及能源消耗一览表</w:t>
            </w:r>
          </w:p>
          <w:tbl>
            <w:tblPr>
              <w:tblStyle w:val="18"/>
              <w:tblW w:w="8328" w:type="dxa"/>
              <w:tblInd w:w="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8"/>
              <w:gridCol w:w="1162"/>
              <w:gridCol w:w="925"/>
              <w:gridCol w:w="925"/>
              <w:gridCol w:w="925"/>
              <w:gridCol w:w="925"/>
              <w:gridCol w:w="926"/>
              <w:gridCol w:w="926"/>
              <w:gridCol w:w="92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688" w:type="dxa"/>
                  <w:tcBorders>
                    <w:top w:val="single" w:color="auto" w:sz="8" w:space="0"/>
                    <w:left w:val="nil"/>
                  </w:tcBorders>
                  <w:vAlign w:val="center"/>
                </w:tcPr>
                <w:p>
                  <w:pPr>
                    <w:pStyle w:val="85"/>
                    <w:snapToGrid w:val="0"/>
                    <w:spacing w:line="240" w:lineRule="auto"/>
                    <w:rPr>
                      <w:rFonts w:ascii="Times New Roman" w:hAnsi="Times New Roman" w:cs="Times New Roman"/>
                      <w:b/>
                      <w:bCs/>
                      <w:color w:val="auto"/>
                      <w:sz w:val="18"/>
                      <w:szCs w:val="18"/>
                      <w:highlight w:val="none"/>
                    </w:rPr>
                  </w:pPr>
                  <w:r>
                    <w:rPr>
                      <w:rFonts w:ascii="Times New Roman" w:hAnsi="Times New Roman" w:cs="Times New Roman"/>
                      <w:b/>
                      <w:bCs/>
                      <w:color w:val="auto"/>
                      <w:sz w:val="18"/>
                      <w:szCs w:val="18"/>
                      <w:highlight w:val="none"/>
                    </w:rPr>
                    <w:t>序号</w:t>
                  </w:r>
                </w:p>
              </w:tc>
              <w:tc>
                <w:tcPr>
                  <w:tcW w:w="1162" w:type="dxa"/>
                  <w:tcBorders>
                    <w:top w:val="single" w:color="auto" w:sz="8" w:space="0"/>
                  </w:tcBorders>
                  <w:vAlign w:val="center"/>
                </w:tcPr>
                <w:p>
                  <w:pPr>
                    <w:pStyle w:val="85"/>
                    <w:snapToGrid w:val="0"/>
                    <w:spacing w:line="240" w:lineRule="auto"/>
                    <w:rPr>
                      <w:rFonts w:ascii="Times New Roman" w:hAnsi="Times New Roman" w:cs="Times New Roman"/>
                      <w:b/>
                      <w:bCs/>
                      <w:color w:val="auto"/>
                      <w:sz w:val="18"/>
                      <w:szCs w:val="18"/>
                      <w:highlight w:val="none"/>
                    </w:rPr>
                  </w:pPr>
                  <w:r>
                    <w:rPr>
                      <w:rFonts w:ascii="Times New Roman" w:hAnsi="Times New Roman" w:cs="Times New Roman"/>
                      <w:b/>
                      <w:bCs/>
                      <w:color w:val="auto"/>
                      <w:sz w:val="18"/>
                      <w:szCs w:val="18"/>
                      <w:highlight w:val="none"/>
                    </w:rPr>
                    <w:t>名称</w:t>
                  </w:r>
                </w:p>
              </w:tc>
              <w:tc>
                <w:tcPr>
                  <w:tcW w:w="925" w:type="dxa"/>
                  <w:tcBorders>
                    <w:top w:val="single" w:color="auto" w:sz="8" w:space="0"/>
                  </w:tcBorders>
                  <w:vAlign w:val="center"/>
                </w:tcPr>
                <w:p>
                  <w:pPr>
                    <w:adjustRightInd w:val="0"/>
                    <w:snapToGrid w:val="0"/>
                    <w:jc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sz w:val="18"/>
                      <w:szCs w:val="18"/>
                      <w:highlight w:val="none"/>
                    </w:rPr>
                    <w:t>规格</w:t>
                  </w:r>
                </w:p>
              </w:tc>
              <w:tc>
                <w:tcPr>
                  <w:tcW w:w="925" w:type="dxa"/>
                  <w:tcBorders>
                    <w:top w:val="single" w:color="auto" w:sz="8" w:space="0"/>
                  </w:tcBorders>
                  <w:vAlign w:val="center"/>
                </w:tcPr>
                <w:p>
                  <w:pPr>
                    <w:adjustRightInd w:val="0"/>
                    <w:snapToGrid w:val="0"/>
                    <w:jc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sz w:val="18"/>
                      <w:szCs w:val="18"/>
                      <w:highlight w:val="none"/>
                    </w:rPr>
                    <w:t>单位</w:t>
                  </w:r>
                </w:p>
              </w:tc>
              <w:tc>
                <w:tcPr>
                  <w:tcW w:w="925" w:type="dxa"/>
                  <w:tcBorders>
                    <w:top w:val="single" w:color="auto" w:sz="8" w:space="0"/>
                  </w:tcBorders>
                  <w:vAlign w:val="center"/>
                </w:tcPr>
                <w:p>
                  <w:pPr>
                    <w:adjustRightInd w:val="0"/>
                    <w:snapToGrid w:val="0"/>
                    <w:jc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sz w:val="18"/>
                      <w:szCs w:val="18"/>
                      <w:highlight w:val="none"/>
                    </w:rPr>
                    <w:t>消耗量</w:t>
                  </w:r>
                </w:p>
              </w:tc>
              <w:tc>
                <w:tcPr>
                  <w:tcW w:w="925" w:type="dxa"/>
                  <w:tcBorders>
                    <w:top w:val="single" w:color="auto" w:sz="8" w:space="0"/>
                  </w:tcBorders>
                  <w:vAlign w:val="center"/>
                </w:tcPr>
                <w:p>
                  <w:pPr>
                    <w:pStyle w:val="85"/>
                    <w:snapToGrid w:val="0"/>
                    <w:spacing w:line="240" w:lineRule="auto"/>
                    <w:rPr>
                      <w:rFonts w:ascii="Times New Roman" w:hAnsi="Times New Roman" w:cs="Times New Roman"/>
                      <w:b/>
                      <w:bCs/>
                      <w:color w:val="auto"/>
                      <w:sz w:val="18"/>
                      <w:szCs w:val="18"/>
                      <w:highlight w:val="none"/>
                    </w:rPr>
                  </w:pPr>
                  <w:r>
                    <w:rPr>
                      <w:rFonts w:ascii="Times New Roman" w:hAnsi="Times New Roman" w:cs="Times New Roman"/>
                      <w:b/>
                      <w:bCs/>
                      <w:color w:val="auto"/>
                      <w:sz w:val="18"/>
                      <w:szCs w:val="18"/>
                      <w:highlight w:val="none"/>
                    </w:rPr>
                    <w:t>性状</w:t>
                  </w:r>
                </w:p>
              </w:tc>
              <w:tc>
                <w:tcPr>
                  <w:tcW w:w="926" w:type="dxa"/>
                  <w:tcBorders>
                    <w:top w:val="single" w:color="auto" w:sz="8" w:space="0"/>
                  </w:tcBorders>
                  <w:vAlign w:val="center"/>
                </w:tcPr>
                <w:p>
                  <w:pPr>
                    <w:pStyle w:val="85"/>
                    <w:snapToGrid w:val="0"/>
                    <w:spacing w:line="240" w:lineRule="auto"/>
                    <w:rPr>
                      <w:rFonts w:ascii="Times New Roman" w:hAnsi="Times New Roman" w:cs="Times New Roman"/>
                      <w:b/>
                      <w:bCs/>
                      <w:color w:val="auto"/>
                      <w:sz w:val="18"/>
                      <w:szCs w:val="18"/>
                      <w:highlight w:val="none"/>
                    </w:rPr>
                  </w:pPr>
                  <w:r>
                    <w:rPr>
                      <w:rFonts w:ascii="Times New Roman" w:hAnsi="Times New Roman" w:cs="Times New Roman"/>
                      <w:b/>
                      <w:bCs/>
                      <w:color w:val="auto"/>
                      <w:sz w:val="18"/>
                      <w:szCs w:val="18"/>
                      <w:highlight w:val="none"/>
                    </w:rPr>
                    <w:t>最大储量</w:t>
                  </w:r>
                </w:p>
              </w:tc>
              <w:tc>
                <w:tcPr>
                  <w:tcW w:w="926" w:type="dxa"/>
                  <w:tcBorders>
                    <w:top w:val="single" w:color="auto" w:sz="8" w:space="0"/>
                  </w:tcBorders>
                  <w:vAlign w:val="center"/>
                </w:tcPr>
                <w:p>
                  <w:pPr>
                    <w:pStyle w:val="85"/>
                    <w:snapToGrid w:val="0"/>
                    <w:spacing w:line="240" w:lineRule="auto"/>
                    <w:rPr>
                      <w:rFonts w:ascii="Times New Roman" w:hAnsi="Times New Roman" w:cs="Times New Roman"/>
                      <w:b/>
                      <w:bCs/>
                      <w:color w:val="auto"/>
                      <w:sz w:val="18"/>
                      <w:szCs w:val="18"/>
                      <w:highlight w:val="none"/>
                    </w:rPr>
                  </w:pPr>
                  <w:r>
                    <w:rPr>
                      <w:rFonts w:ascii="Times New Roman" w:hAnsi="Times New Roman" w:cs="Times New Roman"/>
                      <w:b/>
                      <w:bCs/>
                      <w:color w:val="auto"/>
                      <w:sz w:val="18"/>
                      <w:szCs w:val="18"/>
                      <w:highlight w:val="none"/>
                    </w:rPr>
                    <w:t>存储周期</w:t>
                  </w:r>
                </w:p>
              </w:tc>
              <w:tc>
                <w:tcPr>
                  <w:tcW w:w="926" w:type="dxa"/>
                  <w:tcBorders>
                    <w:top w:val="single" w:color="auto" w:sz="8" w:space="0"/>
                    <w:right w:val="nil"/>
                  </w:tcBorders>
                  <w:vAlign w:val="center"/>
                </w:tcPr>
                <w:p>
                  <w:pPr>
                    <w:pStyle w:val="85"/>
                    <w:snapToGrid w:val="0"/>
                    <w:spacing w:line="240" w:lineRule="auto"/>
                    <w:rPr>
                      <w:rFonts w:ascii="Times New Roman" w:hAnsi="Times New Roman" w:cs="Times New Roman"/>
                      <w:b/>
                      <w:bCs/>
                      <w:color w:val="auto"/>
                      <w:sz w:val="18"/>
                      <w:szCs w:val="18"/>
                      <w:highlight w:val="none"/>
                    </w:rPr>
                  </w:pPr>
                  <w:r>
                    <w:rPr>
                      <w:rFonts w:ascii="Times New Roman" w:hAnsi="Times New Roman" w:cs="Times New Roman"/>
                      <w:b/>
                      <w:bCs/>
                      <w:color w:val="auto"/>
                      <w:sz w:val="18"/>
                      <w:szCs w:val="18"/>
                      <w:highlight w:val="none"/>
                    </w:rPr>
                    <w:t>存储位置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8328" w:type="dxa"/>
                  <w:gridSpan w:val="9"/>
                  <w:tcBorders>
                    <w:left w:val="nil"/>
                    <w:right w:val="nil"/>
                  </w:tcBorders>
                  <w:vAlign w:val="center"/>
                </w:tcPr>
                <w:p>
                  <w:pPr>
                    <w:pStyle w:val="85"/>
                    <w:snapToGrid w:val="0"/>
                    <w:spacing w:line="240" w:lineRule="auto"/>
                    <w:rPr>
                      <w:rFonts w:ascii="Times New Roman" w:hAnsi="Times New Roman" w:cs="Times New Roman"/>
                      <w:color w:val="auto"/>
                      <w:sz w:val="18"/>
                      <w:szCs w:val="18"/>
                      <w:highlight w:val="none"/>
                    </w:rPr>
                  </w:pPr>
                  <w:r>
                    <w:rPr>
                      <w:rFonts w:ascii="Times New Roman" w:hAnsi="Times New Roman" w:cs="Times New Roman"/>
                      <w:color w:val="auto"/>
                      <w:sz w:val="18"/>
                      <w:szCs w:val="18"/>
                      <w:highlight w:val="none"/>
                    </w:rPr>
                    <w:t>自动售货机及智能垃圾分类箱生产线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688" w:type="dxa"/>
                  <w:tcBorders>
                    <w:left w:val="nil"/>
                  </w:tcBorders>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1</w:t>
                  </w:r>
                </w:p>
              </w:tc>
              <w:tc>
                <w:tcPr>
                  <w:tcW w:w="1162" w:type="dxa"/>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钢板</w:t>
                  </w:r>
                </w:p>
              </w:tc>
              <w:tc>
                <w:tcPr>
                  <w:tcW w:w="925" w:type="dxa"/>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w:t>
                  </w:r>
                </w:p>
              </w:tc>
              <w:tc>
                <w:tcPr>
                  <w:tcW w:w="925" w:type="dxa"/>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t/a</w:t>
                  </w:r>
                </w:p>
              </w:tc>
              <w:tc>
                <w:tcPr>
                  <w:tcW w:w="925" w:type="dxa"/>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1000</w:t>
                  </w:r>
                </w:p>
              </w:tc>
              <w:tc>
                <w:tcPr>
                  <w:tcW w:w="925" w:type="dxa"/>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固体</w:t>
                  </w:r>
                </w:p>
              </w:tc>
              <w:tc>
                <w:tcPr>
                  <w:tcW w:w="926" w:type="dxa"/>
                  <w:vAlign w:val="center"/>
                </w:tcPr>
                <w:p>
                  <w:pPr>
                    <w:widowControl/>
                    <w:jc w:val="center"/>
                    <w:textAlignment w:val="center"/>
                    <w:rPr>
                      <w:rFonts w:hint="eastAsia" w:ascii="Times New Roman" w:hAnsi="Times New Roman" w:eastAsia="宋体" w:cs="Times New Roman"/>
                      <w:color w:val="auto"/>
                      <w:sz w:val="18"/>
                      <w:szCs w:val="18"/>
                      <w:highlight w:val="none"/>
                      <w:lang w:val="en-US" w:eastAsia="zh-CN"/>
                    </w:rPr>
                  </w:pPr>
                  <w:r>
                    <w:rPr>
                      <w:rFonts w:ascii="Times New Roman" w:hAnsi="Times New Roman" w:eastAsia="宋体" w:cs="Times New Roman"/>
                      <w:color w:val="auto"/>
                      <w:sz w:val="18"/>
                      <w:szCs w:val="18"/>
                      <w:highlight w:val="none"/>
                    </w:rPr>
                    <w:t>40</w:t>
                  </w:r>
                  <w:r>
                    <w:rPr>
                      <w:rFonts w:hint="eastAsia" w:ascii="Times New Roman" w:hAnsi="Times New Roman" w:eastAsia="宋体" w:cs="Times New Roman"/>
                      <w:color w:val="auto"/>
                      <w:sz w:val="18"/>
                      <w:szCs w:val="18"/>
                      <w:highlight w:val="none"/>
                      <w:lang w:val="en-US" w:eastAsia="zh-CN"/>
                    </w:rPr>
                    <w:t>t</w:t>
                  </w:r>
                </w:p>
              </w:tc>
              <w:tc>
                <w:tcPr>
                  <w:tcW w:w="926" w:type="dxa"/>
                  <w:vAlign w:val="center"/>
                </w:tcPr>
                <w:p>
                  <w:pPr>
                    <w:widowControl/>
                    <w:jc w:val="center"/>
                    <w:textAlignment w:val="center"/>
                    <w:rPr>
                      <w:rFonts w:ascii="Times New Roman" w:hAnsi="Times New Roman" w:eastAsia="宋体" w:cs="Times New Roman"/>
                      <w:color w:val="auto"/>
                      <w:sz w:val="18"/>
                      <w:szCs w:val="18"/>
                      <w:highlight w:val="none"/>
                    </w:rPr>
                  </w:pPr>
                  <w:r>
                    <w:rPr>
                      <w:rFonts w:hint="eastAsia" w:ascii="Times New Roman" w:hAnsi="Times New Roman" w:eastAsia="宋体" w:cs="Times New Roman"/>
                      <w:color w:val="auto"/>
                      <w:sz w:val="18"/>
                      <w:szCs w:val="18"/>
                      <w:highlight w:val="none"/>
                      <w:lang w:val="en-US" w:eastAsia="zh-CN"/>
                    </w:rPr>
                    <w:t>半</w:t>
                  </w:r>
                  <w:r>
                    <w:rPr>
                      <w:rFonts w:ascii="Times New Roman" w:hAnsi="Times New Roman" w:eastAsia="宋体" w:cs="Times New Roman"/>
                      <w:color w:val="auto"/>
                      <w:sz w:val="18"/>
                      <w:szCs w:val="18"/>
                      <w:highlight w:val="none"/>
                    </w:rPr>
                    <w:t>个月</w:t>
                  </w:r>
                </w:p>
              </w:tc>
              <w:tc>
                <w:tcPr>
                  <w:tcW w:w="926" w:type="dxa"/>
                  <w:tcBorders>
                    <w:right w:val="nil"/>
                  </w:tcBorders>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原料区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688" w:type="dxa"/>
                  <w:tcBorders>
                    <w:left w:val="nil"/>
                  </w:tcBorders>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2</w:t>
                  </w:r>
                </w:p>
              </w:tc>
              <w:tc>
                <w:tcPr>
                  <w:tcW w:w="1162" w:type="dxa"/>
                  <w:vAlign w:val="center"/>
                </w:tcPr>
                <w:p>
                  <w:pPr>
                    <w:widowControl/>
                    <w:jc w:val="center"/>
                    <w:textAlignment w:val="center"/>
                    <w:rPr>
                      <w:rFonts w:ascii="Times New Roman" w:hAnsi="Times New Roman" w:eastAsia="宋体" w:cs="Times New Roman"/>
                      <w:color w:val="auto"/>
                      <w:sz w:val="18"/>
                      <w:szCs w:val="18"/>
                      <w:highlight w:val="none"/>
                    </w:rPr>
                  </w:pPr>
                  <w:r>
                    <w:rPr>
                      <w:rFonts w:hint="eastAsia" w:ascii="Times New Roman" w:hAnsi="Times New Roman" w:eastAsia="宋体" w:cs="Times New Roman"/>
                      <w:color w:val="auto"/>
                      <w:sz w:val="18"/>
                      <w:szCs w:val="18"/>
                      <w:highlight w:val="none"/>
                      <w:lang w:val="en-US" w:eastAsia="zh-CN"/>
                    </w:rPr>
                    <w:t>无铅</w:t>
                  </w:r>
                  <w:r>
                    <w:rPr>
                      <w:rFonts w:ascii="Times New Roman" w:hAnsi="Times New Roman" w:eastAsia="宋体" w:cs="Times New Roman"/>
                      <w:color w:val="auto"/>
                      <w:sz w:val="18"/>
                      <w:szCs w:val="18"/>
                      <w:highlight w:val="none"/>
                    </w:rPr>
                    <w:t>焊丝</w:t>
                  </w:r>
                </w:p>
              </w:tc>
              <w:tc>
                <w:tcPr>
                  <w:tcW w:w="925" w:type="dxa"/>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15kg/盘</w:t>
                  </w:r>
                </w:p>
              </w:tc>
              <w:tc>
                <w:tcPr>
                  <w:tcW w:w="925" w:type="dxa"/>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t/a</w:t>
                  </w:r>
                </w:p>
              </w:tc>
              <w:tc>
                <w:tcPr>
                  <w:tcW w:w="925" w:type="dxa"/>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1</w:t>
                  </w:r>
                </w:p>
              </w:tc>
              <w:tc>
                <w:tcPr>
                  <w:tcW w:w="925" w:type="dxa"/>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固体</w:t>
                  </w:r>
                </w:p>
              </w:tc>
              <w:tc>
                <w:tcPr>
                  <w:tcW w:w="926" w:type="dxa"/>
                  <w:vAlign w:val="center"/>
                </w:tcPr>
                <w:p>
                  <w:pPr>
                    <w:widowControl/>
                    <w:jc w:val="center"/>
                    <w:textAlignment w:val="center"/>
                    <w:rPr>
                      <w:rFonts w:hint="eastAsia" w:ascii="Times New Roman" w:hAnsi="Times New Roman" w:eastAsia="宋体" w:cs="Times New Roman"/>
                      <w:color w:val="auto"/>
                      <w:sz w:val="18"/>
                      <w:szCs w:val="18"/>
                      <w:highlight w:val="none"/>
                      <w:lang w:val="en-US" w:eastAsia="zh-CN"/>
                    </w:rPr>
                  </w:pPr>
                  <w:r>
                    <w:rPr>
                      <w:rFonts w:ascii="Times New Roman" w:hAnsi="Times New Roman" w:eastAsia="宋体" w:cs="Times New Roman"/>
                      <w:color w:val="auto"/>
                      <w:sz w:val="18"/>
                      <w:szCs w:val="18"/>
                      <w:highlight w:val="none"/>
                    </w:rPr>
                    <w:t>0.1</w:t>
                  </w:r>
                  <w:r>
                    <w:rPr>
                      <w:rFonts w:hint="eastAsia" w:ascii="Times New Roman" w:hAnsi="Times New Roman" w:eastAsia="宋体" w:cs="Times New Roman"/>
                      <w:color w:val="auto"/>
                      <w:sz w:val="18"/>
                      <w:szCs w:val="18"/>
                      <w:highlight w:val="none"/>
                      <w:lang w:val="en-US" w:eastAsia="zh-CN"/>
                    </w:rPr>
                    <w:t>t</w:t>
                  </w:r>
                </w:p>
              </w:tc>
              <w:tc>
                <w:tcPr>
                  <w:tcW w:w="926" w:type="dxa"/>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1个月</w:t>
                  </w:r>
                </w:p>
              </w:tc>
              <w:tc>
                <w:tcPr>
                  <w:tcW w:w="926" w:type="dxa"/>
                  <w:tcBorders>
                    <w:right w:val="nil"/>
                  </w:tcBorders>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原料区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688" w:type="dxa"/>
                  <w:tcBorders>
                    <w:left w:val="nil"/>
                  </w:tcBorders>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3</w:t>
                  </w:r>
                </w:p>
              </w:tc>
              <w:tc>
                <w:tcPr>
                  <w:tcW w:w="1162" w:type="dxa"/>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塑粉</w:t>
                  </w:r>
                </w:p>
              </w:tc>
              <w:tc>
                <w:tcPr>
                  <w:tcW w:w="925" w:type="dxa"/>
                  <w:vAlign w:val="center"/>
                </w:tcPr>
                <w:p>
                  <w:pPr>
                    <w:widowControl/>
                    <w:jc w:val="center"/>
                    <w:textAlignment w:val="center"/>
                    <w:rPr>
                      <w:rFonts w:hint="default" w:ascii="Times New Roman" w:hAnsi="Times New Roman" w:eastAsia="宋体" w:cs="Times New Roman"/>
                      <w:color w:val="auto"/>
                      <w:sz w:val="18"/>
                      <w:szCs w:val="18"/>
                      <w:highlight w:val="none"/>
                      <w:lang w:val="en-US" w:eastAsia="zh-CN"/>
                    </w:rPr>
                  </w:pPr>
                  <w:r>
                    <w:rPr>
                      <w:rFonts w:hint="eastAsia" w:ascii="Times New Roman" w:hAnsi="Times New Roman" w:eastAsia="宋体" w:cs="Times New Roman"/>
                      <w:color w:val="auto"/>
                      <w:sz w:val="18"/>
                      <w:szCs w:val="18"/>
                      <w:highlight w:val="none"/>
                      <w:lang w:val="en-US" w:eastAsia="zh-CN"/>
                    </w:rPr>
                    <w:t>20kg/箱</w:t>
                  </w:r>
                </w:p>
              </w:tc>
              <w:tc>
                <w:tcPr>
                  <w:tcW w:w="925" w:type="dxa"/>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t/a</w:t>
                  </w:r>
                </w:p>
              </w:tc>
              <w:tc>
                <w:tcPr>
                  <w:tcW w:w="925" w:type="dxa"/>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100</w:t>
                  </w:r>
                </w:p>
              </w:tc>
              <w:tc>
                <w:tcPr>
                  <w:tcW w:w="925" w:type="dxa"/>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固体</w:t>
                  </w:r>
                </w:p>
              </w:tc>
              <w:tc>
                <w:tcPr>
                  <w:tcW w:w="926" w:type="dxa"/>
                  <w:vAlign w:val="center"/>
                </w:tcPr>
                <w:p>
                  <w:pPr>
                    <w:widowControl/>
                    <w:jc w:val="center"/>
                    <w:textAlignment w:val="center"/>
                    <w:rPr>
                      <w:rFonts w:hint="eastAsia" w:ascii="Times New Roman" w:hAnsi="Times New Roman" w:eastAsia="宋体" w:cs="Times New Roman"/>
                      <w:color w:val="auto"/>
                      <w:sz w:val="18"/>
                      <w:szCs w:val="18"/>
                      <w:highlight w:val="none"/>
                      <w:lang w:val="en-US" w:eastAsia="zh-CN"/>
                    </w:rPr>
                  </w:pPr>
                  <w:r>
                    <w:rPr>
                      <w:rFonts w:ascii="Times New Roman" w:hAnsi="Times New Roman" w:eastAsia="宋体" w:cs="Times New Roman"/>
                      <w:color w:val="auto"/>
                      <w:sz w:val="18"/>
                      <w:szCs w:val="18"/>
                      <w:highlight w:val="none"/>
                    </w:rPr>
                    <w:t>10</w:t>
                  </w:r>
                  <w:r>
                    <w:rPr>
                      <w:rFonts w:hint="eastAsia" w:ascii="Times New Roman" w:hAnsi="Times New Roman" w:eastAsia="宋体" w:cs="Times New Roman"/>
                      <w:color w:val="auto"/>
                      <w:sz w:val="18"/>
                      <w:szCs w:val="18"/>
                      <w:highlight w:val="none"/>
                      <w:lang w:val="en-US" w:eastAsia="zh-CN"/>
                    </w:rPr>
                    <w:t>t</w:t>
                  </w:r>
                </w:p>
              </w:tc>
              <w:tc>
                <w:tcPr>
                  <w:tcW w:w="926" w:type="dxa"/>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1个月</w:t>
                  </w:r>
                </w:p>
              </w:tc>
              <w:tc>
                <w:tcPr>
                  <w:tcW w:w="926" w:type="dxa"/>
                  <w:tcBorders>
                    <w:right w:val="nil"/>
                  </w:tcBorders>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原料区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688" w:type="dxa"/>
                  <w:tcBorders>
                    <w:left w:val="nil"/>
                  </w:tcBorders>
                  <w:vAlign w:val="center"/>
                </w:tcPr>
                <w:p>
                  <w:pPr>
                    <w:widowControl/>
                    <w:jc w:val="center"/>
                    <w:textAlignment w:val="center"/>
                    <w:rPr>
                      <w:rFonts w:hint="eastAsia" w:ascii="Times New Roman" w:hAnsi="Times New Roman" w:eastAsia="宋体" w:cs="Times New Roman"/>
                      <w:color w:val="auto"/>
                      <w:sz w:val="18"/>
                      <w:szCs w:val="18"/>
                      <w:highlight w:val="none"/>
                      <w:lang w:val="en-US" w:eastAsia="zh-CN"/>
                    </w:rPr>
                  </w:pPr>
                  <w:r>
                    <w:rPr>
                      <w:rFonts w:hint="eastAsia" w:ascii="Times New Roman" w:hAnsi="Times New Roman" w:eastAsia="宋体" w:cs="Times New Roman"/>
                      <w:color w:val="auto"/>
                      <w:sz w:val="18"/>
                      <w:szCs w:val="18"/>
                      <w:highlight w:val="none"/>
                      <w:lang w:val="en-US" w:eastAsia="zh-CN"/>
                    </w:rPr>
                    <w:t>4</w:t>
                  </w:r>
                </w:p>
              </w:tc>
              <w:tc>
                <w:tcPr>
                  <w:tcW w:w="1162" w:type="dxa"/>
                  <w:vAlign w:val="center"/>
                </w:tcPr>
                <w:p>
                  <w:pPr>
                    <w:widowControl/>
                    <w:jc w:val="center"/>
                    <w:textAlignment w:val="center"/>
                    <w:rPr>
                      <w:rFonts w:hint="eastAsia" w:ascii="Times New Roman" w:hAnsi="Times New Roman" w:eastAsia="宋体" w:cs="Times New Roman"/>
                      <w:color w:val="auto"/>
                      <w:sz w:val="18"/>
                      <w:szCs w:val="18"/>
                      <w:highlight w:val="none"/>
                      <w:lang w:val="en-US" w:eastAsia="zh-CN"/>
                    </w:rPr>
                  </w:pPr>
                  <w:r>
                    <w:rPr>
                      <w:rFonts w:hint="eastAsia" w:ascii="Times New Roman" w:hAnsi="Times New Roman" w:eastAsia="宋体" w:cs="Times New Roman"/>
                      <w:color w:val="auto"/>
                      <w:sz w:val="18"/>
                      <w:szCs w:val="18"/>
                      <w:highlight w:val="none"/>
                      <w:lang w:val="en-US" w:eastAsia="zh-CN"/>
                    </w:rPr>
                    <w:t>二氧化碳</w:t>
                  </w:r>
                </w:p>
              </w:tc>
              <w:tc>
                <w:tcPr>
                  <w:tcW w:w="925" w:type="dxa"/>
                  <w:vAlign w:val="center"/>
                </w:tcPr>
                <w:p>
                  <w:pPr>
                    <w:widowControl/>
                    <w:jc w:val="center"/>
                    <w:textAlignment w:val="center"/>
                    <w:rPr>
                      <w:rFonts w:hint="default" w:ascii="Times New Roman" w:hAnsi="Times New Roman" w:eastAsia="宋体" w:cs="Times New Roman"/>
                      <w:color w:val="auto"/>
                      <w:sz w:val="18"/>
                      <w:szCs w:val="18"/>
                      <w:highlight w:val="none"/>
                      <w:lang w:val="en-US" w:eastAsia="zh-CN"/>
                    </w:rPr>
                  </w:pPr>
                  <w:r>
                    <w:rPr>
                      <w:rFonts w:hint="eastAsia" w:ascii="Times New Roman" w:hAnsi="Times New Roman" w:eastAsia="宋体" w:cs="Times New Roman"/>
                      <w:color w:val="auto"/>
                      <w:sz w:val="18"/>
                      <w:szCs w:val="18"/>
                      <w:highlight w:val="none"/>
                      <w:lang w:val="en-US" w:eastAsia="zh-CN"/>
                    </w:rPr>
                    <w:t>11kg/瓶</w:t>
                  </w:r>
                </w:p>
              </w:tc>
              <w:tc>
                <w:tcPr>
                  <w:tcW w:w="925" w:type="dxa"/>
                  <w:vAlign w:val="center"/>
                </w:tcPr>
                <w:p>
                  <w:pPr>
                    <w:widowControl/>
                    <w:jc w:val="center"/>
                    <w:textAlignment w:val="center"/>
                    <w:rPr>
                      <w:rFonts w:hint="default" w:ascii="Times New Roman" w:hAnsi="Times New Roman" w:eastAsia="宋体" w:cs="Times New Roman"/>
                      <w:color w:val="auto"/>
                      <w:sz w:val="18"/>
                      <w:szCs w:val="18"/>
                      <w:highlight w:val="none"/>
                      <w:lang w:val="en-US" w:eastAsia="zh-CN"/>
                    </w:rPr>
                  </w:pPr>
                  <w:r>
                    <w:rPr>
                      <w:rFonts w:hint="eastAsia" w:ascii="Times New Roman" w:hAnsi="Times New Roman" w:eastAsia="宋体" w:cs="Times New Roman"/>
                      <w:color w:val="auto"/>
                      <w:sz w:val="18"/>
                      <w:szCs w:val="18"/>
                      <w:highlight w:val="none"/>
                      <w:lang w:val="en-US" w:eastAsia="zh-CN"/>
                    </w:rPr>
                    <w:t>瓶</w:t>
                  </w:r>
                </w:p>
              </w:tc>
              <w:tc>
                <w:tcPr>
                  <w:tcW w:w="925" w:type="dxa"/>
                  <w:vAlign w:val="center"/>
                </w:tcPr>
                <w:p>
                  <w:pPr>
                    <w:widowControl/>
                    <w:jc w:val="center"/>
                    <w:textAlignment w:val="center"/>
                    <w:rPr>
                      <w:rFonts w:hint="default" w:ascii="Times New Roman" w:hAnsi="Times New Roman" w:eastAsia="宋体" w:cs="Times New Roman"/>
                      <w:color w:val="auto"/>
                      <w:sz w:val="18"/>
                      <w:szCs w:val="18"/>
                      <w:highlight w:val="none"/>
                      <w:lang w:val="en-US" w:eastAsia="zh-CN"/>
                    </w:rPr>
                  </w:pPr>
                  <w:r>
                    <w:rPr>
                      <w:rFonts w:hint="eastAsia" w:ascii="Times New Roman" w:hAnsi="Times New Roman" w:eastAsia="宋体" w:cs="Times New Roman"/>
                      <w:color w:val="auto"/>
                      <w:sz w:val="18"/>
                      <w:szCs w:val="18"/>
                      <w:highlight w:val="none"/>
                      <w:lang w:val="en-US" w:eastAsia="zh-CN"/>
                    </w:rPr>
                    <w:t>100</w:t>
                  </w:r>
                </w:p>
              </w:tc>
              <w:tc>
                <w:tcPr>
                  <w:tcW w:w="925" w:type="dxa"/>
                  <w:vAlign w:val="center"/>
                </w:tcPr>
                <w:p>
                  <w:pPr>
                    <w:widowControl/>
                    <w:jc w:val="center"/>
                    <w:textAlignment w:val="center"/>
                    <w:rPr>
                      <w:rFonts w:hint="eastAsia" w:ascii="Times New Roman" w:hAnsi="Times New Roman" w:eastAsia="宋体" w:cs="Times New Roman"/>
                      <w:color w:val="auto"/>
                      <w:sz w:val="18"/>
                      <w:szCs w:val="18"/>
                      <w:highlight w:val="none"/>
                      <w:lang w:val="en-US" w:eastAsia="zh-CN"/>
                    </w:rPr>
                  </w:pPr>
                  <w:r>
                    <w:rPr>
                      <w:rFonts w:hint="eastAsia" w:ascii="Times New Roman" w:hAnsi="Times New Roman" w:eastAsia="宋体" w:cs="Times New Roman"/>
                      <w:color w:val="auto"/>
                      <w:sz w:val="18"/>
                      <w:szCs w:val="18"/>
                      <w:highlight w:val="none"/>
                      <w:lang w:val="en-US" w:eastAsia="zh-CN"/>
                    </w:rPr>
                    <w:t>气态</w:t>
                  </w:r>
                </w:p>
              </w:tc>
              <w:tc>
                <w:tcPr>
                  <w:tcW w:w="926" w:type="dxa"/>
                  <w:vAlign w:val="center"/>
                </w:tcPr>
                <w:p>
                  <w:pPr>
                    <w:widowControl/>
                    <w:jc w:val="center"/>
                    <w:textAlignment w:val="center"/>
                    <w:rPr>
                      <w:rFonts w:hint="default" w:ascii="Times New Roman" w:hAnsi="Times New Roman" w:eastAsia="宋体" w:cs="Times New Roman"/>
                      <w:color w:val="auto"/>
                      <w:sz w:val="18"/>
                      <w:szCs w:val="18"/>
                      <w:highlight w:val="none"/>
                      <w:lang w:val="en-US" w:eastAsia="zh-CN"/>
                    </w:rPr>
                  </w:pPr>
                  <w:r>
                    <w:rPr>
                      <w:rFonts w:hint="eastAsia" w:ascii="Times New Roman" w:hAnsi="Times New Roman" w:eastAsia="宋体" w:cs="Times New Roman"/>
                      <w:color w:val="auto"/>
                      <w:sz w:val="18"/>
                      <w:szCs w:val="18"/>
                      <w:highlight w:val="none"/>
                      <w:lang w:val="en-US" w:eastAsia="zh-CN"/>
                    </w:rPr>
                    <w:t>0.11t</w:t>
                  </w:r>
                </w:p>
              </w:tc>
              <w:tc>
                <w:tcPr>
                  <w:tcW w:w="926" w:type="dxa"/>
                  <w:vAlign w:val="center"/>
                </w:tcPr>
                <w:p>
                  <w:pPr>
                    <w:widowControl/>
                    <w:jc w:val="center"/>
                    <w:textAlignment w:val="center"/>
                    <w:rPr>
                      <w:rFonts w:hint="default" w:ascii="Times New Roman" w:hAnsi="Times New Roman" w:eastAsia="宋体" w:cs="Times New Roman"/>
                      <w:color w:val="auto"/>
                      <w:sz w:val="18"/>
                      <w:szCs w:val="18"/>
                      <w:highlight w:val="none"/>
                      <w:lang w:val="en-US" w:eastAsia="zh-CN"/>
                    </w:rPr>
                  </w:pPr>
                  <w:r>
                    <w:rPr>
                      <w:rFonts w:hint="eastAsia" w:ascii="Times New Roman" w:hAnsi="Times New Roman" w:eastAsia="宋体" w:cs="Times New Roman"/>
                      <w:color w:val="auto"/>
                      <w:sz w:val="18"/>
                      <w:szCs w:val="18"/>
                      <w:highlight w:val="none"/>
                      <w:lang w:val="en-US" w:eastAsia="zh-CN"/>
                    </w:rPr>
                    <w:t>1个月</w:t>
                  </w:r>
                </w:p>
              </w:tc>
              <w:tc>
                <w:tcPr>
                  <w:tcW w:w="926" w:type="dxa"/>
                  <w:tcBorders>
                    <w:right w:val="nil"/>
                  </w:tcBorders>
                  <w:vAlign w:val="center"/>
                </w:tcPr>
                <w:p>
                  <w:pPr>
                    <w:widowControl/>
                    <w:jc w:val="center"/>
                    <w:textAlignment w:val="center"/>
                    <w:rPr>
                      <w:rFonts w:hint="eastAsia" w:ascii="Times New Roman" w:hAnsi="Times New Roman" w:eastAsia="宋体" w:cs="Times New Roman"/>
                      <w:color w:val="auto"/>
                      <w:sz w:val="18"/>
                      <w:szCs w:val="18"/>
                      <w:highlight w:val="none"/>
                      <w:lang w:val="en-US" w:eastAsia="zh-CN"/>
                    </w:rPr>
                  </w:pPr>
                  <w:r>
                    <w:rPr>
                      <w:rFonts w:hint="eastAsia" w:ascii="Times New Roman" w:hAnsi="Times New Roman" w:eastAsia="宋体" w:cs="Times New Roman"/>
                      <w:color w:val="auto"/>
                      <w:sz w:val="18"/>
                      <w:szCs w:val="18"/>
                      <w:highlight w:val="none"/>
                      <w:lang w:val="en-US" w:eastAsia="zh-CN"/>
                    </w:rPr>
                    <w:t>原料区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688" w:type="dxa"/>
                  <w:tcBorders>
                    <w:left w:val="nil"/>
                  </w:tcBorders>
                  <w:vAlign w:val="center"/>
                </w:tcPr>
                <w:p>
                  <w:pPr>
                    <w:widowControl/>
                    <w:jc w:val="center"/>
                    <w:textAlignment w:val="center"/>
                    <w:rPr>
                      <w:rFonts w:hint="default" w:ascii="Times New Roman" w:hAnsi="Times New Roman" w:eastAsia="宋体" w:cs="Times New Roman"/>
                      <w:color w:val="auto"/>
                      <w:sz w:val="18"/>
                      <w:szCs w:val="18"/>
                      <w:highlight w:val="none"/>
                      <w:lang w:val="en-US" w:eastAsia="zh-CN"/>
                    </w:rPr>
                  </w:pPr>
                  <w:r>
                    <w:rPr>
                      <w:rFonts w:hint="eastAsia" w:ascii="Times New Roman" w:hAnsi="Times New Roman" w:eastAsia="宋体" w:cs="Times New Roman"/>
                      <w:color w:val="auto"/>
                      <w:sz w:val="18"/>
                      <w:szCs w:val="18"/>
                      <w:highlight w:val="none"/>
                      <w:lang w:val="en-US" w:eastAsia="zh-CN"/>
                    </w:rPr>
                    <w:t>5</w:t>
                  </w:r>
                </w:p>
              </w:tc>
              <w:tc>
                <w:tcPr>
                  <w:tcW w:w="1162" w:type="dxa"/>
                  <w:vAlign w:val="center"/>
                </w:tcPr>
                <w:p>
                  <w:pPr>
                    <w:widowControl/>
                    <w:jc w:val="center"/>
                    <w:textAlignment w:val="center"/>
                    <w:rPr>
                      <w:rFonts w:hint="default" w:ascii="Times New Roman" w:hAnsi="Times New Roman" w:eastAsia="宋体" w:cs="Times New Roman"/>
                      <w:color w:val="auto"/>
                      <w:sz w:val="18"/>
                      <w:szCs w:val="18"/>
                      <w:highlight w:val="none"/>
                      <w:lang w:val="en-US" w:eastAsia="zh-CN"/>
                    </w:rPr>
                  </w:pPr>
                  <w:r>
                    <w:rPr>
                      <w:rFonts w:hint="eastAsia" w:ascii="Times New Roman" w:hAnsi="Times New Roman" w:eastAsia="宋体" w:cs="Times New Roman"/>
                      <w:color w:val="auto"/>
                      <w:sz w:val="18"/>
                      <w:szCs w:val="18"/>
                      <w:highlight w:val="none"/>
                      <w:lang w:val="en-US" w:eastAsia="zh-CN"/>
                    </w:rPr>
                    <w:t>砂纸</w:t>
                  </w:r>
                </w:p>
              </w:tc>
              <w:tc>
                <w:tcPr>
                  <w:tcW w:w="925" w:type="dxa"/>
                  <w:vAlign w:val="center"/>
                </w:tcPr>
                <w:p>
                  <w:pPr>
                    <w:widowControl/>
                    <w:jc w:val="center"/>
                    <w:textAlignment w:val="center"/>
                    <w:rPr>
                      <w:rFonts w:hint="default" w:ascii="Times New Roman" w:hAnsi="Times New Roman" w:eastAsia="宋体" w:cs="Times New Roman"/>
                      <w:color w:val="auto"/>
                      <w:sz w:val="18"/>
                      <w:szCs w:val="18"/>
                      <w:highlight w:val="none"/>
                      <w:lang w:val="en-US" w:eastAsia="zh-CN"/>
                    </w:rPr>
                  </w:pPr>
                  <w:r>
                    <w:rPr>
                      <w:rFonts w:hint="eastAsia" w:ascii="Times New Roman" w:hAnsi="Times New Roman" w:eastAsia="宋体" w:cs="Times New Roman"/>
                      <w:color w:val="auto"/>
                      <w:sz w:val="18"/>
                      <w:szCs w:val="18"/>
                      <w:highlight w:val="none"/>
                      <w:lang w:val="en-US" w:eastAsia="zh-CN"/>
                    </w:rPr>
                    <w:t>/</w:t>
                  </w:r>
                </w:p>
              </w:tc>
              <w:tc>
                <w:tcPr>
                  <w:tcW w:w="925" w:type="dxa"/>
                  <w:vAlign w:val="center"/>
                </w:tcPr>
                <w:p>
                  <w:pPr>
                    <w:widowControl/>
                    <w:jc w:val="center"/>
                    <w:textAlignment w:val="center"/>
                    <w:rPr>
                      <w:rFonts w:hint="default" w:ascii="Times New Roman" w:hAnsi="Times New Roman" w:eastAsia="宋体" w:cs="Times New Roman"/>
                      <w:color w:val="auto"/>
                      <w:sz w:val="18"/>
                      <w:szCs w:val="18"/>
                      <w:highlight w:val="none"/>
                      <w:lang w:val="en-US" w:eastAsia="zh-CN"/>
                    </w:rPr>
                  </w:pPr>
                  <w:r>
                    <w:rPr>
                      <w:rFonts w:hint="eastAsia" w:ascii="Times New Roman" w:hAnsi="Times New Roman" w:eastAsia="宋体" w:cs="Times New Roman"/>
                      <w:color w:val="auto"/>
                      <w:sz w:val="18"/>
                      <w:szCs w:val="18"/>
                      <w:highlight w:val="none"/>
                      <w:lang w:val="en-US" w:eastAsia="zh-CN"/>
                    </w:rPr>
                    <w:t>张</w:t>
                  </w:r>
                </w:p>
              </w:tc>
              <w:tc>
                <w:tcPr>
                  <w:tcW w:w="925" w:type="dxa"/>
                  <w:vAlign w:val="center"/>
                </w:tcPr>
                <w:p>
                  <w:pPr>
                    <w:widowControl/>
                    <w:jc w:val="center"/>
                    <w:textAlignment w:val="center"/>
                    <w:rPr>
                      <w:rFonts w:hint="eastAsia" w:ascii="Times New Roman" w:hAnsi="Times New Roman" w:eastAsia="宋体" w:cs="Times New Roman"/>
                      <w:color w:val="auto"/>
                      <w:sz w:val="18"/>
                      <w:szCs w:val="18"/>
                      <w:highlight w:val="none"/>
                      <w:lang w:val="en-US" w:eastAsia="zh-CN"/>
                    </w:rPr>
                  </w:pPr>
                </w:p>
              </w:tc>
              <w:tc>
                <w:tcPr>
                  <w:tcW w:w="925" w:type="dxa"/>
                  <w:vAlign w:val="center"/>
                </w:tcPr>
                <w:p>
                  <w:pPr>
                    <w:widowControl/>
                    <w:jc w:val="center"/>
                    <w:textAlignment w:val="center"/>
                    <w:rPr>
                      <w:rFonts w:hint="default" w:ascii="Times New Roman" w:hAnsi="Times New Roman" w:eastAsia="宋体" w:cs="Times New Roman"/>
                      <w:color w:val="auto"/>
                      <w:sz w:val="18"/>
                      <w:szCs w:val="18"/>
                      <w:highlight w:val="none"/>
                      <w:lang w:val="en-US" w:eastAsia="zh-CN"/>
                    </w:rPr>
                  </w:pPr>
                  <w:r>
                    <w:rPr>
                      <w:rFonts w:hint="eastAsia" w:ascii="Times New Roman" w:hAnsi="Times New Roman" w:eastAsia="宋体" w:cs="Times New Roman"/>
                      <w:color w:val="auto"/>
                      <w:sz w:val="18"/>
                      <w:szCs w:val="18"/>
                      <w:highlight w:val="none"/>
                      <w:lang w:val="en-US" w:eastAsia="zh-CN"/>
                    </w:rPr>
                    <w:t>固体</w:t>
                  </w:r>
                </w:p>
              </w:tc>
              <w:tc>
                <w:tcPr>
                  <w:tcW w:w="926" w:type="dxa"/>
                  <w:vAlign w:val="center"/>
                </w:tcPr>
                <w:p>
                  <w:pPr>
                    <w:widowControl/>
                    <w:jc w:val="center"/>
                    <w:textAlignment w:val="center"/>
                    <w:rPr>
                      <w:rFonts w:hint="eastAsia" w:ascii="Times New Roman" w:hAnsi="Times New Roman" w:eastAsia="宋体" w:cs="Times New Roman"/>
                      <w:color w:val="auto"/>
                      <w:sz w:val="18"/>
                      <w:szCs w:val="18"/>
                      <w:highlight w:val="none"/>
                      <w:lang w:val="en-US" w:eastAsia="zh-CN"/>
                    </w:rPr>
                  </w:pPr>
                </w:p>
              </w:tc>
              <w:tc>
                <w:tcPr>
                  <w:tcW w:w="926" w:type="dxa"/>
                  <w:vAlign w:val="center"/>
                </w:tcPr>
                <w:p>
                  <w:pPr>
                    <w:widowControl/>
                    <w:jc w:val="center"/>
                    <w:textAlignment w:val="center"/>
                    <w:rPr>
                      <w:rFonts w:hint="default" w:ascii="Times New Roman" w:hAnsi="Times New Roman" w:eastAsia="宋体" w:cs="Times New Roman"/>
                      <w:color w:val="auto"/>
                      <w:sz w:val="18"/>
                      <w:szCs w:val="18"/>
                      <w:highlight w:val="none"/>
                      <w:lang w:val="en-US" w:eastAsia="zh-CN"/>
                    </w:rPr>
                  </w:pPr>
                  <w:r>
                    <w:rPr>
                      <w:rFonts w:hint="eastAsia" w:ascii="Times New Roman" w:hAnsi="Times New Roman" w:eastAsia="宋体" w:cs="Times New Roman"/>
                      <w:color w:val="auto"/>
                      <w:sz w:val="18"/>
                      <w:szCs w:val="18"/>
                      <w:highlight w:val="none"/>
                      <w:lang w:val="en-US" w:eastAsia="zh-CN"/>
                    </w:rPr>
                    <w:t>3个月</w:t>
                  </w:r>
                </w:p>
              </w:tc>
              <w:tc>
                <w:tcPr>
                  <w:tcW w:w="926" w:type="dxa"/>
                  <w:tcBorders>
                    <w:right w:val="nil"/>
                  </w:tcBorders>
                  <w:vAlign w:val="center"/>
                </w:tcPr>
                <w:p>
                  <w:pPr>
                    <w:widowControl/>
                    <w:jc w:val="center"/>
                    <w:textAlignment w:val="center"/>
                    <w:rPr>
                      <w:rFonts w:hint="default" w:ascii="Times New Roman" w:hAnsi="Times New Roman" w:eastAsia="宋体" w:cs="Times New Roman"/>
                      <w:color w:val="auto"/>
                      <w:sz w:val="18"/>
                      <w:szCs w:val="18"/>
                      <w:highlight w:val="none"/>
                      <w:lang w:val="en-US" w:eastAsia="zh-CN"/>
                    </w:rPr>
                  </w:pPr>
                  <w:r>
                    <w:rPr>
                      <w:rFonts w:hint="eastAsia" w:ascii="Times New Roman" w:hAnsi="Times New Roman" w:eastAsia="宋体" w:cs="Times New Roman"/>
                      <w:color w:val="auto"/>
                      <w:sz w:val="18"/>
                      <w:szCs w:val="18"/>
                      <w:highlight w:val="none"/>
                      <w:lang w:val="en-US" w:eastAsia="zh-CN"/>
                    </w:rPr>
                    <w:t>仓库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688" w:type="dxa"/>
                  <w:tcBorders>
                    <w:left w:val="nil"/>
                  </w:tcBorders>
                  <w:vAlign w:val="center"/>
                </w:tcPr>
                <w:p>
                  <w:pPr>
                    <w:widowControl/>
                    <w:jc w:val="center"/>
                    <w:textAlignment w:val="center"/>
                    <w:rPr>
                      <w:rFonts w:hint="default" w:ascii="Times New Roman" w:hAnsi="Times New Roman" w:eastAsia="宋体" w:cs="Times New Roman"/>
                      <w:color w:val="auto"/>
                      <w:sz w:val="18"/>
                      <w:szCs w:val="18"/>
                      <w:highlight w:val="none"/>
                      <w:lang w:val="en-US" w:eastAsia="zh-CN"/>
                    </w:rPr>
                  </w:pPr>
                  <w:r>
                    <w:rPr>
                      <w:rFonts w:hint="eastAsia" w:ascii="Times New Roman" w:hAnsi="Times New Roman" w:eastAsia="宋体" w:cs="Times New Roman"/>
                      <w:color w:val="auto"/>
                      <w:sz w:val="18"/>
                      <w:szCs w:val="18"/>
                      <w:highlight w:val="none"/>
                      <w:lang w:val="en-US" w:eastAsia="zh-CN"/>
                    </w:rPr>
                    <w:t>6</w:t>
                  </w:r>
                </w:p>
              </w:tc>
              <w:tc>
                <w:tcPr>
                  <w:tcW w:w="1162" w:type="dxa"/>
                  <w:vAlign w:val="center"/>
                </w:tcPr>
                <w:p>
                  <w:pPr>
                    <w:widowControl/>
                    <w:jc w:val="center"/>
                    <w:textAlignment w:val="center"/>
                    <w:rPr>
                      <w:rFonts w:hint="default" w:ascii="Times New Roman" w:hAnsi="Times New Roman" w:eastAsia="宋体" w:cs="Times New Roman"/>
                      <w:color w:val="auto"/>
                      <w:sz w:val="18"/>
                      <w:szCs w:val="18"/>
                      <w:highlight w:val="none"/>
                      <w:lang w:val="en-US" w:eastAsia="zh-CN"/>
                    </w:rPr>
                  </w:pPr>
                  <w:r>
                    <w:rPr>
                      <w:rFonts w:hint="eastAsia" w:ascii="Times New Roman" w:hAnsi="Times New Roman" w:eastAsia="宋体" w:cs="Times New Roman"/>
                      <w:color w:val="auto"/>
                      <w:sz w:val="18"/>
                      <w:szCs w:val="18"/>
                      <w:highlight w:val="none"/>
                      <w:lang w:val="en-US" w:eastAsia="zh-CN"/>
                    </w:rPr>
                    <w:t>配件</w:t>
                  </w:r>
                </w:p>
              </w:tc>
              <w:tc>
                <w:tcPr>
                  <w:tcW w:w="925" w:type="dxa"/>
                  <w:vAlign w:val="center"/>
                </w:tcPr>
                <w:p>
                  <w:pPr>
                    <w:widowControl/>
                    <w:jc w:val="center"/>
                    <w:textAlignment w:val="center"/>
                    <w:rPr>
                      <w:rFonts w:hint="default" w:ascii="Times New Roman" w:hAnsi="Times New Roman" w:eastAsia="宋体" w:cs="Times New Roman"/>
                      <w:color w:val="auto"/>
                      <w:sz w:val="18"/>
                      <w:szCs w:val="18"/>
                      <w:highlight w:val="none"/>
                      <w:lang w:val="en-US" w:eastAsia="zh-CN"/>
                    </w:rPr>
                  </w:pPr>
                  <w:r>
                    <w:rPr>
                      <w:rFonts w:hint="eastAsia" w:ascii="Times New Roman" w:hAnsi="Times New Roman" w:eastAsia="宋体" w:cs="Times New Roman"/>
                      <w:color w:val="auto"/>
                      <w:sz w:val="18"/>
                      <w:szCs w:val="18"/>
                      <w:highlight w:val="none"/>
                      <w:lang w:val="en-US" w:eastAsia="zh-CN"/>
                    </w:rPr>
                    <w:t>/</w:t>
                  </w:r>
                </w:p>
              </w:tc>
              <w:tc>
                <w:tcPr>
                  <w:tcW w:w="925" w:type="dxa"/>
                  <w:vAlign w:val="center"/>
                </w:tcPr>
                <w:p>
                  <w:pPr>
                    <w:widowControl/>
                    <w:jc w:val="center"/>
                    <w:textAlignment w:val="center"/>
                    <w:rPr>
                      <w:rFonts w:hint="default" w:ascii="Times New Roman" w:hAnsi="Times New Roman" w:eastAsia="宋体" w:cs="Times New Roman"/>
                      <w:color w:val="auto"/>
                      <w:sz w:val="18"/>
                      <w:szCs w:val="18"/>
                      <w:highlight w:val="none"/>
                      <w:lang w:val="en-US" w:eastAsia="zh-CN"/>
                    </w:rPr>
                  </w:pPr>
                  <w:r>
                    <w:rPr>
                      <w:rFonts w:hint="eastAsia" w:ascii="Times New Roman" w:hAnsi="Times New Roman" w:eastAsia="宋体" w:cs="Times New Roman"/>
                      <w:color w:val="auto"/>
                      <w:sz w:val="18"/>
                      <w:szCs w:val="18"/>
                      <w:highlight w:val="none"/>
                      <w:lang w:val="en-US" w:eastAsia="zh-CN"/>
                    </w:rPr>
                    <w:t>个</w:t>
                  </w:r>
                </w:p>
              </w:tc>
              <w:tc>
                <w:tcPr>
                  <w:tcW w:w="925" w:type="dxa"/>
                  <w:vAlign w:val="center"/>
                </w:tcPr>
                <w:p>
                  <w:pPr>
                    <w:widowControl/>
                    <w:jc w:val="center"/>
                    <w:textAlignment w:val="center"/>
                    <w:rPr>
                      <w:rFonts w:hint="default" w:ascii="Times New Roman" w:hAnsi="Times New Roman" w:eastAsia="宋体" w:cs="Times New Roman"/>
                      <w:color w:val="auto"/>
                      <w:sz w:val="18"/>
                      <w:szCs w:val="18"/>
                      <w:highlight w:val="none"/>
                      <w:lang w:val="en-US" w:eastAsia="zh-CN"/>
                    </w:rPr>
                  </w:pPr>
                  <w:r>
                    <w:rPr>
                      <w:rFonts w:hint="eastAsia" w:ascii="Times New Roman" w:hAnsi="Times New Roman" w:eastAsia="宋体" w:cs="Times New Roman"/>
                      <w:color w:val="auto"/>
                      <w:sz w:val="18"/>
                      <w:szCs w:val="18"/>
                      <w:highlight w:val="none"/>
                      <w:lang w:val="en-US" w:eastAsia="zh-CN"/>
                    </w:rPr>
                    <w:t>20万</w:t>
                  </w:r>
                </w:p>
              </w:tc>
              <w:tc>
                <w:tcPr>
                  <w:tcW w:w="925" w:type="dxa"/>
                  <w:vAlign w:val="center"/>
                </w:tcPr>
                <w:p>
                  <w:pPr>
                    <w:widowControl/>
                    <w:jc w:val="center"/>
                    <w:textAlignment w:val="center"/>
                    <w:rPr>
                      <w:rFonts w:hint="default" w:ascii="Times New Roman" w:hAnsi="Times New Roman" w:eastAsia="宋体" w:cs="Times New Roman"/>
                      <w:color w:val="auto"/>
                      <w:sz w:val="18"/>
                      <w:szCs w:val="18"/>
                      <w:highlight w:val="none"/>
                      <w:lang w:val="en-US" w:eastAsia="zh-CN"/>
                    </w:rPr>
                  </w:pPr>
                  <w:r>
                    <w:rPr>
                      <w:rFonts w:hint="eastAsia" w:ascii="Times New Roman" w:hAnsi="Times New Roman" w:eastAsia="宋体" w:cs="Times New Roman"/>
                      <w:color w:val="auto"/>
                      <w:sz w:val="18"/>
                      <w:szCs w:val="18"/>
                      <w:highlight w:val="none"/>
                      <w:lang w:val="en-US" w:eastAsia="zh-CN"/>
                    </w:rPr>
                    <w:t>固体</w:t>
                  </w:r>
                </w:p>
              </w:tc>
              <w:tc>
                <w:tcPr>
                  <w:tcW w:w="926" w:type="dxa"/>
                  <w:vAlign w:val="center"/>
                </w:tcPr>
                <w:p>
                  <w:pPr>
                    <w:widowControl/>
                    <w:jc w:val="center"/>
                    <w:textAlignment w:val="center"/>
                    <w:rPr>
                      <w:rFonts w:hint="default" w:ascii="Times New Roman" w:hAnsi="Times New Roman" w:eastAsia="宋体" w:cs="Times New Roman"/>
                      <w:color w:val="auto"/>
                      <w:sz w:val="18"/>
                      <w:szCs w:val="18"/>
                      <w:highlight w:val="none"/>
                      <w:lang w:val="en-US" w:eastAsia="zh-CN"/>
                    </w:rPr>
                  </w:pPr>
                  <w:r>
                    <w:rPr>
                      <w:rFonts w:hint="eastAsia" w:ascii="Times New Roman" w:hAnsi="Times New Roman" w:eastAsia="宋体" w:cs="Times New Roman"/>
                      <w:color w:val="auto"/>
                      <w:sz w:val="18"/>
                      <w:szCs w:val="18"/>
                      <w:highlight w:val="none"/>
                      <w:lang w:val="en-US" w:eastAsia="zh-CN"/>
                    </w:rPr>
                    <w:t>7万个</w:t>
                  </w:r>
                </w:p>
              </w:tc>
              <w:tc>
                <w:tcPr>
                  <w:tcW w:w="926" w:type="dxa"/>
                  <w:vAlign w:val="center"/>
                </w:tcPr>
                <w:p>
                  <w:pPr>
                    <w:widowControl/>
                    <w:jc w:val="center"/>
                    <w:textAlignment w:val="center"/>
                    <w:rPr>
                      <w:rFonts w:hint="default" w:ascii="Times New Roman" w:hAnsi="Times New Roman" w:eastAsia="宋体" w:cs="Times New Roman"/>
                      <w:color w:val="auto"/>
                      <w:sz w:val="18"/>
                      <w:szCs w:val="18"/>
                      <w:highlight w:val="none"/>
                      <w:lang w:val="en-US" w:eastAsia="zh-CN"/>
                    </w:rPr>
                  </w:pPr>
                  <w:r>
                    <w:rPr>
                      <w:rFonts w:hint="eastAsia" w:ascii="Times New Roman" w:hAnsi="Times New Roman" w:eastAsia="宋体" w:cs="Times New Roman"/>
                      <w:color w:val="auto"/>
                      <w:sz w:val="18"/>
                      <w:szCs w:val="18"/>
                      <w:highlight w:val="none"/>
                      <w:lang w:val="en-US" w:eastAsia="zh-CN"/>
                    </w:rPr>
                    <w:t>3个月</w:t>
                  </w:r>
                </w:p>
              </w:tc>
              <w:tc>
                <w:tcPr>
                  <w:tcW w:w="926" w:type="dxa"/>
                  <w:tcBorders>
                    <w:right w:val="nil"/>
                  </w:tcBorders>
                  <w:vAlign w:val="center"/>
                </w:tcPr>
                <w:p>
                  <w:pPr>
                    <w:widowControl/>
                    <w:jc w:val="center"/>
                    <w:textAlignment w:val="center"/>
                    <w:rPr>
                      <w:rFonts w:hint="default" w:ascii="Times New Roman" w:hAnsi="Times New Roman" w:eastAsia="宋体" w:cs="Times New Roman"/>
                      <w:color w:val="auto"/>
                      <w:sz w:val="18"/>
                      <w:szCs w:val="18"/>
                      <w:highlight w:val="none"/>
                      <w:lang w:val="en-US" w:eastAsia="zh-CN"/>
                    </w:rPr>
                  </w:pPr>
                  <w:r>
                    <w:rPr>
                      <w:rFonts w:hint="eastAsia" w:ascii="Times New Roman" w:hAnsi="Times New Roman" w:eastAsia="宋体" w:cs="Times New Roman"/>
                      <w:color w:val="auto"/>
                      <w:sz w:val="18"/>
                      <w:szCs w:val="18"/>
                      <w:highlight w:val="none"/>
                      <w:lang w:val="en-US" w:eastAsia="zh-CN"/>
                    </w:rPr>
                    <w:t>仓库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688" w:type="dxa"/>
                  <w:tcBorders>
                    <w:left w:val="nil"/>
                  </w:tcBorders>
                  <w:vAlign w:val="center"/>
                </w:tcPr>
                <w:p>
                  <w:pPr>
                    <w:widowControl/>
                    <w:jc w:val="center"/>
                    <w:textAlignment w:val="center"/>
                    <w:rPr>
                      <w:rFonts w:hint="eastAsia" w:ascii="Times New Roman" w:hAnsi="Times New Roman" w:eastAsia="宋体" w:cs="Times New Roman"/>
                      <w:color w:val="auto"/>
                      <w:sz w:val="18"/>
                      <w:szCs w:val="18"/>
                      <w:highlight w:val="none"/>
                      <w:lang w:eastAsia="zh-CN"/>
                    </w:rPr>
                  </w:pPr>
                  <w:r>
                    <w:rPr>
                      <w:rFonts w:hint="eastAsia" w:ascii="Times New Roman" w:hAnsi="Times New Roman" w:eastAsia="宋体" w:cs="Times New Roman"/>
                      <w:color w:val="auto"/>
                      <w:sz w:val="18"/>
                      <w:szCs w:val="18"/>
                      <w:highlight w:val="none"/>
                      <w:lang w:val="en-US" w:eastAsia="zh-CN"/>
                    </w:rPr>
                    <w:t>7</w:t>
                  </w:r>
                </w:p>
              </w:tc>
              <w:tc>
                <w:tcPr>
                  <w:tcW w:w="1162" w:type="dxa"/>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机油</w:t>
                  </w:r>
                </w:p>
              </w:tc>
              <w:tc>
                <w:tcPr>
                  <w:tcW w:w="925" w:type="dxa"/>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25kg/桶</w:t>
                  </w:r>
                </w:p>
              </w:tc>
              <w:tc>
                <w:tcPr>
                  <w:tcW w:w="925" w:type="dxa"/>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t/a</w:t>
                  </w:r>
                </w:p>
              </w:tc>
              <w:tc>
                <w:tcPr>
                  <w:tcW w:w="925" w:type="dxa"/>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0.5</w:t>
                  </w:r>
                </w:p>
              </w:tc>
              <w:tc>
                <w:tcPr>
                  <w:tcW w:w="925" w:type="dxa"/>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液体</w:t>
                  </w:r>
                </w:p>
              </w:tc>
              <w:tc>
                <w:tcPr>
                  <w:tcW w:w="926" w:type="dxa"/>
                  <w:vAlign w:val="center"/>
                </w:tcPr>
                <w:p>
                  <w:pPr>
                    <w:widowControl/>
                    <w:jc w:val="center"/>
                    <w:textAlignment w:val="center"/>
                    <w:rPr>
                      <w:rFonts w:hint="default" w:ascii="Times New Roman" w:hAnsi="Times New Roman" w:eastAsia="宋体" w:cs="Times New Roman"/>
                      <w:color w:val="auto"/>
                      <w:sz w:val="18"/>
                      <w:szCs w:val="18"/>
                      <w:highlight w:val="none"/>
                      <w:lang w:val="en-US" w:eastAsia="zh-CN"/>
                    </w:rPr>
                  </w:pPr>
                  <w:r>
                    <w:rPr>
                      <w:rFonts w:hint="eastAsia" w:ascii="Times New Roman" w:hAnsi="Times New Roman" w:eastAsia="宋体" w:cs="Times New Roman"/>
                      <w:color w:val="auto"/>
                      <w:sz w:val="18"/>
                      <w:szCs w:val="18"/>
                      <w:highlight w:val="none"/>
                      <w:lang w:val="en-US" w:eastAsia="zh-CN"/>
                    </w:rPr>
                    <w:t>0.1t</w:t>
                  </w:r>
                </w:p>
              </w:tc>
              <w:tc>
                <w:tcPr>
                  <w:tcW w:w="926" w:type="dxa"/>
                  <w:vAlign w:val="center"/>
                </w:tcPr>
                <w:p>
                  <w:pPr>
                    <w:widowControl/>
                    <w:jc w:val="center"/>
                    <w:textAlignment w:val="center"/>
                    <w:rPr>
                      <w:rFonts w:ascii="Times New Roman" w:hAnsi="Times New Roman" w:eastAsia="宋体" w:cs="Times New Roman"/>
                      <w:color w:val="auto"/>
                      <w:sz w:val="18"/>
                      <w:szCs w:val="18"/>
                      <w:highlight w:val="none"/>
                    </w:rPr>
                  </w:pPr>
                  <w:r>
                    <w:rPr>
                      <w:rFonts w:hint="eastAsia" w:ascii="Times New Roman" w:hAnsi="Times New Roman" w:eastAsia="宋体" w:cs="Times New Roman"/>
                      <w:color w:val="auto"/>
                      <w:sz w:val="18"/>
                      <w:szCs w:val="18"/>
                      <w:highlight w:val="none"/>
                      <w:lang w:val="en-US" w:eastAsia="zh-CN"/>
                    </w:rPr>
                    <w:t>1个月</w:t>
                  </w:r>
                </w:p>
              </w:tc>
              <w:tc>
                <w:tcPr>
                  <w:tcW w:w="926" w:type="dxa"/>
                  <w:tcBorders>
                    <w:right w:val="nil"/>
                  </w:tcBorders>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原料区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8328" w:type="dxa"/>
                  <w:gridSpan w:val="9"/>
                  <w:tcBorders>
                    <w:left w:val="nil"/>
                    <w:right w:val="nil"/>
                  </w:tcBorders>
                  <w:vAlign w:val="center"/>
                </w:tcPr>
                <w:p>
                  <w:pPr>
                    <w:pStyle w:val="85"/>
                    <w:snapToGrid w:val="0"/>
                    <w:spacing w:line="240" w:lineRule="auto"/>
                    <w:rPr>
                      <w:rFonts w:ascii="Times New Roman" w:hAnsi="Times New Roman" w:cs="Times New Roman"/>
                      <w:color w:val="auto"/>
                      <w:sz w:val="18"/>
                      <w:szCs w:val="18"/>
                      <w:highlight w:val="none"/>
                    </w:rPr>
                  </w:pPr>
                  <w:r>
                    <w:rPr>
                      <w:rFonts w:ascii="Times New Roman" w:hAnsi="Times New Roman" w:cs="Times New Roman"/>
                      <w:color w:val="auto"/>
                      <w:sz w:val="18"/>
                      <w:szCs w:val="18"/>
                      <w:highlight w:val="none"/>
                    </w:rPr>
                    <w:t>能源消耗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688" w:type="dxa"/>
                  <w:tcBorders>
                    <w:left w:val="nil"/>
                  </w:tcBorders>
                  <w:vAlign w:val="center"/>
                </w:tcPr>
                <w:p>
                  <w:pPr>
                    <w:pStyle w:val="85"/>
                    <w:snapToGrid w:val="0"/>
                    <w:spacing w:line="240" w:lineRule="auto"/>
                    <w:rPr>
                      <w:rFonts w:ascii="Times New Roman" w:hAnsi="Times New Roman" w:cs="Times New Roman"/>
                      <w:color w:val="auto"/>
                      <w:sz w:val="18"/>
                      <w:szCs w:val="18"/>
                      <w:highlight w:val="none"/>
                    </w:rPr>
                  </w:pPr>
                  <w:r>
                    <w:rPr>
                      <w:rFonts w:ascii="Times New Roman" w:hAnsi="Times New Roman" w:cs="Times New Roman"/>
                      <w:color w:val="auto"/>
                      <w:sz w:val="18"/>
                      <w:szCs w:val="18"/>
                      <w:highlight w:val="none"/>
                    </w:rPr>
                    <w:t>1</w:t>
                  </w:r>
                </w:p>
              </w:tc>
              <w:tc>
                <w:tcPr>
                  <w:tcW w:w="1162" w:type="dxa"/>
                  <w:vAlign w:val="center"/>
                </w:tcPr>
                <w:p>
                  <w:pPr>
                    <w:pStyle w:val="85"/>
                    <w:snapToGrid w:val="0"/>
                    <w:spacing w:line="240" w:lineRule="auto"/>
                    <w:rPr>
                      <w:rFonts w:ascii="Times New Roman" w:hAnsi="Times New Roman" w:cs="Times New Roman"/>
                      <w:color w:val="auto"/>
                      <w:sz w:val="18"/>
                      <w:szCs w:val="18"/>
                      <w:highlight w:val="none"/>
                    </w:rPr>
                  </w:pPr>
                  <w:r>
                    <w:rPr>
                      <w:rFonts w:ascii="Times New Roman" w:hAnsi="Times New Roman" w:cs="Times New Roman"/>
                      <w:color w:val="auto"/>
                      <w:sz w:val="18"/>
                      <w:szCs w:val="18"/>
                      <w:highlight w:val="none"/>
                    </w:rPr>
                    <w:t>水</w:t>
                  </w:r>
                </w:p>
              </w:tc>
              <w:tc>
                <w:tcPr>
                  <w:tcW w:w="925" w:type="dxa"/>
                  <w:vAlign w:val="center"/>
                </w:tcPr>
                <w:p>
                  <w:pPr>
                    <w:snapToGrid w:val="0"/>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自来水</w:t>
                  </w:r>
                </w:p>
              </w:tc>
              <w:tc>
                <w:tcPr>
                  <w:tcW w:w="925" w:type="dxa"/>
                  <w:vAlign w:val="center"/>
                </w:tcPr>
                <w:p>
                  <w:pPr>
                    <w:snapToGrid w:val="0"/>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t/a</w:t>
                  </w:r>
                </w:p>
              </w:tc>
              <w:tc>
                <w:tcPr>
                  <w:tcW w:w="925" w:type="dxa"/>
                  <w:vAlign w:val="center"/>
                </w:tcPr>
                <w:p>
                  <w:pPr>
                    <w:pStyle w:val="85"/>
                    <w:snapToGrid w:val="0"/>
                    <w:spacing w:line="240" w:lineRule="auto"/>
                    <w:rPr>
                      <w:rFonts w:ascii="Times New Roman" w:hAnsi="Times New Roman" w:cs="Times New Roman"/>
                      <w:color w:val="auto"/>
                      <w:sz w:val="18"/>
                      <w:szCs w:val="18"/>
                      <w:highlight w:val="none"/>
                    </w:rPr>
                  </w:pPr>
                  <w:r>
                    <w:rPr>
                      <w:rFonts w:ascii="Times New Roman" w:hAnsi="Times New Roman" w:cs="Times New Roman"/>
                      <w:color w:val="auto"/>
                      <w:sz w:val="18"/>
                      <w:szCs w:val="18"/>
                      <w:highlight w:val="none"/>
                    </w:rPr>
                    <w:t>675</w:t>
                  </w:r>
                </w:p>
              </w:tc>
              <w:tc>
                <w:tcPr>
                  <w:tcW w:w="925" w:type="dxa"/>
                  <w:vAlign w:val="center"/>
                </w:tcPr>
                <w:p>
                  <w:pPr>
                    <w:pStyle w:val="85"/>
                    <w:snapToGrid w:val="0"/>
                    <w:spacing w:line="240" w:lineRule="auto"/>
                    <w:rPr>
                      <w:rFonts w:ascii="Times New Roman" w:hAnsi="Times New Roman" w:cs="Times New Roman"/>
                      <w:color w:val="auto"/>
                      <w:sz w:val="18"/>
                      <w:szCs w:val="18"/>
                      <w:highlight w:val="none"/>
                    </w:rPr>
                  </w:pPr>
                  <w:r>
                    <w:rPr>
                      <w:rFonts w:ascii="Times New Roman" w:hAnsi="Times New Roman" w:cs="Times New Roman"/>
                      <w:color w:val="auto"/>
                      <w:sz w:val="18"/>
                      <w:szCs w:val="18"/>
                      <w:highlight w:val="none"/>
                    </w:rPr>
                    <w:t>/</w:t>
                  </w:r>
                </w:p>
              </w:tc>
              <w:tc>
                <w:tcPr>
                  <w:tcW w:w="926" w:type="dxa"/>
                  <w:vAlign w:val="center"/>
                </w:tcPr>
                <w:p>
                  <w:pPr>
                    <w:pStyle w:val="85"/>
                    <w:snapToGrid w:val="0"/>
                    <w:spacing w:line="240" w:lineRule="auto"/>
                    <w:rPr>
                      <w:rFonts w:ascii="Times New Roman" w:hAnsi="Times New Roman" w:cs="Times New Roman"/>
                      <w:color w:val="auto"/>
                      <w:sz w:val="18"/>
                      <w:szCs w:val="18"/>
                      <w:highlight w:val="none"/>
                    </w:rPr>
                  </w:pPr>
                  <w:r>
                    <w:rPr>
                      <w:rFonts w:ascii="Times New Roman" w:hAnsi="Times New Roman" w:cs="Times New Roman"/>
                      <w:color w:val="auto"/>
                      <w:sz w:val="18"/>
                      <w:szCs w:val="18"/>
                      <w:highlight w:val="none"/>
                    </w:rPr>
                    <w:t>/</w:t>
                  </w:r>
                </w:p>
              </w:tc>
              <w:tc>
                <w:tcPr>
                  <w:tcW w:w="926" w:type="dxa"/>
                  <w:vAlign w:val="center"/>
                </w:tcPr>
                <w:p>
                  <w:pPr>
                    <w:pStyle w:val="85"/>
                    <w:snapToGrid w:val="0"/>
                    <w:spacing w:line="240" w:lineRule="auto"/>
                    <w:rPr>
                      <w:rFonts w:ascii="Times New Roman" w:hAnsi="Times New Roman" w:cs="Times New Roman"/>
                      <w:color w:val="auto"/>
                      <w:sz w:val="18"/>
                      <w:szCs w:val="18"/>
                      <w:highlight w:val="none"/>
                    </w:rPr>
                  </w:pPr>
                  <w:r>
                    <w:rPr>
                      <w:rFonts w:ascii="Times New Roman" w:hAnsi="Times New Roman" w:cs="Times New Roman"/>
                      <w:color w:val="auto"/>
                      <w:sz w:val="18"/>
                      <w:szCs w:val="18"/>
                      <w:highlight w:val="none"/>
                    </w:rPr>
                    <w:t>/</w:t>
                  </w:r>
                </w:p>
              </w:tc>
              <w:tc>
                <w:tcPr>
                  <w:tcW w:w="926" w:type="dxa"/>
                  <w:tcBorders>
                    <w:right w:val="nil"/>
                  </w:tcBorders>
                  <w:vAlign w:val="center"/>
                </w:tcPr>
                <w:p>
                  <w:pPr>
                    <w:pStyle w:val="85"/>
                    <w:snapToGrid w:val="0"/>
                    <w:spacing w:line="240" w:lineRule="auto"/>
                    <w:rPr>
                      <w:rFonts w:ascii="Times New Roman" w:hAnsi="Times New Roman" w:cs="Times New Roman"/>
                      <w:color w:val="auto"/>
                      <w:sz w:val="18"/>
                      <w:szCs w:val="18"/>
                      <w:highlight w:val="none"/>
                    </w:rPr>
                  </w:pPr>
                  <w:r>
                    <w:rPr>
                      <w:rFonts w:ascii="Times New Roman" w:hAnsi="Times New Roman" w:cs="Times New Roman"/>
                      <w:color w:val="auto"/>
                      <w:sz w:val="18"/>
                      <w:szCs w:val="18"/>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688" w:type="dxa"/>
                  <w:tcBorders>
                    <w:left w:val="nil"/>
                    <w:bottom w:val="single" w:color="auto" w:sz="8" w:space="0"/>
                  </w:tcBorders>
                  <w:vAlign w:val="center"/>
                </w:tcPr>
                <w:p>
                  <w:pPr>
                    <w:pStyle w:val="85"/>
                    <w:snapToGrid w:val="0"/>
                    <w:spacing w:line="240" w:lineRule="auto"/>
                    <w:rPr>
                      <w:rFonts w:ascii="Times New Roman" w:hAnsi="Times New Roman" w:cs="Times New Roman"/>
                      <w:color w:val="auto"/>
                      <w:sz w:val="18"/>
                      <w:szCs w:val="18"/>
                      <w:highlight w:val="none"/>
                    </w:rPr>
                  </w:pPr>
                  <w:r>
                    <w:rPr>
                      <w:rFonts w:ascii="Times New Roman" w:hAnsi="Times New Roman" w:cs="Times New Roman"/>
                      <w:color w:val="auto"/>
                      <w:sz w:val="18"/>
                      <w:szCs w:val="18"/>
                      <w:highlight w:val="none"/>
                    </w:rPr>
                    <w:t>2</w:t>
                  </w:r>
                </w:p>
              </w:tc>
              <w:tc>
                <w:tcPr>
                  <w:tcW w:w="1162" w:type="dxa"/>
                  <w:tcBorders>
                    <w:bottom w:val="single" w:color="auto" w:sz="8" w:space="0"/>
                  </w:tcBorders>
                  <w:vAlign w:val="center"/>
                </w:tcPr>
                <w:p>
                  <w:pPr>
                    <w:pStyle w:val="85"/>
                    <w:snapToGrid w:val="0"/>
                    <w:spacing w:line="240" w:lineRule="auto"/>
                    <w:rPr>
                      <w:rFonts w:ascii="Times New Roman" w:hAnsi="Times New Roman" w:cs="Times New Roman"/>
                      <w:color w:val="auto"/>
                      <w:sz w:val="18"/>
                      <w:szCs w:val="18"/>
                      <w:highlight w:val="none"/>
                    </w:rPr>
                  </w:pPr>
                  <w:r>
                    <w:rPr>
                      <w:rFonts w:ascii="Times New Roman" w:hAnsi="Times New Roman" w:cs="Times New Roman"/>
                      <w:color w:val="auto"/>
                      <w:sz w:val="18"/>
                      <w:szCs w:val="18"/>
                      <w:highlight w:val="none"/>
                    </w:rPr>
                    <w:t>电</w:t>
                  </w:r>
                </w:p>
              </w:tc>
              <w:tc>
                <w:tcPr>
                  <w:tcW w:w="925" w:type="dxa"/>
                  <w:tcBorders>
                    <w:bottom w:val="single" w:color="auto" w:sz="8" w:space="0"/>
                  </w:tcBorders>
                  <w:vAlign w:val="center"/>
                </w:tcPr>
                <w:p>
                  <w:pPr>
                    <w:snapToGrid w:val="0"/>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380/220V、50HZ</w:t>
                  </w:r>
                </w:p>
              </w:tc>
              <w:tc>
                <w:tcPr>
                  <w:tcW w:w="925" w:type="dxa"/>
                  <w:tcBorders>
                    <w:bottom w:val="single" w:color="auto" w:sz="8" w:space="0"/>
                  </w:tcBorders>
                  <w:vAlign w:val="center"/>
                </w:tcPr>
                <w:p>
                  <w:pPr>
                    <w:snapToGrid w:val="0"/>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万度/年</w:t>
                  </w:r>
                </w:p>
              </w:tc>
              <w:tc>
                <w:tcPr>
                  <w:tcW w:w="925" w:type="dxa"/>
                  <w:tcBorders>
                    <w:bottom w:val="single" w:color="auto" w:sz="8" w:space="0"/>
                  </w:tcBorders>
                  <w:vAlign w:val="center"/>
                </w:tcPr>
                <w:p>
                  <w:pPr>
                    <w:pStyle w:val="85"/>
                    <w:snapToGrid w:val="0"/>
                    <w:spacing w:line="240" w:lineRule="auto"/>
                    <w:rPr>
                      <w:rFonts w:ascii="Times New Roman" w:hAnsi="Times New Roman" w:cs="Times New Roman"/>
                      <w:color w:val="auto"/>
                      <w:sz w:val="18"/>
                      <w:szCs w:val="18"/>
                      <w:highlight w:val="none"/>
                    </w:rPr>
                  </w:pPr>
                  <w:r>
                    <w:rPr>
                      <w:rFonts w:ascii="Times New Roman" w:hAnsi="Times New Roman" w:cs="Times New Roman"/>
                      <w:color w:val="auto"/>
                      <w:sz w:val="18"/>
                      <w:szCs w:val="18"/>
                      <w:highlight w:val="none"/>
                    </w:rPr>
                    <w:t>50</w:t>
                  </w:r>
                </w:p>
              </w:tc>
              <w:tc>
                <w:tcPr>
                  <w:tcW w:w="925" w:type="dxa"/>
                  <w:tcBorders>
                    <w:bottom w:val="single" w:color="auto" w:sz="8" w:space="0"/>
                  </w:tcBorders>
                  <w:vAlign w:val="center"/>
                </w:tcPr>
                <w:p>
                  <w:pPr>
                    <w:pStyle w:val="85"/>
                    <w:snapToGrid w:val="0"/>
                    <w:spacing w:line="240" w:lineRule="auto"/>
                    <w:rPr>
                      <w:rFonts w:ascii="Times New Roman" w:hAnsi="Times New Roman" w:cs="Times New Roman"/>
                      <w:color w:val="auto"/>
                      <w:sz w:val="18"/>
                      <w:szCs w:val="18"/>
                      <w:highlight w:val="none"/>
                    </w:rPr>
                  </w:pPr>
                  <w:r>
                    <w:rPr>
                      <w:rFonts w:ascii="Times New Roman" w:hAnsi="Times New Roman" w:cs="Times New Roman"/>
                      <w:color w:val="auto"/>
                      <w:sz w:val="18"/>
                      <w:szCs w:val="18"/>
                      <w:highlight w:val="none"/>
                    </w:rPr>
                    <w:t>/</w:t>
                  </w:r>
                </w:p>
              </w:tc>
              <w:tc>
                <w:tcPr>
                  <w:tcW w:w="926" w:type="dxa"/>
                  <w:tcBorders>
                    <w:bottom w:val="single" w:color="auto" w:sz="8" w:space="0"/>
                  </w:tcBorders>
                  <w:vAlign w:val="center"/>
                </w:tcPr>
                <w:p>
                  <w:pPr>
                    <w:pStyle w:val="85"/>
                    <w:snapToGrid w:val="0"/>
                    <w:spacing w:line="240" w:lineRule="auto"/>
                    <w:rPr>
                      <w:rFonts w:ascii="Times New Roman" w:hAnsi="Times New Roman" w:cs="Times New Roman"/>
                      <w:color w:val="auto"/>
                      <w:sz w:val="18"/>
                      <w:szCs w:val="18"/>
                      <w:highlight w:val="none"/>
                    </w:rPr>
                  </w:pPr>
                  <w:r>
                    <w:rPr>
                      <w:rFonts w:ascii="Times New Roman" w:hAnsi="Times New Roman" w:cs="Times New Roman"/>
                      <w:color w:val="auto"/>
                      <w:sz w:val="18"/>
                      <w:szCs w:val="18"/>
                      <w:highlight w:val="none"/>
                    </w:rPr>
                    <w:t>/</w:t>
                  </w:r>
                </w:p>
              </w:tc>
              <w:tc>
                <w:tcPr>
                  <w:tcW w:w="926" w:type="dxa"/>
                  <w:tcBorders>
                    <w:bottom w:val="single" w:color="auto" w:sz="8" w:space="0"/>
                  </w:tcBorders>
                  <w:vAlign w:val="center"/>
                </w:tcPr>
                <w:p>
                  <w:pPr>
                    <w:pStyle w:val="85"/>
                    <w:snapToGrid w:val="0"/>
                    <w:spacing w:line="240" w:lineRule="auto"/>
                    <w:rPr>
                      <w:rFonts w:ascii="Times New Roman" w:hAnsi="Times New Roman" w:cs="Times New Roman"/>
                      <w:color w:val="auto"/>
                      <w:sz w:val="18"/>
                      <w:szCs w:val="18"/>
                      <w:highlight w:val="none"/>
                    </w:rPr>
                  </w:pPr>
                  <w:r>
                    <w:rPr>
                      <w:rFonts w:ascii="Times New Roman" w:hAnsi="Times New Roman" w:cs="Times New Roman"/>
                      <w:color w:val="auto"/>
                      <w:sz w:val="18"/>
                      <w:szCs w:val="18"/>
                      <w:highlight w:val="none"/>
                    </w:rPr>
                    <w:t>/</w:t>
                  </w:r>
                </w:p>
              </w:tc>
              <w:tc>
                <w:tcPr>
                  <w:tcW w:w="926" w:type="dxa"/>
                  <w:tcBorders>
                    <w:bottom w:val="single" w:color="auto" w:sz="8" w:space="0"/>
                    <w:right w:val="nil"/>
                  </w:tcBorders>
                  <w:vAlign w:val="center"/>
                </w:tcPr>
                <w:p>
                  <w:pPr>
                    <w:pStyle w:val="85"/>
                    <w:snapToGrid w:val="0"/>
                    <w:spacing w:line="240" w:lineRule="auto"/>
                    <w:rPr>
                      <w:rFonts w:ascii="Times New Roman" w:hAnsi="Times New Roman" w:cs="Times New Roman"/>
                      <w:color w:val="auto"/>
                      <w:sz w:val="18"/>
                      <w:szCs w:val="18"/>
                      <w:highlight w:val="none"/>
                    </w:rPr>
                  </w:pPr>
                  <w:r>
                    <w:rPr>
                      <w:rFonts w:ascii="Times New Roman" w:hAnsi="Times New Roman" w:cs="Times New Roman"/>
                      <w:color w:val="auto"/>
                      <w:sz w:val="18"/>
                      <w:szCs w:val="18"/>
                      <w:highlight w:val="none"/>
                    </w:rPr>
                    <w:t>/</w:t>
                  </w:r>
                </w:p>
              </w:tc>
            </w:tr>
          </w:tbl>
          <w:p>
            <w:pPr>
              <w:spacing w:line="360" w:lineRule="auto"/>
              <w:ind w:firstLine="482" w:firstLineChars="200"/>
              <w:jc w:val="left"/>
              <w:rPr>
                <w:rFonts w:ascii="Times New Roman" w:hAnsi="Times New Roman" w:eastAsia="宋体" w:cs="Times New Roman"/>
                <w:b/>
                <w:bCs/>
                <w:color w:val="auto"/>
                <w:sz w:val="24"/>
                <w:szCs w:val="24"/>
                <w:highlight w:val="none"/>
              </w:rPr>
            </w:pPr>
            <w:r>
              <w:rPr>
                <w:rFonts w:ascii="Times New Roman" w:hAnsi="Times New Roman" w:eastAsia="宋体" w:cs="Times New Roman"/>
                <w:b/>
                <w:bCs/>
                <w:color w:val="auto"/>
                <w:sz w:val="24"/>
                <w:szCs w:val="24"/>
                <w:highlight w:val="none"/>
              </w:rPr>
              <w:t>6、公用工程</w:t>
            </w:r>
          </w:p>
          <w:p>
            <w:pPr>
              <w:spacing w:line="324" w:lineRule="auto"/>
              <w:ind w:firstLine="480" w:firstLineChars="200"/>
              <w:jc w:val="left"/>
              <w:rPr>
                <w:rFonts w:ascii="Times New Roman" w:hAnsi="Times New Roman" w:eastAsia="宋体" w:cs="Times New Roman"/>
                <w:bCs/>
                <w:color w:val="auto"/>
                <w:sz w:val="24"/>
                <w:szCs w:val="24"/>
                <w:highlight w:val="none"/>
              </w:rPr>
            </w:pPr>
            <w:r>
              <w:rPr>
                <w:rFonts w:ascii="Times New Roman" w:hAnsi="Times New Roman" w:eastAsia="宋体" w:cs="Times New Roman"/>
                <w:bCs/>
                <w:color w:val="auto"/>
                <w:sz w:val="24"/>
                <w:szCs w:val="24"/>
                <w:highlight w:val="none"/>
              </w:rPr>
              <w:t>（1）给水</w:t>
            </w:r>
          </w:p>
          <w:p>
            <w:pPr>
              <w:spacing w:line="324" w:lineRule="auto"/>
              <w:ind w:firstLine="480" w:firstLineChars="200"/>
              <w:rPr>
                <w:rFonts w:ascii="Times New Roman" w:hAnsi="Times New Roman" w:eastAsia="宋体" w:cs="Times New Roman"/>
                <w:color w:val="auto"/>
                <w:sz w:val="24"/>
                <w:highlight w:val="none"/>
              </w:rPr>
            </w:pPr>
            <w:r>
              <w:rPr>
                <w:rFonts w:ascii="Times New Roman" w:hAnsi="Times New Roman" w:eastAsia="宋体" w:cs="Times New Roman"/>
                <w:color w:val="auto"/>
                <w:sz w:val="24"/>
                <w:highlight w:val="none"/>
              </w:rPr>
              <w:t>本项目用水主要为生活用水，用水量约为</w:t>
            </w:r>
            <w:r>
              <w:rPr>
                <w:rFonts w:ascii="Times New Roman" w:hAnsi="Times New Roman" w:eastAsia="宋体" w:cs="Times New Roman"/>
                <w:bCs/>
                <w:color w:val="auto"/>
                <w:sz w:val="24"/>
                <w:szCs w:val="24"/>
                <w:highlight w:val="none"/>
              </w:rPr>
              <w:t>2.25</w:t>
            </w:r>
            <w:r>
              <w:rPr>
                <w:rFonts w:ascii="Times New Roman" w:hAnsi="Times New Roman" w:eastAsia="宋体" w:cs="Times New Roman"/>
                <w:color w:val="auto"/>
                <w:sz w:val="24"/>
                <w:highlight w:val="none"/>
              </w:rPr>
              <w:t>m</w:t>
            </w:r>
            <w:r>
              <w:rPr>
                <w:rFonts w:ascii="Times New Roman" w:hAnsi="Times New Roman" w:eastAsia="宋体" w:cs="Times New Roman"/>
                <w:color w:val="auto"/>
                <w:sz w:val="24"/>
                <w:highlight w:val="none"/>
                <w:vertAlign w:val="superscript"/>
              </w:rPr>
              <w:t>3</w:t>
            </w:r>
            <w:r>
              <w:rPr>
                <w:rFonts w:ascii="Times New Roman" w:hAnsi="Times New Roman" w:eastAsia="宋体" w:cs="Times New Roman"/>
                <w:color w:val="auto"/>
                <w:sz w:val="24"/>
                <w:highlight w:val="none"/>
              </w:rPr>
              <w:t>/d（</w:t>
            </w:r>
            <w:r>
              <w:rPr>
                <w:rFonts w:ascii="Times New Roman" w:hAnsi="Times New Roman" w:eastAsia="宋体" w:cs="Times New Roman"/>
                <w:bCs/>
                <w:color w:val="auto"/>
                <w:sz w:val="24"/>
                <w:szCs w:val="24"/>
                <w:highlight w:val="none"/>
              </w:rPr>
              <w:t>675</w:t>
            </w:r>
            <w:r>
              <w:rPr>
                <w:rFonts w:ascii="Times New Roman" w:hAnsi="Times New Roman" w:eastAsia="宋体" w:cs="Times New Roman"/>
                <w:color w:val="auto"/>
                <w:sz w:val="24"/>
                <w:highlight w:val="none"/>
              </w:rPr>
              <w:t>m</w:t>
            </w:r>
            <w:r>
              <w:rPr>
                <w:rFonts w:ascii="Times New Roman" w:hAnsi="Times New Roman" w:eastAsia="宋体" w:cs="Times New Roman"/>
                <w:color w:val="auto"/>
                <w:sz w:val="24"/>
                <w:highlight w:val="none"/>
                <w:vertAlign w:val="superscript"/>
              </w:rPr>
              <w:t>3</w:t>
            </w:r>
            <w:r>
              <w:rPr>
                <w:rFonts w:ascii="Times New Roman" w:hAnsi="Times New Roman" w:eastAsia="宋体" w:cs="Times New Roman"/>
                <w:color w:val="auto"/>
                <w:sz w:val="24"/>
                <w:highlight w:val="none"/>
              </w:rPr>
              <w:t>/a）。项目用水由市政供水管网供给。</w:t>
            </w:r>
          </w:p>
          <w:p>
            <w:pPr>
              <w:adjustRightInd w:val="0"/>
              <w:spacing w:line="324" w:lineRule="auto"/>
              <w:ind w:firstLine="480" w:firstLineChars="200"/>
              <w:jc w:val="left"/>
              <w:rPr>
                <w:rFonts w:ascii="Times New Roman" w:hAnsi="Times New Roman" w:eastAsia="宋体" w:cs="Times New Roman"/>
                <w:color w:val="auto"/>
                <w:sz w:val="24"/>
                <w:szCs w:val="24"/>
                <w:highlight w:val="none"/>
              </w:rPr>
            </w:pPr>
            <w:r>
              <w:rPr>
                <w:rFonts w:ascii="Times New Roman" w:hAnsi="Times New Roman" w:eastAsia="宋体" w:cs="Times New Roman"/>
                <w:color w:val="auto"/>
                <w:sz w:val="24"/>
                <w:szCs w:val="24"/>
                <w:highlight w:val="none"/>
              </w:rPr>
              <w:t>（2）排水</w:t>
            </w:r>
          </w:p>
          <w:p>
            <w:pPr>
              <w:widowControl/>
              <w:tabs>
                <w:tab w:val="left" w:pos="3617"/>
              </w:tabs>
              <w:spacing w:line="324" w:lineRule="auto"/>
              <w:ind w:firstLine="480" w:firstLineChars="200"/>
              <w:rPr>
                <w:rFonts w:ascii="Times New Roman" w:hAnsi="Times New Roman" w:eastAsia="宋体" w:cs="Times New Roman"/>
                <w:bCs/>
                <w:color w:val="auto"/>
                <w:sz w:val="24"/>
                <w:szCs w:val="24"/>
                <w:highlight w:val="none"/>
                <w:lang w:val="en-GB"/>
              </w:rPr>
            </w:pPr>
            <w:r>
              <w:rPr>
                <w:rFonts w:ascii="Times New Roman" w:hAnsi="Times New Roman" w:eastAsia="宋体" w:cs="Times New Roman"/>
                <w:bCs/>
                <w:color w:val="auto"/>
                <w:sz w:val="24"/>
                <w:szCs w:val="24"/>
                <w:highlight w:val="none"/>
                <w:lang w:val="en-GB"/>
              </w:rPr>
              <w:t>本项目雨水排入市政雨水管网；</w:t>
            </w:r>
            <w:r>
              <w:rPr>
                <w:rFonts w:ascii="Times New Roman" w:hAnsi="Times New Roman" w:eastAsia="宋体" w:cs="Times New Roman"/>
                <w:bCs/>
                <w:color w:val="auto"/>
                <w:sz w:val="24"/>
                <w:szCs w:val="24"/>
                <w:highlight w:val="none"/>
              </w:rPr>
              <w:t>生活污水</w:t>
            </w:r>
            <w:r>
              <w:rPr>
                <w:rFonts w:ascii="Times New Roman" w:hAnsi="Times New Roman" w:eastAsia="宋体" w:cs="Times New Roman"/>
                <w:bCs/>
                <w:color w:val="auto"/>
                <w:sz w:val="24"/>
                <w:szCs w:val="24"/>
                <w:highlight w:val="none"/>
                <w:lang w:val="en-GB"/>
              </w:rPr>
              <w:t>经化粪池处理后接管至市政污水管网，送至八公山污水处理厂处理后排入淮河。</w:t>
            </w:r>
          </w:p>
          <w:p>
            <w:pPr>
              <w:widowControl/>
              <w:tabs>
                <w:tab w:val="left" w:pos="3617"/>
              </w:tabs>
              <w:spacing w:line="324" w:lineRule="auto"/>
              <w:ind w:firstLine="480" w:firstLineChars="200"/>
              <w:rPr>
                <w:rFonts w:ascii="Times New Roman" w:hAnsi="Times New Roman" w:eastAsia="宋体" w:cs="Times New Roman"/>
                <w:bCs/>
                <w:color w:val="auto"/>
                <w:sz w:val="24"/>
                <w:szCs w:val="24"/>
                <w:highlight w:val="none"/>
              </w:rPr>
            </w:pPr>
            <w:r>
              <w:rPr>
                <w:rFonts w:ascii="Times New Roman" w:hAnsi="Times New Roman" w:eastAsia="宋体" w:cs="Times New Roman"/>
                <w:bCs/>
                <w:color w:val="auto"/>
                <w:sz w:val="24"/>
                <w:szCs w:val="24"/>
                <w:highlight w:val="none"/>
              </w:rPr>
              <w:t>本项目水平衡图见下图：</w:t>
            </w:r>
          </w:p>
          <w:p>
            <w:pPr>
              <w:widowControl/>
              <w:spacing w:line="360" w:lineRule="auto"/>
              <w:rPr>
                <w:rFonts w:ascii="Times New Roman" w:hAnsi="Times New Roman" w:eastAsia="宋体" w:cs="Times New Roman"/>
                <w:bCs/>
                <w:color w:val="auto"/>
                <w:sz w:val="24"/>
                <w:szCs w:val="24"/>
                <w:highlight w:val="none"/>
              </w:rPr>
            </w:pPr>
            <w:r>
              <w:rPr>
                <w:rFonts w:ascii="Times New Roman" w:hAnsi="Times New Roman" w:eastAsia="宋体" w:cs="Times New Roman"/>
                <w:bCs/>
                <w:color w:val="auto"/>
                <w:sz w:val="24"/>
                <w:szCs w:val="24"/>
                <w:highlight w:val="none"/>
              </w:rPr>
              <w:drawing>
                <wp:inline distT="0" distB="0" distL="114300" distR="114300">
                  <wp:extent cx="5287010" cy="1137920"/>
                  <wp:effectExtent l="0" t="0" r="8890" b="5080"/>
                  <wp:docPr id="12" name="图片 12" descr="5606b771972512de1b460285b6fd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5606b771972512de1b460285b6fd971"/>
                          <pic:cNvPicPr>
                            <a:picLocks noChangeAspect="1"/>
                          </pic:cNvPicPr>
                        </pic:nvPicPr>
                        <pic:blipFill>
                          <a:blip r:embed="rId9" cstate="print"/>
                          <a:stretch>
                            <a:fillRect/>
                          </a:stretch>
                        </pic:blipFill>
                        <pic:spPr>
                          <a:xfrm>
                            <a:off x="0" y="0"/>
                            <a:ext cx="5287010" cy="1137920"/>
                          </a:xfrm>
                          <a:prstGeom prst="rect">
                            <a:avLst/>
                          </a:prstGeom>
                        </pic:spPr>
                      </pic:pic>
                    </a:graphicData>
                  </a:graphic>
                </wp:inline>
              </w:drawing>
            </w:r>
          </w:p>
          <w:p>
            <w:pPr>
              <w:adjustRightInd w:val="0"/>
              <w:spacing w:line="324" w:lineRule="auto"/>
              <w:jc w:val="center"/>
              <w:rPr>
                <w:rFonts w:ascii="Times New Roman" w:hAnsi="Times New Roman" w:eastAsia="黑体" w:cs="Times New Roman"/>
                <w:color w:val="auto"/>
                <w:sz w:val="24"/>
                <w:highlight w:val="none"/>
              </w:rPr>
            </w:pPr>
            <w:r>
              <w:rPr>
                <w:rFonts w:ascii="Times New Roman" w:hAnsi="Times New Roman" w:eastAsia="黑体" w:cs="Times New Roman"/>
                <w:color w:val="auto"/>
                <w:sz w:val="24"/>
                <w:highlight w:val="none"/>
              </w:rPr>
              <w:t>图2-1  本项目水平衡图  单位：m</w:t>
            </w:r>
            <w:r>
              <w:rPr>
                <w:rFonts w:ascii="Times New Roman" w:hAnsi="Times New Roman" w:eastAsia="黑体" w:cs="Times New Roman"/>
                <w:color w:val="auto"/>
                <w:sz w:val="24"/>
                <w:highlight w:val="none"/>
                <w:vertAlign w:val="superscript"/>
              </w:rPr>
              <w:t>3</w:t>
            </w:r>
            <w:r>
              <w:rPr>
                <w:rFonts w:ascii="Times New Roman" w:hAnsi="Times New Roman" w:eastAsia="黑体" w:cs="Times New Roman"/>
                <w:color w:val="auto"/>
                <w:sz w:val="24"/>
                <w:highlight w:val="none"/>
              </w:rPr>
              <w:t>/d</w:t>
            </w:r>
          </w:p>
          <w:p>
            <w:pPr>
              <w:adjustRightInd w:val="0"/>
              <w:spacing w:line="360" w:lineRule="auto"/>
              <w:ind w:firstLine="480" w:firstLineChars="200"/>
              <w:jc w:val="left"/>
              <w:rPr>
                <w:rFonts w:ascii="Times New Roman" w:hAnsi="Times New Roman" w:eastAsia="宋体" w:cs="Times New Roman"/>
                <w:color w:val="auto"/>
                <w:sz w:val="24"/>
                <w:szCs w:val="24"/>
                <w:highlight w:val="none"/>
              </w:rPr>
            </w:pPr>
            <w:r>
              <w:rPr>
                <w:rFonts w:ascii="Times New Roman" w:hAnsi="Times New Roman" w:eastAsia="宋体" w:cs="Times New Roman"/>
                <w:color w:val="auto"/>
                <w:sz w:val="24"/>
                <w:szCs w:val="24"/>
                <w:highlight w:val="none"/>
              </w:rPr>
              <w:t>（3）供电</w:t>
            </w:r>
          </w:p>
          <w:p>
            <w:pPr>
              <w:spacing w:line="360" w:lineRule="auto"/>
              <w:ind w:firstLine="480" w:firstLineChars="200"/>
              <w:jc w:val="left"/>
              <w:rPr>
                <w:rFonts w:ascii="Times New Roman" w:hAnsi="Times New Roman" w:eastAsia="宋体" w:cs="Times New Roman"/>
                <w:bCs/>
                <w:color w:val="auto"/>
                <w:sz w:val="24"/>
                <w:szCs w:val="24"/>
                <w:highlight w:val="none"/>
              </w:rPr>
            </w:pPr>
            <w:r>
              <w:rPr>
                <w:rFonts w:ascii="Times New Roman" w:hAnsi="Times New Roman" w:eastAsia="宋体" w:cs="Times New Roman"/>
                <w:bCs/>
                <w:color w:val="auto"/>
                <w:sz w:val="24"/>
                <w:szCs w:val="24"/>
                <w:highlight w:val="none"/>
              </w:rPr>
              <w:t>本项目用电由市政电网供电，能满足本项目生产和生活用电需求，用电量为50万kw·h/a。</w:t>
            </w:r>
          </w:p>
          <w:p>
            <w:pPr>
              <w:spacing w:line="360" w:lineRule="auto"/>
              <w:ind w:firstLine="482" w:firstLineChars="200"/>
              <w:jc w:val="left"/>
              <w:rPr>
                <w:rFonts w:ascii="Times New Roman" w:hAnsi="Times New Roman" w:eastAsia="宋体" w:cs="Times New Roman"/>
                <w:b/>
                <w:bCs/>
                <w:color w:val="auto"/>
                <w:sz w:val="24"/>
                <w:szCs w:val="24"/>
                <w:highlight w:val="none"/>
              </w:rPr>
            </w:pPr>
            <w:r>
              <w:rPr>
                <w:rFonts w:ascii="Times New Roman" w:hAnsi="Times New Roman" w:eastAsia="宋体" w:cs="Times New Roman"/>
                <w:b/>
                <w:bCs/>
                <w:color w:val="auto"/>
                <w:sz w:val="24"/>
                <w:szCs w:val="24"/>
                <w:highlight w:val="none"/>
              </w:rPr>
              <w:t>7、劳动定员及工作制度</w:t>
            </w:r>
          </w:p>
          <w:p>
            <w:pPr>
              <w:spacing w:line="360" w:lineRule="auto"/>
              <w:ind w:firstLine="480" w:firstLineChars="200"/>
              <w:rPr>
                <w:rFonts w:ascii="Times New Roman" w:hAnsi="Times New Roman" w:eastAsia="宋体" w:cs="Times New Roman"/>
                <w:bCs/>
                <w:color w:val="auto"/>
                <w:sz w:val="24"/>
                <w:szCs w:val="24"/>
                <w:highlight w:val="none"/>
              </w:rPr>
            </w:pPr>
            <w:r>
              <w:rPr>
                <w:rFonts w:ascii="Times New Roman" w:hAnsi="Times New Roman" w:eastAsia="宋体" w:cs="Times New Roman"/>
                <w:color w:val="auto"/>
                <w:sz w:val="24"/>
                <w:highlight w:val="none"/>
              </w:rPr>
              <w:t>本项目拟定员45人，工作制度为8小时一班，每天一班，年工作日300天（2400h/a）。厂区内不设食宿。</w:t>
            </w:r>
          </w:p>
          <w:p>
            <w:pPr>
              <w:spacing w:line="360" w:lineRule="auto"/>
              <w:ind w:firstLine="482" w:firstLineChars="200"/>
              <w:jc w:val="left"/>
              <w:rPr>
                <w:rFonts w:ascii="Times New Roman" w:hAnsi="Times New Roman" w:eastAsia="宋体" w:cs="Times New Roman"/>
                <w:b/>
                <w:bCs/>
                <w:color w:val="auto"/>
                <w:sz w:val="24"/>
                <w:szCs w:val="24"/>
                <w:highlight w:val="none"/>
              </w:rPr>
            </w:pPr>
            <w:r>
              <w:rPr>
                <w:rFonts w:ascii="Times New Roman" w:hAnsi="Times New Roman" w:eastAsia="宋体" w:cs="Times New Roman"/>
                <w:b/>
                <w:bCs/>
                <w:color w:val="auto"/>
                <w:sz w:val="24"/>
                <w:szCs w:val="24"/>
                <w:highlight w:val="none"/>
              </w:rPr>
              <w:t>8、厂区总平面布置</w:t>
            </w:r>
          </w:p>
          <w:p>
            <w:pPr>
              <w:spacing w:line="348" w:lineRule="auto"/>
              <w:ind w:firstLine="480" w:firstLineChars="200"/>
              <w:rPr>
                <w:rFonts w:ascii="Times New Roman" w:hAnsi="Times New Roman" w:eastAsia="宋体" w:cs="Times New Roman"/>
                <w:color w:val="auto"/>
                <w:sz w:val="24"/>
                <w:highlight w:val="none"/>
              </w:rPr>
            </w:pPr>
            <w:r>
              <w:rPr>
                <w:rFonts w:ascii="Times New Roman" w:hAnsi="Times New Roman" w:eastAsia="宋体" w:cs="Times New Roman"/>
                <w:color w:val="auto"/>
                <w:sz w:val="24"/>
                <w:szCs w:val="24"/>
                <w:highlight w:val="none"/>
              </w:rPr>
              <w:t>安徽福斯特智能科技有限公司位于</w:t>
            </w:r>
            <w:r>
              <w:rPr>
                <w:rFonts w:ascii="Times New Roman" w:hAnsi="Times New Roman" w:eastAsia="宋体" w:cs="Times New Roman"/>
                <w:color w:val="auto"/>
                <w:sz w:val="24"/>
                <w:highlight w:val="none"/>
              </w:rPr>
              <w:t>淮南市八公山区毕家岗街道新建社区，本项目生产区域设置在租赁厂房一层的北部及东南部，厂房2层设置办公区域及仓库，本项目各生产单元布置合理，整个厂区功能分区明确，各个区域之间能够满足生产和运输要求；运输不选在清晨、中午午休和夜间休息时间，可以减少运输噪声对周边居民影响，综上本项目总图布置较为合理。</w:t>
            </w:r>
          </w:p>
          <w:p>
            <w:pPr>
              <w:spacing w:line="360" w:lineRule="auto"/>
              <w:ind w:firstLine="480" w:firstLineChars="200"/>
              <w:rPr>
                <w:rFonts w:ascii="Times New Roman" w:hAnsi="Times New Roman" w:eastAsia="宋体" w:cs="Times New Roman"/>
                <w:color w:val="auto"/>
                <w:sz w:val="24"/>
                <w:highlight w:val="none"/>
              </w:rPr>
            </w:pPr>
          </w:p>
          <w:p>
            <w:pPr>
              <w:spacing w:line="360" w:lineRule="auto"/>
              <w:rPr>
                <w:rFonts w:ascii="Times New Roman" w:hAnsi="Times New Roman" w:eastAsia="宋体" w:cs="Times New Roman"/>
                <w:color w:val="auto"/>
                <w:sz w:val="24"/>
                <w:highlight w:val="none"/>
              </w:rPr>
            </w:pPr>
          </w:p>
        </w:tc>
      </w:tr>
    </w:tbl>
    <w:p>
      <w:pPr>
        <w:rPr>
          <w:rFonts w:ascii="Times New Roman" w:hAnsi="Times New Roman" w:eastAsia="宋体" w:cs="Times New Roman"/>
        </w:rPr>
        <w:sectPr>
          <w:headerReference r:id="rId6" w:type="default"/>
          <w:footerReference r:id="rId7" w:type="default"/>
          <w:pgSz w:w="11906" w:h="16838"/>
          <w:pgMar w:top="1701" w:right="1531" w:bottom="1701" w:left="1531" w:header="851" w:footer="992" w:gutter="0"/>
          <w:pgBorders>
            <w:top w:val="none" w:sz="0" w:space="0"/>
            <w:left w:val="none" w:sz="0" w:space="0"/>
            <w:bottom w:val="none" w:sz="0" w:space="0"/>
            <w:right w:val="none" w:sz="0" w:space="0"/>
          </w:pgBorders>
          <w:cols w:space="425" w:num="1"/>
          <w:docGrid w:type="lines" w:linePitch="312" w:charSpace="0"/>
        </w:sectPr>
      </w:pPr>
    </w:p>
    <w:tbl>
      <w:tblPr>
        <w:tblStyle w:val="17"/>
        <w:tblW w:w="9270"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456"/>
        <w:gridCol w:w="8814"/>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216" w:hRule="atLeast"/>
          <w:jc w:val="center"/>
        </w:trPr>
        <w:tc>
          <w:tcPr>
            <w:tcW w:w="456" w:type="dxa"/>
            <w:vAlign w:val="center"/>
          </w:tcPr>
          <w:p>
            <w:pPr>
              <w:widowControl/>
              <w:adjustRightInd w:val="0"/>
              <w:snapToGrid w:val="0"/>
              <w:jc w:val="center"/>
              <w:rPr>
                <w:rFonts w:ascii="Times New Roman" w:hAnsi="Times New Roman" w:eastAsia="宋体" w:cs="Times New Roman"/>
                <w:color w:val="auto"/>
                <w:kern w:val="0"/>
                <w:sz w:val="24"/>
                <w:szCs w:val="24"/>
                <w:highlight w:val="none"/>
              </w:rPr>
            </w:pPr>
            <w:r>
              <w:rPr>
                <w:rFonts w:ascii="Times New Roman" w:hAnsi="Times New Roman" w:eastAsia="宋体" w:cs="Times New Roman"/>
                <w:color w:val="auto"/>
                <w:kern w:val="0"/>
                <w:sz w:val="24"/>
                <w:szCs w:val="24"/>
                <w:highlight w:val="none"/>
              </w:rPr>
              <w:t>工艺流程和产排污环节</w:t>
            </w:r>
          </w:p>
        </w:tc>
        <w:tc>
          <w:tcPr>
            <w:tcW w:w="8814" w:type="dxa"/>
          </w:tcPr>
          <w:p>
            <w:pPr>
              <w:spacing w:line="360" w:lineRule="auto"/>
              <w:ind w:firstLine="482" w:firstLineChars="200"/>
              <w:rPr>
                <w:rFonts w:ascii="Times New Roman" w:hAnsi="Times New Roman" w:eastAsia="宋体" w:cs="Times New Roman"/>
                <w:b/>
                <w:bCs/>
                <w:color w:val="auto"/>
                <w:sz w:val="24"/>
                <w:szCs w:val="24"/>
                <w:highlight w:val="none"/>
              </w:rPr>
            </w:pPr>
            <w:r>
              <w:rPr>
                <w:rFonts w:ascii="Times New Roman" w:hAnsi="Times New Roman" w:eastAsia="宋体" w:cs="Times New Roman"/>
                <w:b/>
                <w:bCs/>
                <w:color w:val="auto"/>
                <w:sz w:val="24"/>
                <w:szCs w:val="24"/>
                <w:highlight w:val="none"/>
              </w:rPr>
              <w:t>1、施工期工艺流程和产排污环节</w:t>
            </w:r>
          </w:p>
          <w:p>
            <w:pPr>
              <w:spacing w:line="360" w:lineRule="auto"/>
              <w:ind w:firstLine="480" w:firstLineChars="200"/>
              <w:rPr>
                <w:rFonts w:ascii="Times New Roman" w:hAnsi="Times New Roman" w:eastAsia="宋体" w:cs="Times New Roman"/>
                <w:color w:val="auto"/>
                <w:sz w:val="24"/>
                <w:szCs w:val="24"/>
                <w:highlight w:val="none"/>
              </w:rPr>
            </w:pPr>
            <w:r>
              <w:rPr>
                <w:rFonts w:ascii="Times New Roman" w:hAnsi="Times New Roman" w:eastAsia="宋体" w:cs="Times New Roman"/>
                <w:color w:val="auto"/>
                <w:sz w:val="24"/>
                <w:szCs w:val="24"/>
                <w:highlight w:val="none"/>
              </w:rPr>
              <w:t>本项目租赁现有厂房，施工期主要为设备安装，安装完成后进行工程竣工验收，验收合格后交付建设单位。设备安装主要污染物为噪声。</w:t>
            </w:r>
          </w:p>
          <w:p>
            <w:pPr>
              <w:widowControl/>
              <w:spacing w:line="360" w:lineRule="auto"/>
              <w:ind w:firstLine="482" w:firstLineChars="200"/>
              <w:jc w:val="left"/>
              <w:rPr>
                <w:rFonts w:ascii="Times New Roman" w:hAnsi="Times New Roman" w:eastAsia="宋体" w:cs="Times New Roman"/>
                <w:b/>
                <w:bCs/>
                <w:color w:val="auto"/>
                <w:sz w:val="24"/>
                <w:szCs w:val="24"/>
                <w:highlight w:val="none"/>
              </w:rPr>
            </w:pPr>
            <w:r>
              <w:rPr>
                <w:rFonts w:ascii="Times New Roman" w:hAnsi="Times New Roman" w:eastAsia="宋体" w:cs="Times New Roman"/>
                <w:b/>
                <w:bCs/>
                <w:color w:val="auto"/>
                <w:sz w:val="24"/>
                <w:szCs w:val="24"/>
                <w:highlight w:val="none"/>
              </w:rPr>
              <w:t>2、运营期工艺流程和产排污环节</w:t>
            </w:r>
          </w:p>
          <w:p>
            <w:pPr>
              <w:widowControl/>
              <w:spacing w:line="360" w:lineRule="auto"/>
              <w:ind w:firstLine="480" w:firstLineChars="200"/>
              <w:jc w:val="left"/>
              <w:rPr>
                <w:rFonts w:ascii="Times New Roman" w:hAnsi="Times New Roman" w:eastAsia="宋体" w:cs="Times New Roman"/>
                <w:bCs/>
                <w:color w:val="auto"/>
                <w:sz w:val="24"/>
                <w:szCs w:val="24"/>
                <w:highlight w:val="none"/>
              </w:rPr>
            </w:pPr>
            <w:r>
              <w:rPr>
                <w:rFonts w:ascii="Times New Roman" w:hAnsi="Times New Roman" w:eastAsia="宋体" w:cs="Times New Roman"/>
                <w:bCs/>
                <w:color w:val="auto"/>
                <w:sz w:val="24"/>
                <w:szCs w:val="24"/>
                <w:highlight w:val="none"/>
              </w:rPr>
              <w:t>本项目生产自动售货机和智能垃圾分类箱，两种产品工艺相同，具体工艺流程和产排污环节如下：</w:t>
            </w:r>
          </w:p>
          <w:p>
            <w:pPr>
              <w:widowControl/>
              <w:spacing w:line="360" w:lineRule="auto"/>
              <w:jc w:val="left"/>
              <w:rPr>
                <w:rFonts w:hint="eastAsia" w:ascii="Times New Roman" w:hAnsi="Times New Roman" w:eastAsia="宋体" w:cs="Times New Roman"/>
                <w:bCs/>
                <w:color w:val="auto"/>
                <w:sz w:val="24"/>
                <w:szCs w:val="24"/>
                <w:highlight w:val="none"/>
                <w:lang w:eastAsia="zh-CN"/>
              </w:rPr>
            </w:pPr>
            <w:r>
              <w:rPr>
                <w:rFonts w:hint="eastAsia" w:ascii="Times New Roman" w:hAnsi="Times New Roman" w:eastAsia="宋体" w:cs="Times New Roman"/>
                <w:bCs/>
                <w:color w:val="auto"/>
                <w:sz w:val="24"/>
                <w:szCs w:val="24"/>
                <w:highlight w:val="none"/>
                <w:lang w:eastAsia="zh-CN"/>
              </w:rPr>
              <w:drawing>
                <wp:inline distT="0" distB="0" distL="114300" distR="114300">
                  <wp:extent cx="5457825" cy="6092825"/>
                  <wp:effectExtent l="0" t="0" r="0" b="3175"/>
                  <wp:docPr id="16" name="图片 16" descr="134e8015f6ca2d2cc1cd45dcc357db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134e8015f6ca2d2cc1cd45dcc357db9"/>
                          <pic:cNvPicPr>
                            <a:picLocks noChangeAspect="1"/>
                          </pic:cNvPicPr>
                        </pic:nvPicPr>
                        <pic:blipFill>
                          <a:blip r:embed="rId10"/>
                          <a:stretch>
                            <a:fillRect/>
                          </a:stretch>
                        </pic:blipFill>
                        <pic:spPr>
                          <a:xfrm>
                            <a:off x="0" y="0"/>
                            <a:ext cx="5457825" cy="6092825"/>
                          </a:xfrm>
                          <a:prstGeom prst="rect">
                            <a:avLst/>
                          </a:prstGeom>
                        </pic:spPr>
                      </pic:pic>
                    </a:graphicData>
                  </a:graphic>
                </wp:inline>
              </w:drawing>
            </w:r>
          </w:p>
          <w:p>
            <w:pPr>
              <w:adjustRightInd w:val="0"/>
              <w:spacing w:line="324" w:lineRule="auto"/>
              <w:jc w:val="center"/>
              <w:rPr>
                <w:rFonts w:ascii="Times New Roman" w:hAnsi="Times New Roman" w:eastAsia="黑体" w:cs="Times New Roman"/>
                <w:color w:val="auto"/>
                <w:sz w:val="24"/>
                <w:highlight w:val="none"/>
              </w:rPr>
            </w:pPr>
            <w:r>
              <w:rPr>
                <w:rFonts w:ascii="Times New Roman" w:hAnsi="Times New Roman" w:eastAsia="黑体" w:cs="Times New Roman"/>
                <w:color w:val="auto"/>
                <w:sz w:val="24"/>
                <w:highlight w:val="none"/>
              </w:rPr>
              <w:t>图2-</w:t>
            </w:r>
            <w:r>
              <w:rPr>
                <w:rFonts w:hint="eastAsia" w:ascii="Times New Roman" w:hAnsi="Times New Roman" w:eastAsia="黑体" w:cs="Times New Roman"/>
                <w:color w:val="auto"/>
                <w:sz w:val="24"/>
                <w:highlight w:val="none"/>
              </w:rPr>
              <w:t>2</w:t>
            </w:r>
            <w:r>
              <w:rPr>
                <w:rFonts w:ascii="Times New Roman" w:hAnsi="Times New Roman" w:eastAsia="黑体" w:cs="Times New Roman"/>
                <w:color w:val="auto"/>
                <w:sz w:val="24"/>
                <w:highlight w:val="none"/>
              </w:rPr>
              <w:t xml:space="preserve">  工艺流程和产排污环节节点图</w:t>
            </w:r>
          </w:p>
          <w:p>
            <w:pPr>
              <w:pStyle w:val="23"/>
              <w:spacing w:after="0" w:line="360" w:lineRule="auto"/>
              <w:ind w:firstLine="482" w:firstLineChars="200"/>
              <w:jc w:val="left"/>
              <w:rPr>
                <w:rFonts w:ascii="Times New Roman" w:hAnsi="Times New Roman" w:eastAsia="宋体"/>
                <w:b/>
                <w:bCs/>
                <w:color w:val="auto"/>
                <w:sz w:val="24"/>
                <w:szCs w:val="24"/>
                <w:highlight w:val="none"/>
              </w:rPr>
            </w:pPr>
            <w:r>
              <w:rPr>
                <w:rFonts w:ascii="Times New Roman" w:hAnsi="Times New Roman" w:eastAsia="宋体"/>
                <w:b/>
                <w:bCs/>
                <w:color w:val="auto"/>
                <w:sz w:val="24"/>
                <w:szCs w:val="24"/>
                <w:highlight w:val="none"/>
              </w:rPr>
              <w:t>工艺流程概述:</w:t>
            </w:r>
          </w:p>
          <w:p>
            <w:pPr>
              <w:pStyle w:val="23"/>
              <w:spacing w:after="0" w:line="360" w:lineRule="auto"/>
              <w:ind w:firstLine="480" w:firstLineChars="200"/>
              <w:jc w:val="left"/>
              <w:rPr>
                <w:rFonts w:ascii="Times New Roman" w:hAnsi="Times New Roman" w:eastAsia="宋体"/>
                <w:color w:val="auto"/>
                <w:sz w:val="24"/>
                <w:szCs w:val="24"/>
                <w:highlight w:val="none"/>
              </w:rPr>
            </w:pPr>
            <w:r>
              <w:rPr>
                <w:rFonts w:ascii="Times New Roman" w:hAnsi="Times New Roman" w:eastAsia="宋体"/>
                <w:color w:val="auto"/>
                <w:sz w:val="24"/>
                <w:szCs w:val="24"/>
                <w:highlight w:val="none"/>
              </w:rPr>
              <w:t>①切割：将外购的冷钢钢板通过激光切割机，按照所需尺寸进行切割。切割过程中会产生少量切割烟尘G1和钢板边角料S1，其中切割烟尘由集气罩收集经布袋除尘器处理后，通过15m高1#排气筒排放。</w:t>
            </w:r>
          </w:p>
          <w:p>
            <w:pPr>
              <w:pStyle w:val="23"/>
              <w:spacing w:after="0" w:line="360" w:lineRule="auto"/>
              <w:ind w:firstLine="480" w:firstLineChars="200"/>
              <w:jc w:val="left"/>
              <w:rPr>
                <w:rFonts w:ascii="Times New Roman" w:hAnsi="Times New Roman" w:eastAsia="宋体"/>
                <w:color w:val="auto"/>
                <w:sz w:val="24"/>
                <w:szCs w:val="24"/>
                <w:highlight w:val="none"/>
              </w:rPr>
            </w:pPr>
            <w:r>
              <w:rPr>
                <w:rFonts w:ascii="Times New Roman" w:hAnsi="Times New Roman" w:eastAsia="宋体"/>
                <w:color w:val="auto"/>
                <w:sz w:val="24"/>
                <w:szCs w:val="24"/>
                <w:highlight w:val="none"/>
              </w:rPr>
              <w:t>②折弯：切割好的钢材经数控折弯机进行折弯。</w:t>
            </w:r>
          </w:p>
          <w:p>
            <w:pPr>
              <w:pStyle w:val="23"/>
              <w:spacing w:after="0" w:line="360" w:lineRule="auto"/>
              <w:ind w:firstLine="480" w:firstLineChars="200"/>
              <w:jc w:val="left"/>
              <w:rPr>
                <w:rFonts w:ascii="Times New Roman" w:hAnsi="Times New Roman" w:eastAsia="宋体"/>
                <w:color w:val="auto"/>
                <w:sz w:val="24"/>
                <w:szCs w:val="24"/>
                <w:highlight w:val="none"/>
              </w:rPr>
            </w:pPr>
            <w:r>
              <w:rPr>
                <w:rFonts w:ascii="Times New Roman" w:hAnsi="Times New Roman" w:eastAsia="宋体"/>
                <w:color w:val="auto"/>
                <w:sz w:val="24"/>
                <w:szCs w:val="24"/>
                <w:highlight w:val="none"/>
              </w:rPr>
              <w:t>③焊接：</w:t>
            </w:r>
            <w:r>
              <w:rPr>
                <w:rFonts w:ascii="Times New Roman" w:hAnsi="Times New Roman" w:eastAsia="宋体"/>
                <w:color w:val="auto"/>
                <w:kern w:val="0"/>
                <w:sz w:val="24"/>
                <w:szCs w:val="24"/>
                <w:highlight w:val="none"/>
              </w:rPr>
              <w:t>对折弯后的钢材进行焊接，焊接过程中会产生焊接烟尘G2和焊渣S2，其中焊接烟尘由</w:t>
            </w:r>
            <w:r>
              <w:rPr>
                <w:rFonts w:ascii="Times New Roman" w:hAnsi="Times New Roman" w:eastAsia="宋体"/>
                <w:color w:val="auto"/>
                <w:sz w:val="24"/>
                <w:szCs w:val="24"/>
                <w:highlight w:val="none"/>
              </w:rPr>
              <w:t>集气罩收集经布袋除尘器处理后，通过15m高1#排气筒排放。</w:t>
            </w:r>
          </w:p>
          <w:p>
            <w:pPr>
              <w:pStyle w:val="23"/>
              <w:spacing w:after="0" w:line="360" w:lineRule="auto"/>
              <w:ind w:firstLine="480" w:firstLineChars="200"/>
              <w:jc w:val="left"/>
              <w:rPr>
                <w:rFonts w:ascii="Times New Roman" w:hAnsi="Times New Roman" w:eastAsia="宋体"/>
                <w:color w:val="auto"/>
                <w:sz w:val="24"/>
                <w:szCs w:val="24"/>
                <w:highlight w:val="none"/>
              </w:rPr>
            </w:pPr>
            <w:r>
              <w:rPr>
                <w:rFonts w:ascii="Times New Roman" w:hAnsi="Times New Roman" w:eastAsia="宋体"/>
                <w:color w:val="auto"/>
                <w:sz w:val="24"/>
                <w:szCs w:val="24"/>
                <w:highlight w:val="none"/>
              </w:rPr>
              <w:t>④人工打磨：焊接后的钢板表面存在极少的粗糙点，通过砂纸人工进行打磨。此工序产生极少量的颗粒物，忽略不计</w:t>
            </w:r>
            <w:r>
              <w:rPr>
                <w:rFonts w:hint="eastAsia" w:ascii="Times New Roman" w:hAnsi="Times New Roman" w:eastAsia="宋体"/>
                <w:color w:val="auto"/>
                <w:sz w:val="24"/>
                <w:szCs w:val="24"/>
                <w:highlight w:val="none"/>
                <w:lang w:eastAsia="zh-CN"/>
              </w:rPr>
              <w:t>，</w:t>
            </w:r>
            <w:r>
              <w:rPr>
                <w:rFonts w:hint="eastAsia" w:ascii="Times New Roman" w:hAnsi="Times New Roman" w:eastAsia="宋体"/>
                <w:color w:val="auto"/>
                <w:sz w:val="24"/>
                <w:szCs w:val="24"/>
                <w:highlight w:val="none"/>
                <w:lang w:val="en-US" w:eastAsia="zh-CN"/>
              </w:rPr>
              <w:t>同时会产生废砂纸S3</w:t>
            </w:r>
            <w:r>
              <w:rPr>
                <w:rFonts w:ascii="Times New Roman" w:hAnsi="Times New Roman" w:eastAsia="宋体"/>
                <w:color w:val="auto"/>
                <w:sz w:val="24"/>
                <w:szCs w:val="24"/>
                <w:highlight w:val="none"/>
              </w:rPr>
              <w:t>。</w:t>
            </w:r>
          </w:p>
          <w:p>
            <w:pPr>
              <w:pStyle w:val="23"/>
              <w:spacing w:after="0" w:line="360" w:lineRule="auto"/>
              <w:ind w:firstLine="480" w:firstLineChars="200"/>
              <w:jc w:val="left"/>
              <w:rPr>
                <w:rFonts w:ascii="Times New Roman" w:hAnsi="Times New Roman" w:eastAsia="宋体"/>
                <w:color w:val="auto"/>
                <w:sz w:val="24"/>
                <w:highlight w:val="none"/>
              </w:rPr>
            </w:pPr>
            <w:r>
              <w:rPr>
                <w:rFonts w:ascii="Times New Roman" w:hAnsi="Times New Roman" w:eastAsia="宋体"/>
                <w:color w:val="auto"/>
                <w:sz w:val="24"/>
                <w:szCs w:val="24"/>
                <w:highlight w:val="none"/>
              </w:rPr>
              <w:t>⑤喷塑：将打磨好的工件运至喷塑间内进行喷塑，本项目喷塑间为全封闭式流水线作业，由粉末喷涂和粉末回收系统组成，其中喷塑过程是</w:t>
            </w:r>
            <w:r>
              <w:rPr>
                <w:rFonts w:ascii="Times New Roman" w:hAnsi="Times New Roman" w:eastAsia="宋体"/>
                <w:color w:val="auto"/>
                <w:sz w:val="24"/>
                <w:highlight w:val="none"/>
              </w:rPr>
              <w:t>用喷枪将塑粉喷到工件表面，在静电作用下，粉末会均匀的吸附与工件表面，形成粉状的涂层。喷塑过程中会产生的喷塑粉尘G3，通过喷塑间内设置大旋风+滤芯粉末回收装置进行收集处理此过程会产生废塑粉S</w:t>
            </w:r>
            <w:r>
              <w:rPr>
                <w:rFonts w:hint="eastAsia" w:ascii="Times New Roman" w:hAnsi="Times New Roman" w:eastAsia="宋体"/>
                <w:color w:val="auto"/>
                <w:sz w:val="24"/>
                <w:highlight w:val="none"/>
                <w:lang w:val="en-US" w:eastAsia="zh-CN"/>
              </w:rPr>
              <w:t>4</w:t>
            </w:r>
            <w:r>
              <w:rPr>
                <w:rFonts w:ascii="Times New Roman" w:hAnsi="Times New Roman" w:eastAsia="宋体"/>
                <w:color w:val="auto"/>
                <w:sz w:val="24"/>
                <w:highlight w:val="none"/>
              </w:rPr>
              <w:t>，处理后的废气经由15m高的2#排气筒排放，收集的废塑粉则回用至喷塑工序。</w:t>
            </w:r>
          </w:p>
          <w:p>
            <w:pPr>
              <w:pStyle w:val="23"/>
              <w:spacing w:after="0" w:line="360" w:lineRule="auto"/>
              <w:ind w:firstLine="480" w:firstLineChars="200"/>
              <w:jc w:val="left"/>
              <w:rPr>
                <w:rFonts w:ascii="Times New Roman" w:hAnsi="Times New Roman" w:eastAsia="宋体"/>
                <w:color w:val="auto"/>
                <w:sz w:val="24"/>
                <w:highlight w:val="none"/>
              </w:rPr>
            </w:pPr>
            <w:r>
              <w:rPr>
                <w:rFonts w:ascii="Times New Roman" w:hAnsi="Times New Roman" w:eastAsia="宋体"/>
                <w:color w:val="auto"/>
                <w:sz w:val="24"/>
                <w:szCs w:val="24"/>
                <w:highlight w:val="none"/>
              </w:rPr>
              <w:t>⑥固化：</w:t>
            </w:r>
            <w:r>
              <w:rPr>
                <w:rFonts w:ascii="Times New Roman" w:hAnsi="Times New Roman" w:eastAsia="宋体"/>
                <w:color w:val="auto"/>
                <w:sz w:val="24"/>
                <w:highlight w:val="none"/>
              </w:rPr>
              <w:t>喷塑完成的工件通过悬挂输送机传送至高温固化间中进行高温固化。将工件表面的粉末涂料加热到规定的温度，并保持相应的时间，使之熔化、流平、固化，从而达到想要的工件表面效果。此过程中采用电加热，加热温度约190℃，固化时间约为1h，固化后的工件自然晾干，固化晾干过程会产生固化废气G4，废气通过二级活性炭吸附装置处理后经由15m高的2#排气筒排放。</w:t>
            </w:r>
          </w:p>
          <w:p>
            <w:pPr>
              <w:pStyle w:val="23"/>
              <w:spacing w:after="0" w:line="360" w:lineRule="auto"/>
              <w:ind w:firstLine="480" w:firstLineChars="200"/>
              <w:jc w:val="left"/>
              <w:rPr>
                <w:rFonts w:ascii="Times New Roman" w:hAnsi="Times New Roman" w:eastAsia="宋体"/>
                <w:color w:val="auto"/>
                <w:sz w:val="24"/>
                <w:highlight w:val="none"/>
              </w:rPr>
            </w:pPr>
            <w:r>
              <w:rPr>
                <w:rFonts w:ascii="Times New Roman" w:hAnsi="Times New Roman" w:eastAsia="宋体"/>
                <w:color w:val="auto"/>
                <w:sz w:val="24"/>
                <w:highlight w:val="none"/>
              </w:rPr>
              <w:t>⑦组装：将加工好的散件进行人工组装。</w:t>
            </w:r>
          </w:p>
          <w:p>
            <w:pPr>
              <w:pStyle w:val="23"/>
              <w:spacing w:after="0" w:line="360" w:lineRule="auto"/>
              <w:ind w:firstLine="480" w:firstLineChars="200"/>
              <w:jc w:val="left"/>
              <w:rPr>
                <w:rFonts w:ascii="Times New Roman" w:hAnsi="Times New Roman" w:eastAsia="宋体"/>
                <w:color w:val="auto"/>
                <w:sz w:val="24"/>
                <w:highlight w:val="none"/>
              </w:rPr>
            </w:pPr>
            <w:r>
              <w:rPr>
                <w:rFonts w:ascii="Times New Roman" w:hAnsi="Times New Roman" w:eastAsia="宋体"/>
                <w:color w:val="auto"/>
                <w:sz w:val="24"/>
                <w:highlight w:val="none"/>
              </w:rPr>
              <w:t>⑧包装：将组装好的产品进行打包，包装后放入成品区。此过程会产生废包装物S</w:t>
            </w:r>
            <w:r>
              <w:rPr>
                <w:rFonts w:hint="eastAsia" w:ascii="Times New Roman" w:hAnsi="Times New Roman" w:eastAsia="宋体"/>
                <w:color w:val="auto"/>
                <w:sz w:val="24"/>
                <w:highlight w:val="none"/>
                <w:lang w:val="en-US" w:eastAsia="zh-CN"/>
              </w:rPr>
              <w:t>5</w:t>
            </w:r>
            <w:r>
              <w:rPr>
                <w:rFonts w:ascii="Times New Roman" w:hAnsi="Times New Roman" w:eastAsia="宋体"/>
                <w:color w:val="auto"/>
                <w:sz w:val="24"/>
                <w:highlight w:val="none"/>
              </w:rPr>
              <w:t>。</w:t>
            </w:r>
          </w:p>
          <w:p>
            <w:pPr>
              <w:adjustRightInd w:val="0"/>
              <w:spacing w:line="324" w:lineRule="auto"/>
              <w:jc w:val="center"/>
              <w:rPr>
                <w:rFonts w:ascii="Times New Roman" w:hAnsi="Times New Roman" w:eastAsia="黑体" w:cs="Times New Roman"/>
                <w:color w:val="auto"/>
                <w:sz w:val="24"/>
                <w:highlight w:val="none"/>
              </w:rPr>
            </w:pPr>
            <w:r>
              <w:rPr>
                <w:rFonts w:ascii="Times New Roman" w:hAnsi="Times New Roman" w:eastAsia="黑体" w:cs="Times New Roman"/>
                <w:color w:val="auto"/>
                <w:sz w:val="24"/>
                <w:highlight w:val="none"/>
              </w:rPr>
              <w:t>表2-6  项目产污环节及治理措施一览表</w:t>
            </w:r>
          </w:p>
          <w:tbl>
            <w:tblPr>
              <w:tblStyle w:val="17"/>
              <w:tblW w:w="4998" w:type="pct"/>
              <w:jc w:val="center"/>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Layout w:type="autofit"/>
              <w:tblCellMar>
                <w:top w:w="0" w:type="dxa"/>
                <w:left w:w="108" w:type="dxa"/>
                <w:bottom w:w="0" w:type="dxa"/>
                <w:right w:w="108" w:type="dxa"/>
              </w:tblCellMar>
            </w:tblPr>
            <w:tblGrid>
              <w:gridCol w:w="923"/>
              <w:gridCol w:w="953"/>
              <w:gridCol w:w="1123"/>
              <w:gridCol w:w="1248"/>
              <w:gridCol w:w="4348"/>
            </w:tblGrid>
            <w:tr>
              <w:tblPrEx>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537" w:type="pct"/>
                  <w:tcBorders>
                    <w:bottom w:val="single" w:color="000000" w:sz="4" w:space="0"/>
                  </w:tcBorders>
                  <w:shd w:val="clear" w:color="auto" w:fill="auto"/>
                  <w:vAlign w:val="center"/>
                </w:tcPr>
                <w:p>
                  <w:pPr>
                    <w:widowControl/>
                    <w:jc w:val="center"/>
                    <w:textAlignment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kern w:val="0"/>
                      <w:sz w:val="18"/>
                      <w:szCs w:val="18"/>
                      <w:highlight w:val="none"/>
                    </w:rPr>
                    <w:t>生产线</w:t>
                  </w:r>
                </w:p>
              </w:tc>
              <w:tc>
                <w:tcPr>
                  <w:tcW w:w="554" w:type="pct"/>
                  <w:tcBorders>
                    <w:bottom w:val="single" w:color="000000" w:sz="4" w:space="0"/>
                  </w:tcBorders>
                  <w:shd w:val="clear" w:color="auto" w:fill="auto"/>
                  <w:vAlign w:val="center"/>
                </w:tcPr>
                <w:p>
                  <w:pPr>
                    <w:widowControl/>
                    <w:jc w:val="center"/>
                    <w:textAlignment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kern w:val="0"/>
                      <w:sz w:val="18"/>
                      <w:szCs w:val="18"/>
                      <w:highlight w:val="none"/>
                    </w:rPr>
                    <w:t>编号</w:t>
                  </w:r>
                </w:p>
              </w:tc>
              <w:tc>
                <w:tcPr>
                  <w:tcW w:w="653" w:type="pct"/>
                  <w:tcBorders>
                    <w:bottom w:val="single" w:color="000000" w:sz="4" w:space="0"/>
                  </w:tcBorders>
                  <w:shd w:val="clear" w:color="auto" w:fill="auto"/>
                  <w:vAlign w:val="center"/>
                </w:tcPr>
                <w:p>
                  <w:pPr>
                    <w:widowControl/>
                    <w:jc w:val="center"/>
                    <w:textAlignment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kern w:val="0"/>
                      <w:sz w:val="18"/>
                      <w:szCs w:val="18"/>
                      <w:highlight w:val="none"/>
                    </w:rPr>
                    <w:t>污染源</w:t>
                  </w:r>
                </w:p>
              </w:tc>
              <w:tc>
                <w:tcPr>
                  <w:tcW w:w="726" w:type="pct"/>
                  <w:tcBorders>
                    <w:bottom w:val="single" w:color="000000" w:sz="4" w:space="0"/>
                  </w:tcBorders>
                  <w:shd w:val="clear" w:color="auto" w:fill="auto"/>
                  <w:vAlign w:val="center"/>
                </w:tcPr>
                <w:p>
                  <w:pPr>
                    <w:widowControl/>
                    <w:jc w:val="center"/>
                    <w:textAlignment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kern w:val="0"/>
                      <w:sz w:val="18"/>
                      <w:szCs w:val="18"/>
                      <w:highlight w:val="none"/>
                    </w:rPr>
                    <w:t>主要成分</w:t>
                  </w:r>
                </w:p>
              </w:tc>
              <w:tc>
                <w:tcPr>
                  <w:tcW w:w="2528" w:type="pct"/>
                  <w:tcBorders>
                    <w:bottom w:val="single" w:color="000000" w:sz="4" w:space="0"/>
                  </w:tcBorders>
                  <w:shd w:val="clear" w:color="auto" w:fill="auto"/>
                  <w:vAlign w:val="center"/>
                </w:tcPr>
                <w:p>
                  <w:pPr>
                    <w:widowControl/>
                    <w:snapToGrid w:val="0"/>
                    <w:spacing w:line="276" w:lineRule="auto"/>
                    <w:jc w:val="center"/>
                    <w:textAlignment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kern w:val="0"/>
                      <w:sz w:val="18"/>
                      <w:szCs w:val="18"/>
                      <w:highlight w:val="none"/>
                    </w:rPr>
                    <w:t>拟采取的治理措施</w:t>
                  </w:r>
                </w:p>
              </w:tc>
            </w:tr>
            <w:tr>
              <w:tblPrEx>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537" w:type="pct"/>
                  <w:vMerge w:val="restart"/>
                  <w:tcBorders>
                    <w:top w:val="single" w:color="000000" w:sz="4" w:space="0"/>
                    <w:bottom w:val="single" w:color="000000" w:sz="4" w:space="0"/>
                  </w:tcBorders>
                  <w:shd w:val="clear" w:color="auto" w:fill="auto"/>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自动售货机及智能垃圾分类箱生产线</w:t>
                  </w:r>
                </w:p>
              </w:tc>
              <w:tc>
                <w:tcPr>
                  <w:tcW w:w="554" w:type="pct"/>
                  <w:tcBorders>
                    <w:top w:val="single" w:color="000000" w:sz="4" w:space="0"/>
                    <w:bottom w:val="single" w:color="000000" w:sz="4" w:space="0"/>
                  </w:tcBorders>
                  <w:shd w:val="clear" w:color="auto" w:fill="auto"/>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G1</w:t>
                  </w:r>
                </w:p>
              </w:tc>
              <w:tc>
                <w:tcPr>
                  <w:tcW w:w="653" w:type="pct"/>
                  <w:tcBorders>
                    <w:top w:val="single" w:color="000000" w:sz="4" w:space="0"/>
                    <w:bottom w:val="single" w:color="000000" w:sz="4" w:space="0"/>
                  </w:tcBorders>
                  <w:shd w:val="clear" w:color="auto" w:fill="auto"/>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切割烟尘</w:t>
                  </w:r>
                </w:p>
              </w:tc>
              <w:tc>
                <w:tcPr>
                  <w:tcW w:w="726" w:type="pct"/>
                  <w:tcBorders>
                    <w:top w:val="single" w:color="000000" w:sz="4" w:space="0"/>
                    <w:bottom w:val="single" w:color="000000" w:sz="4" w:space="0"/>
                  </w:tcBorders>
                  <w:shd w:val="clear" w:color="auto" w:fill="auto"/>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颗粒物</w:t>
                  </w:r>
                </w:p>
              </w:tc>
              <w:tc>
                <w:tcPr>
                  <w:tcW w:w="2528" w:type="pct"/>
                  <w:vMerge w:val="restart"/>
                  <w:tcBorders>
                    <w:top w:val="single" w:color="000000" w:sz="4" w:space="0"/>
                    <w:bottom w:val="single" w:color="000000" w:sz="4" w:space="0"/>
                  </w:tcBorders>
                  <w:shd w:val="clear" w:color="auto" w:fill="auto"/>
                  <w:vAlign w:val="center"/>
                </w:tcPr>
                <w:p>
                  <w:pPr>
                    <w:widowControl/>
                    <w:snapToGrid w:val="0"/>
                    <w:spacing w:line="276" w:lineRule="auto"/>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集气罩分别收集，经布袋除尘器处理后通过15m高</w:t>
                  </w:r>
                  <w:r>
                    <w:rPr>
                      <w:rFonts w:hint="eastAsia" w:ascii="Times New Roman" w:hAnsi="Times New Roman" w:eastAsia="宋体" w:cs="Times New Roman"/>
                      <w:color w:val="auto"/>
                      <w:sz w:val="18"/>
                      <w:szCs w:val="18"/>
                      <w:highlight w:val="none"/>
                      <w:lang w:val="en-US" w:eastAsia="zh-CN"/>
                    </w:rPr>
                    <w:t>DA001</w:t>
                  </w:r>
                  <w:r>
                    <w:rPr>
                      <w:rFonts w:ascii="Times New Roman" w:hAnsi="Times New Roman" w:eastAsia="宋体" w:cs="Times New Roman"/>
                      <w:color w:val="auto"/>
                      <w:sz w:val="18"/>
                      <w:szCs w:val="18"/>
                      <w:highlight w:val="none"/>
                    </w:rPr>
                    <w:t>排气筒排放，风量为10000m³/h</w:t>
                  </w:r>
                </w:p>
              </w:tc>
            </w:tr>
            <w:tr>
              <w:tblPrEx>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537" w:type="pct"/>
                  <w:vMerge w:val="continue"/>
                  <w:tcBorders>
                    <w:top w:val="single" w:color="000000" w:sz="4" w:space="0"/>
                    <w:bottom w:val="single" w:color="000000" w:sz="4" w:space="0"/>
                  </w:tcBorders>
                  <w:shd w:val="clear" w:color="auto" w:fill="auto"/>
                  <w:vAlign w:val="center"/>
                </w:tcPr>
                <w:p>
                  <w:pPr>
                    <w:jc w:val="center"/>
                    <w:rPr>
                      <w:rFonts w:ascii="Times New Roman" w:hAnsi="Times New Roman" w:eastAsia="宋体" w:cs="Times New Roman"/>
                      <w:color w:val="auto"/>
                      <w:sz w:val="18"/>
                      <w:szCs w:val="18"/>
                      <w:highlight w:val="none"/>
                    </w:rPr>
                  </w:pPr>
                </w:p>
              </w:tc>
              <w:tc>
                <w:tcPr>
                  <w:tcW w:w="554" w:type="pct"/>
                  <w:tcBorders>
                    <w:top w:val="single" w:color="000000" w:sz="4" w:space="0"/>
                    <w:bottom w:val="single" w:color="000000" w:sz="4" w:space="0"/>
                  </w:tcBorders>
                  <w:shd w:val="clear" w:color="auto" w:fill="auto"/>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G2</w:t>
                  </w:r>
                </w:p>
              </w:tc>
              <w:tc>
                <w:tcPr>
                  <w:tcW w:w="653" w:type="pct"/>
                  <w:tcBorders>
                    <w:top w:val="single" w:color="000000" w:sz="4" w:space="0"/>
                    <w:bottom w:val="single" w:color="000000" w:sz="4" w:space="0"/>
                  </w:tcBorders>
                  <w:shd w:val="clear" w:color="auto" w:fill="auto"/>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焊接烟尘</w:t>
                  </w:r>
                </w:p>
              </w:tc>
              <w:tc>
                <w:tcPr>
                  <w:tcW w:w="726" w:type="pct"/>
                  <w:tcBorders>
                    <w:top w:val="single" w:color="000000" w:sz="4" w:space="0"/>
                    <w:bottom w:val="single" w:color="000000" w:sz="4" w:space="0"/>
                  </w:tcBorders>
                  <w:shd w:val="clear" w:color="auto" w:fill="auto"/>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颗粒物</w:t>
                  </w:r>
                </w:p>
              </w:tc>
              <w:tc>
                <w:tcPr>
                  <w:tcW w:w="2528" w:type="pct"/>
                  <w:vMerge w:val="continue"/>
                  <w:tcBorders>
                    <w:top w:val="single" w:color="000000" w:sz="4" w:space="0"/>
                    <w:bottom w:val="single" w:color="000000" w:sz="4" w:space="0"/>
                  </w:tcBorders>
                  <w:shd w:val="clear" w:color="auto" w:fill="auto"/>
                  <w:vAlign w:val="center"/>
                </w:tcPr>
                <w:p>
                  <w:pPr>
                    <w:widowControl/>
                    <w:snapToGrid w:val="0"/>
                    <w:spacing w:line="276" w:lineRule="auto"/>
                    <w:jc w:val="center"/>
                    <w:rPr>
                      <w:rFonts w:ascii="Times New Roman" w:hAnsi="Times New Roman" w:eastAsia="宋体" w:cs="Times New Roman"/>
                      <w:color w:val="auto"/>
                      <w:sz w:val="18"/>
                      <w:szCs w:val="18"/>
                      <w:highlight w:val="none"/>
                    </w:rPr>
                  </w:pPr>
                </w:p>
              </w:tc>
            </w:tr>
            <w:tr>
              <w:tblPrEx>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537" w:type="pct"/>
                  <w:vMerge w:val="continue"/>
                  <w:tcBorders>
                    <w:top w:val="single" w:color="000000" w:sz="4" w:space="0"/>
                    <w:bottom w:val="single" w:color="000000" w:sz="4" w:space="0"/>
                  </w:tcBorders>
                  <w:shd w:val="clear" w:color="auto" w:fill="auto"/>
                  <w:vAlign w:val="center"/>
                </w:tcPr>
                <w:p>
                  <w:pPr>
                    <w:jc w:val="center"/>
                    <w:rPr>
                      <w:rFonts w:ascii="Times New Roman" w:hAnsi="Times New Roman" w:eastAsia="宋体" w:cs="Times New Roman"/>
                      <w:color w:val="auto"/>
                      <w:sz w:val="18"/>
                      <w:szCs w:val="18"/>
                      <w:highlight w:val="none"/>
                    </w:rPr>
                  </w:pPr>
                </w:p>
              </w:tc>
              <w:tc>
                <w:tcPr>
                  <w:tcW w:w="554" w:type="pct"/>
                  <w:tcBorders>
                    <w:top w:val="single" w:color="000000" w:sz="4" w:space="0"/>
                    <w:bottom w:val="single" w:color="000000" w:sz="4" w:space="0"/>
                  </w:tcBorders>
                  <w:shd w:val="clear" w:color="auto" w:fill="auto"/>
                  <w:vAlign w:val="center"/>
                </w:tcPr>
                <w:p>
                  <w:pPr>
                    <w:widowControl/>
                    <w:jc w:val="center"/>
                    <w:textAlignment w:val="center"/>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G3</w:t>
                  </w:r>
                </w:p>
              </w:tc>
              <w:tc>
                <w:tcPr>
                  <w:tcW w:w="653" w:type="pct"/>
                  <w:tcBorders>
                    <w:top w:val="single" w:color="000000" w:sz="4" w:space="0"/>
                    <w:bottom w:val="single" w:color="000000" w:sz="4" w:space="0"/>
                  </w:tcBorders>
                  <w:shd w:val="clear" w:color="auto" w:fill="auto"/>
                  <w:vAlign w:val="center"/>
                </w:tcPr>
                <w:p>
                  <w:pPr>
                    <w:widowControl/>
                    <w:jc w:val="center"/>
                    <w:textAlignment w:val="center"/>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喷塑粉尘</w:t>
                  </w:r>
                </w:p>
              </w:tc>
              <w:tc>
                <w:tcPr>
                  <w:tcW w:w="726" w:type="pct"/>
                  <w:tcBorders>
                    <w:top w:val="single" w:color="000000" w:sz="4" w:space="0"/>
                    <w:bottom w:val="single" w:color="000000" w:sz="4" w:space="0"/>
                  </w:tcBorders>
                  <w:shd w:val="clear" w:color="auto" w:fill="auto"/>
                  <w:vAlign w:val="center"/>
                </w:tcPr>
                <w:p>
                  <w:pPr>
                    <w:widowControl/>
                    <w:jc w:val="center"/>
                    <w:textAlignment w:val="center"/>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颗粒物</w:t>
                  </w:r>
                </w:p>
              </w:tc>
              <w:tc>
                <w:tcPr>
                  <w:tcW w:w="2528" w:type="pct"/>
                  <w:tcBorders>
                    <w:top w:val="single" w:color="000000" w:sz="4" w:space="0"/>
                    <w:bottom w:val="single" w:color="000000" w:sz="4" w:space="0"/>
                  </w:tcBorders>
                  <w:shd w:val="clear" w:color="auto" w:fill="auto"/>
                  <w:vAlign w:val="center"/>
                </w:tcPr>
                <w:p>
                  <w:pPr>
                    <w:widowControl/>
                    <w:snapToGrid w:val="0"/>
                    <w:spacing w:line="276" w:lineRule="auto"/>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通过大旋风+滤芯粉末回收装置进行收集处理后回用</w:t>
                  </w:r>
                </w:p>
              </w:tc>
            </w:tr>
            <w:tr>
              <w:tblPrEx>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537" w:type="pct"/>
                  <w:vMerge w:val="continue"/>
                  <w:tcBorders>
                    <w:top w:val="single" w:color="000000" w:sz="4" w:space="0"/>
                    <w:bottom w:val="single" w:color="000000" w:sz="4" w:space="0"/>
                  </w:tcBorders>
                  <w:shd w:val="clear" w:color="auto" w:fill="auto"/>
                  <w:vAlign w:val="center"/>
                </w:tcPr>
                <w:p>
                  <w:pPr>
                    <w:jc w:val="center"/>
                    <w:rPr>
                      <w:rFonts w:ascii="Times New Roman" w:hAnsi="Times New Roman" w:eastAsia="宋体" w:cs="Times New Roman"/>
                      <w:color w:val="auto"/>
                      <w:sz w:val="18"/>
                      <w:szCs w:val="18"/>
                      <w:highlight w:val="none"/>
                    </w:rPr>
                  </w:pPr>
                </w:p>
              </w:tc>
              <w:tc>
                <w:tcPr>
                  <w:tcW w:w="554" w:type="pct"/>
                  <w:tcBorders>
                    <w:top w:val="single" w:color="000000" w:sz="4" w:space="0"/>
                    <w:bottom w:val="single" w:color="000000" w:sz="4" w:space="0"/>
                  </w:tcBorders>
                  <w:shd w:val="clear" w:color="auto" w:fill="auto"/>
                  <w:vAlign w:val="center"/>
                </w:tcPr>
                <w:p>
                  <w:pPr>
                    <w:widowControl/>
                    <w:jc w:val="center"/>
                    <w:textAlignment w:val="center"/>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G4</w:t>
                  </w:r>
                </w:p>
              </w:tc>
              <w:tc>
                <w:tcPr>
                  <w:tcW w:w="653" w:type="pct"/>
                  <w:tcBorders>
                    <w:top w:val="single" w:color="000000" w:sz="4" w:space="0"/>
                    <w:bottom w:val="single" w:color="000000" w:sz="4" w:space="0"/>
                  </w:tcBorders>
                  <w:shd w:val="clear" w:color="auto" w:fill="auto"/>
                  <w:vAlign w:val="center"/>
                </w:tcPr>
                <w:p>
                  <w:pPr>
                    <w:widowControl/>
                    <w:jc w:val="center"/>
                    <w:textAlignment w:val="center"/>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固化废气</w:t>
                  </w:r>
                </w:p>
              </w:tc>
              <w:tc>
                <w:tcPr>
                  <w:tcW w:w="726" w:type="pct"/>
                  <w:tcBorders>
                    <w:top w:val="single" w:color="000000" w:sz="4" w:space="0"/>
                    <w:bottom w:val="single" w:color="000000" w:sz="4" w:space="0"/>
                  </w:tcBorders>
                  <w:shd w:val="clear" w:color="auto" w:fill="auto"/>
                  <w:vAlign w:val="center"/>
                </w:tcPr>
                <w:p>
                  <w:pPr>
                    <w:widowControl/>
                    <w:jc w:val="center"/>
                    <w:textAlignment w:val="center"/>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非甲烷总烃</w:t>
                  </w:r>
                </w:p>
              </w:tc>
              <w:tc>
                <w:tcPr>
                  <w:tcW w:w="2528" w:type="pct"/>
                  <w:tcBorders>
                    <w:top w:val="single" w:color="000000" w:sz="4" w:space="0"/>
                    <w:bottom w:val="single" w:color="000000" w:sz="4" w:space="0"/>
                  </w:tcBorders>
                  <w:shd w:val="clear" w:color="auto" w:fill="auto"/>
                  <w:vAlign w:val="center"/>
                </w:tcPr>
                <w:p>
                  <w:pPr>
                    <w:widowControl/>
                    <w:snapToGrid w:val="0"/>
                    <w:spacing w:line="276" w:lineRule="auto"/>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密闭管道收集后通过二级活性炭净化装置处理后，经由15m高的</w:t>
                  </w:r>
                  <w:r>
                    <w:rPr>
                      <w:rFonts w:hint="eastAsia" w:ascii="Times New Roman" w:hAnsi="Times New Roman" w:eastAsia="宋体" w:cs="Times New Roman"/>
                      <w:color w:val="auto"/>
                      <w:sz w:val="18"/>
                      <w:szCs w:val="18"/>
                      <w:highlight w:val="none"/>
                      <w:lang w:eastAsia="zh-CN"/>
                    </w:rPr>
                    <w:t>D</w:t>
                  </w:r>
                  <w:r>
                    <w:rPr>
                      <w:rFonts w:hint="eastAsia" w:ascii="Times New Roman" w:hAnsi="Times New Roman" w:eastAsia="宋体" w:cs="Times New Roman"/>
                      <w:color w:val="auto"/>
                      <w:sz w:val="18"/>
                      <w:szCs w:val="18"/>
                      <w:highlight w:val="none"/>
                      <w:lang w:val="en-US" w:eastAsia="zh-CN"/>
                    </w:rPr>
                    <w:t>A002</w:t>
                  </w:r>
                  <w:r>
                    <w:rPr>
                      <w:rFonts w:ascii="Times New Roman" w:hAnsi="Times New Roman" w:eastAsia="宋体" w:cs="Times New Roman"/>
                      <w:color w:val="auto"/>
                      <w:sz w:val="18"/>
                      <w:szCs w:val="18"/>
                      <w:highlight w:val="none"/>
                    </w:rPr>
                    <w:t>排气筒排放，风量为5000m³/h</w:t>
                  </w:r>
                </w:p>
              </w:tc>
            </w:tr>
            <w:tr>
              <w:tblPrEx>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537" w:type="pct"/>
                  <w:vMerge w:val="continue"/>
                  <w:tcBorders>
                    <w:top w:val="single" w:color="000000" w:sz="4" w:space="0"/>
                    <w:bottom w:val="single" w:color="000000" w:sz="4" w:space="0"/>
                  </w:tcBorders>
                  <w:shd w:val="clear" w:color="auto" w:fill="auto"/>
                  <w:vAlign w:val="center"/>
                </w:tcPr>
                <w:p>
                  <w:pPr>
                    <w:jc w:val="center"/>
                    <w:rPr>
                      <w:rFonts w:ascii="Times New Roman" w:hAnsi="Times New Roman" w:eastAsia="宋体" w:cs="Times New Roman"/>
                      <w:color w:val="auto"/>
                      <w:sz w:val="18"/>
                      <w:szCs w:val="18"/>
                      <w:highlight w:val="none"/>
                    </w:rPr>
                  </w:pPr>
                </w:p>
              </w:tc>
              <w:tc>
                <w:tcPr>
                  <w:tcW w:w="554" w:type="pct"/>
                  <w:tcBorders>
                    <w:top w:val="single" w:color="000000" w:sz="4" w:space="0"/>
                    <w:bottom w:val="single" w:color="000000" w:sz="4" w:space="0"/>
                  </w:tcBorders>
                  <w:shd w:val="clear" w:color="auto" w:fill="auto"/>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S1</w:t>
                  </w:r>
                </w:p>
              </w:tc>
              <w:tc>
                <w:tcPr>
                  <w:tcW w:w="653" w:type="pct"/>
                  <w:tcBorders>
                    <w:top w:val="single" w:color="000000" w:sz="4" w:space="0"/>
                    <w:bottom w:val="single" w:color="000000" w:sz="4" w:space="0"/>
                  </w:tcBorders>
                  <w:shd w:val="clear" w:color="auto" w:fill="auto"/>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边角料</w:t>
                  </w:r>
                </w:p>
              </w:tc>
              <w:tc>
                <w:tcPr>
                  <w:tcW w:w="726" w:type="pct"/>
                  <w:tcBorders>
                    <w:top w:val="single" w:color="000000" w:sz="4" w:space="0"/>
                    <w:bottom w:val="single" w:color="000000" w:sz="4" w:space="0"/>
                  </w:tcBorders>
                  <w:shd w:val="clear" w:color="auto" w:fill="auto"/>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钢材</w:t>
                  </w:r>
                </w:p>
              </w:tc>
              <w:tc>
                <w:tcPr>
                  <w:tcW w:w="2528" w:type="pct"/>
                  <w:tcBorders>
                    <w:top w:val="single" w:color="000000" w:sz="4" w:space="0"/>
                    <w:bottom w:val="single" w:color="000000" w:sz="4" w:space="0"/>
                  </w:tcBorders>
                  <w:shd w:val="clear" w:color="auto" w:fill="auto"/>
                  <w:vAlign w:val="center"/>
                </w:tcPr>
                <w:p>
                  <w:pPr>
                    <w:widowControl/>
                    <w:snapToGrid w:val="0"/>
                    <w:spacing w:line="276" w:lineRule="auto"/>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集中收集暂存于一般固废暂存间，外售综合利用</w:t>
                  </w:r>
                </w:p>
              </w:tc>
            </w:tr>
            <w:tr>
              <w:tblPrEx>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537" w:type="pct"/>
                  <w:vMerge w:val="continue"/>
                  <w:tcBorders>
                    <w:top w:val="single" w:color="000000" w:sz="4" w:space="0"/>
                    <w:bottom w:val="single" w:color="000000" w:sz="4" w:space="0"/>
                  </w:tcBorders>
                  <w:shd w:val="clear" w:color="auto" w:fill="auto"/>
                  <w:vAlign w:val="center"/>
                </w:tcPr>
                <w:p>
                  <w:pPr>
                    <w:jc w:val="center"/>
                    <w:rPr>
                      <w:rFonts w:ascii="Times New Roman" w:hAnsi="Times New Roman" w:eastAsia="宋体" w:cs="Times New Roman"/>
                      <w:color w:val="auto"/>
                      <w:sz w:val="18"/>
                      <w:szCs w:val="18"/>
                      <w:highlight w:val="none"/>
                    </w:rPr>
                  </w:pPr>
                </w:p>
              </w:tc>
              <w:tc>
                <w:tcPr>
                  <w:tcW w:w="554" w:type="pct"/>
                  <w:tcBorders>
                    <w:top w:val="single" w:color="000000" w:sz="4" w:space="0"/>
                    <w:bottom w:val="single" w:color="000000" w:sz="4" w:space="0"/>
                  </w:tcBorders>
                  <w:shd w:val="clear" w:color="auto" w:fill="auto"/>
                  <w:vAlign w:val="center"/>
                </w:tcPr>
                <w:p>
                  <w:pPr>
                    <w:widowControl/>
                    <w:jc w:val="center"/>
                    <w:textAlignment w:val="center"/>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S2</w:t>
                  </w:r>
                </w:p>
              </w:tc>
              <w:tc>
                <w:tcPr>
                  <w:tcW w:w="653" w:type="pct"/>
                  <w:tcBorders>
                    <w:top w:val="single" w:color="000000" w:sz="4" w:space="0"/>
                    <w:bottom w:val="single" w:color="000000" w:sz="4" w:space="0"/>
                  </w:tcBorders>
                  <w:shd w:val="clear" w:color="auto" w:fill="auto"/>
                  <w:vAlign w:val="center"/>
                </w:tcPr>
                <w:p>
                  <w:pPr>
                    <w:widowControl/>
                    <w:jc w:val="center"/>
                    <w:textAlignment w:val="center"/>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焊渣</w:t>
                  </w:r>
                </w:p>
              </w:tc>
              <w:tc>
                <w:tcPr>
                  <w:tcW w:w="726" w:type="pct"/>
                  <w:tcBorders>
                    <w:top w:val="single" w:color="000000" w:sz="4" w:space="0"/>
                    <w:bottom w:val="single" w:color="000000" w:sz="4" w:space="0"/>
                  </w:tcBorders>
                  <w:shd w:val="clear" w:color="auto" w:fill="auto"/>
                  <w:vAlign w:val="center"/>
                </w:tcPr>
                <w:p>
                  <w:pPr>
                    <w:widowControl/>
                    <w:jc w:val="center"/>
                    <w:textAlignment w:val="center"/>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钢</w:t>
                  </w:r>
                </w:p>
              </w:tc>
              <w:tc>
                <w:tcPr>
                  <w:tcW w:w="2528" w:type="pct"/>
                  <w:tcBorders>
                    <w:top w:val="single" w:color="000000" w:sz="4" w:space="0"/>
                    <w:bottom w:val="single" w:color="000000" w:sz="4" w:space="0"/>
                  </w:tcBorders>
                  <w:shd w:val="clear" w:color="auto" w:fill="auto"/>
                  <w:vAlign w:val="center"/>
                </w:tcPr>
                <w:p>
                  <w:pPr>
                    <w:widowControl/>
                    <w:snapToGrid w:val="0"/>
                    <w:spacing w:line="276" w:lineRule="auto"/>
                    <w:jc w:val="center"/>
                    <w:textAlignment w:val="center"/>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集中收集暂存于一般固废暂存间，外售综合利用</w:t>
                  </w:r>
                </w:p>
              </w:tc>
            </w:tr>
            <w:tr>
              <w:tblPrEx>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537" w:type="pct"/>
                  <w:vMerge w:val="continue"/>
                  <w:tcBorders>
                    <w:top w:val="single" w:color="000000" w:sz="4" w:space="0"/>
                    <w:bottom w:val="single" w:color="000000" w:sz="4" w:space="0"/>
                  </w:tcBorders>
                  <w:shd w:val="clear" w:color="auto" w:fill="auto"/>
                  <w:vAlign w:val="center"/>
                </w:tcPr>
                <w:p>
                  <w:pPr>
                    <w:jc w:val="center"/>
                    <w:rPr>
                      <w:rFonts w:ascii="Times New Roman" w:hAnsi="Times New Roman" w:eastAsia="宋体" w:cs="Times New Roman"/>
                      <w:color w:val="auto"/>
                      <w:sz w:val="18"/>
                      <w:szCs w:val="18"/>
                      <w:highlight w:val="none"/>
                    </w:rPr>
                  </w:pPr>
                </w:p>
              </w:tc>
              <w:tc>
                <w:tcPr>
                  <w:tcW w:w="554" w:type="pct"/>
                  <w:tcBorders>
                    <w:top w:val="single" w:color="000000" w:sz="4" w:space="0"/>
                    <w:bottom w:val="single" w:color="000000" w:sz="4" w:space="0"/>
                  </w:tcBorders>
                  <w:shd w:val="clear" w:color="auto" w:fill="auto"/>
                  <w:vAlign w:val="center"/>
                </w:tcPr>
                <w:p>
                  <w:pPr>
                    <w:widowControl/>
                    <w:jc w:val="center"/>
                    <w:textAlignment w:val="center"/>
                    <w:rPr>
                      <w:rFonts w:hint="default" w:ascii="Times New Roman" w:hAnsi="Times New Roman" w:eastAsia="宋体" w:cs="Times New Roman"/>
                      <w:color w:val="auto"/>
                      <w:kern w:val="0"/>
                      <w:sz w:val="18"/>
                      <w:szCs w:val="18"/>
                      <w:highlight w:val="none"/>
                      <w:lang w:val="en-US" w:eastAsia="zh-CN"/>
                    </w:rPr>
                  </w:pPr>
                  <w:r>
                    <w:rPr>
                      <w:rFonts w:hint="eastAsia" w:ascii="Times New Roman" w:hAnsi="Times New Roman" w:eastAsia="宋体" w:cs="Times New Roman"/>
                      <w:color w:val="auto"/>
                      <w:kern w:val="0"/>
                      <w:sz w:val="18"/>
                      <w:szCs w:val="18"/>
                      <w:highlight w:val="none"/>
                      <w:lang w:val="en-US" w:eastAsia="zh-CN"/>
                    </w:rPr>
                    <w:t>S3</w:t>
                  </w:r>
                </w:p>
              </w:tc>
              <w:tc>
                <w:tcPr>
                  <w:tcW w:w="653" w:type="pct"/>
                  <w:tcBorders>
                    <w:top w:val="single" w:color="000000" w:sz="4" w:space="0"/>
                    <w:bottom w:val="single" w:color="000000" w:sz="4" w:space="0"/>
                  </w:tcBorders>
                  <w:shd w:val="clear" w:color="auto" w:fill="auto"/>
                  <w:vAlign w:val="center"/>
                </w:tcPr>
                <w:p>
                  <w:pPr>
                    <w:widowControl/>
                    <w:jc w:val="center"/>
                    <w:textAlignment w:val="center"/>
                    <w:rPr>
                      <w:rFonts w:hint="eastAsia" w:ascii="Times New Roman" w:hAnsi="Times New Roman" w:eastAsia="宋体" w:cs="Times New Roman"/>
                      <w:color w:val="auto"/>
                      <w:kern w:val="0"/>
                      <w:sz w:val="18"/>
                      <w:szCs w:val="18"/>
                      <w:highlight w:val="none"/>
                      <w:lang w:val="en-US" w:eastAsia="zh-CN"/>
                    </w:rPr>
                  </w:pPr>
                  <w:r>
                    <w:rPr>
                      <w:rFonts w:hint="eastAsia" w:ascii="Times New Roman" w:hAnsi="Times New Roman" w:eastAsia="宋体" w:cs="Times New Roman"/>
                      <w:color w:val="auto"/>
                      <w:kern w:val="0"/>
                      <w:sz w:val="18"/>
                      <w:szCs w:val="18"/>
                      <w:highlight w:val="none"/>
                      <w:lang w:val="en-US" w:eastAsia="zh-CN"/>
                    </w:rPr>
                    <w:t>废砂纸</w:t>
                  </w:r>
                </w:p>
              </w:tc>
              <w:tc>
                <w:tcPr>
                  <w:tcW w:w="726" w:type="pct"/>
                  <w:tcBorders>
                    <w:top w:val="single" w:color="000000" w:sz="4" w:space="0"/>
                    <w:bottom w:val="single" w:color="000000" w:sz="4" w:space="0"/>
                  </w:tcBorders>
                  <w:shd w:val="clear" w:color="auto" w:fill="auto"/>
                  <w:vAlign w:val="center"/>
                </w:tcPr>
                <w:p>
                  <w:pPr>
                    <w:widowControl/>
                    <w:jc w:val="center"/>
                    <w:textAlignment w:val="center"/>
                    <w:rPr>
                      <w:rFonts w:hint="eastAsia" w:ascii="Times New Roman" w:hAnsi="Times New Roman" w:eastAsia="宋体" w:cs="Times New Roman"/>
                      <w:color w:val="auto"/>
                      <w:kern w:val="0"/>
                      <w:sz w:val="18"/>
                      <w:szCs w:val="18"/>
                      <w:highlight w:val="none"/>
                      <w:lang w:val="en-US" w:eastAsia="zh-CN"/>
                    </w:rPr>
                  </w:pPr>
                  <w:r>
                    <w:rPr>
                      <w:rFonts w:hint="eastAsia" w:ascii="Times New Roman" w:hAnsi="Times New Roman" w:eastAsia="宋体" w:cs="Times New Roman"/>
                      <w:color w:val="auto"/>
                      <w:kern w:val="0"/>
                      <w:sz w:val="18"/>
                      <w:szCs w:val="18"/>
                      <w:highlight w:val="none"/>
                      <w:lang w:val="en-US" w:eastAsia="zh-CN"/>
                    </w:rPr>
                    <w:t>砂纸</w:t>
                  </w:r>
                </w:p>
              </w:tc>
              <w:tc>
                <w:tcPr>
                  <w:tcW w:w="2528" w:type="pct"/>
                  <w:tcBorders>
                    <w:top w:val="single" w:color="000000" w:sz="4" w:space="0"/>
                    <w:bottom w:val="single" w:color="000000" w:sz="4" w:space="0"/>
                  </w:tcBorders>
                  <w:shd w:val="clear" w:color="auto" w:fill="auto"/>
                  <w:vAlign w:val="center"/>
                </w:tcPr>
                <w:p>
                  <w:pPr>
                    <w:widowControl/>
                    <w:snapToGrid w:val="0"/>
                    <w:spacing w:line="276" w:lineRule="auto"/>
                    <w:jc w:val="center"/>
                    <w:textAlignment w:val="center"/>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集中收集暂存于一般固废暂存间，外售综合利用</w:t>
                  </w:r>
                </w:p>
              </w:tc>
            </w:tr>
            <w:tr>
              <w:tblPrEx>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537" w:type="pct"/>
                  <w:vMerge w:val="continue"/>
                  <w:tcBorders>
                    <w:top w:val="single" w:color="000000" w:sz="4" w:space="0"/>
                  </w:tcBorders>
                  <w:shd w:val="clear" w:color="auto" w:fill="auto"/>
                  <w:vAlign w:val="center"/>
                </w:tcPr>
                <w:p>
                  <w:pPr>
                    <w:jc w:val="center"/>
                    <w:rPr>
                      <w:rFonts w:ascii="Times New Roman" w:hAnsi="Times New Roman" w:eastAsia="宋体" w:cs="Times New Roman"/>
                      <w:color w:val="auto"/>
                      <w:sz w:val="18"/>
                      <w:szCs w:val="18"/>
                      <w:highlight w:val="none"/>
                    </w:rPr>
                  </w:pPr>
                </w:p>
              </w:tc>
              <w:tc>
                <w:tcPr>
                  <w:tcW w:w="554" w:type="pct"/>
                  <w:tcBorders>
                    <w:top w:val="single" w:color="000000" w:sz="4" w:space="0"/>
                  </w:tcBorders>
                  <w:shd w:val="clear" w:color="auto" w:fill="auto"/>
                  <w:vAlign w:val="center"/>
                </w:tcPr>
                <w:p>
                  <w:pPr>
                    <w:widowControl/>
                    <w:jc w:val="center"/>
                    <w:textAlignment w:val="center"/>
                    <w:rPr>
                      <w:rFonts w:hint="eastAsia" w:ascii="Times New Roman" w:hAnsi="Times New Roman" w:eastAsia="宋体" w:cs="Times New Roman"/>
                      <w:color w:val="auto"/>
                      <w:kern w:val="0"/>
                      <w:sz w:val="18"/>
                      <w:szCs w:val="18"/>
                      <w:highlight w:val="none"/>
                      <w:lang w:val="en-US" w:eastAsia="zh-CN"/>
                    </w:rPr>
                  </w:pPr>
                  <w:r>
                    <w:rPr>
                      <w:rFonts w:ascii="Times New Roman" w:hAnsi="Times New Roman" w:eastAsia="宋体" w:cs="Times New Roman"/>
                      <w:color w:val="auto"/>
                      <w:kern w:val="0"/>
                      <w:sz w:val="18"/>
                      <w:szCs w:val="18"/>
                      <w:highlight w:val="none"/>
                    </w:rPr>
                    <w:t>S</w:t>
                  </w:r>
                  <w:r>
                    <w:rPr>
                      <w:rFonts w:hint="eastAsia" w:ascii="Times New Roman" w:hAnsi="Times New Roman" w:eastAsia="宋体" w:cs="Times New Roman"/>
                      <w:color w:val="auto"/>
                      <w:kern w:val="0"/>
                      <w:sz w:val="18"/>
                      <w:szCs w:val="18"/>
                      <w:highlight w:val="none"/>
                      <w:lang w:val="en-US" w:eastAsia="zh-CN"/>
                    </w:rPr>
                    <w:t>4</w:t>
                  </w:r>
                </w:p>
              </w:tc>
              <w:tc>
                <w:tcPr>
                  <w:tcW w:w="653" w:type="pct"/>
                  <w:tcBorders>
                    <w:top w:val="single" w:color="000000" w:sz="4" w:space="0"/>
                  </w:tcBorders>
                  <w:shd w:val="clear" w:color="auto" w:fill="auto"/>
                  <w:vAlign w:val="center"/>
                </w:tcPr>
                <w:p>
                  <w:pPr>
                    <w:widowControl/>
                    <w:jc w:val="center"/>
                    <w:textAlignment w:val="center"/>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废塑粉</w:t>
                  </w:r>
                </w:p>
              </w:tc>
              <w:tc>
                <w:tcPr>
                  <w:tcW w:w="726" w:type="pct"/>
                  <w:tcBorders>
                    <w:top w:val="single" w:color="000000" w:sz="4" w:space="0"/>
                  </w:tcBorders>
                  <w:shd w:val="clear" w:color="auto" w:fill="auto"/>
                  <w:vAlign w:val="center"/>
                </w:tcPr>
                <w:p>
                  <w:pPr>
                    <w:widowControl/>
                    <w:jc w:val="center"/>
                    <w:textAlignment w:val="center"/>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塑粉</w:t>
                  </w:r>
                </w:p>
              </w:tc>
              <w:tc>
                <w:tcPr>
                  <w:tcW w:w="2528" w:type="pct"/>
                  <w:tcBorders>
                    <w:top w:val="single" w:color="000000" w:sz="4" w:space="0"/>
                  </w:tcBorders>
                  <w:shd w:val="clear" w:color="auto" w:fill="auto"/>
                  <w:vAlign w:val="center"/>
                </w:tcPr>
                <w:p>
                  <w:pPr>
                    <w:widowControl/>
                    <w:snapToGrid w:val="0"/>
                    <w:spacing w:line="276" w:lineRule="auto"/>
                    <w:jc w:val="center"/>
                    <w:textAlignment w:val="center"/>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收集后回用于喷塑工序</w:t>
                  </w:r>
                </w:p>
              </w:tc>
            </w:tr>
            <w:tr>
              <w:tblPrEx>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537" w:type="pct"/>
                  <w:vMerge w:val="continue"/>
                  <w:tcBorders>
                    <w:tl2br w:val="nil"/>
                    <w:tr2bl w:val="nil"/>
                  </w:tcBorders>
                  <w:shd w:val="clear" w:color="auto" w:fill="auto"/>
                  <w:vAlign w:val="center"/>
                </w:tcPr>
                <w:p>
                  <w:pPr>
                    <w:jc w:val="center"/>
                    <w:rPr>
                      <w:rFonts w:ascii="Times New Roman" w:hAnsi="Times New Roman" w:eastAsia="宋体" w:cs="Times New Roman"/>
                      <w:color w:val="auto"/>
                      <w:sz w:val="18"/>
                      <w:szCs w:val="18"/>
                      <w:highlight w:val="none"/>
                    </w:rPr>
                  </w:pPr>
                </w:p>
              </w:tc>
              <w:tc>
                <w:tcPr>
                  <w:tcW w:w="554" w:type="pct"/>
                  <w:tcBorders>
                    <w:tl2br w:val="nil"/>
                    <w:tr2bl w:val="nil"/>
                  </w:tcBorders>
                  <w:shd w:val="clear" w:color="auto" w:fill="auto"/>
                  <w:vAlign w:val="center"/>
                </w:tcPr>
                <w:p>
                  <w:pPr>
                    <w:widowControl/>
                    <w:jc w:val="center"/>
                    <w:textAlignment w:val="center"/>
                    <w:rPr>
                      <w:rFonts w:hint="eastAsia" w:ascii="Times New Roman" w:hAnsi="Times New Roman" w:eastAsia="宋体" w:cs="Times New Roman"/>
                      <w:color w:val="auto"/>
                      <w:kern w:val="0"/>
                      <w:sz w:val="18"/>
                      <w:szCs w:val="18"/>
                      <w:highlight w:val="none"/>
                      <w:lang w:val="en-US" w:eastAsia="zh-CN"/>
                    </w:rPr>
                  </w:pPr>
                  <w:r>
                    <w:rPr>
                      <w:rFonts w:ascii="Times New Roman" w:hAnsi="Times New Roman" w:eastAsia="宋体" w:cs="Times New Roman"/>
                      <w:color w:val="auto"/>
                      <w:kern w:val="0"/>
                      <w:sz w:val="18"/>
                      <w:szCs w:val="18"/>
                      <w:highlight w:val="none"/>
                    </w:rPr>
                    <w:t>S</w:t>
                  </w:r>
                  <w:r>
                    <w:rPr>
                      <w:rFonts w:hint="eastAsia" w:ascii="Times New Roman" w:hAnsi="Times New Roman" w:eastAsia="宋体" w:cs="Times New Roman"/>
                      <w:color w:val="auto"/>
                      <w:kern w:val="0"/>
                      <w:sz w:val="18"/>
                      <w:szCs w:val="18"/>
                      <w:highlight w:val="none"/>
                      <w:lang w:val="en-US" w:eastAsia="zh-CN"/>
                    </w:rPr>
                    <w:t>5</w:t>
                  </w:r>
                </w:p>
              </w:tc>
              <w:tc>
                <w:tcPr>
                  <w:tcW w:w="653" w:type="pct"/>
                  <w:tcBorders>
                    <w:tl2br w:val="nil"/>
                    <w:tr2bl w:val="nil"/>
                  </w:tcBorders>
                  <w:shd w:val="clear" w:color="auto" w:fill="auto"/>
                  <w:vAlign w:val="center"/>
                </w:tcPr>
                <w:p>
                  <w:pPr>
                    <w:widowControl/>
                    <w:jc w:val="center"/>
                    <w:textAlignment w:val="center"/>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废包装物</w:t>
                  </w:r>
                </w:p>
              </w:tc>
              <w:tc>
                <w:tcPr>
                  <w:tcW w:w="726" w:type="pct"/>
                  <w:tcBorders>
                    <w:tl2br w:val="nil"/>
                    <w:tr2bl w:val="nil"/>
                  </w:tcBorders>
                  <w:shd w:val="clear" w:color="auto" w:fill="auto"/>
                  <w:vAlign w:val="center"/>
                </w:tcPr>
                <w:p>
                  <w:pPr>
                    <w:widowControl/>
                    <w:jc w:val="center"/>
                    <w:textAlignment w:val="center"/>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塑料</w:t>
                  </w:r>
                </w:p>
              </w:tc>
              <w:tc>
                <w:tcPr>
                  <w:tcW w:w="2528" w:type="pct"/>
                  <w:tcBorders>
                    <w:tl2br w:val="nil"/>
                    <w:tr2bl w:val="nil"/>
                  </w:tcBorders>
                  <w:shd w:val="clear" w:color="auto" w:fill="auto"/>
                  <w:vAlign w:val="center"/>
                </w:tcPr>
                <w:p>
                  <w:pPr>
                    <w:widowControl/>
                    <w:snapToGrid w:val="0"/>
                    <w:spacing w:line="276" w:lineRule="auto"/>
                    <w:jc w:val="center"/>
                    <w:textAlignment w:val="center"/>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集中收集暂存于一般固废暂存间，外售综合利用</w:t>
                  </w:r>
                </w:p>
              </w:tc>
            </w:tr>
          </w:tbl>
          <w:p>
            <w:pPr>
              <w:widowControl/>
              <w:spacing w:line="360" w:lineRule="auto"/>
              <w:rPr>
                <w:rFonts w:ascii="Times New Roman" w:hAnsi="Times New Roman" w:eastAsia="宋体" w:cs="Times New Roman"/>
                <w:color w:val="auto"/>
                <w:kern w:val="0"/>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785" w:hRule="atLeast"/>
          <w:jc w:val="center"/>
        </w:trPr>
        <w:tc>
          <w:tcPr>
            <w:tcW w:w="456" w:type="dxa"/>
            <w:vAlign w:val="center"/>
          </w:tcPr>
          <w:p>
            <w:pPr>
              <w:widowControl/>
              <w:adjustRightInd w:val="0"/>
              <w:snapToGrid w:val="0"/>
              <w:jc w:val="center"/>
              <w:rPr>
                <w:rFonts w:ascii="Times New Roman" w:hAnsi="Times New Roman" w:eastAsia="宋体" w:cs="Times New Roman"/>
                <w:color w:val="auto"/>
                <w:kern w:val="0"/>
                <w:sz w:val="24"/>
                <w:szCs w:val="24"/>
                <w:highlight w:val="none"/>
              </w:rPr>
            </w:pPr>
            <w:r>
              <w:rPr>
                <w:rFonts w:ascii="Times New Roman" w:hAnsi="Times New Roman" w:eastAsia="宋体" w:cs="Times New Roman"/>
                <w:bCs/>
                <w:color w:val="auto"/>
                <w:sz w:val="24"/>
                <w:szCs w:val="24"/>
                <w:highlight w:val="none"/>
              </w:rPr>
              <w:t>与项目有关的原有环境污染问题</w:t>
            </w:r>
          </w:p>
        </w:tc>
        <w:tc>
          <w:tcPr>
            <w:tcW w:w="8814" w:type="dxa"/>
          </w:tcPr>
          <w:p>
            <w:pPr>
              <w:spacing w:line="360" w:lineRule="auto"/>
              <w:ind w:firstLine="480" w:firstLineChars="200"/>
              <w:rPr>
                <w:rFonts w:ascii="Times New Roman" w:hAnsi="Times New Roman" w:eastAsia="宋体" w:cs="Times New Roman"/>
                <w:bCs/>
                <w:color w:val="auto"/>
                <w:sz w:val="24"/>
                <w:szCs w:val="24"/>
                <w:highlight w:val="none"/>
              </w:rPr>
            </w:pPr>
            <w:r>
              <w:rPr>
                <w:rFonts w:ascii="Times New Roman" w:hAnsi="Times New Roman" w:eastAsia="宋体" w:cs="Times New Roman"/>
                <w:bCs/>
                <w:color w:val="auto"/>
                <w:sz w:val="24"/>
                <w:szCs w:val="24"/>
                <w:highlight w:val="none"/>
              </w:rPr>
              <w:t>本项目为新建项目，租赁</w:t>
            </w:r>
            <w:r>
              <w:rPr>
                <w:rFonts w:ascii="Times New Roman" w:hAnsi="Times New Roman" w:eastAsia="宋体" w:cs="Times New Roman"/>
                <w:color w:val="auto"/>
                <w:kern w:val="0"/>
                <w:sz w:val="24"/>
                <w:szCs w:val="24"/>
                <w:highlight w:val="none"/>
              </w:rPr>
              <w:t>淮南中兴实业有限责任公司位于</w:t>
            </w:r>
            <w:r>
              <w:rPr>
                <w:rFonts w:ascii="Times New Roman" w:hAnsi="Times New Roman" w:eastAsia="宋体" w:cs="Times New Roman"/>
                <w:color w:val="auto"/>
                <w:sz w:val="24"/>
                <w:highlight w:val="none"/>
              </w:rPr>
              <w:t>八公山区</w:t>
            </w:r>
            <w:r>
              <w:rPr>
                <w:rFonts w:ascii="Times New Roman" w:hAnsi="Times New Roman" w:eastAsia="宋体" w:cs="Times New Roman"/>
                <w:color w:val="auto"/>
                <w:kern w:val="0"/>
                <w:sz w:val="24"/>
                <w:szCs w:val="24"/>
                <w:highlight w:val="none"/>
              </w:rPr>
              <w:t>毕家岗街道新建社区</w:t>
            </w:r>
            <w:r>
              <w:rPr>
                <w:rFonts w:ascii="Times New Roman" w:hAnsi="Times New Roman" w:eastAsia="宋体" w:cs="Times New Roman"/>
                <w:color w:val="auto"/>
                <w:sz w:val="24"/>
                <w:highlight w:val="none"/>
              </w:rPr>
              <w:t>的空置厂房，</w:t>
            </w:r>
            <w:r>
              <w:rPr>
                <w:rFonts w:ascii="Times New Roman" w:hAnsi="Times New Roman" w:eastAsia="宋体" w:cs="Times New Roman"/>
                <w:bCs/>
                <w:color w:val="auto"/>
                <w:sz w:val="24"/>
                <w:szCs w:val="24"/>
                <w:highlight w:val="none"/>
              </w:rPr>
              <w:t>根据现场调查，项目用地范围内无原有环境污染问题。</w:t>
            </w:r>
          </w:p>
          <w:p>
            <w:pPr>
              <w:spacing w:line="360" w:lineRule="auto"/>
              <w:jc w:val="left"/>
              <w:rPr>
                <w:rFonts w:ascii="Times New Roman" w:hAnsi="Times New Roman" w:eastAsia="宋体" w:cs="Times New Roman"/>
                <w:bCs/>
                <w:color w:val="auto"/>
                <w:sz w:val="24"/>
                <w:szCs w:val="24"/>
                <w:highlight w:val="none"/>
              </w:rPr>
            </w:pPr>
          </w:p>
        </w:tc>
      </w:tr>
    </w:tbl>
    <w:p>
      <w:pPr>
        <w:widowControl/>
        <w:spacing w:before="100" w:beforeAutospacing="1" w:after="100" w:afterAutospacing="1"/>
        <w:jc w:val="center"/>
        <w:outlineLvl w:val="0"/>
        <w:rPr>
          <w:rFonts w:ascii="Times New Roman" w:hAnsi="Times New Roman" w:eastAsia="宋体" w:cs="Times New Roman"/>
          <w:snapToGrid w:val="0"/>
          <w:kern w:val="0"/>
          <w:sz w:val="30"/>
          <w:szCs w:val="30"/>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widowControl/>
        <w:spacing w:before="100" w:beforeAutospacing="1" w:after="100" w:afterAutospacing="1"/>
        <w:jc w:val="center"/>
        <w:outlineLvl w:val="0"/>
        <w:rPr>
          <w:rFonts w:ascii="Times New Roman" w:hAnsi="Times New Roman" w:eastAsia="宋体" w:cs="Times New Roman"/>
          <w:snapToGrid w:val="0"/>
          <w:kern w:val="0"/>
          <w:sz w:val="30"/>
          <w:szCs w:val="30"/>
        </w:rPr>
      </w:pPr>
      <w:r>
        <w:rPr>
          <w:rFonts w:ascii="Times New Roman" w:hAnsi="Times New Roman" w:eastAsia="宋体" w:cs="Times New Roman"/>
          <w:snapToGrid w:val="0"/>
          <w:kern w:val="0"/>
          <w:sz w:val="30"/>
          <w:szCs w:val="30"/>
        </w:rPr>
        <w:t>三、区域环境质量现状、环境保护目标及评价标准</w:t>
      </w:r>
    </w:p>
    <w:tbl>
      <w:tblPr>
        <w:tblStyle w:val="17"/>
        <w:tblW w:w="8522"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456"/>
        <w:gridCol w:w="8066"/>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06" w:hRule="atLeast"/>
          <w:jc w:val="center"/>
        </w:trPr>
        <w:tc>
          <w:tcPr>
            <w:tcW w:w="457" w:type="dxa"/>
            <w:tcBorders>
              <w:right w:val="single" w:color="000000" w:sz="8" w:space="0"/>
            </w:tcBorders>
            <w:vAlign w:val="center"/>
          </w:tcPr>
          <w:p>
            <w:pPr>
              <w:adjustRightInd w:val="0"/>
              <w:snapToGrid w:val="0"/>
              <w:jc w:val="center"/>
              <w:rPr>
                <w:rFonts w:ascii="Times New Roman" w:hAnsi="Times New Roman" w:eastAsia="宋体" w:cs="Times New Roman"/>
                <w:color w:val="auto"/>
                <w:kern w:val="0"/>
                <w:sz w:val="24"/>
                <w:szCs w:val="24"/>
                <w:highlight w:val="none"/>
              </w:rPr>
            </w:pPr>
            <w:r>
              <w:rPr>
                <w:rFonts w:ascii="Times New Roman" w:hAnsi="Times New Roman" w:eastAsia="宋体" w:cs="Times New Roman"/>
                <w:color w:val="auto"/>
                <w:kern w:val="0"/>
                <w:sz w:val="24"/>
                <w:szCs w:val="24"/>
                <w:highlight w:val="none"/>
              </w:rPr>
              <w:t>区域</w:t>
            </w:r>
          </w:p>
          <w:p>
            <w:pPr>
              <w:adjustRightInd w:val="0"/>
              <w:snapToGrid w:val="0"/>
              <w:jc w:val="center"/>
              <w:rPr>
                <w:rFonts w:ascii="Times New Roman" w:hAnsi="Times New Roman" w:eastAsia="宋体" w:cs="Times New Roman"/>
                <w:color w:val="auto"/>
                <w:kern w:val="0"/>
                <w:sz w:val="24"/>
                <w:szCs w:val="24"/>
                <w:highlight w:val="none"/>
              </w:rPr>
            </w:pPr>
            <w:r>
              <w:rPr>
                <w:rFonts w:ascii="Times New Roman" w:hAnsi="Times New Roman" w:eastAsia="宋体" w:cs="Times New Roman"/>
                <w:color w:val="auto"/>
                <w:kern w:val="0"/>
                <w:sz w:val="24"/>
                <w:szCs w:val="24"/>
                <w:highlight w:val="none"/>
              </w:rPr>
              <w:t>环境</w:t>
            </w:r>
          </w:p>
          <w:p>
            <w:pPr>
              <w:adjustRightInd w:val="0"/>
              <w:snapToGrid w:val="0"/>
              <w:jc w:val="center"/>
              <w:rPr>
                <w:rFonts w:ascii="Times New Roman" w:hAnsi="Times New Roman" w:eastAsia="宋体" w:cs="Times New Roman"/>
                <w:color w:val="auto"/>
                <w:kern w:val="0"/>
                <w:sz w:val="24"/>
                <w:szCs w:val="24"/>
                <w:highlight w:val="none"/>
              </w:rPr>
            </w:pPr>
            <w:r>
              <w:rPr>
                <w:rFonts w:ascii="Times New Roman" w:hAnsi="Times New Roman" w:eastAsia="宋体" w:cs="Times New Roman"/>
                <w:color w:val="auto"/>
                <w:kern w:val="0"/>
                <w:sz w:val="24"/>
                <w:szCs w:val="24"/>
                <w:highlight w:val="none"/>
              </w:rPr>
              <w:t>质量</w:t>
            </w:r>
          </w:p>
          <w:p>
            <w:pPr>
              <w:adjustRightInd w:val="0"/>
              <w:snapToGrid w:val="0"/>
              <w:jc w:val="center"/>
              <w:rPr>
                <w:rFonts w:ascii="Times New Roman" w:hAnsi="Times New Roman" w:eastAsia="宋体" w:cs="Times New Roman"/>
                <w:color w:val="auto"/>
                <w:kern w:val="0"/>
                <w:szCs w:val="21"/>
                <w:highlight w:val="none"/>
              </w:rPr>
            </w:pPr>
            <w:r>
              <w:rPr>
                <w:rFonts w:ascii="Times New Roman" w:hAnsi="Times New Roman" w:eastAsia="宋体" w:cs="Times New Roman"/>
                <w:color w:val="auto"/>
                <w:kern w:val="0"/>
                <w:sz w:val="24"/>
                <w:szCs w:val="24"/>
                <w:highlight w:val="none"/>
              </w:rPr>
              <w:t>现状</w:t>
            </w:r>
          </w:p>
        </w:tc>
        <w:tc>
          <w:tcPr>
            <w:tcW w:w="8065" w:type="dxa"/>
            <w:tcBorders>
              <w:left w:val="single" w:color="000000" w:sz="8" w:space="0"/>
            </w:tcBorders>
          </w:tcPr>
          <w:p>
            <w:pPr>
              <w:spacing w:line="360" w:lineRule="auto"/>
              <w:ind w:firstLine="482" w:firstLineChars="200"/>
              <w:jc w:val="left"/>
              <w:rPr>
                <w:rFonts w:ascii="Times New Roman" w:hAnsi="Times New Roman" w:eastAsia="宋体" w:cs="Times New Roman"/>
                <w:b/>
                <w:color w:val="auto"/>
                <w:kern w:val="0"/>
                <w:sz w:val="24"/>
                <w:szCs w:val="24"/>
                <w:highlight w:val="none"/>
              </w:rPr>
            </w:pPr>
            <w:r>
              <w:rPr>
                <w:rFonts w:ascii="Times New Roman" w:hAnsi="Times New Roman" w:eastAsia="宋体" w:cs="Times New Roman"/>
                <w:b/>
                <w:color w:val="auto"/>
                <w:kern w:val="0"/>
                <w:sz w:val="24"/>
                <w:szCs w:val="24"/>
                <w:highlight w:val="none"/>
              </w:rPr>
              <w:t>1、环境空气质量现状</w:t>
            </w:r>
          </w:p>
          <w:p>
            <w:pPr>
              <w:spacing w:line="336" w:lineRule="auto"/>
              <w:ind w:firstLine="482" w:firstLineChars="200"/>
              <w:jc w:val="left"/>
              <w:rPr>
                <w:rFonts w:ascii="Times New Roman" w:hAnsi="Times New Roman" w:eastAsia="宋体" w:cs="Times New Roman"/>
                <w:b/>
                <w:color w:val="auto"/>
                <w:kern w:val="0"/>
                <w:sz w:val="24"/>
                <w:szCs w:val="24"/>
                <w:highlight w:val="none"/>
              </w:rPr>
            </w:pPr>
            <w:r>
              <w:rPr>
                <w:rFonts w:ascii="Times New Roman" w:hAnsi="Times New Roman" w:eastAsia="宋体" w:cs="Times New Roman"/>
                <w:b/>
                <w:color w:val="auto"/>
                <w:kern w:val="0"/>
                <w:sz w:val="24"/>
                <w:szCs w:val="24"/>
                <w:highlight w:val="none"/>
              </w:rPr>
              <w:t>（1）</w:t>
            </w:r>
            <w:r>
              <w:rPr>
                <w:rFonts w:ascii="Times New Roman" w:hAnsi="Times New Roman" w:eastAsia="宋体" w:cs="Times New Roman"/>
                <w:b/>
                <w:bCs/>
                <w:color w:val="auto"/>
                <w:sz w:val="24"/>
                <w:szCs w:val="28"/>
                <w:highlight w:val="none"/>
              </w:rPr>
              <w:t>基本污染物空气质量现状</w:t>
            </w:r>
          </w:p>
          <w:p>
            <w:pPr>
              <w:widowControl/>
              <w:spacing w:line="360" w:lineRule="auto"/>
              <w:ind w:firstLine="480" w:firstLineChars="200"/>
              <w:rPr>
                <w:rFonts w:ascii="Times New Roman" w:hAnsi="Times New Roman" w:eastAsia="宋体" w:cs="Times New Roman"/>
                <w:color w:val="auto"/>
                <w:kern w:val="0"/>
                <w:sz w:val="24"/>
                <w:szCs w:val="24"/>
                <w:highlight w:val="none"/>
              </w:rPr>
            </w:pPr>
            <w:r>
              <w:rPr>
                <w:rFonts w:ascii="Times New Roman" w:hAnsi="Times New Roman" w:eastAsia="宋体" w:cs="Times New Roman"/>
                <w:color w:val="auto"/>
                <w:kern w:val="0"/>
                <w:sz w:val="24"/>
                <w:szCs w:val="24"/>
                <w:highlight w:val="none"/>
              </w:rPr>
              <w:t>根据《环境影响评价技术导则大气环境》（HJ2.2-2018），项目所在区域达标情况判定有限采用国家或地方生态环境主管部门公开发布的环境质量公告或环境质量报告中的数据或结论。</w:t>
            </w:r>
          </w:p>
          <w:p>
            <w:pPr>
              <w:widowControl/>
              <w:spacing w:line="360" w:lineRule="auto"/>
              <w:ind w:firstLine="480" w:firstLineChars="200"/>
              <w:rPr>
                <w:rFonts w:ascii="Times New Roman" w:hAnsi="Times New Roman" w:eastAsia="宋体" w:cs="Times New Roman"/>
                <w:color w:val="auto"/>
                <w:kern w:val="0"/>
                <w:sz w:val="24"/>
                <w:szCs w:val="24"/>
                <w:highlight w:val="none"/>
              </w:rPr>
            </w:pPr>
            <w:r>
              <w:rPr>
                <w:rFonts w:ascii="Times New Roman" w:hAnsi="Times New Roman" w:eastAsia="宋体" w:cs="Times New Roman"/>
                <w:color w:val="auto"/>
                <w:kern w:val="0"/>
                <w:sz w:val="24"/>
                <w:szCs w:val="24"/>
                <w:highlight w:val="none"/>
              </w:rPr>
              <w:t>根据淮南市生态环境局发布的《2023年淮南市环境质量公报》可知，2023年全市环境空气质量一级优69天，二级良225天，三级轻度污染60天，四级中度污染3天，五级重度污染4天，六级严重污染4天；全市年度环境空气达标天数比例为80.5%，与上年相比提升了1.0个百分点；全市环境空气综合指数为3.86，首要污染物主要为臭氧。区域空气质量现状如下表所示。</w:t>
            </w:r>
          </w:p>
          <w:p>
            <w:pPr>
              <w:adjustRightInd w:val="0"/>
              <w:spacing w:line="324" w:lineRule="auto"/>
              <w:jc w:val="center"/>
              <w:rPr>
                <w:rFonts w:ascii="Times New Roman" w:hAnsi="Times New Roman" w:eastAsia="黑体" w:cs="Times New Roman"/>
                <w:color w:val="auto"/>
                <w:sz w:val="24"/>
                <w:highlight w:val="none"/>
              </w:rPr>
            </w:pPr>
            <w:r>
              <w:rPr>
                <w:rFonts w:ascii="Times New Roman" w:hAnsi="Times New Roman" w:eastAsia="黑体" w:cs="Times New Roman"/>
                <w:color w:val="auto"/>
                <w:sz w:val="24"/>
                <w:highlight w:val="none"/>
              </w:rPr>
              <w:t>表3-1  区域空气质量现状评价表</w:t>
            </w:r>
          </w:p>
          <w:tbl>
            <w:tblPr>
              <w:tblStyle w:val="17"/>
              <w:tblW w:w="0" w:type="auto"/>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825"/>
              <w:gridCol w:w="3048"/>
              <w:gridCol w:w="1147"/>
              <w:gridCol w:w="1147"/>
              <w:gridCol w:w="936"/>
              <w:gridCol w:w="747"/>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25" w:type="dxa"/>
                  <w:tcBorders>
                    <w:top w:val="single" w:color="auto" w:sz="8" w:space="0"/>
                  </w:tcBorders>
                  <w:noWrap/>
                  <w:vAlign w:val="center"/>
                </w:tcPr>
                <w:p>
                  <w:pPr>
                    <w:snapToGrid w:val="0"/>
                    <w:spacing w:line="276" w:lineRule="auto"/>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污染物</w:t>
                  </w:r>
                </w:p>
              </w:tc>
              <w:tc>
                <w:tcPr>
                  <w:tcW w:w="3050" w:type="dxa"/>
                  <w:tcBorders>
                    <w:top w:val="single" w:color="auto" w:sz="8" w:space="0"/>
                  </w:tcBorders>
                  <w:noWrap/>
                  <w:vAlign w:val="center"/>
                </w:tcPr>
                <w:p>
                  <w:pPr>
                    <w:snapToGrid w:val="0"/>
                    <w:spacing w:line="276" w:lineRule="auto"/>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年评价指标</w:t>
                  </w:r>
                </w:p>
              </w:tc>
              <w:tc>
                <w:tcPr>
                  <w:tcW w:w="1148" w:type="dxa"/>
                  <w:tcBorders>
                    <w:top w:val="single" w:color="auto" w:sz="8" w:space="0"/>
                  </w:tcBorders>
                  <w:noWrap/>
                  <w:vAlign w:val="center"/>
                </w:tcPr>
                <w:p>
                  <w:pPr>
                    <w:widowControl/>
                    <w:adjustRightInd w:val="0"/>
                    <w:snapToGrid w:val="0"/>
                    <w:spacing w:line="276" w:lineRule="auto"/>
                    <w:jc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sz w:val="18"/>
                      <w:szCs w:val="18"/>
                      <w:highlight w:val="none"/>
                    </w:rPr>
                    <w:t>现状浓度（μg/m</w:t>
                  </w:r>
                  <w:r>
                    <w:rPr>
                      <w:rFonts w:ascii="Times New Roman" w:hAnsi="Times New Roman" w:eastAsia="宋体" w:cs="Times New Roman"/>
                      <w:b/>
                      <w:bCs/>
                      <w:color w:val="auto"/>
                      <w:sz w:val="18"/>
                      <w:szCs w:val="18"/>
                      <w:highlight w:val="none"/>
                      <w:vertAlign w:val="superscript"/>
                    </w:rPr>
                    <w:t>3</w:t>
                  </w:r>
                  <w:r>
                    <w:rPr>
                      <w:rFonts w:ascii="Times New Roman" w:hAnsi="Times New Roman" w:eastAsia="宋体" w:cs="Times New Roman"/>
                      <w:b/>
                      <w:bCs/>
                      <w:color w:val="auto"/>
                      <w:sz w:val="18"/>
                      <w:szCs w:val="18"/>
                      <w:highlight w:val="none"/>
                    </w:rPr>
                    <w:t>）</w:t>
                  </w:r>
                </w:p>
              </w:tc>
              <w:tc>
                <w:tcPr>
                  <w:tcW w:w="1148" w:type="dxa"/>
                  <w:tcBorders>
                    <w:top w:val="single" w:color="auto" w:sz="8" w:space="0"/>
                  </w:tcBorders>
                  <w:noWrap/>
                  <w:vAlign w:val="center"/>
                </w:tcPr>
                <w:p>
                  <w:pPr>
                    <w:widowControl/>
                    <w:adjustRightInd w:val="0"/>
                    <w:snapToGrid w:val="0"/>
                    <w:spacing w:line="276" w:lineRule="auto"/>
                    <w:jc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sz w:val="18"/>
                      <w:szCs w:val="18"/>
                      <w:highlight w:val="none"/>
                    </w:rPr>
                    <w:t>标准值（μg/m</w:t>
                  </w:r>
                  <w:r>
                    <w:rPr>
                      <w:rFonts w:ascii="Times New Roman" w:hAnsi="Times New Roman" w:eastAsia="宋体" w:cs="Times New Roman"/>
                      <w:b/>
                      <w:bCs/>
                      <w:color w:val="auto"/>
                      <w:sz w:val="18"/>
                      <w:szCs w:val="18"/>
                      <w:highlight w:val="none"/>
                      <w:vertAlign w:val="superscript"/>
                    </w:rPr>
                    <w:t>3</w:t>
                  </w:r>
                  <w:r>
                    <w:rPr>
                      <w:rFonts w:ascii="Times New Roman" w:hAnsi="Times New Roman" w:eastAsia="宋体" w:cs="Times New Roman"/>
                      <w:b/>
                      <w:bCs/>
                      <w:color w:val="auto"/>
                      <w:sz w:val="18"/>
                      <w:szCs w:val="18"/>
                      <w:highlight w:val="none"/>
                    </w:rPr>
                    <w:t>）</w:t>
                  </w:r>
                </w:p>
              </w:tc>
              <w:tc>
                <w:tcPr>
                  <w:tcW w:w="937" w:type="dxa"/>
                  <w:tcBorders>
                    <w:top w:val="single" w:color="auto" w:sz="8" w:space="0"/>
                  </w:tcBorders>
                  <w:noWrap/>
                  <w:vAlign w:val="center"/>
                </w:tcPr>
                <w:p>
                  <w:pPr>
                    <w:widowControl/>
                    <w:adjustRightInd w:val="0"/>
                    <w:snapToGrid w:val="0"/>
                    <w:spacing w:line="276" w:lineRule="auto"/>
                    <w:jc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sz w:val="18"/>
                      <w:szCs w:val="18"/>
                      <w:highlight w:val="none"/>
                    </w:rPr>
                    <w:t>占标率（%）</w:t>
                  </w:r>
                </w:p>
              </w:tc>
              <w:tc>
                <w:tcPr>
                  <w:tcW w:w="747" w:type="dxa"/>
                  <w:tcBorders>
                    <w:top w:val="single" w:color="auto" w:sz="8" w:space="0"/>
                  </w:tcBorders>
                  <w:noWrap/>
                  <w:vAlign w:val="center"/>
                </w:tcPr>
                <w:p>
                  <w:pPr>
                    <w:widowControl/>
                    <w:adjustRightInd w:val="0"/>
                    <w:snapToGrid w:val="0"/>
                    <w:spacing w:line="276" w:lineRule="auto"/>
                    <w:jc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sz w:val="18"/>
                      <w:szCs w:val="18"/>
                      <w:highlight w:val="none"/>
                    </w:rPr>
                    <w:t>达标情况</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25" w:type="dxa"/>
                  <w:noWrap/>
                  <w:vAlign w:val="center"/>
                </w:tcPr>
                <w:p>
                  <w:pPr>
                    <w:widowControl/>
                    <w:adjustRightInd w:val="0"/>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SO</w:t>
                  </w:r>
                  <w:r>
                    <w:rPr>
                      <w:rFonts w:ascii="Times New Roman" w:hAnsi="Times New Roman" w:eastAsia="宋体" w:cs="Times New Roman"/>
                      <w:bCs/>
                      <w:color w:val="auto"/>
                      <w:sz w:val="18"/>
                      <w:szCs w:val="18"/>
                      <w:highlight w:val="none"/>
                      <w:vertAlign w:val="subscript"/>
                    </w:rPr>
                    <w:t>2</w:t>
                  </w:r>
                </w:p>
              </w:tc>
              <w:tc>
                <w:tcPr>
                  <w:tcW w:w="3050" w:type="dxa"/>
                  <w:noWrap/>
                  <w:vAlign w:val="center"/>
                </w:tcPr>
                <w:p>
                  <w:pPr>
                    <w:widowControl/>
                    <w:adjustRightInd w:val="0"/>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年平均质量浓度</w:t>
                  </w:r>
                </w:p>
              </w:tc>
              <w:tc>
                <w:tcPr>
                  <w:tcW w:w="1148" w:type="dxa"/>
                  <w:noWrap/>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hint="eastAsia" w:ascii="Times New Roman" w:hAnsi="Times New Roman" w:eastAsia="宋体" w:cs="Times New Roman"/>
                      <w:bCs/>
                      <w:color w:val="auto"/>
                      <w:sz w:val="18"/>
                      <w:szCs w:val="18"/>
                      <w:highlight w:val="none"/>
                    </w:rPr>
                    <w:t>8</w:t>
                  </w:r>
                </w:p>
              </w:tc>
              <w:tc>
                <w:tcPr>
                  <w:tcW w:w="1148" w:type="dxa"/>
                  <w:noWrap/>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60</w:t>
                  </w:r>
                </w:p>
              </w:tc>
              <w:tc>
                <w:tcPr>
                  <w:tcW w:w="937" w:type="dxa"/>
                  <w:noWrap/>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13.3%</w:t>
                  </w:r>
                </w:p>
              </w:tc>
              <w:tc>
                <w:tcPr>
                  <w:tcW w:w="747" w:type="dxa"/>
                  <w:noWrap/>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达标</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25" w:type="dxa"/>
                  <w:noWrap/>
                  <w:vAlign w:val="center"/>
                </w:tcPr>
                <w:p>
                  <w:pPr>
                    <w:widowControl/>
                    <w:adjustRightInd w:val="0"/>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NO</w:t>
                  </w:r>
                  <w:r>
                    <w:rPr>
                      <w:rFonts w:ascii="Times New Roman" w:hAnsi="Times New Roman" w:eastAsia="宋体" w:cs="Times New Roman"/>
                      <w:bCs/>
                      <w:color w:val="auto"/>
                      <w:sz w:val="18"/>
                      <w:szCs w:val="18"/>
                      <w:highlight w:val="none"/>
                      <w:vertAlign w:val="subscript"/>
                    </w:rPr>
                    <w:t>2</w:t>
                  </w:r>
                </w:p>
              </w:tc>
              <w:tc>
                <w:tcPr>
                  <w:tcW w:w="3050" w:type="dxa"/>
                  <w:noWrap/>
                  <w:vAlign w:val="center"/>
                </w:tcPr>
                <w:p>
                  <w:pPr>
                    <w:widowControl/>
                    <w:adjustRightInd w:val="0"/>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年平均质量浓度</w:t>
                  </w:r>
                </w:p>
              </w:tc>
              <w:tc>
                <w:tcPr>
                  <w:tcW w:w="1148" w:type="dxa"/>
                  <w:noWrap/>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hint="eastAsia" w:ascii="Times New Roman" w:hAnsi="Times New Roman" w:eastAsia="宋体" w:cs="Times New Roman"/>
                      <w:bCs/>
                      <w:color w:val="auto"/>
                      <w:sz w:val="18"/>
                      <w:szCs w:val="18"/>
                      <w:highlight w:val="none"/>
                    </w:rPr>
                    <w:t>21</w:t>
                  </w:r>
                </w:p>
              </w:tc>
              <w:tc>
                <w:tcPr>
                  <w:tcW w:w="1148" w:type="dxa"/>
                  <w:noWrap/>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40</w:t>
                  </w:r>
                </w:p>
              </w:tc>
              <w:tc>
                <w:tcPr>
                  <w:tcW w:w="937" w:type="dxa"/>
                  <w:noWrap/>
                  <w:vAlign w:val="center"/>
                </w:tcPr>
                <w:p>
                  <w:pPr>
                    <w:widowControl/>
                    <w:jc w:val="center"/>
                    <w:textAlignment w:val="center"/>
                    <w:rPr>
                      <w:rFonts w:ascii="Times New Roman" w:hAnsi="Times New Roman" w:eastAsia="宋体" w:cs="Times New Roman"/>
                      <w:bCs/>
                      <w:color w:val="auto"/>
                      <w:sz w:val="18"/>
                      <w:szCs w:val="18"/>
                      <w:highlight w:val="none"/>
                    </w:rPr>
                  </w:pPr>
                  <w:r>
                    <w:rPr>
                      <w:rFonts w:ascii="Times New Roman" w:hAnsi="Times New Roman" w:eastAsia="宋体" w:cs="Times New Roman"/>
                      <w:color w:val="auto"/>
                      <w:kern w:val="0"/>
                      <w:sz w:val="18"/>
                      <w:szCs w:val="18"/>
                      <w:highlight w:val="none"/>
                    </w:rPr>
                    <w:t>53%</w:t>
                  </w:r>
                </w:p>
              </w:tc>
              <w:tc>
                <w:tcPr>
                  <w:tcW w:w="747" w:type="dxa"/>
                  <w:noWrap/>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达标</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25" w:type="dxa"/>
                  <w:noWrap/>
                  <w:vAlign w:val="center"/>
                </w:tcPr>
                <w:p>
                  <w:pPr>
                    <w:widowControl/>
                    <w:adjustRightInd w:val="0"/>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PM</w:t>
                  </w:r>
                  <w:r>
                    <w:rPr>
                      <w:rFonts w:ascii="Times New Roman" w:hAnsi="Times New Roman" w:eastAsia="宋体" w:cs="Times New Roman"/>
                      <w:bCs/>
                      <w:color w:val="auto"/>
                      <w:sz w:val="18"/>
                      <w:szCs w:val="18"/>
                      <w:highlight w:val="none"/>
                      <w:vertAlign w:val="subscript"/>
                    </w:rPr>
                    <w:t>10</w:t>
                  </w:r>
                </w:p>
              </w:tc>
              <w:tc>
                <w:tcPr>
                  <w:tcW w:w="3050" w:type="dxa"/>
                  <w:noWrap/>
                  <w:vAlign w:val="center"/>
                </w:tcPr>
                <w:p>
                  <w:pPr>
                    <w:widowControl/>
                    <w:adjustRightInd w:val="0"/>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年平均质量浓度</w:t>
                  </w:r>
                </w:p>
              </w:tc>
              <w:tc>
                <w:tcPr>
                  <w:tcW w:w="1148" w:type="dxa"/>
                  <w:noWrap/>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hint="eastAsia" w:ascii="Times New Roman" w:hAnsi="Times New Roman" w:eastAsia="宋体" w:cs="Times New Roman"/>
                      <w:bCs/>
                      <w:color w:val="auto"/>
                      <w:sz w:val="18"/>
                      <w:szCs w:val="18"/>
                      <w:highlight w:val="none"/>
                    </w:rPr>
                    <w:t>65.9</w:t>
                  </w:r>
                </w:p>
              </w:tc>
              <w:tc>
                <w:tcPr>
                  <w:tcW w:w="1148" w:type="dxa"/>
                  <w:noWrap/>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70</w:t>
                  </w:r>
                </w:p>
              </w:tc>
              <w:tc>
                <w:tcPr>
                  <w:tcW w:w="937" w:type="dxa"/>
                  <w:noWrap/>
                  <w:vAlign w:val="center"/>
                </w:tcPr>
                <w:p>
                  <w:pPr>
                    <w:widowControl/>
                    <w:jc w:val="center"/>
                    <w:textAlignment w:val="center"/>
                    <w:rPr>
                      <w:rFonts w:ascii="Times New Roman" w:hAnsi="Times New Roman" w:eastAsia="宋体" w:cs="Times New Roman"/>
                      <w:bCs/>
                      <w:color w:val="auto"/>
                      <w:sz w:val="18"/>
                      <w:szCs w:val="18"/>
                      <w:highlight w:val="none"/>
                    </w:rPr>
                  </w:pPr>
                  <w:r>
                    <w:rPr>
                      <w:rFonts w:ascii="Times New Roman" w:hAnsi="Times New Roman" w:eastAsia="宋体" w:cs="Times New Roman"/>
                      <w:color w:val="auto"/>
                      <w:kern w:val="0"/>
                      <w:sz w:val="18"/>
                      <w:szCs w:val="18"/>
                      <w:highlight w:val="none"/>
                    </w:rPr>
                    <w:t>94%</w:t>
                  </w:r>
                </w:p>
              </w:tc>
              <w:tc>
                <w:tcPr>
                  <w:tcW w:w="747" w:type="dxa"/>
                  <w:noWrap/>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达标</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25" w:type="dxa"/>
                  <w:noWrap/>
                  <w:vAlign w:val="center"/>
                </w:tcPr>
                <w:p>
                  <w:pPr>
                    <w:widowControl/>
                    <w:adjustRightInd w:val="0"/>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PM</w:t>
                  </w:r>
                  <w:r>
                    <w:rPr>
                      <w:rFonts w:ascii="Times New Roman" w:hAnsi="Times New Roman" w:eastAsia="宋体" w:cs="Times New Roman"/>
                      <w:bCs/>
                      <w:color w:val="auto"/>
                      <w:sz w:val="18"/>
                      <w:szCs w:val="18"/>
                      <w:highlight w:val="none"/>
                      <w:vertAlign w:val="subscript"/>
                    </w:rPr>
                    <w:t>2.5</w:t>
                  </w:r>
                </w:p>
              </w:tc>
              <w:tc>
                <w:tcPr>
                  <w:tcW w:w="3050" w:type="dxa"/>
                  <w:noWrap/>
                  <w:vAlign w:val="center"/>
                </w:tcPr>
                <w:p>
                  <w:pPr>
                    <w:widowControl/>
                    <w:adjustRightInd w:val="0"/>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年平均质量浓度</w:t>
                  </w:r>
                </w:p>
              </w:tc>
              <w:tc>
                <w:tcPr>
                  <w:tcW w:w="1148" w:type="dxa"/>
                  <w:noWrap/>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hint="eastAsia" w:ascii="Times New Roman" w:hAnsi="Times New Roman" w:eastAsia="宋体" w:cs="Times New Roman"/>
                      <w:bCs/>
                      <w:color w:val="auto"/>
                      <w:sz w:val="18"/>
                      <w:szCs w:val="18"/>
                      <w:highlight w:val="none"/>
                    </w:rPr>
                    <w:t>38.7</w:t>
                  </w:r>
                </w:p>
              </w:tc>
              <w:tc>
                <w:tcPr>
                  <w:tcW w:w="1148" w:type="dxa"/>
                  <w:noWrap/>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35</w:t>
                  </w:r>
                </w:p>
              </w:tc>
              <w:tc>
                <w:tcPr>
                  <w:tcW w:w="937" w:type="dxa"/>
                  <w:noWrap/>
                  <w:vAlign w:val="center"/>
                </w:tcPr>
                <w:p>
                  <w:pPr>
                    <w:widowControl/>
                    <w:jc w:val="center"/>
                    <w:textAlignment w:val="center"/>
                    <w:rPr>
                      <w:rFonts w:ascii="Times New Roman" w:hAnsi="Times New Roman" w:eastAsia="宋体" w:cs="Times New Roman"/>
                      <w:bCs/>
                      <w:color w:val="auto"/>
                      <w:sz w:val="18"/>
                      <w:szCs w:val="18"/>
                      <w:highlight w:val="none"/>
                    </w:rPr>
                  </w:pPr>
                  <w:r>
                    <w:rPr>
                      <w:rFonts w:ascii="Times New Roman" w:hAnsi="Times New Roman" w:eastAsia="宋体" w:cs="Times New Roman"/>
                      <w:color w:val="auto"/>
                      <w:kern w:val="0"/>
                      <w:sz w:val="18"/>
                      <w:szCs w:val="18"/>
                      <w:highlight w:val="none"/>
                    </w:rPr>
                    <w:t>111%</w:t>
                  </w:r>
                </w:p>
              </w:tc>
              <w:tc>
                <w:tcPr>
                  <w:tcW w:w="747" w:type="dxa"/>
                  <w:noWrap/>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超标</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25" w:type="dxa"/>
                  <w:noWrap/>
                  <w:vAlign w:val="center"/>
                </w:tcPr>
                <w:p>
                  <w:pPr>
                    <w:widowControl/>
                    <w:adjustRightInd w:val="0"/>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CO</w:t>
                  </w:r>
                </w:p>
              </w:tc>
              <w:tc>
                <w:tcPr>
                  <w:tcW w:w="3050" w:type="dxa"/>
                  <w:noWrap/>
                  <w:vAlign w:val="center"/>
                </w:tcPr>
                <w:p>
                  <w:pPr>
                    <w:widowControl/>
                    <w:adjustRightInd w:val="0"/>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第95百分位数日平均质量浓度</w:t>
                  </w:r>
                </w:p>
              </w:tc>
              <w:tc>
                <w:tcPr>
                  <w:tcW w:w="1148" w:type="dxa"/>
                  <w:noWrap/>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hint="eastAsia" w:ascii="Times New Roman" w:hAnsi="Times New Roman" w:eastAsia="宋体" w:cs="Times New Roman"/>
                      <w:bCs/>
                      <w:color w:val="auto"/>
                      <w:sz w:val="18"/>
                      <w:szCs w:val="18"/>
                      <w:highlight w:val="none"/>
                    </w:rPr>
                    <w:t>700</w:t>
                  </w:r>
                </w:p>
              </w:tc>
              <w:tc>
                <w:tcPr>
                  <w:tcW w:w="1148" w:type="dxa"/>
                  <w:noWrap/>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4000</w:t>
                  </w:r>
                </w:p>
              </w:tc>
              <w:tc>
                <w:tcPr>
                  <w:tcW w:w="937" w:type="dxa"/>
                  <w:noWrap/>
                  <w:vAlign w:val="center"/>
                </w:tcPr>
                <w:p>
                  <w:pPr>
                    <w:widowControl/>
                    <w:jc w:val="center"/>
                    <w:textAlignment w:val="center"/>
                    <w:rPr>
                      <w:rFonts w:ascii="Times New Roman" w:hAnsi="Times New Roman" w:eastAsia="宋体" w:cs="Times New Roman"/>
                      <w:bCs/>
                      <w:color w:val="auto"/>
                      <w:sz w:val="18"/>
                      <w:szCs w:val="18"/>
                      <w:highlight w:val="none"/>
                    </w:rPr>
                  </w:pPr>
                  <w:r>
                    <w:rPr>
                      <w:rFonts w:ascii="Times New Roman" w:hAnsi="Times New Roman" w:eastAsia="宋体" w:cs="Times New Roman"/>
                      <w:color w:val="auto"/>
                      <w:kern w:val="0"/>
                      <w:sz w:val="18"/>
                      <w:szCs w:val="18"/>
                      <w:highlight w:val="none"/>
                    </w:rPr>
                    <w:t>18%</w:t>
                  </w:r>
                </w:p>
              </w:tc>
              <w:tc>
                <w:tcPr>
                  <w:tcW w:w="747" w:type="dxa"/>
                  <w:noWrap/>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达标</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25" w:type="dxa"/>
                  <w:tcBorders>
                    <w:bottom w:val="single" w:color="auto" w:sz="8" w:space="0"/>
                  </w:tcBorders>
                  <w:noWrap/>
                  <w:vAlign w:val="center"/>
                </w:tcPr>
                <w:p>
                  <w:pPr>
                    <w:widowControl/>
                    <w:adjustRightInd w:val="0"/>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O</w:t>
                  </w:r>
                  <w:r>
                    <w:rPr>
                      <w:rFonts w:ascii="Times New Roman" w:hAnsi="Times New Roman" w:eastAsia="宋体" w:cs="Times New Roman"/>
                      <w:bCs/>
                      <w:color w:val="auto"/>
                      <w:sz w:val="18"/>
                      <w:szCs w:val="18"/>
                      <w:highlight w:val="none"/>
                      <w:vertAlign w:val="subscript"/>
                    </w:rPr>
                    <w:t>3</w:t>
                  </w:r>
                </w:p>
              </w:tc>
              <w:tc>
                <w:tcPr>
                  <w:tcW w:w="3050" w:type="dxa"/>
                  <w:tcBorders>
                    <w:bottom w:val="single" w:color="auto" w:sz="8" w:space="0"/>
                  </w:tcBorders>
                  <w:noWrap/>
                  <w:vAlign w:val="center"/>
                </w:tcPr>
                <w:p>
                  <w:pPr>
                    <w:widowControl/>
                    <w:adjustRightInd w:val="0"/>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第90百分位数日最大8小时平均质量浓度</w:t>
                  </w:r>
                </w:p>
              </w:tc>
              <w:tc>
                <w:tcPr>
                  <w:tcW w:w="1148" w:type="dxa"/>
                  <w:tcBorders>
                    <w:bottom w:val="single" w:color="auto" w:sz="8" w:space="0"/>
                  </w:tcBorders>
                  <w:noWrap/>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hint="eastAsia" w:ascii="Times New Roman" w:hAnsi="Times New Roman" w:eastAsia="宋体" w:cs="Times New Roman"/>
                      <w:bCs/>
                      <w:color w:val="auto"/>
                      <w:sz w:val="18"/>
                      <w:szCs w:val="18"/>
                      <w:highlight w:val="none"/>
                    </w:rPr>
                    <w:t>157</w:t>
                  </w:r>
                </w:p>
              </w:tc>
              <w:tc>
                <w:tcPr>
                  <w:tcW w:w="1148" w:type="dxa"/>
                  <w:tcBorders>
                    <w:bottom w:val="single" w:color="auto" w:sz="8" w:space="0"/>
                  </w:tcBorders>
                  <w:noWrap/>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160</w:t>
                  </w:r>
                </w:p>
              </w:tc>
              <w:tc>
                <w:tcPr>
                  <w:tcW w:w="937" w:type="dxa"/>
                  <w:tcBorders>
                    <w:bottom w:val="single" w:color="auto" w:sz="8" w:space="0"/>
                  </w:tcBorders>
                  <w:noWrap/>
                  <w:vAlign w:val="center"/>
                </w:tcPr>
                <w:p>
                  <w:pPr>
                    <w:widowControl/>
                    <w:jc w:val="center"/>
                    <w:textAlignment w:val="center"/>
                    <w:rPr>
                      <w:rFonts w:ascii="Times New Roman" w:hAnsi="Times New Roman" w:eastAsia="宋体" w:cs="Times New Roman"/>
                      <w:bCs/>
                      <w:color w:val="auto"/>
                      <w:sz w:val="18"/>
                      <w:szCs w:val="18"/>
                      <w:highlight w:val="none"/>
                    </w:rPr>
                  </w:pPr>
                  <w:r>
                    <w:rPr>
                      <w:rFonts w:ascii="Times New Roman" w:hAnsi="Times New Roman" w:eastAsia="宋体" w:cs="Times New Roman"/>
                      <w:color w:val="auto"/>
                      <w:kern w:val="0"/>
                      <w:sz w:val="18"/>
                      <w:szCs w:val="18"/>
                      <w:highlight w:val="none"/>
                    </w:rPr>
                    <w:t>98%</w:t>
                  </w:r>
                </w:p>
              </w:tc>
              <w:tc>
                <w:tcPr>
                  <w:tcW w:w="747" w:type="dxa"/>
                  <w:tcBorders>
                    <w:bottom w:val="single" w:color="auto" w:sz="8" w:space="0"/>
                  </w:tcBorders>
                  <w:noWrap/>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达标</w:t>
                  </w:r>
                </w:p>
              </w:tc>
            </w:tr>
          </w:tbl>
          <w:p>
            <w:pPr>
              <w:spacing w:line="360" w:lineRule="auto"/>
              <w:ind w:firstLine="480" w:firstLineChars="200"/>
              <w:rPr>
                <w:rFonts w:ascii="Times New Roman" w:hAnsi="Times New Roman" w:eastAsia="宋体" w:cs="Times New Roman"/>
                <w:color w:val="auto"/>
                <w:sz w:val="24"/>
                <w:szCs w:val="21"/>
                <w:highlight w:val="none"/>
              </w:rPr>
            </w:pPr>
            <w:r>
              <w:rPr>
                <w:rFonts w:ascii="Times New Roman" w:hAnsi="Times New Roman" w:eastAsia="宋体" w:cs="Times New Roman"/>
                <w:color w:val="auto"/>
                <w:sz w:val="24"/>
                <w:szCs w:val="21"/>
                <w:highlight w:val="none"/>
              </w:rPr>
              <w:t>根据质量状况公报结果，并结合《环境空气质量标准》（GB3095-2012）及2018年修改单中二级标准可知，项目所在区域环境空气质量中细颗粒物（PM</w:t>
            </w:r>
            <w:r>
              <w:rPr>
                <w:rFonts w:ascii="Times New Roman" w:hAnsi="Times New Roman" w:eastAsia="宋体" w:cs="Times New Roman"/>
                <w:color w:val="auto"/>
                <w:sz w:val="24"/>
                <w:szCs w:val="21"/>
                <w:highlight w:val="none"/>
                <w:vertAlign w:val="subscript"/>
              </w:rPr>
              <w:t>2.5</w:t>
            </w:r>
            <w:r>
              <w:rPr>
                <w:rFonts w:ascii="Times New Roman" w:hAnsi="Times New Roman" w:eastAsia="宋体" w:cs="Times New Roman"/>
                <w:color w:val="auto"/>
                <w:sz w:val="24"/>
                <w:szCs w:val="21"/>
                <w:highlight w:val="none"/>
              </w:rPr>
              <w:t>）年平均值浓度超过《环境空气质量标准》（GB3095-2012）二级标准限值要求。因此，项目所在区域判定为不达标区。</w:t>
            </w:r>
          </w:p>
          <w:p>
            <w:pPr>
              <w:spacing w:line="360" w:lineRule="auto"/>
              <w:ind w:firstLine="480" w:firstLineChars="200"/>
              <w:rPr>
                <w:rFonts w:ascii="Times New Roman" w:hAnsi="Times New Roman" w:eastAsia="宋体" w:cs="Times New Roman"/>
                <w:color w:val="auto"/>
                <w:sz w:val="24"/>
                <w:szCs w:val="21"/>
                <w:highlight w:val="none"/>
              </w:rPr>
            </w:pPr>
            <w:r>
              <w:rPr>
                <w:rFonts w:ascii="Times New Roman" w:hAnsi="Times New Roman" w:eastAsia="宋体" w:cs="Times New Roman"/>
                <w:color w:val="auto"/>
                <w:sz w:val="24"/>
                <w:szCs w:val="21"/>
                <w:highlight w:val="none"/>
              </w:rPr>
              <w:t>目前，淮南市已围绕工业大气污染治理、扬（烟）尘污染防治等开展专项治理活动，进一步削减大气污染物排放。</w:t>
            </w:r>
          </w:p>
          <w:p>
            <w:pPr>
              <w:spacing w:line="360" w:lineRule="auto"/>
              <w:ind w:firstLine="482" w:firstLineChars="200"/>
              <w:rPr>
                <w:rFonts w:ascii="Times New Roman" w:hAnsi="Times New Roman" w:eastAsia="宋体" w:cs="Times New Roman"/>
                <w:b/>
                <w:color w:val="auto"/>
                <w:kern w:val="0"/>
                <w:sz w:val="24"/>
                <w:szCs w:val="24"/>
                <w:highlight w:val="none"/>
              </w:rPr>
            </w:pPr>
            <w:r>
              <w:rPr>
                <w:rFonts w:ascii="Times New Roman" w:hAnsi="Times New Roman" w:eastAsia="宋体" w:cs="Times New Roman"/>
                <w:b/>
                <w:color w:val="auto"/>
                <w:kern w:val="0"/>
                <w:sz w:val="24"/>
                <w:szCs w:val="24"/>
                <w:highlight w:val="none"/>
              </w:rPr>
              <w:t>（2）其他污染物补充监测结果</w:t>
            </w:r>
          </w:p>
          <w:p>
            <w:pPr>
              <w:spacing w:line="360" w:lineRule="auto"/>
              <w:ind w:firstLine="480" w:firstLineChars="200"/>
              <w:rPr>
                <w:rFonts w:hint="default" w:ascii="Times New Roman" w:hAnsi="Times New Roman" w:eastAsia="宋体" w:cs="Times New Roman"/>
                <w:color w:val="auto"/>
                <w:kern w:val="0"/>
                <w:sz w:val="24"/>
                <w:szCs w:val="24"/>
                <w:highlight w:val="none"/>
                <w:lang w:val="en-US" w:eastAsia="zh-CN"/>
              </w:rPr>
            </w:pPr>
            <w:r>
              <w:rPr>
                <w:rFonts w:hint="eastAsia" w:ascii="宋体" w:hAnsi="宋体" w:eastAsia="宋体" w:cs="宋体"/>
                <w:color w:val="auto"/>
                <w:kern w:val="0"/>
                <w:sz w:val="24"/>
                <w:szCs w:val="24"/>
                <w:highlight w:val="none"/>
              </w:rPr>
              <w:t>①</w:t>
            </w:r>
            <w:r>
              <w:rPr>
                <w:rFonts w:hint="eastAsia" w:ascii="Times New Roman" w:hAnsi="Times New Roman" w:eastAsia="宋体" w:cs="Times New Roman"/>
                <w:color w:val="auto"/>
                <w:kern w:val="0"/>
                <w:sz w:val="24"/>
                <w:szCs w:val="24"/>
                <w:highlight w:val="none"/>
                <w:lang w:val="en-US" w:eastAsia="zh-CN"/>
              </w:rPr>
              <w:t>TSP</w:t>
            </w:r>
          </w:p>
          <w:p>
            <w:pPr>
              <w:spacing w:line="360" w:lineRule="auto"/>
              <w:ind w:firstLine="480" w:firstLineChars="200"/>
              <w:rPr>
                <w:rFonts w:ascii="Times New Roman" w:hAnsi="Times New Roman" w:eastAsia="宋体" w:cs="Times New Roman"/>
                <w:color w:val="auto"/>
                <w:sz w:val="24"/>
                <w:szCs w:val="24"/>
                <w:highlight w:val="none"/>
              </w:rPr>
            </w:pPr>
            <w:r>
              <w:rPr>
                <w:rFonts w:ascii="Times New Roman" w:hAnsi="Times New Roman" w:eastAsia="宋体" w:cs="Times New Roman"/>
                <w:color w:val="auto"/>
                <w:kern w:val="0"/>
                <w:sz w:val="24"/>
                <w:szCs w:val="24"/>
                <w:highlight w:val="none"/>
              </w:rPr>
              <w:t>本项目涉及的其他污染物为TSP。</w:t>
            </w:r>
            <w:r>
              <w:rPr>
                <w:rFonts w:ascii="Times New Roman" w:hAnsi="Times New Roman" w:eastAsia="宋体" w:cs="Times New Roman"/>
                <w:color w:val="auto"/>
                <w:sz w:val="24"/>
                <w:szCs w:val="24"/>
                <w:highlight w:val="none"/>
              </w:rPr>
              <w:t>为了解区域大气环境中TSP现状，评价数据引用《安徽宏盛年产8500万支雨伞项目环境影响报告表》中的监测数据。监测单位为安徽澳林检测技术有限公司，监测时间为2023年9月12日至2023年9月15日，监测点位设置在王庄西。监测点位距离本项目约605m，属于本项目周边5千米范围内近3年的现有监测数据，数据引用符合规定项目与引用点位置关系图和监测结果如下：</w:t>
            </w:r>
          </w:p>
          <w:p>
            <w:pPr>
              <w:widowControl/>
              <w:spacing w:line="360" w:lineRule="auto"/>
              <w:rPr>
                <w:rFonts w:ascii="Times New Roman" w:hAnsi="Times New Roman" w:eastAsia="宋体" w:cs="Times New Roman"/>
                <w:color w:val="auto"/>
                <w:kern w:val="0"/>
                <w:sz w:val="24"/>
                <w:szCs w:val="24"/>
                <w:highlight w:val="none"/>
              </w:rPr>
            </w:pPr>
            <w:r>
              <w:rPr>
                <w:rFonts w:ascii="Times New Roman" w:hAnsi="Times New Roman" w:eastAsia="宋体" w:cs="Times New Roman"/>
                <w:color w:val="auto"/>
                <w:sz w:val="24"/>
                <w:highlight w:val="none"/>
              </w:rPr>
              <w:pict>
                <v:shape id="_x0000_s62126" o:spid="_x0000_s62126" style="position:absolute;left:0pt;margin-left:297.55pt;margin-top:114.25pt;height:51.85pt;width:24.15pt;z-index:251660288;mso-width-relative:page;mso-height-relative:page;" stroked="t" coordsize="483,1037" path="m0,49l217,0,483,1009,259,1037,0,49xe">
                  <v:fill opacity="13107f" focussize="0,0"/>
                  <v:stroke weight="0.5pt" color="#FF0000" endarrowwidth="narrow"/>
                  <v:imagedata o:title=""/>
                  <o:lock v:ext="edit"/>
                </v:shape>
              </w:pict>
            </w:r>
            <w:r>
              <w:rPr>
                <w:rFonts w:ascii="Times New Roman" w:hAnsi="Times New Roman" w:eastAsia="宋体" w:cs="Times New Roman"/>
                <w:color w:val="auto"/>
                <w:sz w:val="24"/>
                <w:highlight w:val="none"/>
              </w:rPr>
              <w:pict>
                <v:shape id="_x0000_s62123" o:spid="_x0000_s62123" o:spt="202" type="#_x0000_t202" style="position:absolute;left:0pt;margin-left:284.3pt;margin-top:164.65pt;height:28.45pt;width:68.75pt;z-index:251664384;mso-width-relative:page;mso-height-relative:page;" filled="f" stroked="f" coordsize="21600,21600">
                  <v:path/>
                  <v:fill on="f" focussize="0,0"/>
                  <v:stroke on="f" weight="0.5pt" endarrowwidth="narrow"/>
                  <v:imagedata o:title=""/>
                  <o:lock v:ext="edit"/>
                  <v:textbox>
                    <w:txbxContent>
                      <w:p>
                        <w:pPr>
                          <w:rPr>
                            <w:rFonts w:ascii="黑体" w:hAnsi="黑体" w:eastAsia="黑体" w:cs="黑体"/>
                            <w:b/>
                            <w:bCs/>
                            <w:color w:val="FF0000"/>
                          </w:rPr>
                        </w:pPr>
                        <w:r>
                          <w:rPr>
                            <w:rFonts w:hint="eastAsia" w:ascii="黑体" w:hAnsi="黑体" w:eastAsia="黑体" w:cs="黑体"/>
                            <w:b/>
                            <w:bCs/>
                            <w:color w:val="FF0000"/>
                          </w:rPr>
                          <w:t>项目厂址</w:t>
                        </w:r>
                      </w:p>
                    </w:txbxContent>
                  </v:textbox>
                </v:shape>
              </w:pict>
            </w:r>
            <w:r>
              <w:rPr>
                <w:rFonts w:ascii="Times New Roman" w:hAnsi="Times New Roman" w:eastAsia="宋体" w:cs="Times New Roman"/>
                <w:color w:val="auto"/>
                <w:sz w:val="24"/>
                <w:highlight w:val="none"/>
              </w:rPr>
              <w:pict>
                <v:shape id="_x0000_s62125" o:spid="_x0000_s62125" o:spt="3" type="#_x0000_t3" style="position:absolute;left:0pt;margin-left:129.45pt;margin-top:115.25pt;height:10.3pt;width:10.3pt;z-index:251661312;mso-width-relative:page;mso-height-relative:page;" fillcolor="#FFFF00" filled="t" stroked="t" coordsize="21600,21600">
                  <v:path/>
                  <v:fill on="t" focussize="0,0"/>
                  <v:stroke weight="0.5pt" color="#FFFF00" endarrowwidth="narrow"/>
                  <v:imagedata o:title=""/>
                  <o:lock v:ext="edit"/>
                </v:shape>
              </w:pict>
            </w:r>
            <w:r>
              <w:rPr>
                <w:rFonts w:ascii="Times New Roman" w:hAnsi="Times New Roman" w:eastAsia="宋体" w:cs="Times New Roman"/>
                <w:color w:val="auto"/>
                <w:sz w:val="24"/>
                <w:highlight w:val="none"/>
              </w:rPr>
              <w:pict>
                <v:shape id="_x0000_s62124" o:spid="_x0000_s62124" o:spt="202" type="#_x0000_t202" style="position:absolute;left:0pt;margin-left:119.65pt;margin-top:126.7pt;height:28.45pt;width:68.75pt;z-index:251663360;mso-width-relative:page;mso-height-relative:page;" filled="f" stroked="f" coordsize="21600,21600">
                  <v:path/>
                  <v:fill on="f" focussize="0,0"/>
                  <v:stroke on="f" weight="0.5pt" endarrowwidth="narrow"/>
                  <v:imagedata o:title=""/>
                  <o:lock v:ext="edit"/>
                  <v:textbox>
                    <w:txbxContent>
                      <w:p>
                        <w:pPr>
                          <w:rPr>
                            <w:rFonts w:ascii="黑体" w:hAnsi="黑体" w:eastAsia="黑体" w:cs="黑体"/>
                            <w:b/>
                            <w:bCs/>
                            <w:color w:val="FFFF00"/>
                          </w:rPr>
                        </w:pPr>
                        <w:r>
                          <w:rPr>
                            <w:rFonts w:hint="eastAsia" w:ascii="黑体" w:hAnsi="黑体" w:eastAsia="黑体" w:cs="黑体"/>
                            <w:b/>
                            <w:bCs/>
                            <w:color w:val="FFFF00"/>
                          </w:rPr>
                          <w:t>王庄西</w:t>
                        </w:r>
                      </w:p>
                    </w:txbxContent>
                  </v:textbox>
                </v:shape>
              </w:pict>
            </w:r>
            <w:r>
              <w:rPr>
                <w:rFonts w:ascii="Times New Roman" w:hAnsi="Times New Roman" w:eastAsia="宋体" w:cs="Times New Roman"/>
                <w:color w:val="auto"/>
                <w:sz w:val="24"/>
                <w:highlight w:val="none"/>
              </w:rPr>
              <w:pict>
                <v:shape id="_x0000_s62120" o:spid="_x0000_s62120" o:spt="202" type="#_x0000_t202" style="position:absolute;left:0pt;margin-left:199.5pt;margin-top:100.1pt;height:28.45pt;width:68.75pt;z-index:251665408;mso-width-relative:page;mso-height-relative:page;" filled="f" stroked="f" coordsize="21600,21600">
                  <v:path/>
                  <v:fill on="f" focussize="0,0"/>
                  <v:stroke on="f" weight="0.5pt" joinstyle="miter"/>
                  <v:imagedata o:title=""/>
                  <o:lock v:ext="edit"/>
                  <v:textbox>
                    <w:txbxContent>
                      <w:p>
                        <w:pPr>
                          <w:rPr>
                            <w:rFonts w:ascii="Times New Roman" w:hAnsi="Times New Roman" w:eastAsia="黑体" w:cs="Times New Roman"/>
                            <w:b/>
                            <w:bCs/>
                            <w:color w:val="FFC000"/>
                          </w:rPr>
                        </w:pPr>
                        <w:r>
                          <w:rPr>
                            <w:rFonts w:hint="eastAsia" w:ascii="Times New Roman" w:hAnsi="Times New Roman" w:eastAsia="黑体" w:cs="Times New Roman"/>
                            <w:b/>
                            <w:bCs/>
                            <w:color w:val="FFC000"/>
                          </w:rPr>
                          <w:t>605</w:t>
                        </w:r>
                        <w:r>
                          <w:rPr>
                            <w:rFonts w:ascii="Times New Roman" w:hAnsi="Times New Roman" w:eastAsia="黑体" w:cs="Times New Roman"/>
                            <w:b/>
                            <w:bCs/>
                            <w:color w:val="FFC000"/>
                          </w:rPr>
                          <w:t>m</w:t>
                        </w:r>
                      </w:p>
                    </w:txbxContent>
                  </v:textbox>
                </v:shape>
              </w:pict>
            </w:r>
            <w:r>
              <w:rPr>
                <w:rFonts w:ascii="Times New Roman" w:hAnsi="Times New Roman" w:eastAsia="宋体" w:cs="Times New Roman"/>
                <w:color w:val="auto"/>
                <w:sz w:val="24"/>
                <w:highlight w:val="none"/>
              </w:rPr>
              <w:pict>
                <v:line id="_x0000_s62121" o:spid="_x0000_s62121" o:spt="20" style="position:absolute;left:0pt;flip:y;margin-left:137.25pt;margin-top:119.5pt;height:1.6pt;width:158.75pt;z-index:251662336;mso-width-relative:page;mso-height-relative:page;" stroked="t" coordsize="21600,21600">
                  <v:path arrowok="t"/>
                  <v:fill focussize="0,0"/>
                  <v:stroke weight="2.25pt" color="#FFC000" startarrow="block" endarrow="block"/>
                  <v:imagedata o:title=""/>
                  <o:lock v:ext="edit"/>
                </v:line>
              </w:pict>
            </w:r>
            <w:r>
              <w:rPr>
                <w:rFonts w:ascii="Times New Roman" w:hAnsi="Times New Roman" w:eastAsia="宋体" w:cs="Times New Roman"/>
                <w:color w:val="auto"/>
                <w:highlight w:val="none"/>
              </w:rPr>
              <w:drawing>
                <wp:inline distT="0" distB="0" distL="114300" distR="114300">
                  <wp:extent cx="4990465" cy="3082925"/>
                  <wp:effectExtent l="0" t="0" r="635" b="317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1" cstate="print"/>
                          <a:stretch>
                            <a:fillRect/>
                          </a:stretch>
                        </pic:blipFill>
                        <pic:spPr>
                          <a:xfrm>
                            <a:off x="0" y="0"/>
                            <a:ext cx="4990465" cy="3082925"/>
                          </a:xfrm>
                          <a:prstGeom prst="rect">
                            <a:avLst/>
                          </a:prstGeom>
                          <a:noFill/>
                          <a:ln>
                            <a:noFill/>
                          </a:ln>
                        </pic:spPr>
                      </pic:pic>
                    </a:graphicData>
                  </a:graphic>
                </wp:inline>
              </w:drawing>
            </w:r>
            <w:r>
              <w:rPr>
                <w:rFonts w:ascii="Times New Roman" w:hAnsi="Times New Roman" w:eastAsia="宋体" w:cs="Times New Roman"/>
                <w:b/>
                <w:color w:val="auto"/>
                <w:kern w:val="0"/>
                <w:sz w:val="24"/>
                <w:szCs w:val="24"/>
                <w:highlight w:val="none"/>
              </w:rPr>
              <w:drawing>
                <wp:anchor distT="0" distB="0" distL="114300" distR="114300" simplePos="0" relativeHeight="251659264" behindDoc="0" locked="0" layoutInCell="1" allowOverlap="1">
                  <wp:simplePos x="0" y="0"/>
                  <wp:positionH relativeFrom="column">
                    <wp:posOffset>4283075</wp:posOffset>
                  </wp:positionH>
                  <wp:positionV relativeFrom="paragraph">
                    <wp:posOffset>107950</wp:posOffset>
                  </wp:positionV>
                  <wp:extent cx="656590" cy="668020"/>
                  <wp:effectExtent l="0" t="0" r="635" b="8255"/>
                  <wp:wrapNone/>
                  <wp:docPr id="19" name="图片 5" descr="C:\Users\李青青\AppData\Roaming\Tencent\Users\403002229\QQ\WinTemp\RichOle\030%UR9BYU3GM772(UBEC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5" descr="C:\Users\李青青\AppData\Roaming\Tencent\Users\403002229\QQ\WinTemp\RichOle\030%UR9BYU3GM772(UBEC80.png"/>
                          <pic:cNvPicPr>
                            <a:picLocks noChangeAspect="1" noChangeArrowheads="1"/>
                          </pic:cNvPicPr>
                        </pic:nvPicPr>
                        <pic:blipFill>
                          <a:blip r:embed="rId12" r:link="rId13" cstate="print"/>
                          <a:srcRect/>
                          <a:stretch>
                            <a:fillRect/>
                          </a:stretch>
                        </pic:blipFill>
                        <pic:spPr>
                          <a:xfrm>
                            <a:off x="0" y="0"/>
                            <a:ext cx="656590" cy="668020"/>
                          </a:xfrm>
                          <a:prstGeom prst="rect">
                            <a:avLst/>
                          </a:prstGeom>
                          <a:noFill/>
                          <a:ln w="19050">
                            <a:noFill/>
                          </a:ln>
                        </pic:spPr>
                      </pic:pic>
                    </a:graphicData>
                  </a:graphic>
                </wp:anchor>
              </w:drawing>
            </w:r>
          </w:p>
          <w:p>
            <w:pPr>
              <w:adjustRightInd w:val="0"/>
              <w:spacing w:line="324" w:lineRule="auto"/>
              <w:jc w:val="center"/>
              <w:rPr>
                <w:rFonts w:ascii="Times New Roman" w:hAnsi="Times New Roman" w:eastAsia="黑体" w:cs="Times New Roman"/>
                <w:color w:val="auto"/>
                <w:sz w:val="24"/>
                <w:highlight w:val="none"/>
              </w:rPr>
            </w:pPr>
            <w:r>
              <w:rPr>
                <w:rFonts w:ascii="Times New Roman" w:hAnsi="Times New Roman" w:eastAsia="黑体" w:cs="Times New Roman"/>
                <w:color w:val="auto"/>
                <w:sz w:val="24"/>
                <w:highlight w:val="none"/>
              </w:rPr>
              <w:t>图3-1  项目与引用点位关系图</w:t>
            </w:r>
          </w:p>
          <w:p>
            <w:pPr>
              <w:spacing w:line="360" w:lineRule="auto"/>
              <w:ind w:firstLine="480" w:firstLineChars="200"/>
              <w:rPr>
                <w:rFonts w:ascii="Times New Roman" w:hAnsi="Times New Roman" w:eastAsia="宋体" w:cs="Times New Roman"/>
                <w:color w:val="auto"/>
                <w:sz w:val="24"/>
                <w:szCs w:val="24"/>
                <w:highlight w:val="none"/>
              </w:rPr>
            </w:pPr>
            <w:r>
              <w:rPr>
                <w:rFonts w:ascii="Times New Roman" w:hAnsi="Times New Roman" w:eastAsia="宋体" w:cs="Times New Roman"/>
                <w:color w:val="auto"/>
                <w:sz w:val="24"/>
                <w:szCs w:val="24"/>
                <w:highlight w:val="none"/>
              </w:rPr>
              <w:t>项目引用点监测天数为7日，引用监测结果统计见下表：</w:t>
            </w:r>
          </w:p>
          <w:p>
            <w:pPr>
              <w:adjustRightInd w:val="0"/>
              <w:spacing w:line="324" w:lineRule="auto"/>
              <w:jc w:val="center"/>
              <w:rPr>
                <w:rFonts w:ascii="Times New Roman" w:hAnsi="Times New Roman" w:eastAsia="黑体" w:cs="Times New Roman"/>
                <w:color w:val="auto"/>
                <w:sz w:val="24"/>
                <w:highlight w:val="none"/>
              </w:rPr>
            </w:pPr>
            <w:r>
              <w:rPr>
                <w:rFonts w:ascii="Times New Roman" w:hAnsi="Times New Roman" w:eastAsia="黑体" w:cs="Times New Roman"/>
                <w:color w:val="auto"/>
                <w:sz w:val="24"/>
                <w:highlight w:val="none"/>
              </w:rPr>
              <w:t>表3-2项目区大气环境现状监测结果一览表</w:t>
            </w:r>
          </w:p>
          <w:tbl>
            <w:tblPr>
              <w:tblStyle w:val="18"/>
              <w:tblW w:w="7850" w:type="dxa"/>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705"/>
              <w:gridCol w:w="984"/>
              <w:gridCol w:w="1031"/>
              <w:gridCol w:w="1076"/>
              <w:gridCol w:w="1279"/>
              <w:gridCol w:w="1171"/>
              <w:gridCol w:w="781"/>
              <w:gridCol w:w="823"/>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08" w:type="dxa"/>
                  <w:tcBorders>
                    <w:top w:val="single" w:color="auto" w:sz="8" w:space="0"/>
                  </w:tcBorders>
                  <w:vAlign w:val="center"/>
                </w:tcPr>
                <w:p>
                  <w:pPr>
                    <w:adjustRightInd w:val="0"/>
                    <w:snapToGrid w:val="0"/>
                    <w:spacing w:line="276" w:lineRule="auto"/>
                    <w:jc w:val="center"/>
                    <w:rPr>
                      <w:rFonts w:ascii="Times New Roman" w:hAnsi="Times New Roman" w:eastAsia="宋体" w:cs="Times New Roman"/>
                      <w:b/>
                      <w:color w:val="auto"/>
                      <w:kern w:val="0"/>
                      <w:sz w:val="18"/>
                      <w:szCs w:val="18"/>
                      <w:highlight w:val="none"/>
                    </w:rPr>
                  </w:pPr>
                  <w:r>
                    <w:rPr>
                      <w:rFonts w:ascii="Times New Roman" w:hAnsi="Times New Roman" w:eastAsia="宋体" w:cs="Times New Roman"/>
                      <w:b/>
                      <w:color w:val="auto"/>
                      <w:kern w:val="0"/>
                      <w:sz w:val="18"/>
                      <w:szCs w:val="18"/>
                      <w:highlight w:val="none"/>
                    </w:rPr>
                    <w:t>监测点位</w:t>
                  </w:r>
                </w:p>
              </w:tc>
              <w:tc>
                <w:tcPr>
                  <w:tcW w:w="989" w:type="dxa"/>
                  <w:tcBorders>
                    <w:top w:val="single" w:color="auto" w:sz="8" w:space="0"/>
                  </w:tcBorders>
                  <w:vAlign w:val="center"/>
                </w:tcPr>
                <w:p>
                  <w:pPr>
                    <w:adjustRightInd w:val="0"/>
                    <w:snapToGrid w:val="0"/>
                    <w:spacing w:line="276" w:lineRule="auto"/>
                    <w:jc w:val="center"/>
                    <w:rPr>
                      <w:rFonts w:ascii="Times New Roman" w:hAnsi="Times New Roman" w:eastAsia="宋体" w:cs="Times New Roman"/>
                      <w:b/>
                      <w:color w:val="auto"/>
                      <w:kern w:val="0"/>
                      <w:sz w:val="18"/>
                      <w:szCs w:val="18"/>
                      <w:highlight w:val="none"/>
                    </w:rPr>
                  </w:pPr>
                  <w:r>
                    <w:rPr>
                      <w:rFonts w:ascii="Times New Roman" w:hAnsi="Times New Roman" w:eastAsia="宋体" w:cs="Times New Roman"/>
                      <w:b/>
                      <w:color w:val="auto"/>
                      <w:kern w:val="0"/>
                      <w:sz w:val="18"/>
                      <w:szCs w:val="18"/>
                      <w:highlight w:val="none"/>
                    </w:rPr>
                    <w:t>监测因子</w:t>
                  </w:r>
                </w:p>
              </w:tc>
              <w:tc>
                <w:tcPr>
                  <w:tcW w:w="1038" w:type="dxa"/>
                  <w:tcBorders>
                    <w:top w:val="single" w:color="auto" w:sz="8" w:space="0"/>
                  </w:tcBorders>
                  <w:vAlign w:val="center"/>
                </w:tcPr>
                <w:p>
                  <w:pPr>
                    <w:adjustRightInd w:val="0"/>
                    <w:snapToGrid w:val="0"/>
                    <w:spacing w:line="276" w:lineRule="auto"/>
                    <w:jc w:val="center"/>
                    <w:rPr>
                      <w:rFonts w:ascii="Times New Roman" w:hAnsi="Times New Roman" w:eastAsia="宋体" w:cs="Times New Roman"/>
                      <w:b/>
                      <w:color w:val="auto"/>
                      <w:kern w:val="0"/>
                      <w:sz w:val="18"/>
                      <w:szCs w:val="18"/>
                      <w:highlight w:val="none"/>
                    </w:rPr>
                  </w:pPr>
                  <w:r>
                    <w:rPr>
                      <w:rFonts w:ascii="Times New Roman" w:hAnsi="Times New Roman" w:eastAsia="宋体" w:cs="Times New Roman"/>
                      <w:b/>
                      <w:color w:val="auto"/>
                      <w:kern w:val="0"/>
                      <w:sz w:val="18"/>
                      <w:szCs w:val="18"/>
                      <w:highlight w:val="none"/>
                    </w:rPr>
                    <w:t>平均时间</w:t>
                  </w:r>
                </w:p>
              </w:tc>
              <w:tc>
                <w:tcPr>
                  <w:tcW w:w="1050" w:type="dxa"/>
                  <w:tcBorders>
                    <w:top w:val="single" w:color="auto" w:sz="8" w:space="0"/>
                  </w:tcBorders>
                  <w:vAlign w:val="center"/>
                </w:tcPr>
                <w:p>
                  <w:pPr>
                    <w:adjustRightInd w:val="0"/>
                    <w:snapToGrid w:val="0"/>
                    <w:spacing w:line="276" w:lineRule="auto"/>
                    <w:jc w:val="center"/>
                    <w:rPr>
                      <w:rFonts w:ascii="Times New Roman" w:hAnsi="Times New Roman" w:eastAsia="宋体" w:cs="Times New Roman"/>
                      <w:b/>
                      <w:color w:val="auto"/>
                      <w:kern w:val="0"/>
                      <w:sz w:val="18"/>
                      <w:szCs w:val="18"/>
                      <w:highlight w:val="none"/>
                    </w:rPr>
                  </w:pPr>
                  <w:r>
                    <w:rPr>
                      <w:rFonts w:ascii="Times New Roman" w:hAnsi="Times New Roman" w:eastAsia="宋体" w:cs="Times New Roman"/>
                      <w:b/>
                      <w:color w:val="auto"/>
                      <w:kern w:val="0"/>
                      <w:sz w:val="18"/>
                      <w:szCs w:val="18"/>
                      <w:highlight w:val="none"/>
                    </w:rPr>
                    <w:t>评价标准（mg/m</w:t>
                  </w:r>
                  <w:r>
                    <w:rPr>
                      <w:rFonts w:ascii="Times New Roman" w:hAnsi="Times New Roman" w:eastAsia="宋体" w:cs="Times New Roman"/>
                      <w:b/>
                      <w:color w:val="auto"/>
                      <w:kern w:val="0"/>
                      <w:sz w:val="18"/>
                      <w:szCs w:val="18"/>
                      <w:highlight w:val="none"/>
                      <w:vertAlign w:val="superscript"/>
                    </w:rPr>
                    <w:t>3</w:t>
                  </w:r>
                  <w:r>
                    <w:rPr>
                      <w:rFonts w:ascii="Times New Roman" w:hAnsi="Times New Roman" w:eastAsia="宋体" w:cs="Times New Roman"/>
                      <w:b/>
                      <w:color w:val="auto"/>
                      <w:kern w:val="0"/>
                      <w:sz w:val="18"/>
                      <w:szCs w:val="18"/>
                      <w:highlight w:val="none"/>
                    </w:rPr>
                    <w:t>）</w:t>
                  </w:r>
                </w:p>
              </w:tc>
              <w:tc>
                <w:tcPr>
                  <w:tcW w:w="1281" w:type="dxa"/>
                  <w:tcBorders>
                    <w:top w:val="single" w:color="auto" w:sz="8" w:space="0"/>
                  </w:tcBorders>
                  <w:vAlign w:val="center"/>
                </w:tcPr>
                <w:p>
                  <w:pPr>
                    <w:adjustRightInd w:val="0"/>
                    <w:snapToGrid w:val="0"/>
                    <w:spacing w:line="276" w:lineRule="auto"/>
                    <w:jc w:val="center"/>
                    <w:rPr>
                      <w:rFonts w:ascii="Times New Roman" w:hAnsi="Times New Roman" w:eastAsia="宋体" w:cs="Times New Roman"/>
                      <w:b/>
                      <w:color w:val="auto"/>
                      <w:kern w:val="0"/>
                      <w:sz w:val="18"/>
                      <w:szCs w:val="18"/>
                      <w:highlight w:val="none"/>
                    </w:rPr>
                  </w:pPr>
                  <w:r>
                    <w:rPr>
                      <w:rFonts w:ascii="Times New Roman" w:hAnsi="Times New Roman" w:eastAsia="宋体" w:cs="Times New Roman"/>
                      <w:b/>
                      <w:color w:val="auto"/>
                      <w:kern w:val="0"/>
                      <w:sz w:val="18"/>
                      <w:szCs w:val="18"/>
                      <w:highlight w:val="none"/>
                    </w:rPr>
                    <w:t>监测浓度范围（mg/m</w:t>
                  </w:r>
                  <w:r>
                    <w:rPr>
                      <w:rFonts w:ascii="Times New Roman" w:hAnsi="Times New Roman" w:eastAsia="宋体" w:cs="Times New Roman"/>
                      <w:b/>
                      <w:color w:val="auto"/>
                      <w:kern w:val="0"/>
                      <w:sz w:val="18"/>
                      <w:szCs w:val="18"/>
                      <w:highlight w:val="none"/>
                      <w:vertAlign w:val="superscript"/>
                    </w:rPr>
                    <w:t>3</w:t>
                  </w:r>
                  <w:r>
                    <w:rPr>
                      <w:rFonts w:ascii="Times New Roman" w:hAnsi="Times New Roman" w:eastAsia="宋体" w:cs="Times New Roman"/>
                      <w:b/>
                      <w:color w:val="auto"/>
                      <w:kern w:val="0"/>
                      <w:sz w:val="18"/>
                      <w:szCs w:val="18"/>
                      <w:highlight w:val="none"/>
                    </w:rPr>
                    <w:t>）</w:t>
                  </w:r>
                </w:p>
              </w:tc>
              <w:tc>
                <w:tcPr>
                  <w:tcW w:w="1175" w:type="dxa"/>
                  <w:tcBorders>
                    <w:top w:val="single" w:color="auto" w:sz="8" w:space="0"/>
                  </w:tcBorders>
                  <w:vAlign w:val="center"/>
                </w:tcPr>
                <w:p>
                  <w:pPr>
                    <w:adjustRightInd w:val="0"/>
                    <w:snapToGrid w:val="0"/>
                    <w:spacing w:line="276" w:lineRule="auto"/>
                    <w:jc w:val="center"/>
                    <w:rPr>
                      <w:rFonts w:ascii="Times New Roman" w:hAnsi="Times New Roman" w:eastAsia="宋体" w:cs="Times New Roman"/>
                      <w:b/>
                      <w:color w:val="auto"/>
                      <w:kern w:val="0"/>
                      <w:sz w:val="18"/>
                      <w:szCs w:val="18"/>
                      <w:highlight w:val="none"/>
                    </w:rPr>
                  </w:pPr>
                  <w:r>
                    <w:rPr>
                      <w:rFonts w:ascii="Times New Roman" w:hAnsi="Times New Roman" w:eastAsia="宋体" w:cs="Times New Roman"/>
                      <w:b/>
                      <w:color w:val="auto"/>
                      <w:kern w:val="0"/>
                      <w:sz w:val="18"/>
                      <w:szCs w:val="18"/>
                      <w:highlight w:val="none"/>
                    </w:rPr>
                    <w:t>最大浓度占标率（%）</w:t>
                  </w:r>
                </w:p>
              </w:tc>
              <w:tc>
                <w:tcPr>
                  <w:tcW w:w="781" w:type="dxa"/>
                  <w:tcBorders>
                    <w:top w:val="single" w:color="auto" w:sz="8" w:space="0"/>
                  </w:tcBorders>
                  <w:vAlign w:val="center"/>
                </w:tcPr>
                <w:p>
                  <w:pPr>
                    <w:adjustRightInd w:val="0"/>
                    <w:snapToGrid w:val="0"/>
                    <w:spacing w:line="276" w:lineRule="auto"/>
                    <w:jc w:val="center"/>
                    <w:rPr>
                      <w:rFonts w:ascii="Times New Roman" w:hAnsi="Times New Roman" w:eastAsia="宋体" w:cs="Times New Roman"/>
                      <w:b/>
                      <w:color w:val="auto"/>
                      <w:kern w:val="0"/>
                      <w:sz w:val="18"/>
                      <w:szCs w:val="18"/>
                      <w:highlight w:val="none"/>
                    </w:rPr>
                  </w:pPr>
                  <w:r>
                    <w:rPr>
                      <w:rFonts w:ascii="Times New Roman" w:hAnsi="Times New Roman" w:eastAsia="宋体" w:cs="Times New Roman"/>
                      <w:b/>
                      <w:color w:val="auto"/>
                      <w:kern w:val="0"/>
                      <w:sz w:val="18"/>
                      <w:szCs w:val="18"/>
                      <w:highlight w:val="none"/>
                    </w:rPr>
                    <w:t>超标率（%）</w:t>
                  </w:r>
                </w:p>
              </w:tc>
              <w:tc>
                <w:tcPr>
                  <w:tcW w:w="828" w:type="dxa"/>
                  <w:tcBorders>
                    <w:top w:val="single" w:color="auto" w:sz="8" w:space="0"/>
                  </w:tcBorders>
                  <w:vAlign w:val="center"/>
                </w:tcPr>
                <w:p>
                  <w:pPr>
                    <w:adjustRightInd w:val="0"/>
                    <w:snapToGrid w:val="0"/>
                    <w:spacing w:line="276" w:lineRule="auto"/>
                    <w:jc w:val="center"/>
                    <w:rPr>
                      <w:rFonts w:ascii="Times New Roman" w:hAnsi="Times New Roman" w:eastAsia="宋体" w:cs="Times New Roman"/>
                      <w:b/>
                      <w:color w:val="auto"/>
                      <w:kern w:val="0"/>
                      <w:sz w:val="18"/>
                      <w:szCs w:val="18"/>
                      <w:highlight w:val="none"/>
                    </w:rPr>
                  </w:pPr>
                  <w:r>
                    <w:rPr>
                      <w:rFonts w:ascii="Times New Roman" w:hAnsi="Times New Roman" w:eastAsia="宋体" w:cs="Times New Roman"/>
                      <w:b/>
                      <w:color w:val="auto"/>
                      <w:kern w:val="0"/>
                      <w:sz w:val="18"/>
                      <w:szCs w:val="18"/>
                      <w:highlight w:val="none"/>
                    </w:rPr>
                    <w:t>达标情况</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93" w:hRule="atLeast"/>
              </w:trPr>
              <w:tc>
                <w:tcPr>
                  <w:tcW w:w="708" w:type="dxa"/>
                  <w:tcBorders>
                    <w:bottom w:val="single" w:color="auto" w:sz="8" w:space="0"/>
                  </w:tcBorders>
                  <w:vAlign w:val="center"/>
                </w:tcPr>
                <w:p>
                  <w:pPr>
                    <w:adjustRightInd w:val="0"/>
                    <w:snapToGrid w:val="0"/>
                    <w:spacing w:line="276" w:lineRule="auto"/>
                    <w:jc w:val="center"/>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王庄西</w:t>
                  </w:r>
                </w:p>
              </w:tc>
              <w:tc>
                <w:tcPr>
                  <w:tcW w:w="989" w:type="dxa"/>
                  <w:tcBorders>
                    <w:bottom w:val="single" w:color="auto" w:sz="8" w:space="0"/>
                  </w:tcBorders>
                  <w:vAlign w:val="center"/>
                </w:tcPr>
                <w:p>
                  <w:pPr>
                    <w:adjustRightInd w:val="0"/>
                    <w:snapToGrid w:val="0"/>
                    <w:spacing w:line="276" w:lineRule="auto"/>
                    <w:jc w:val="center"/>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TSP</w:t>
                  </w:r>
                </w:p>
              </w:tc>
              <w:tc>
                <w:tcPr>
                  <w:tcW w:w="1038" w:type="dxa"/>
                  <w:tcBorders>
                    <w:bottom w:val="single" w:color="auto" w:sz="8" w:space="0"/>
                  </w:tcBorders>
                  <w:vAlign w:val="center"/>
                </w:tcPr>
                <w:p>
                  <w:pPr>
                    <w:adjustRightInd w:val="0"/>
                    <w:snapToGrid w:val="0"/>
                    <w:spacing w:line="276" w:lineRule="auto"/>
                    <w:jc w:val="center"/>
                    <w:rPr>
                      <w:rFonts w:ascii="Times New Roman" w:hAnsi="Times New Roman" w:eastAsia="宋体" w:cs="Times New Roman"/>
                      <w:color w:val="auto"/>
                      <w:kern w:val="0"/>
                      <w:sz w:val="18"/>
                      <w:szCs w:val="18"/>
                      <w:highlight w:val="none"/>
                    </w:rPr>
                  </w:pPr>
                  <w:r>
                    <w:rPr>
                      <w:rFonts w:ascii="Times New Roman" w:hAnsi="Times New Roman" w:eastAsia="宋体" w:cs="Times New Roman"/>
                      <w:snapToGrid w:val="0"/>
                      <w:color w:val="auto"/>
                      <w:kern w:val="0"/>
                      <w:sz w:val="18"/>
                      <w:szCs w:val="18"/>
                      <w:highlight w:val="none"/>
                    </w:rPr>
                    <w:t>日均值</w:t>
                  </w:r>
                </w:p>
              </w:tc>
              <w:tc>
                <w:tcPr>
                  <w:tcW w:w="1050" w:type="dxa"/>
                  <w:tcBorders>
                    <w:bottom w:val="single" w:color="auto" w:sz="8" w:space="0"/>
                  </w:tcBorders>
                  <w:vAlign w:val="center"/>
                </w:tcPr>
                <w:p>
                  <w:pPr>
                    <w:adjustRightInd w:val="0"/>
                    <w:snapToGrid w:val="0"/>
                    <w:spacing w:line="276" w:lineRule="auto"/>
                    <w:jc w:val="center"/>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0.3</w:t>
                  </w:r>
                </w:p>
              </w:tc>
              <w:tc>
                <w:tcPr>
                  <w:tcW w:w="1281" w:type="dxa"/>
                  <w:tcBorders>
                    <w:bottom w:val="single" w:color="auto" w:sz="8" w:space="0"/>
                  </w:tcBorders>
                  <w:vAlign w:val="center"/>
                </w:tcPr>
                <w:p>
                  <w:pPr>
                    <w:adjustRightInd w:val="0"/>
                    <w:snapToGrid w:val="0"/>
                    <w:spacing w:line="276" w:lineRule="auto"/>
                    <w:jc w:val="center"/>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0.056~0.063</w:t>
                  </w:r>
                </w:p>
              </w:tc>
              <w:tc>
                <w:tcPr>
                  <w:tcW w:w="1175" w:type="dxa"/>
                  <w:tcBorders>
                    <w:bottom w:val="single" w:color="auto" w:sz="8" w:space="0"/>
                  </w:tcBorders>
                  <w:vAlign w:val="center"/>
                </w:tcPr>
                <w:p>
                  <w:pPr>
                    <w:adjustRightInd w:val="0"/>
                    <w:snapToGrid w:val="0"/>
                    <w:spacing w:line="276" w:lineRule="auto"/>
                    <w:jc w:val="center"/>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21</w:t>
                  </w:r>
                </w:p>
              </w:tc>
              <w:tc>
                <w:tcPr>
                  <w:tcW w:w="781" w:type="dxa"/>
                  <w:tcBorders>
                    <w:bottom w:val="single" w:color="auto" w:sz="8" w:space="0"/>
                  </w:tcBorders>
                  <w:vAlign w:val="center"/>
                </w:tcPr>
                <w:p>
                  <w:pPr>
                    <w:adjustRightInd w:val="0"/>
                    <w:snapToGrid w:val="0"/>
                    <w:spacing w:line="276" w:lineRule="auto"/>
                    <w:jc w:val="center"/>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0</w:t>
                  </w:r>
                </w:p>
              </w:tc>
              <w:tc>
                <w:tcPr>
                  <w:tcW w:w="828" w:type="dxa"/>
                  <w:tcBorders>
                    <w:bottom w:val="single" w:color="auto" w:sz="8" w:space="0"/>
                  </w:tcBorders>
                  <w:vAlign w:val="center"/>
                </w:tcPr>
                <w:p>
                  <w:pPr>
                    <w:adjustRightInd w:val="0"/>
                    <w:snapToGrid w:val="0"/>
                    <w:spacing w:line="276" w:lineRule="auto"/>
                    <w:jc w:val="center"/>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达标</w:t>
                  </w:r>
                </w:p>
              </w:tc>
            </w:tr>
          </w:tbl>
          <w:p>
            <w:pPr>
              <w:spacing w:line="360" w:lineRule="auto"/>
              <w:ind w:firstLine="480" w:firstLineChars="200"/>
              <w:jc w:val="left"/>
              <w:rPr>
                <w:rFonts w:ascii="Times New Roman" w:hAnsi="Times New Roman" w:eastAsia="宋体" w:cs="Times New Roman"/>
                <w:color w:val="auto"/>
                <w:sz w:val="24"/>
                <w:szCs w:val="24"/>
                <w:highlight w:val="none"/>
              </w:rPr>
            </w:pPr>
            <w:r>
              <w:rPr>
                <w:rFonts w:ascii="Times New Roman" w:hAnsi="Times New Roman" w:eastAsia="宋体" w:cs="Times New Roman"/>
                <w:color w:val="auto"/>
                <w:kern w:val="0"/>
                <w:sz w:val="24"/>
                <w:szCs w:val="24"/>
                <w:highlight w:val="none"/>
              </w:rPr>
              <w:t>根据上表可知，王庄西监测点的TSP日均值现状监测结果满足《环境空气质量标准》（GB3095-2012）的二级标准。因此</w:t>
            </w:r>
            <w:r>
              <w:rPr>
                <w:rFonts w:ascii="Times New Roman" w:hAnsi="Times New Roman" w:eastAsia="宋体" w:cs="Times New Roman"/>
                <w:color w:val="auto"/>
                <w:sz w:val="24"/>
                <w:szCs w:val="24"/>
                <w:highlight w:val="none"/>
              </w:rPr>
              <w:t>项目区TSP满足《环境空气质量标准》（GB3095-2012）</w:t>
            </w:r>
            <w:r>
              <w:rPr>
                <w:rFonts w:ascii="Times New Roman" w:hAnsi="Times New Roman" w:eastAsia="宋体" w:cs="Times New Roman"/>
                <w:color w:val="auto"/>
                <w:kern w:val="0"/>
                <w:sz w:val="24"/>
                <w:szCs w:val="24"/>
                <w:highlight w:val="none"/>
              </w:rPr>
              <w:t>及2018年修改单</w:t>
            </w:r>
            <w:r>
              <w:rPr>
                <w:rFonts w:ascii="Times New Roman" w:hAnsi="Times New Roman" w:eastAsia="宋体" w:cs="Times New Roman"/>
                <w:color w:val="auto"/>
                <w:sz w:val="24"/>
                <w:szCs w:val="24"/>
                <w:highlight w:val="none"/>
              </w:rPr>
              <w:t>中二级标准限值。</w:t>
            </w:r>
          </w:p>
          <w:p>
            <w:pPr>
              <w:pStyle w:val="25"/>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textAlignment w:val="auto"/>
              <w:rPr>
                <w:rFonts w:hint="eastAsia" w:ascii="Times New Roman" w:hAnsi="Times New Roman" w:eastAsia="宋体" w:cs="Times New Roman"/>
                <w:color w:val="auto"/>
                <w:kern w:val="0"/>
                <w:sz w:val="24"/>
                <w:szCs w:val="24"/>
                <w:highlight w:val="none"/>
                <w:lang w:val="en-US" w:eastAsia="zh-CN" w:bidi="ar-SA"/>
              </w:rPr>
            </w:pPr>
            <w:r>
              <w:rPr>
                <w:rFonts w:hint="eastAsia" w:ascii="Times New Roman" w:hAnsi="Times New Roman" w:eastAsia="宋体" w:cs="Times New Roman"/>
                <w:color w:val="auto"/>
                <w:kern w:val="0"/>
                <w:sz w:val="24"/>
                <w:szCs w:val="24"/>
                <w:highlight w:val="none"/>
                <w:lang w:val="en-US" w:eastAsia="zh-CN" w:bidi="ar-SA"/>
              </w:rPr>
              <w:t>②非甲烷总烃</w:t>
            </w:r>
          </w:p>
          <w:p>
            <w:pPr>
              <w:pStyle w:val="25"/>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textAlignment w:val="auto"/>
              <w:rPr>
                <w:rFonts w:hint="eastAsia" w:ascii="Times New Roman" w:hAnsi="Times New Roman" w:eastAsia="宋体" w:cs="Times New Roman"/>
                <w:color w:val="auto"/>
                <w:kern w:val="0"/>
                <w:sz w:val="24"/>
                <w:szCs w:val="24"/>
                <w:highlight w:val="none"/>
                <w:lang w:val="en-US" w:eastAsia="zh-CN" w:bidi="ar-SA"/>
              </w:rPr>
            </w:pPr>
            <w:r>
              <w:rPr>
                <w:rFonts w:hint="eastAsia" w:ascii="Times New Roman" w:hAnsi="Times New Roman" w:eastAsia="宋体" w:cs="Times New Roman"/>
                <w:color w:val="auto"/>
                <w:kern w:val="0"/>
                <w:sz w:val="24"/>
                <w:szCs w:val="24"/>
                <w:highlight w:val="none"/>
                <w:lang w:val="en-US" w:eastAsia="zh-CN" w:bidi="ar-SA"/>
              </w:rPr>
              <w:t>该项目生产过程产生的特征污染物为非甲烷总烃，《环境空气质量标准》(GB3095-2012)中未涉及其相应的标准值根据全国环评技术评估服务咨询平台http://iconsult-eia.china-eia.com/index?aimModule=searching list2&amp;question-%E7%89%B9%E5%BE%81解答内容“技术指南中提到“排放国家、地方环境空气质量标准中有标准限值要求的特征污染物”，其中环境空气质量标准指《环境空气质量标准》(GB3095)和地方的环境空气质量标准，不包括《环境影响评价技术导则大气环境》(HJ2.2-2018)附录D、工业企业设计卫生标准》(TJ36-97)《前苏联居住区标准》(CH245-71)《环境影响评价技术导则制药建设项目》(HJ611-2011)、《大气污染物综合排放标准详解》等导则或参考资料。排放的特征污染物需要在国家、地方环境空气质量标准中有限值要求才涉及现状监测，且优先引用现有监测数据。”，因此，本项目不需要对大气特征污染物非甲烷总烃进行现状监测。</w:t>
            </w:r>
          </w:p>
          <w:p>
            <w:pPr>
              <w:spacing w:line="360" w:lineRule="auto"/>
              <w:ind w:firstLine="482" w:firstLineChars="200"/>
              <w:jc w:val="left"/>
              <w:rPr>
                <w:rFonts w:ascii="Times New Roman" w:hAnsi="Times New Roman" w:eastAsia="宋体" w:cs="Times New Roman"/>
                <w:b/>
                <w:color w:val="auto"/>
                <w:kern w:val="0"/>
                <w:sz w:val="24"/>
                <w:szCs w:val="24"/>
                <w:highlight w:val="none"/>
              </w:rPr>
            </w:pPr>
            <w:r>
              <w:rPr>
                <w:rFonts w:ascii="Times New Roman" w:hAnsi="Times New Roman" w:eastAsia="宋体" w:cs="Times New Roman"/>
                <w:b/>
                <w:color w:val="auto"/>
                <w:kern w:val="0"/>
                <w:sz w:val="24"/>
                <w:szCs w:val="24"/>
                <w:highlight w:val="none"/>
              </w:rPr>
              <w:t>2、地表水环境质量现状</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textAlignment w:val="auto"/>
              <w:rPr>
                <w:rFonts w:hint="eastAsia" w:ascii="Times New Roman" w:hAnsi="Times New Roman" w:eastAsia="宋体" w:cs="Times New Roman"/>
                <w:color w:val="auto"/>
                <w:spacing w:val="-2"/>
                <w:sz w:val="24"/>
                <w:highlight w:val="none"/>
                <w:lang w:eastAsia="zh-CN"/>
              </w:rPr>
            </w:pPr>
            <w:r>
              <w:rPr>
                <w:rFonts w:ascii="Times New Roman" w:hAnsi="Times New Roman" w:eastAsia="宋体" w:cs="Times New Roman"/>
                <w:color w:val="auto"/>
                <w:sz w:val="24"/>
                <w:szCs w:val="24"/>
                <w:highlight w:val="none"/>
              </w:rPr>
              <w:t>本项目所在地周围地表水水系主要是</w:t>
            </w:r>
            <w:r>
              <w:rPr>
                <w:rFonts w:ascii="Times New Roman" w:hAnsi="Times New Roman" w:eastAsia="宋体" w:cs="Times New Roman"/>
                <w:color w:val="auto"/>
                <w:sz w:val="24"/>
                <w:highlight w:val="none"/>
              </w:rPr>
              <w:t>淮河，淮河水环境质量执行</w:t>
            </w:r>
            <w:r>
              <w:rPr>
                <w:rFonts w:ascii="Times New Roman" w:hAnsi="Times New Roman" w:eastAsia="宋体" w:cs="Times New Roman"/>
                <w:color w:val="auto"/>
                <w:spacing w:val="-2"/>
                <w:sz w:val="24"/>
                <w:highlight w:val="none"/>
              </w:rPr>
              <w:t>《地表水环境质量标准》中的Ⅲ类水质标准要求</w:t>
            </w:r>
            <w:r>
              <w:rPr>
                <w:rFonts w:hint="eastAsia" w:ascii="Times New Roman" w:hAnsi="Times New Roman" w:eastAsia="宋体" w:cs="Times New Roman"/>
                <w:color w:val="auto"/>
                <w:spacing w:val="-2"/>
                <w:sz w:val="24"/>
                <w:highlight w:val="none"/>
                <w:lang w:eastAsia="zh-CN"/>
              </w:rPr>
              <w:t>。</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textAlignment w:val="auto"/>
              <w:rPr>
                <w:rFonts w:ascii="Times New Roman" w:hAnsi="Times New Roman" w:eastAsia="宋体" w:cs="Times New Roman"/>
                <w:color w:val="auto"/>
                <w:sz w:val="24"/>
                <w:highlight w:val="none"/>
              </w:rPr>
            </w:pPr>
            <w:r>
              <w:rPr>
                <w:rFonts w:ascii="Times New Roman" w:hAnsi="Times New Roman" w:eastAsia="宋体" w:cs="Times New Roman"/>
                <w:color w:val="auto"/>
                <w:sz w:val="24"/>
                <w:highlight w:val="none"/>
              </w:rPr>
              <w:t>根据淮南市生态环境局发布的《2023年淮南市环境质量状况公报</w:t>
            </w:r>
            <w:r>
              <w:rPr>
                <w:rFonts w:ascii="Times New Roman" w:hAnsi="Times New Roman" w:eastAsia="宋体" w:cs="Times New Roman"/>
                <w:color w:val="auto"/>
                <w:sz w:val="24"/>
                <w:szCs w:val="24"/>
                <w:highlight w:val="none"/>
              </w:rPr>
              <w:t>》，全市辖区内淮河干流水质状况为优，西淝河水质状况为优，东淝河、永幸河、架河、泥河、瓦西干渠、陡涧河、万小河、便民沟和丁家沟水质状况为良好。20个监测断面中优良水质比例为100%，比上年提升了15个百分点。其中新城口、西淝河闸下断面水质均有所好转（Ⅲ类→Ⅱ类），泥河入河口、便民沟焦岗闸、丁家沟河口和安丰塘水质均有所好转（Ⅳ类→Ⅲ类），其他断面水质保持稳定。项目所在区域地表水淮河环境质量总体满足《地表水环境质量标准》（GB3838-2002）Ⅲ类标准，地表水水质良好。</w:t>
            </w:r>
          </w:p>
          <w:p>
            <w:pPr>
              <w:numPr>
                <w:ilvl w:val="0"/>
                <w:numId w:val="2"/>
              </w:numPr>
              <w:wordWrap w:val="0"/>
              <w:autoSpaceDE w:val="0"/>
              <w:autoSpaceDN w:val="0"/>
              <w:spacing w:line="360" w:lineRule="auto"/>
              <w:ind w:firstLine="482" w:firstLineChars="200"/>
              <w:jc w:val="left"/>
              <w:rPr>
                <w:rFonts w:ascii="Times New Roman" w:hAnsi="Times New Roman" w:eastAsia="宋体" w:cs="Times New Roman"/>
                <w:b/>
                <w:color w:val="auto"/>
                <w:sz w:val="24"/>
                <w:szCs w:val="24"/>
                <w:highlight w:val="none"/>
              </w:rPr>
            </w:pPr>
            <w:r>
              <w:rPr>
                <w:rFonts w:ascii="Times New Roman" w:hAnsi="Times New Roman" w:eastAsia="宋体" w:cs="Times New Roman"/>
                <w:b/>
                <w:color w:val="auto"/>
                <w:sz w:val="24"/>
                <w:szCs w:val="24"/>
                <w:highlight w:val="none"/>
              </w:rPr>
              <w:t>声环境质量现状</w:t>
            </w:r>
          </w:p>
          <w:p>
            <w:pPr>
              <w:pStyle w:val="25"/>
              <w:snapToGrid w:val="0"/>
              <w:spacing w:line="360" w:lineRule="auto"/>
              <w:ind w:firstLine="480" w:firstLineChars="200"/>
              <w:rPr>
                <w:rFonts w:ascii="Times New Roman" w:cs="Times New Roman"/>
                <w:bCs/>
                <w:color w:val="auto"/>
                <w:highlight w:val="none"/>
              </w:rPr>
            </w:pPr>
            <w:r>
              <w:rPr>
                <w:rFonts w:ascii="Times New Roman" w:cs="Times New Roman"/>
                <w:bCs/>
                <w:color w:val="auto"/>
                <w:highlight w:val="none"/>
              </w:rPr>
              <w:t>本项目位于淮南市八公山区毕家岗街道新建社区，项目属于工业用地，2024年5月5日~5月6日，安徽福斯特智能科技有限公司委托安徽澳林检测技术有限公司对拟建项目50m内声环境保护目标的噪声进行检测。</w:t>
            </w:r>
          </w:p>
          <w:p>
            <w:pPr>
              <w:pStyle w:val="25"/>
              <w:snapToGrid w:val="0"/>
              <w:spacing w:line="360" w:lineRule="auto"/>
              <w:ind w:firstLine="480" w:firstLineChars="200"/>
              <w:rPr>
                <w:rFonts w:ascii="Times New Roman" w:cs="Times New Roman"/>
                <w:bCs/>
                <w:color w:val="auto"/>
                <w:highlight w:val="none"/>
              </w:rPr>
            </w:pPr>
            <w:r>
              <w:rPr>
                <w:rFonts w:ascii="Times New Roman" w:cs="Times New Roman"/>
                <w:bCs/>
                <w:color w:val="auto"/>
                <w:highlight w:val="none"/>
              </w:rPr>
              <w:t>监测结果如下：</w:t>
            </w:r>
          </w:p>
          <w:p>
            <w:pPr>
              <w:adjustRightInd w:val="0"/>
              <w:spacing w:line="324" w:lineRule="auto"/>
              <w:jc w:val="center"/>
              <w:rPr>
                <w:rFonts w:ascii="Times New Roman" w:hAnsi="Times New Roman" w:eastAsia="黑体" w:cs="Times New Roman"/>
                <w:color w:val="auto"/>
                <w:sz w:val="24"/>
                <w:highlight w:val="none"/>
              </w:rPr>
            </w:pPr>
            <w:r>
              <w:rPr>
                <w:rFonts w:ascii="Times New Roman" w:hAnsi="Times New Roman" w:eastAsia="黑体" w:cs="Times New Roman"/>
                <w:color w:val="auto"/>
                <w:sz w:val="24"/>
                <w:highlight w:val="none"/>
              </w:rPr>
              <w:t>表3-</w:t>
            </w:r>
            <w:r>
              <w:rPr>
                <w:rFonts w:hint="eastAsia" w:ascii="Times New Roman" w:hAnsi="Times New Roman" w:eastAsia="黑体" w:cs="Times New Roman"/>
                <w:color w:val="auto"/>
                <w:sz w:val="24"/>
                <w:highlight w:val="none"/>
              </w:rPr>
              <w:t>4</w:t>
            </w:r>
            <w:r>
              <w:rPr>
                <w:rFonts w:ascii="Times New Roman" w:hAnsi="Times New Roman" w:eastAsia="黑体" w:cs="Times New Roman"/>
                <w:color w:val="auto"/>
                <w:sz w:val="24"/>
                <w:highlight w:val="none"/>
              </w:rPr>
              <w:t xml:space="preserve">  噪声监测结果统计表  单位：dB（A）</w:t>
            </w:r>
          </w:p>
          <w:tbl>
            <w:tblPr>
              <w:tblStyle w:val="17"/>
              <w:tblW w:w="4994" w:type="pct"/>
              <w:jc w:val="center"/>
              <w:tblBorders>
                <w:top w:val="single" w:color="auto" w:sz="4" w:space="0"/>
                <w:left w:val="none" w:color="auto" w:sz="0"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82"/>
              <w:gridCol w:w="1577"/>
              <w:gridCol w:w="1517"/>
              <w:gridCol w:w="1549"/>
              <w:gridCol w:w="1511"/>
            </w:tblGrid>
            <w:tr>
              <w:tblPrEx>
                <w:tblBorders>
                  <w:top w:val="single" w:color="auto" w:sz="4" w:space="0"/>
                  <w:left w:val="none" w:color="auto" w:sz="0"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073" w:type="pct"/>
                  <w:vMerge w:val="restart"/>
                  <w:tcBorders>
                    <w:top w:val="single" w:color="auto" w:sz="8" w:space="0"/>
                    <w:right w:val="single" w:color="auto" w:sz="4" w:space="0"/>
                  </w:tcBorders>
                  <w:vAlign w:val="center"/>
                </w:tcPr>
                <w:p>
                  <w:pPr>
                    <w:snapToGrid w:val="0"/>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监测点位</w:t>
                  </w:r>
                </w:p>
              </w:tc>
              <w:tc>
                <w:tcPr>
                  <w:tcW w:w="1974" w:type="pct"/>
                  <w:gridSpan w:val="2"/>
                  <w:tcBorders>
                    <w:top w:val="single" w:color="auto" w:sz="8" w:space="0"/>
                    <w:left w:val="single" w:color="auto" w:sz="4" w:space="0"/>
                    <w:bottom w:val="single" w:color="auto" w:sz="4" w:space="0"/>
                    <w:right w:val="single" w:color="auto" w:sz="4" w:space="0"/>
                  </w:tcBorders>
                  <w:vAlign w:val="center"/>
                </w:tcPr>
                <w:p>
                  <w:pPr>
                    <w:snapToGrid w:val="0"/>
                    <w:jc w:val="center"/>
                    <w:textAlignment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2024.05.05</w:t>
                  </w:r>
                </w:p>
              </w:tc>
              <w:tc>
                <w:tcPr>
                  <w:tcW w:w="1952" w:type="pct"/>
                  <w:gridSpan w:val="2"/>
                  <w:tcBorders>
                    <w:top w:val="single" w:color="auto" w:sz="8" w:space="0"/>
                    <w:left w:val="single" w:color="auto" w:sz="4" w:space="0"/>
                    <w:bottom w:val="single" w:color="auto" w:sz="4" w:space="0"/>
                    <w:right w:val="nil"/>
                  </w:tcBorders>
                  <w:vAlign w:val="center"/>
                </w:tcPr>
                <w:p>
                  <w:pPr>
                    <w:snapToGrid w:val="0"/>
                    <w:jc w:val="center"/>
                    <w:textAlignment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2024.05.06</w:t>
                  </w:r>
                </w:p>
              </w:tc>
            </w:tr>
            <w:tr>
              <w:tblPrEx>
                <w:tblBorders>
                  <w:top w:val="single" w:color="auto" w:sz="4" w:space="0"/>
                  <w:left w:val="none" w:color="auto" w:sz="0"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073" w:type="pct"/>
                  <w:vMerge w:val="continue"/>
                  <w:tcBorders>
                    <w:right w:val="single" w:color="auto" w:sz="4" w:space="0"/>
                  </w:tcBorders>
                  <w:vAlign w:val="center"/>
                </w:tcPr>
                <w:p>
                  <w:pPr>
                    <w:widowControl/>
                    <w:snapToGrid w:val="0"/>
                    <w:jc w:val="center"/>
                    <w:rPr>
                      <w:rFonts w:ascii="Times New Roman" w:hAnsi="Times New Roman" w:eastAsia="宋体" w:cs="Times New Roman"/>
                      <w:b/>
                      <w:color w:val="auto"/>
                      <w:sz w:val="18"/>
                      <w:szCs w:val="18"/>
                      <w:highlight w:val="none"/>
                    </w:rPr>
                  </w:pPr>
                </w:p>
              </w:tc>
              <w:tc>
                <w:tcPr>
                  <w:tcW w:w="1006" w:type="pct"/>
                  <w:tcBorders>
                    <w:top w:val="single" w:color="auto" w:sz="4" w:space="0"/>
                    <w:left w:val="single" w:color="auto" w:sz="4" w:space="0"/>
                    <w:right w:val="single" w:color="auto" w:sz="4" w:space="0"/>
                  </w:tcBorders>
                  <w:vAlign w:val="center"/>
                </w:tcPr>
                <w:p>
                  <w:pPr>
                    <w:snapToGrid w:val="0"/>
                    <w:jc w:val="center"/>
                    <w:textAlignment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昼间（10:00~10:30）</w:t>
                  </w:r>
                </w:p>
              </w:tc>
              <w:tc>
                <w:tcPr>
                  <w:tcW w:w="967" w:type="pct"/>
                  <w:tcBorders>
                    <w:top w:val="single" w:color="auto" w:sz="4" w:space="0"/>
                    <w:left w:val="single" w:color="auto" w:sz="4" w:space="0"/>
                    <w:right w:val="single" w:color="auto" w:sz="4" w:space="0"/>
                  </w:tcBorders>
                  <w:vAlign w:val="center"/>
                </w:tcPr>
                <w:p>
                  <w:pPr>
                    <w:snapToGrid w:val="0"/>
                    <w:jc w:val="center"/>
                    <w:textAlignment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夜间（22:00~22:30）</w:t>
                  </w:r>
                </w:p>
              </w:tc>
              <w:tc>
                <w:tcPr>
                  <w:tcW w:w="988" w:type="pct"/>
                  <w:tcBorders>
                    <w:top w:val="single" w:color="auto" w:sz="4" w:space="0"/>
                    <w:left w:val="single" w:color="auto" w:sz="4" w:space="0"/>
                    <w:right w:val="single" w:color="auto" w:sz="4" w:space="0"/>
                  </w:tcBorders>
                  <w:vAlign w:val="center"/>
                </w:tcPr>
                <w:p>
                  <w:pPr>
                    <w:snapToGrid w:val="0"/>
                    <w:jc w:val="center"/>
                    <w:textAlignment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昼间（10:00~11:00）</w:t>
                  </w:r>
                </w:p>
              </w:tc>
              <w:tc>
                <w:tcPr>
                  <w:tcW w:w="964" w:type="pct"/>
                  <w:tcBorders>
                    <w:top w:val="single" w:color="auto" w:sz="4" w:space="0"/>
                    <w:left w:val="single" w:color="auto" w:sz="4" w:space="0"/>
                    <w:right w:val="nil"/>
                  </w:tcBorders>
                  <w:vAlign w:val="center"/>
                </w:tcPr>
                <w:p>
                  <w:pPr>
                    <w:snapToGrid w:val="0"/>
                    <w:jc w:val="center"/>
                    <w:textAlignment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夜间（22:00~22:30）</w:t>
                  </w:r>
                </w:p>
              </w:tc>
            </w:tr>
            <w:tr>
              <w:tblPrEx>
                <w:tblBorders>
                  <w:top w:val="single" w:color="auto" w:sz="4" w:space="0"/>
                  <w:left w:val="none" w:color="auto" w:sz="0"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073" w:type="pct"/>
                  <w:tcBorders>
                    <w:top w:val="single" w:color="auto" w:sz="4" w:space="0"/>
                    <w:bottom w:val="single" w:color="auto" w:sz="4" w:space="0"/>
                    <w:right w:val="single" w:color="auto" w:sz="4" w:space="0"/>
                  </w:tcBorders>
                  <w:vAlign w:val="center"/>
                </w:tcPr>
                <w:p>
                  <w:pPr>
                    <w:autoSpaceDE w:val="0"/>
                    <w:autoSpaceDN w:val="0"/>
                    <w:snapToGrid w:val="0"/>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新建村-b区居民点1</w:t>
                  </w:r>
                  <w:r>
                    <w:rPr>
                      <w:rFonts w:ascii="Times New Roman" w:hAnsi="Times New Roman" w:eastAsia="宋体" w:cs="Times New Roman"/>
                      <w:color w:val="auto"/>
                      <w:kern w:val="0"/>
                      <w:sz w:val="18"/>
                      <w:szCs w:val="18"/>
                      <w:highlight w:val="none"/>
                    </w:rPr>
                    <w:t xml:space="preserve"> N</w:t>
                  </w:r>
                  <w:r>
                    <w:rPr>
                      <w:rFonts w:ascii="Times New Roman" w:hAnsi="Times New Roman" w:eastAsia="宋体" w:cs="Times New Roman"/>
                      <w:color w:val="auto"/>
                      <w:kern w:val="0"/>
                      <w:sz w:val="18"/>
                      <w:szCs w:val="18"/>
                      <w:highlight w:val="none"/>
                      <w:vertAlign w:val="subscript"/>
                    </w:rPr>
                    <w:t>5</w:t>
                  </w:r>
                </w:p>
              </w:tc>
              <w:tc>
                <w:tcPr>
                  <w:tcW w:w="1006" w:type="pct"/>
                  <w:tcBorders>
                    <w:left w:val="single" w:color="auto" w:sz="4" w:space="0"/>
                    <w:right w:val="single" w:color="auto" w:sz="4" w:space="0"/>
                  </w:tcBorders>
                  <w:vAlign w:val="center"/>
                </w:tcPr>
                <w:p>
                  <w:pPr>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57</w:t>
                  </w:r>
                </w:p>
              </w:tc>
              <w:tc>
                <w:tcPr>
                  <w:tcW w:w="967" w:type="pct"/>
                  <w:tcBorders>
                    <w:left w:val="single" w:color="auto" w:sz="4" w:space="0"/>
                    <w:right w:val="single" w:color="auto" w:sz="4" w:space="0"/>
                  </w:tcBorders>
                  <w:vAlign w:val="center"/>
                </w:tcPr>
                <w:p>
                  <w:pPr>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46</w:t>
                  </w:r>
                </w:p>
              </w:tc>
              <w:tc>
                <w:tcPr>
                  <w:tcW w:w="988" w:type="pct"/>
                  <w:tcBorders>
                    <w:left w:val="single" w:color="auto" w:sz="4" w:space="0"/>
                    <w:right w:val="single" w:color="auto" w:sz="4" w:space="0"/>
                  </w:tcBorders>
                  <w:vAlign w:val="center"/>
                </w:tcPr>
                <w:p>
                  <w:pPr>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57</w:t>
                  </w:r>
                </w:p>
              </w:tc>
              <w:tc>
                <w:tcPr>
                  <w:tcW w:w="964" w:type="pct"/>
                  <w:tcBorders>
                    <w:left w:val="single" w:color="auto" w:sz="4" w:space="0"/>
                    <w:right w:val="nil"/>
                  </w:tcBorders>
                  <w:vAlign w:val="center"/>
                </w:tcPr>
                <w:p>
                  <w:pPr>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45</w:t>
                  </w:r>
                </w:p>
              </w:tc>
            </w:tr>
            <w:tr>
              <w:tblPrEx>
                <w:tblBorders>
                  <w:top w:val="single" w:color="auto" w:sz="4" w:space="0"/>
                  <w:left w:val="none" w:color="auto" w:sz="0"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073" w:type="pct"/>
                  <w:tcBorders>
                    <w:top w:val="single" w:color="auto" w:sz="4" w:space="0"/>
                    <w:bottom w:val="single" w:color="auto" w:sz="8" w:space="0"/>
                    <w:right w:val="single" w:color="auto" w:sz="4" w:space="0"/>
                  </w:tcBorders>
                  <w:vAlign w:val="center"/>
                </w:tcPr>
                <w:p>
                  <w:pPr>
                    <w:autoSpaceDE w:val="0"/>
                    <w:autoSpaceDN w:val="0"/>
                    <w:snapToGrid w:val="0"/>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新建村-b区居民点2</w:t>
                  </w:r>
                  <w:r>
                    <w:rPr>
                      <w:rFonts w:ascii="Times New Roman" w:hAnsi="Times New Roman" w:eastAsia="宋体" w:cs="Times New Roman"/>
                      <w:color w:val="auto"/>
                      <w:kern w:val="0"/>
                      <w:sz w:val="18"/>
                      <w:szCs w:val="18"/>
                      <w:highlight w:val="none"/>
                    </w:rPr>
                    <w:t xml:space="preserve"> N</w:t>
                  </w:r>
                  <w:r>
                    <w:rPr>
                      <w:rFonts w:ascii="Times New Roman" w:hAnsi="Times New Roman" w:eastAsia="宋体" w:cs="Times New Roman"/>
                      <w:color w:val="auto"/>
                      <w:kern w:val="0"/>
                      <w:sz w:val="18"/>
                      <w:szCs w:val="18"/>
                      <w:highlight w:val="none"/>
                      <w:vertAlign w:val="subscript"/>
                    </w:rPr>
                    <w:t>6</w:t>
                  </w:r>
                </w:p>
              </w:tc>
              <w:tc>
                <w:tcPr>
                  <w:tcW w:w="1006" w:type="pct"/>
                  <w:tcBorders>
                    <w:left w:val="single" w:color="auto" w:sz="4" w:space="0"/>
                    <w:bottom w:val="single" w:color="auto" w:sz="8" w:space="0"/>
                    <w:right w:val="single" w:color="auto" w:sz="4" w:space="0"/>
                  </w:tcBorders>
                  <w:vAlign w:val="center"/>
                </w:tcPr>
                <w:p>
                  <w:pPr>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54</w:t>
                  </w:r>
                </w:p>
              </w:tc>
              <w:tc>
                <w:tcPr>
                  <w:tcW w:w="967" w:type="pct"/>
                  <w:tcBorders>
                    <w:left w:val="single" w:color="auto" w:sz="4" w:space="0"/>
                    <w:bottom w:val="single" w:color="auto" w:sz="8" w:space="0"/>
                    <w:right w:val="single" w:color="auto" w:sz="4" w:space="0"/>
                  </w:tcBorders>
                  <w:vAlign w:val="center"/>
                </w:tcPr>
                <w:p>
                  <w:pPr>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44</w:t>
                  </w:r>
                </w:p>
              </w:tc>
              <w:tc>
                <w:tcPr>
                  <w:tcW w:w="988" w:type="pct"/>
                  <w:tcBorders>
                    <w:left w:val="single" w:color="auto" w:sz="4" w:space="0"/>
                    <w:bottom w:val="single" w:color="auto" w:sz="8" w:space="0"/>
                    <w:right w:val="single" w:color="auto" w:sz="4" w:space="0"/>
                  </w:tcBorders>
                  <w:vAlign w:val="center"/>
                </w:tcPr>
                <w:p>
                  <w:pPr>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55</w:t>
                  </w:r>
                </w:p>
              </w:tc>
              <w:tc>
                <w:tcPr>
                  <w:tcW w:w="964" w:type="pct"/>
                  <w:tcBorders>
                    <w:left w:val="single" w:color="auto" w:sz="4" w:space="0"/>
                    <w:bottom w:val="single" w:color="auto" w:sz="8" w:space="0"/>
                    <w:right w:val="nil"/>
                  </w:tcBorders>
                  <w:vAlign w:val="center"/>
                </w:tcPr>
                <w:p>
                  <w:pPr>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44</w:t>
                  </w:r>
                </w:p>
              </w:tc>
            </w:tr>
          </w:tbl>
          <w:p>
            <w:pPr>
              <w:autoSpaceDE w:val="0"/>
              <w:autoSpaceDN w:val="0"/>
              <w:spacing w:line="360" w:lineRule="auto"/>
              <w:ind w:firstLine="480" w:firstLineChars="200"/>
              <w:rPr>
                <w:rFonts w:ascii="Times New Roman" w:hAnsi="Times New Roman" w:eastAsia="宋体" w:cs="Times New Roman"/>
                <w:color w:val="auto"/>
                <w:sz w:val="24"/>
                <w:highlight w:val="none"/>
              </w:rPr>
            </w:pPr>
            <w:r>
              <w:rPr>
                <w:rFonts w:ascii="Times New Roman" w:hAnsi="Times New Roman" w:eastAsia="宋体" w:cs="Times New Roman"/>
                <w:color w:val="auto"/>
                <w:kern w:val="0"/>
                <w:sz w:val="24"/>
                <w:szCs w:val="24"/>
                <w:highlight w:val="none"/>
              </w:rPr>
              <w:t>根据上表可知，声环境保护目标的监测结果满足《</w:t>
            </w:r>
            <w:r>
              <w:rPr>
                <w:rFonts w:ascii="Times New Roman" w:hAnsi="Times New Roman" w:eastAsia="宋体" w:cs="Times New Roman"/>
                <w:color w:val="auto"/>
                <w:sz w:val="24"/>
                <w:szCs w:val="21"/>
                <w:highlight w:val="none"/>
              </w:rPr>
              <w:t>声环境质量标准》（GB3096-2008）中的2类标准。</w:t>
            </w:r>
          </w:p>
          <w:p>
            <w:pPr>
              <w:autoSpaceDE w:val="0"/>
              <w:autoSpaceDN w:val="0"/>
              <w:spacing w:line="360" w:lineRule="auto"/>
              <w:ind w:firstLine="482" w:firstLineChars="200"/>
              <w:rPr>
                <w:rFonts w:ascii="Times New Roman" w:hAnsi="Times New Roman" w:eastAsia="宋体" w:cs="Times New Roman"/>
                <w:b/>
                <w:bCs/>
                <w:color w:val="auto"/>
                <w:sz w:val="24"/>
                <w:highlight w:val="none"/>
              </w:rPr>
            </w:pPr>
            <w:r>
              <w:rPr>
                <w:rFonts w:ascii="Times New Roman" w:hAnsi="Times New Roman" w:eastAsia="宋体" w:cs="Times New Roman"/>
                <w:b/>
                <w:bCs/>
                <w:color w:val="auto"/>
                <w:sz w:val="24"/>
                <w:highlight w:val="none"/>
              </w:rPr>
              <w:t>4、生态环境</w:t>
            </w:r>
          </w:p>
          <w:p>
            <w:pPr>
              <w:autoSpaceDE w:val="0"/>
              <w:autoSpaceDN w:val="0"/>
              <w:spacing w:line="360" w:lineRule="auto"/>
              <w:ind w:firstLine="480" w:firstLineChars="200"/>
              <w:rPr>
                <w:rFonts w:ascii="Times New Roman" w:hAnsi="Times New Roman" w:eastAsia="宋体" w:cs="Times New Roman"/>
                <w:bCs/>
                <w:color w:val="auto"/>
                <w:sz w:val="24"/>
                <w:highlight w:val="none"/>
              </w:rPr>
            </w:pPr>
            <w:r>
              <w:rPr>
                <w:rFonts w:ascii="Times New Roman" w:hAnsi="Times New Roman" w:eastAsia="宋体" w:cs="Times New Roman"/>
                <w:bCs/>
                <w:color w:val="auto"/>
                <w:sz w:val="24"/>
                <w:highlight w:val="none"/>
              </w:rPr>
              <w:t>本项目位于淮南市八公山区毕家岗街道新建社区，项目属于工业用地，用地范围内不存在生态环境</w:t>
            </w:r>
            <w:r>
              <w:rPr>
                <w:rFonts w:hint="eastAsia" w:ascii="Times New Roman" w:hAnsi="Times New Roman" w:eastAsia="宋体" w:cs="Times New Roman"/>
                <w:bCs/>
                <w:color w:val="auto"/>
                <w:sz w:val="24"/>
                <w:highlight w:val="none"/>
              </w:rPr>
              <w:t>保护目标</w:t>
            </w:r>
            <w:r>
              <w:rPr>
                <w:rFonts w:ascii="Times New Roman" w:hAnsi="Times New Roman" w:eastAsia="宋体" w:cs="Times New Roman"/>
                <w:bCs/>
                <w:color w:val="auto"/>
                <w:sz w:val="24"/>
                <w:highlight w:val="none"/>
              </w:rPr>
              <w:t>，无需进行生态现状调查。</w:t>
            </w:r>
          </w:p>
          <w:p>
            <w:pPr>
              <w:wordWrap w:val="0"/>
              <w:autoSpaceDE w:val="0"/>
              <w:autoSpaceDN w:val="0"/>
              <w:spacing w:line="360" w:lineRule="auto"/>
              <w:ind w:firstLine="482" w:firstLineChars="200"/>
              <w:jc w:val="left"/>
              <w:rPr>
                <w:rFonts w:ascii="Times New Roman" w:hAnsi="Times New Roman" w:eastAsia="宋体" w:cs="Times New Roman"/>
                <w:b/>
                <w:bCs/>
                <w:color w:val="auto"/>
                <w:sz w:val="24"/>
                <w:highlight w:val="none"/>
              </w:rPr>
            </w:pPr>
            <w:r>
              <w:rPr>
                <w:rFonts w:ascii="Times New Roman" w:hAnsi="Times New Roman" w:eastAsia="宋体" w:cs="Times New Roman"/>
                <w:b/>
                <w:bCs/>
                <w:color w:val="auto"/>
                <w:sz w:val="24"/>
                <w:highlight w:val="none"/>
              </w:rPr>
              <w:t>5、地下水、土壤环境质量现状</w:t>
            </w:r>
          </w:p>
          <w:p>
            <w:pPr>
              <w:autoSpaceDE w:val="0"/>
              <w:autoSpaceDN w:val="0"/>
              <w:spacing w:line="360" w:lineRule="auto"/>
              <w:ind w:firstLine="480" w:firstLineChars="200"/>
              <w:rPr>
                <w:rFonts w:ascii="Times New Roman" w:hAnsi="Times New Roman" w:eastAsia="宋体" w:cs="Times New Roman"/>
                <w:bCs/>
                <w:color w:val="auto"/>
                <w:sz w:val="24"/>
                <w:highlight w:val="none"/>
              </w:rPr>
            </w:pPr>
            <w:r>
              <w:rPr>
                <w:rFonts w:ascii="Times New Roman" w:hAnsi="Times New Roman" w:eastAsia="宋体" w:cs="Times New Roman"/>
                <w:bCs/>
                <w:color w:val="auto"/>
                <w:sz w:val="24"/>
                <w:highlight w:val="none"/>
              </w:rPr>
              <w:t>根据《建设项目环境影响报告表编制技术指南（污染影响类）》（试行），原则上对地下水和土壤不开展环境质量现状调查，本项目位于淮南市八公山区毕家岗街道新建社区，</w:t>
            </w:r>
            <w:r>
              <w:rPr>
                <w:rFonts w:ascii="Times New Roman" w:hAnsi="Times New Roman" w:eastAsia="宋体" w:cs="Times New Roman"/>
                <w:bCs/>
                <w:color w:val="auto"/>
                <w:sz w:val="24"/>
                <w:szCs w:val="28"/>
                <w:highlight w:val="none"/>
              </w:rPr>
              <w:t>重点防渗区采取全面防腐、防渗处理，一般防渗区采用防渗水泥进行硬化方式处理，基本上不存在地下水和和土壤污染途径。</w:t>
            </w:r>
            <w:r>
              <w:rPr>
                <w:rFonts w:ascii="Times New Roman" w:hAnsi="Times New Roman" w:eastAsia="宋体" w:cs="Times New Roman"/>
                <w:bCs/>
                <w:color w:val="auto"/>
                <w:sz w:val="24"/>
                <w:highlight w:val="none"/>
              </w:rPr>
              <w:t>因此，本次不开展地下水和和土壤环境现状监测。</w:t>
            </w:r>
          </w:p>
          <w:p>
            <w:pPr>
              <w:autoSpaceDE w:val="0"/>
              <w:autoSpaceDN w:val="0"/>
              <w:spacing w:line="360" w:lineRule="auto"/>
              <w:ind w:firstLine="480" w:firstLineChars="200"/>
              <w:rPr>
                <w:rFonts w:ascii="Times New Roman" w:hAnsi="Times New Roman" w:eastAsia="宋体" w:cs="Times New Roman"/>
                <w:bCs/>
                <w:color w:val="auto"/>
                <w:sz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2672" w:hRule="atLeast"/>
          <w:jc w:val="center"/>
        </w:trPr>
        <w:tc>
          <w:tcPr>
            <w:tcW w:w="457" w:type="dxa"/>
            <w:vAlign w:val="center"/>
          </w:tcPr>
          <w:p>
            <w:pPr>
              <w:spacing w:line="240" w:lineRule="atLeast"/>
              <w:jc w:val="center"/>
              <w:rPr>
                <w:rFonts w:ascii="Times New Roman" w:hAnsi="Times New Roman" w:eastAsia="宋体" w:cs="Times New Roman"/>
                <w:color w:val="auto"/>
                <w:kern w:val="0"/>
                <w:sz w:val="24"/>
                <w:szCs w:val="24"/>
                <w:highlight w:val="none"/>
              </w:rPr>
            </w:pPr>
            <w:r>
              <w:rPr>
                <w:rFonts w:ascii="Times New Roman" w:hAnsi="Times New Roman" w:eastAsia="宋体" w:cs="Times New Roman"/>
                <w:color w:val="auto"/>
                <w:kern w:val="0"/>
                <w:sz w:val="24"/>
                <w:szCs w:val="24"/>
                <w:highlight w:val="none"/>
              </w:rPr>
              <w:t>环境保护目标</w:t>
            </w:r>
          </w:p>
        </w:tc>
        <w:tc>
          <w:tcPr>
            <w:tcW w:w="8065" w:type="dxa"/>
          </w:tcPr>
          <w:p>
            <w:pPr>
              <w:wordWrap w:val="0"/>
              <w:spacing w:line="360" w:lineRule="auto"/>
              <w:ind w:firstLine="482" w:firstLineChars="200"/>
              <w:jc w:val="left"/>
              <w:rPr>
                <w:rFonts w:ascii="Times New Roman" w:hAnsi="Times New Roman" w:eastAsia="宋体" w:cs="Times New Roman"/>
                <w:b/>
                <w:color w:val="auto"/>
                <w:sz w:val="24"/>
                <w:szCs w:val="24"/>
                <w:highlight w:val="none"/>
              </w:rPr>
            </w:pPr>
            <w:r>
              <w:rPr>
                <w:rFonts w:ascii="Times New Roman" w:hAnsi="Times New Roman" w:eastAsia="宋体" w:cs="Times New Roman"/>
                <w:b/>
                <w:color w:val="auto"/>
                <w:sz w:val="24"/>
                <w:szCs w:val="24"/>
                <w:highlight w:val="none"/>
              </w:rPr>
              <w:t>1、大气环境</w:t>
            </w:r>
          </w:p>
          <w:p>
            <w:pPr>
              <w:wordWrap w:val="0"/>
              <w:spacing w:line="360" w:lineRule="auto"/>
              <w:ind w:firstLine="480" w:firstLineChars="200"/>
              <w:jc w:val="left"/>
              <w:rPr>
                <w:rFonts w:ascii="Times New Roman" w:hAnsi="Times New Roman" w:eastAsia="宋体" w:cs="Times New Roman"/>
                <w:color w:val="auto"/>
                <w:sz w:val="24"/>
                <w:szCs w:val="24"/>
                <w:highlight w:val="none"/>
              </w:rPr>
            </w:pPr>
            <w:r>
              <w:rPr>
                <w:rFonts w:ascii="Times New Roman" w:hAnsi="Times New Roman" w:eastAsia="宋体" w:cs="Times New Roman"/>
                <w:color w:val="auto"/>
                <w:sz w:val="24"/>
                <w:szCs w:val="24"/>
                <w:highlight w:val="none"/>
              </w:rPr>
              <w:t>项目厂界500m范围内有居住区</w:t>
            </w:r>
            <w:r>
              <w:rPr>
                <w:rFonts w:hint="eastAsia" w:ascii="Times New Roman" w:hAnsi="Times New Roman" w:eastAsia="宋体" w:cs="Times New Roman"/>
                <w:color w:val="auto"/>
                <w:sz w:val="24"/>
                <w:szCs w:val="24"/>
                <w:highlight w:val="none"/>
              </w:rPr>
              <w:t>等大气环境保护目标</w:t>
            </w:r>
            <w:r>
              <w:rPr>
                <w:rFonts w:ascii="Times New Roman" w:hAnsi="Times New Roman" w:eastAsia="宋体" w:cs="Times New Roman"/>
                <w:color w:val="auto"/>
                <w:sz w:val="24"/>
                <w:szCs w:val="24"/>
                <w:highlight w:val="none"/>
              </w:rPr>
              <w:t>，具体信息见下表。</w:t>
            </w:r>
          </w:p>
          <w:p>
            <w:pPr>
              <w:wordWrap w:val="0"/>
              <w:spacing w:line="360" w:lineRule="auto"/>
              <w:ind w:firstLine="482" w:firstLineChars="200"/>
              <w:jc w:val="left"/>
              <w:rPr>
                <w:rFonts w:ascii="Times New Roman" w:hAnsi="Times New Roman" w:eastAsia="宋体" w:cs="Times New Roman"/>
                <w:b/>
                <w:color w:val="auto"/>
                <w:sz w:val="24"/>
                <w:szCs w:val="24"/>
                <w:highlight w:val="none"/>
              </w:rPr>
            </w:pPr>
            <w:r>
              <w:rPr>
                <w:rFonts w:ascii="Times New Roman" w:hAnsi="Times New Roman" w:eastAsia="宋体" w:cs="Times New Roman"/>
                <w:b/>
                <w:color w:val="auto"/>
                <w:sz w:val="24"/>
                <w:szCs w:val="24"/>
                <w:highlight w:val="none"/>
              </w:rPr>
              <w:t>2、声环境</w:t>
            </w:r>
          </w:p>
          <w:p>
            <w:pPr>
              <w:wordWrap w:val="0"/>
              <w:spacing w:line="360" w:lineRule="auto"/>
              <w:ind w:firstLine="480" w:firstLineChars="200"/>
              <w:jc w:val="left"/>
              <w:rPr>
                <w:rFonts w:ascii="Times New Roman" w:hAnsi="Times New Roman" w:eastAsia="宋体" w:cs="Times New Roman"/>
                <w:color w:val="auto"/>
                <w:sz w:val="24"/>
                <w:szCs w:val="24"/>
                <w:highlight w:val="none"/>
              </w:rPr>
            </w:pPr>
            <w:r>
              <w:rPr>
                <w:rFonts w:ascii="Times New Roman" w:hAnsi="Times New Roman" w:eastAsia="宋体" w:cs="Times New Roman"/>
                <w:color w:val="auto"/>
                <w:sz w:val="24"/>
                <w:szCs w:val="21"/>
                <w:highlight w:val="none"/>
              </w:rPr>
              <w:t>本项目厂界外50米范围内有1个声环境保护目标，执行《声环境质量标准》（GB3096-2008）中的2类标准。</w:t>
            </w:r>
          </w:p>
          <w:p>
            <w:pPr>
              <w:wordWrap w:val="0"/>
              <w:spacing w:line="360" w:lineRule="auto"/>
              <w:ind w:firstLine="482" w:firstLineChars="200"/>
              <w:jc w:val="left"/>
              <w:rPr>
                <w:rFonts w:ascii="Times New Roman" w:hAnsi="Times New Roman" w:eastAsia="宋体" w:cs="Times New Roman"/>
                <w:b/>
                <w:color w:val="auto"/>
                <w:sz w:val="24"/>
                <w:szCs w:val="24"/>
                <w:highlight w:val="none"/>
              </w:rPr>
            </w:pPr>
            <w:r>
              <w:rPr>
                <w:rFonts w:ascii="Times New Roman" w:hAnsi="Times New Roman" w:eastAsia="宋体" w:cs="Times New Roman"/>
                <w:b/>
                <w:color w:val="auto"/>
                <w:sz w:val="24"/>
                <w:szCs w:val="24"/>
                <w:highlight w:val="none"/>
              </w:rPr>
              <w:t>3、地下水环境</w:t>
            </w:r>
          </w:p>
          <w:p>
            <w:pPr>
              <w:wordWrap w:val="0"/>
              <w:spacing w:line="360" w:lineRule="auto"/>
              <w:ind w:firstLine="480" w:firstLineChars="200"/>
              <w:jc w:val="left"/>
              <w:rPr>
                <w:rFonts w:ascii="Times New Roman" w:hAnsi="Times New Roman" w:eastAsia="宋体" w:cs="Times New Roman"/>
                <w:color w:val="auto"/>
                <w:sz w:val="24"/>
                <w:szCs w:val="24"/>
                <w:highlight w:val="none"/>
              </w:rPr>
            </w:pPr>
            <w:r>
              <w:rPr>
                <w:rFonts w:ascii="Times New Roman" w:hAnsi="Times New Roman" w:eastAsia="宋体" w:cs="Times New Roman"/>
                <w:color w:val="auto"/>
                <w:sz w:val="24"/>
                <w:szCs w:val="24"/>
                <w:highlight w:val="none"/>
              </w:rPr>
              <w:t>厂界外500米范围内无地下水集中式饮用水水源和热水、矿泉水、温泉等特殊地下水资源，无地下水环境保护目标。</w:t>
            </w:r>
          </w:p>
          <w:p>
            <w:pPr>
              <w:spacing w:line="360" w:lineRule="auto"/>
              <w:ind w:firstLine="482" w:firstLineChars="200"/>
              <w:rPr>
                <w:rFonts w:ascii="Times New Roman" w:hAnsi="Times New Roman" w:eastAsia="宋体" w:cs="Times New Roman"/>
                <w:b/>
                <w:snapToGrid w:val="0"/>
                <w:color w:val="auto"/>
                <w:sz w:val="24"/>
                <w:highlight w:val="none"/>
              </w:rPr>
            </w:pPr>
            <w:r>
              <w:rPr>
                <w:rFonts w:ascii="Times New Roman" w:hAnsi="Times New Roman" w:eastAsia="宋体" w:cs="Times New Roman"/>
                <w:b/>
                <w:snapToGrid w:val="0"/>
                <w:color w:val="auto"/>
                <w:sz w:val="24"/>
                <w:highlight w:val="none"/>
              </w:rPr>
              <w:t>4、生态环境</w:t>
            </w:r>
          </w:p>
          <w:p>
            <w:pPr>
              <w:spacing w:line="360" w:lineRule="auto"/>
              <w:ind w:firstLine="480" w:firstLineChars="200"/>
              <w:rPr>
                <w:rFonts w:ascii="Times New Roman" w:hAnsi="Times New Roman" w:eastAsia="宋体" w:cs="Times New Roman"/>
                <w:snapToGrid w:val="0"/>
                <w:color w:val="auto"/>
                <w:sz w:val="24"/>
                <w:highlight w:val="none"/>
              </w:rPr>
            </w:pPr>
            <w:r>
              <w:rPr>
                <w:rFonts w:ascii="Times New Roman" w:hAnsi="Times New Roman" w:eastAsia="宋体" w:cs="Times New Roman"/>
                <w:snapToGrid w:val="0"/>
                <w:color w:val="auto"/>
                <w:sz w:val="24"/>
                <w:highlight w:val="none"/>
              </w:rPr>
              <w:t>本项目位于淮南市八公山区毕家岗街道新建社区，利用已有的工业用地，本项目用地范围内无生态环境保护目标。</w:t>
            </w:r>
          </w:p>
          <w:p>
            <w:pPr>
              <w:adjustRightInd w:val="0"/>
              <w:spacing w:line="324" w:lineRule="auto"/>
              <w:jc w:val="center"/>
              <w:rPr>
                <w:rFonts w:ascii="Times New Roman" w:hAnsi="Times New Roman" w:eastAsia="黑体" w:cs="Times New Roman"/>
                <w:color w:val="auto"/>
                <w:sz w:val="24"/>
                <w:highlight w:val="none"/>
              </w:rPr>
            </w:pPr>
            <w:r>
              <w:rPr>
                <w:rFonts w:ascii="Times New Roman" w:hAnsi="Times New Roman" w:eastAsia="黑体" w:cs="Times New Roman"/>
                <w:color w:val="auto"/>
                <w:sz w:val="24"/>
                <w:highlight w:val="none"/>
              </w:rPr>
              <w:t>表3-</w:t>
            </w:r>
            <w:r>
              <w:rPr>
                <w:rFonts w:hint="eastAsia" w:ascii="Times New Roman" w:hAnsi="Times New Roman" w:eastAsia="黑体" w:cs="Times New Roman"/>
                <w:color w:val="auto"/>
                <w:sz w:val="24"/>
                <w:highlight w:val="none"/>
              </w:rPr>
              <w:t>5</w:t>
            </w:r>
            <w:r>
              <w:rPr>
                <w:rFonts w:ascii="Times New Roman" w:hAnsi="Times New Roman" w:eastAsia="黑体" w:cs="Times New Roman"/>
                <w:color w:val="auto"/>
                <w:sz w:val="24"/>
                <w:highlight w:val="none"/>
              </w:rPr>
              <w:t xml:space="preserve">  主要环境保护目标一览表</w:t>
            </w:r>
          </w:p>
          <w:tbl>
            <w:tblPr>
              <w:tblStyle w:val="17"/>
              <w:tblW w:w="7849" w:type="dxa"/>
              <w:jc w:val="center"/>
              <w:tblBorders>
                <w:top w:val="single" w:color="auto" w:sz="8" w:space="0"/>
                <w:left w:val="none" w:color="auto" w:sz="0" w:space="0"/>
                <w:bottom w:val="single" w:color="auto" w:sz="8" w:space="0"/>
                <w:right w:val="none" w:color="auto" w:sz="0" w:space="0"/>
                <w:insideH w:val="single" w:color="auto" w:sz="4" w:space="0"/>
                <w:insideV w:val="single" w:color="auto" w:sz="4" w:space="0"/>
              </w:tblBorders>
              <w:tblLayout w:type="autofit"/>
              <w:tblCellMar>
                <w:top w:w="0" w:type="dxa"/>
                <w:left w:w="0" w:type="dxa"/>
                <w:bottom w:w="0" w:type="dxa"/>
                <w:right w:w="0" w:type="dxa"/>
              </w:tblCellMar>
            </w:tblPr>
            <w:tblGrid>
              <w:gridCol w:w="523"/>
              <w:gridCol w:w="1403"/>
              <w:gridCol w:w="9"/>
              <w:gridCol w:w="387"/>
              <w:gridCol w:w="485"/>
              <w:gridCol w:w="561"/>
              <w:gridCol w:w="710"/>
              <w:gridCol w:w="2129"/>
              <w:gridCol w:w="885"/>
              <w:gridCol w:w="757"/>
            </w:tblGrid>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567" w:hRule="atLeast"/>
                <w:jc w:val="center"/>
              </w:trPr>
              <w:tc>
                <w:tcPr>
                  <w:tcW w:w="523" w:type="dxa"/>
                  <w:tcBorders>
                    <w:tl2br w:val="nil"/>
                    <w:tr2bl w:val="nil"/>
                  </w:tcBorders>
                  <w:vAlign w:val="center"/>
                </w:tcPr>
                <w:p>
                  <w:pPr>
                    <w:adjustRightInd w:val="0"/>
                    <w:snapToGrid w:val="0"/>
                    <w:spacing w:line="276" w:lineRule="auto"/>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环境</w:t>
                  </w:r>
                </w:p>
                <w:p>
                  <w:pPr>
                    <w:adjustRightInd w:val="0"/>
                    <w:snapToGrid w:val="0"/>
                    <w:spacing w:line="276" w:lineRule="auto"/>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要素</w:t>
                  </w:r>
                </w:p>
              </w:tc>
              <w:tc>
                <w:tcPr>
                  <w:tcW w:w="1403" w:type="dxa"/>
                  <w:tcBorders>
                    <w:tl2br w:val="nil"/>
                    <w:tr2bl w:val="nil"/>
                  </w:tcBorders>
                  <w:vAlign w:val="center"/>
                </w:tcPr>
                <w:p>
                  <w:pPr>
                    <w:adjustRightInd w:val="0"/>
                    <w:snapToGrid w:val="0"/>
                    <w:spacing w:line="276" w:lineRule="auto"/>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保护目标</w:t>
                  </w:r>
                </w:p>
              </w:tc>
              <w:tc>
                <w:tcPr>
                  <w:tcW w:w="881" w:type="dxa"/>
                  <w:gridSpan w:val="3"/>
                  <w:tcBorders>
                    <w:tl2br w:val="nil"/>
                    <w:tr2bl w:val="nil"/>
                  </w:tcBorders>
                  <w:vAlign w:val="center"/>
                </w:tcPr>
                <w:p>
                  <w:pPr>
                    <w:adjustRightInd w:val="0"/>
                    <w:snapToGrid w:val="0"/>
                    <w:spacing w:line="276" w:lineRule="auto"/>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坐标/m</w:t>
                  </w:r>
                </w:p>
                <w:p>
                  <w:pPr>
                    <w:adjustRightInd w:val="0"/>
                    <w:snapToGrid w:val="0"/>
                    <w:spacing w:line="276" w:lineRule="auto"/>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（X，Y）</w:t>
                  </w:r>
                </w:p>
              </w:tc>
              <w:tc>
                <w:tcPr>
                  <w:tcW w:w="561" w:type="dxa"/>
                  <w:tcBorders>
                    <w:tl2br w:val="nil"/>
                    <w:tr2bl w:val="nil"/>
                  </w:tcBorders>
                  <w:vAlign w:val="center"/>
                </w:tcPr>
                <w:p>
                  <w:pPr>
                    <w:adjustRightInd w:val="0"/>
                    <w:snapToGrid w:val="0"/>
                    <w:spacing w:line="276" w:lineRule="auto"/>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保护对象</w:t>
                  </w:r>
                </w:p>
              </w:tc>
              <w:tc>
                <w:tcPr>
                  <w:tcW w:w="710" w:type="dxa"/>
                  <w:tcBorders>
                    <w:tl2br w:val="nil"/>
                    <w:tr2bl w:val="nil"/>
                  </w:tcBorders>
                  <w:vAlign w:val="center"/>
                </w:tcPr>
                <w:p>
                  <w:pPr>
                    <w:adjustRightInd w:val="0"/>
                    <w:snapToGrid w:val="0"/>
                    <w:spacing w:line="276" w:lineRule="auto"/>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保护内容</w:t>
                  </w:r>
                </w:p>
              </w:tc>
              <w:tc>
                <w:tcPr>
                  <w:tcW w:w="2129" w:type="dxa"/>
                  <w:tcBorders>
                    <w:tl2br w:val="nil"/>
                    <w:tr2bl w:val="nil"/>
                  </w:tcBorders>
                  <w:vAlign w:val="center"/>
                </w:tcPr>
                <w:p>
                  <w:pPr>
                    <w:adjustRightInd w:val="0"/>
                    <w:snapToGrid w:val="0"/>
                    <w:spacing w:line="276" w:lineRule="auto"/>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保护级别</w:t>
                  </w:r>
                </w:p>
              </w:tc>
              <w:tc>
                <w:tcPr>
                  <w:tcW w:w="885" w:type="dxa"/>
                  <w:tcBorders>
                    <w:tl2br w:val="nil"/>
                    <w:tr2bl w:val="nil"/>
                  </w:tcBorders>
                  <w:vAlign w:val="center"/>
                </w:tcPr>
                <w:p>
                  <w:pPr>
                    <w:adjustRightInd w:val="0"/>
                    <w:snapToGrid w:val="0"/>
                    <w:spacing w:line="276" w:lineRule="auto"/>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相对厂址方位</w:t>
                  </w:r>
                </w:p>
              </w:tc>
              <w:tc>
                <w:tcPr>
                  <w:tcW w:w="757" w:type="dxa"/>
                  <w:tcBorders>
                    <w:tl2br w:val="nil"/>
                    <w:tr2bl w:val="nil"/>
                  </w:tcBorders>
                  <w:vAlign w:val="center"/>
                </w:tcPr>
                <w:p>
                  <w:pPr>
                    <w:adjustRightInd w:val="0"/>
                    <w:snapToGrid w:val="0"/>
                    <w:spacing w:line="276" w:lineRule="auto"/>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相对厂界距离/m</w:t>
                  </w: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567" w:hRule="atLeast"/>
                <w:jc w:val="center"/>
              </w:trPr>
              <w:tc>
                <w:tcPr>
                  <w:tcW w:w="523" w:type="dxa"/>
                  <w:vMerge w:val="restart"/>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大气</w:t>
                  </w:r>
                </w:p>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环境</w:t>
                  </w:r>
                </w:p>
              </w:tc>
              <w:tc>
                <w:tcPr>
                  <w:tcW w:w="1403" w:type="dxa"/>
                  <w:tcBorders>
                    <w:tl2br w:val="nil"/>
                    <w:tr2bl w:val="nil"/>
                  </w:tcBorders>
                  <w:vAlign w:val="center"/>
                </w:tcPr>
                <w:p>
                  <w:pPr>
                    <w:adjustRightInd w:val="0"/>
                    <w:jc w:val="center"/>
                    <w:textAlignment w:val="baseline"/>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新建村-b区</w:t>
                  </w:r>
                </w:p>
              </w:tc>
              <w:tc>
                <w:tcPr>
                  <w:tcW w:w="396" w:type="dxa"/>
                  <w:gridSpan w:val="2"/>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-32</w:t>
                  </w:r>
                </w:p>
              </w:tc>
              <w:tc>
                <w:tcPr>
                  <w:tcW w:w="485" w:type="dxa"/>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14</w:t>
                  </w:r>
                </w:p>
              </w:tc>
              <w:tc>
                <w:tcPr>
                  <w:tcW w:w="561" w:type="dxa"/>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居民</w:t>
                  </w:r>
                </w:p>
              </w:tc>
              <w:tc>
                <w:tcPr>
                  <w:tcW w:w="710" w:type="dxa"/>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约525人</w:t>
                  </w:r>
                </w:p>
              </w:tc>
              <w:tc>
                <w:tcPr>
                  <w:tcW w:w="2129" w:type="dxa"/>
                  <w:vMerge w:val="restart"/>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《环境空气质量标准》（GB3095-2012）</w:t>
                  </w:r>
                </w:p>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二级标准</w:t>
                  </w:r>
                </w:p>
              </w:tc>
              <w:tc>
                <w:tcPr>
                  <w:tcW w:w="885" w:type="dxa"/>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W</w:t>
                  </w:r>
                </w:p>
              </w:tc>
              <w:tc>
                <w:tcPr>
                  <w:tcW w:w="757" w:type="dxa"/>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37</w:t>
                  </w: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567" w:hRule="atLeast"/>
                <w:jc w:val="center"/>
              </w:trPr>
              <w:tc>
                <w:tcPr>
                  <w:tcW w:w="523" w:type="dxa"/>
                  <w:vMerge w:val="continue"/>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p>
              </w:tc>
              <w:tc>
                <w:tcPr>
                  <w:tcW w:w="1403" w:type="dxa"/>
                  <w:tcBorders>
                    <w:tl2br w:val="nil"/>
                    <w:tr2bl w:val="nil"/>
                  </w:tcBorders>
                  <w:vAlign w:val="center"/>
                </w:tcPr>
                <w:p>
                  <w:pPr>
                    <w:adjustRightInd w:val="0"/>
                    <w:jc w:val="center"/>
                    <w:textAlignment w:val="baseline"/>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新建村-a区</w:t>
                  </w:r>
                </w:p>
              </w:tc>
              <w:tc>
                <w:tcPr>
                  <w:tcW w:w="396" w:type="dxa"/>
                  <w:gridSpan w:val="2"/>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0</w:t>
                  </w:r>
                </w:p>
              </w:tc>
              <w:tc>
                <w:tcPr>
                  <w:tcW w:w="485" w:type="dxa"/>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-231</w:t>
                  </w:r>
                </w:p>
              </w:tc>
              <w:tc>
                <w:tcPr>
                  <w:tcW w:w="561" w:type="dxa"/>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居民</w:t>
                  </w:r>
                </w:p>
              </w:tc>
              <w:tc>
                <w:tcPr>
                  <w:tcW w:w="710" w:type="dxa"/>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约350人</w:t>
                  </w:r>
                </w:p>
              </w:tc>
              <w:tc>
                <w:tcPr>
                  <w:tcW w:w="2129" w:type="dxa"/>
                  <w:vMerge w:val="continue"/>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p>
              </w:tc>
              <w:tc>
                <w:tcPr>
                  <w:tcW w:w="885" w:type="dxa"/>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S</w:t>
                  </w:r>
                </w:p>
              </w:tc>
              <w:tc>
                <w:tcPr>
                  <w:tcW w:w="757" w:type="dxa"/>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231</w:t>
                  </w: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567" w:hRule="atLeast"/>
                <w:jc w:val="center"/>
              </w:trPr>
              <w:tc>
                <w:tcPr>
                  <w:tcW w:w="523" w:type="dxa"/>
                  <w:vMerge w:val="continue"/>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p>
              </w:tc>
              <w:tc>
                <w:tcPr>
                  <w:tcW w:w="1403" w:type="dxa"/>
                  <w:tcBorders>
                    <w:tl2br w:val="nil"/>
                    <w:tr2bl w:val="nil"/>
                  </w:tcBorders>
                  <w:vAlign w:val="center"/>
                </w:tcPr>
                <w:p>
                  <w:pPr>
                    <w:adjustRightInd w:val="0"/>
                    <w:jc w:val="center"/>
                    <w:textAlignment w:val="baseline"/>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毕岗村</w:t>
                  </w:r>
                </w:p>
              </w:tc>
              <w:tc>
                <w:tcPr>
                  <w:tcW w:w="396" w:type="dxa"/>
                  <w:gridSpan w:val="2"/>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-345</w:t>
                  </w:r>
                </w:p>
              </w:tc>
              <w:tc>
                <w:tcPr>
                  <w:tcW w:w="485" w:type="dxa"/>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0</w:t>
                  </w:r>
                </w:p>
              </w:tc>
              <w:tc>
                <w:tcPr>
                  <w:tcW w:w="561" w:type="dxa"/>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居民</w:t>
                  </w:r>
                </w:p>
              </w:tc>
              <w:tc>
                <w:tcPr>
                  <w:tcW w:w="710" w:type="dxa"/>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约150人</w:t>
                  </w:r>
                </w:p>
              </w:tc>
              <w:tc>
                <w:tcPr>
                  <w:tcW w:w="2129" w:type="dxa"/>
                  <w:vMerge w:val="continue"/>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p>
              </w:tc>
              <w:tc>
                <w:tcPr>
                  <w:tcW w:w="885" w:type="dxa"/>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W</w:t>
                  </w:r>
                </w:p>
              </w:tc>
              <w:tc>
                <w:tcPr>
                  <w:tcW w:w="757" w:type="dxa"/>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323</w:t>
                  </w: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567" w:hRule="atLeast"/>
                <w:jc w:val="center"/>
              </w:trPr>
              <w:tc>
                <w:tcPr>
                  <w:tcW w:w="523" w:type="dxa"/>
                  <w:vMerge w:val="continue"/>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p>
              </w:tc>
              <w:tc>
                <w:tcPr>
                  <w:tcW w:w="1403" w:type="dxa"/>
                  <w:tcBorders>
                    <w:tl2br w:val="nil"/>
                    <w:tr2bl w:val="nil"/>
                  </w:tcBorders>
                  <w:vAlign w:val="center"/>
                </w:tcPr>
                <w:p>
                  <w:pPr>
                    <w:adjustRightInd w:val="0"/>
                    <w:jc w:val="center"/>
                    <w:textAlignment w:val="baseline"/>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淮滨村</w:t>
                  </w:r>
                </w:p>
              </w:tc>
              <w:tc>
                <w:tcPr>
                  <w:tcW w:w="396" w:type="dxa"/>
                  <w:gridSpan w:val="2"/>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-440</w:t>
                  </w:r>
                </w:p>
              </w:tc>
              <w:tc>
                <w:tcPr>
                  <w:tcW w:w="485" w:type="dxa"/>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-138</w:t>
                  </w:r>
                </w:p>
              </w:tc>
              <w:tc>
                <w:tcPr>
                  <w:tcW w:w="561" w:type="dxa"/>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居民</w:t>
                  </w:r>
                </w:p>
              </w:tc>
              <w:tc>
                <w:tcPr>
                  <w:tcW w:w="710" w:type="dxa"/>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约350人</w:t>
                  </w:r>
                </w:p>
              </w:tc>
              <w:tc>
                <w:tcPr>
                  <w:tcW w:w="2129" w:type="dxa"/>
                  <w:vMerge w:val="continue"/>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p>
              </w:tc>
              <w:tc>
                <w:tcPr>
                  <w:tcW w:w="885" w:type="dxa"/>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NW</w:t>
                  </w:r>
                </w:p>
              </w:tc>
              <w:tc>
                <w:tcPr>
                  <w:tcW w:w="757" w:type="dxa"/>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478</w:t>
                  </w: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567" w:hRule="atLeast"/>
                <w:jc w:val="center"/>
              </w:trPr>
              <w:tc>
                <w:tcPr>
                  <w:tcW w:w="523" w:type="dxa"/>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地下水环境</w:t>
                  </w:r>
                </w:p>
              </w:tc>
              <w:tc>
                <w:tcPr>
                  <w:tcW w:w="7326" w:type="dxa"/>
                  <w:gridSpan w:val="9"/>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本项目位于淮南市八公山区毕家岗街道新建社区，项目所在区域均采用自来水作为饮用水源，项目厂界外500m范围内无地下水集中式饮用水水源、矿泉水、温泉等特殊地下水资源</w:t>
                  </w: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567" w:hRule="atLeast"/>
                <w:jc w:val="center"/>
              </w:trPr>
              <w:tc>
                <w:tcPr>
                  <w:tcW w:w="523" w:type="dxa"/>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声环境</w:t>
                  </w:r>
                </w:p>
              </w:tc>
              <w:tc>
                <w:tcPr>
                  <w:tcW w:w="1412" w:type="dxa"/>
                  <w:gridSpan w:val="2"/>
                  <w:tcBorders>
                    <w:right w:val="single" w:color="auto" w:sz="4" w:space="0"/>
                  </w:tcBorders>
                  <w:vAlign w:val="center"/>
                </w:tcPr>
                <w:p>
                  <w:pPr>
                    <w:adjustRightInd w:val="0"/>
                    <w:jc w:val="center"/>
                    <w:textAlignment w:val="baseline"/>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新建村-b区</w:t>
                  </w:r>
                </w:p>
              </w:tc>
              <w:tc>
                <w:tcPr>
                  <w:tcW w:w="387" w:type="dxa"/>
                  <w:tcBorders>
                    <w:left w:val="single" w:color="auto" w:sz="4" w:space="0"/>
                    <w:right w:val="single" w:color="auto" w:sz="4" w:space="0"/>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-32</w:t>
                  </w:r>
                </w:p>
              </w:tc>
              <w:tc>
                <w:tcPr>
                  <w:tcW w:w="485" w:type="dxa"/>
                  <w:tcBorders>
                    <w:left w:val="single" w:color="auto" w:sz="4" w:space="0"/>
                    <w:right w:val="single" w:color="auto" w:sz="4" w:space="0"/>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14</w:t>
                  </w:r>
                </w:p>
              </w:tc>
              <w:tc>
                <w:tcPr>
                  <w:tcW w:w="561" w:type="dxa"/>
                  <w:tcBorders>
                    <w:left w:val="single" w:color="auto" w:sz="4" w:space="0"/>
                    <w:right w:val="single" w:color="auto" w:sz="4" w:space="0"/>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居民</w:t>
                  </w:r>
                </w:p>
              </w:tc>
              <w:tc>
                <w:tcPr>
                  <w:tcW w:w="710" w:type="dxa"/>
                  <w:tcBorders>
                    <w:left w:val="single" w:color="auto" w:sz="4" w:space="0"/>
                    <w:right w:val="single" w:color="auto" w:sz="4" w:space="0"/>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约525人</w:t>
                  </w:r>
                </w:p>
              </w:tc>
              <w:tc>
                <w:tcPr>
                  <w:tcW w:w="2129" w:type="dxa"/>
                  <w:tcBorders>
                    <w:left w:val="single" w:color="auto" w:sz="4" w:space="0"/>
                    <w:right w:val="single" w:color="auto" w:sz="4" w:space="0"/>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《声环境质量标准》（GB3096-2008）2类标准</w:t>
                  </w:r>
                </w:p>
              </w:tc>
              <w:tc>
                <w:tcPr>
                  <w:tcW w:w="885" w:type="dxa"/>
                  <w:tcBorders>
                    <w:left w:val="single" w:color="auto" w:sz="4" w:space="0"/>
                    <w:right w:val="single" w:color="auto" w:sz="4" w:space="0"/>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W</w:t>
                  </w:r>
                </w:p>
              </w:tc>
              <w:tc>
                <w:tcPr>
                  <w:tcW w:w="757" w:type="dxa"/>
                  <w:tcBorders>
                    <w:left w:val="single" w:color="auto" w:sz="4" w:space="0"/>
                    <w:right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37</w:t>
                  </w: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567" w:hRule="atLeast"/>
                <w:jc w:val="center"/>
              </w:trPr>
              <w:tc>
                <w:tcPr>
                  <w:tcW w:w="523" w:type="dxa"/>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生态环境</w:t>
                  </w:r>
                </w:p>
              </w:tc>
              <w:tc>
                <w:tcPr>
                  <w:tcW w:w="7326" w:type="dxa"/>
                  <w:gridSpan w:val="9"/>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本项目利用已有的工业用地进行项目建设，本项目用地范围内无生态环境保护目标</w:t>
                  </w:r>
                </w:p>
              </w:tc>
            </w:tr>
          </w:tbl>
          <w:p>
            <w:pPr>
              <w:wordWrap w:val="0"/>
              <w:snapToGrid w:val="0"/>
              <w:jc w:val="left"/>
              <w:rPr>
                <w:rFonts w:ascii="Times New Roman" w:hAnsi="Times New Roman" w:eastAsia="宋体" w:cs="Times New Roman"/>
                <w:snapToGrid w:val="0"/>
                <w:color w:val="auto"/>
                <w:sz w:val="18"/>
                <w:szCs w:val="18"/>
                <w:highlight w:val="none"/>
              </w:rPr>
            </w:pPr>
            <w:r>
              <w:rPr>
                <w:rFonts w:ascii="Times New Roman" w:hAnsi="Times New Roman" w:eastAsia="宋体" w:cs="Times New Roman"/>
                <w:snapToGrid w:val="0"/>
                <w:color w:val="auto"/>
                <w:sz w:val="18"/>
                <w:szCs w:val="18"/>
                <w:highlight w:val="none"/>
              </w:rPr>
              <w:t>注：以项目西南角为坐标原点（0，0）。</w:t>
            </w:r>
          </w:p>
          <w:p>
            <w:pPr>
              <w:wordWrap w:val="0"/>
              <w:spacing w:line="360" w:lineRule="auto"/>
              <w:jc w:val="left"/>
              <w:rPr>
                <w:rFonts w:ascii="Times New Roman" w:hAnsi="Times New Roman" w:eastAsia="宋体" w:cs="Times New Roman"/>
                <w:snapToGrid w:val="0"/>
                <w:color w:val="auto"/>
                <w:sz w:val="24"/>
                <w:szCs w:val="24"/>
                <w:highlight w:val="none"/>
              </w:rPr>
            </w:pPr>
          </w:p>
        </w:tc>
      </w:tr>
    </w:tbl>
    <w:p>
      <w:pPr>
        <w:rPr>
          <w:rFonts w:ascii="Times New Roman" w:hAnsi="Times New Roman" w:eastAsia="宋体" w:cs="Times New Roman"/>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tbl>
      <w:tblPr>
        <w:tblStyle w:val="17"/>
        <w:tblW w:w="8521"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457"/>
        <w:gridCol w:w="8064"/>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251" w:hRule="atLeast"/>
          <w:jc w:val="center"/>
        </w:trPr>
        <w:tc>
          <w:tcPr>
            <w:tcW w:w="457" w:type="dxa"/>
            <w:tcMar>
              <w:left w:w="28" w:type="dxa"/>
              <w:right w:w="28" w:type="dxa"/>
            </w:tcMar>
            <w:vAlign w:val="center"/>
          </w:tcPr>
          <w:p>
            <w:pPr>
              <w:jc w:val="center"/>
              <w:rPr>
                <w:rFonts w:ascii="Times New Roman" w:hAnsi="Times New Roman" w:eastAsia="宋体" w:cs="Times New Roman"/>
                <w:bCs/>
                <w:color w:val="auto"/>
                <w:sz w:val="24"/>
                <w:szCs w:val="24"/>
              </w:rPr>
            </w:pPr>
            <w:r>
              <w:rPr>
                <w:rFonts w:ascii="Times New Roman" w:hAnsi="Times New Roman" w:eastAsia="宋体" w:cs="Times New Roman"/>
                <w:bCs/>
                <w:color w:val="auto"/>
                <w:sz w:val="24"/>
                <w:szCs w:val="24"/>
              </w:rPr>
              <w:t>污染</w:t>
            </w:r>
          </w:p>
          <w:p>
            <w:pPr>
              <w:jc w:val="center"/>
              <w:rPr>
                <w:rFonts w:ascii="Times New Roman" w:hAnsi="Times New Roman" w:eastAsia="宋体" w:cs="Times New Roman"/>
                <w:bCs/>
                <w:color w:val="auto"/>
                <w:sz w:val="24"/>
                <w:szCs w:val="24"/>
              </w:rPr>
            </w:pPr>
            <w:r>
              <w:rPr>
                <w:rFonts w:ascii="Times New Roman" w:hAnsi="Times New Roman" w:eastAsia="宋体" w:cs="Times New Roman"/>
                <w:bCs/>
                <w:color w:val="auto"/>
                <w:sz w:val="24"/>
                <w:szCs w:val="24"/>
              </w:rPr>
              <w:t>物排</w:t>
            </w:r>
          </w:p>
          <w:p>
            <w:pPr>
              <w:jc w:val="center"/>
              <w:rPr>
                <w:rFonts w:ascii="Times New Roman" w:hAnsi="Times New Roman" w:eastAsia="宋体" w:cs="Times New Roman"/>
                <w:bCs/>
                <w:color w:val="auto"/>
                <w:sz w:val="24"/>
                <w:szCs w:val="24"/>
              </w:rPr>
            </w:pPr>
            <w:r>
              <w:rPr>
                <w:rFonts w:ascii="Times New Roman" w:hAnsi="Times New Roman" w:eastAsia="宋体" w:cs="Times New Roman"/>
                <w:bCs/>
                <w:color w:val="auto"/>
                <w:sz w:val="24"/>
                <w:szCs w:val="24"/>
              </w:rPr>
              <w:t>放控</w:t>
            </w:r>
          </w:p>
          <w:p>
            <w:pPr>
              <w:jc w:val="center"/>
              <w:rPr>
                <w:rFonts w:ascii="Times New Roman" w:hAnsi="Times New Roman" w:eastAsia="宋体" w:cs="Times New Roman"/>
                <w:bCs/>
                <w:color w:val="auto"/>
                <w:sz w:val="24"/>
                <w:szCs w:val="24"/>
              </w:rPr>
            </w:pPr>
            <w:r>
              <w:rPr>
                <w:rFonts w:ascii="Times New Roman" w:hAnsi="Times New Roman" w:eastAsia="宋体" w:cs="Times New Roman"/>
                <w:bCs/>
                <w:color w:val="auto"/>
                <w:sz w:val="24"/>
                <w:szCs w:val="24"/>
              </w:rPr>
              <w:t>制标</w:t>
            </w:r>
          </w:p>
          <w:p>
            <w:pPr>
              <w:jc w:val="center"/>
              <w:rPr>
                <w:rFonts w:ascii="Times New Roman" w:hAnsi="Times New Roman" w:eastAsia="宋体" w:cs="Times New Roman"/>
                <w:color w:val="auto"/>
                <w:kern w:val="0"/>
                <w:szCs w:val="21"/>
              </w:rPr>
            </w:pPr>
            <w:r>
              <w:rPr>
                <w:rFonts w:ascii="Times New Roman" w:hAnsi="Times New Roman" w:eastAsia="宋体" w:cs="Times New Roman"/>
                <w:bCs/>
                <w:color w:val="auto"/>
                <w:sz w:val="24"/>
                <w:szCs w:val="24"/>
              </w:rPr>
              <w:t>准</w:t>
            </w:r>
          </w:p>
        </w:tc>
        <w:tc>
          <w:tcPr>
            <w:tcW w:w="8064" w:type="dxa"/>
            <w:vAlign w:val="center"/>
          </w:tcPr>
          <w:p>
            <w:pPr>
              <w:widowControl/>
              <w:spacing w:line="360" w:lineRule="auto"/>
              <w:ind w:firstLine="482" w:firstLineChars="200"/>
              <w:jc w:val="left"/>
              <w:rPr>
                <w:rFonts w:ascii="Times New Roman" w:hAnsi="Times New Roman" w:eastAsia="宋体" w:cs="Times New Roman"/>
                <w:b/>
                <w:bCs/>
                <w:color w:val="auto"/>
                <w:kern w:val="0"/>
                <w:sz w:val="24"/>
                <w:szCs w:val="24"/>
              </w:rPr>
            </w:pPr>
            <w:r>
              <w:rPr>
                <w:rFonts w:ascii="Times New Roman" w:hAnsi="Times New Roman" w:eastAsia="宋体" w:cs="Times New Roman"/>
                <w:b/>
                <w:bCs/>
                <w:color w:val="auto"/>
                <w:kern w:val="0"/>
                <w:sz w:val="24"/>
                <w:szCs w:val="24"/>
              </w:rPr>
              <w:t>1、大气污染物排放标准</w:t>
            </w:r>
          </w:p>
          <w:p>
            <w:pPr>
              <w:widowControl/>
              <w:kinsoku w:val="0"/>
              <w:autoSpaceDE w:val="0"/>
              <w:autoSpaceDN w:val="0"/>
              <w:adjustRightInd w:val="0"/>
              <w:snapToGrid w:val="0"/>
              <w:spacing w:line="360" w:lineRule="auto"/>
              <w:ind w:firstLine="480" w:firstLineChars="200"/>
              <w:jc w:val="left"/>
              <w:textAlignment w:val="baseline"/>
              <w:rPr>
                <w:rFonts w:ascii="Times New Roman" w:hAnsi="Times New Roman" w:eastAsia="宋体" w:cs="Times New Roman"/>
                <w:snapToGrid w:val="0"/>
                <w:color w:val="auto"/>
                <w:spacing w:val="-9"/>
                <w:kern w:val="0"/>
                <w:sz w:val="24"/>
                <w:szCs w:val="24"/>
              </w:rPr>
            </w:pPr>
            <w:r>
              <w:rPr>
                <w:rFonts w:ascii="Times New Roman" w:hAnsi="Times New Roman" w:eastAsia="宋体" w:cs="Times New Roman"/>
                <w:color w:val="auto"/>
                <w:sz w:val="24"/>
              </w:rPr>
              <w:t>项目切割、焊接产生的</w:t>
            </w:r>
            <w:r>
              <w:rPr>
                <w:rFonts w:hint="eastAsia" w:ascii="Times New Roman" w:hAnsi="Times New Roman" w:eastAsia="宋体" w:cs="Times New Roman"/>
                <w:color w:val="auto"/>
                <w:sz w:val="24"/>
                <w:lang w:val="en-US" w:eastAsia="zh-CN"/>
              </w:rPr>
              <w:t>颗粒物、</w:t>
            </w:r>
            <w:r>
              <w:rPr>
                <w:rFonts w:ascii="Times New Roman" w:hAnsi="Times New Roman" w:eastAsia="宋体" w:cs="Times New Roman"/>
                <w:color w:val="auto"/>
                <w:sz w:val="24"/>
              </w:rPr>
              <w:t>喷塑产生的颗粒物和固化产生的非甲烷总烃排放执行</w:t>
            </w:r>
            <w:r>
              <w:rPr>
                <w:rFonts w:ascii="Times New Roman" w:hAnsi="Times New Roman" w:eastAsia="宋体" w:cs="Times New Roman"/>
                <w:bCs/>
                <w:color w:val="auto"/>
                <w:kern w:val="0"/>
                <w:sz w:val="24"/>
                <w:szCs w:val="24"/>
              </w:rPr>
              <w:t>《大气污染物综合排放标准》（GB16297-1996）表2中浓度限值</w:t>
            </w:r>
            <w:r>
              <w:rPr>
                <w:rFonts w:ascii="Times New Roman" w:hAnsi="Times New Roman" w:eastAsia="宋体" w:cs="Times New Roman"/>
                <w:color w:val="auto"/>
                <w:sz w:val="24"/>
              </w:rPr>
              <w:t>，</w:t>
            </w:r>
            <w:r>
              <w:rPr>
                <w:rFonts w:hint="default" w:ascii="Times New Roman" w:hAnsi="Times New Roman" w:eastAsia="宋体" w:cs="Times New Roman"/>
                <w:color w:val="auto"/>
                <w:sz w:val="24"/>
                <w:lang w:val="en-US" w:eastAsia="zh-CN"/>
              </w:rPr>
              <w:t>非甲烷总烃无组织同时执行《挥发性有机物无组织排放控制标准》（GB 37822-2019）附录A中厂区内无组织排放监控要求</w:t>
            </w:r>
            <w:r>
              <w:rPr>
                <w:rFonts w:hint="eastAsia" w:ascii="Times New Roman" w:hAnsi="Times New Roman" w:eastAsia="宋体" w:cs="Times New Roman"/>
                <w:color w:val="auto"/>
                <w:sz w:val="24"/>
                <w:lang w:val="en-US" w:eastAsia="zh-CN"/>
              </w:rPr>
              <w:t>，</w:t>
            </w:r>
            <w:r>
              <w:rPr>
                <w:rFonts w:ascii="Times New Roman" w:hAnsi="Times New Roman" w:eastAsia="宋体" w:cs="Times New Roman"/>
                <w:snapToGrid w:val="0"/>
                <w:color w:val="auto"/>
                <w:spacing w:val="1"/>
                <w:kern w:val="0"/>
                <w:sz w:val="24"/>
                <w:szCs w:val="24"/>
              </w:rPr>
              <w:t>具体内容见表</w:t>
            </w:r>
            <w:r>
              <w:rPr>
                <w:rFonts w:ascii="Times New Roman" w:hAnsi="Times New Roman" w:eastAsia="宋体" w:cs="Times New Roman"/>
                <w:snapToGrid w:val="0"/>
                <w:color w:val="auto"/>
                <w:spacing w:val="-9"/>
                <w:kern w:val="0"/>
                <w:sz w:val="24"/>
                <w:szCs w:val="24"/>
              </w:rPr>
              <w:t>3-</w:t>
            </w:r>
            <w:r>
              <w:rPr>
                <w:rFonts w:ascii="Times New Roman" w:hAnsi="Times New Roman" w:eastAsia="宋体" w:cs="Times New Roman"/>
                <w:snapToGrid w:val="0"/>
                <w:color w:val="auto"/>
                <w:spacing w:val="-33"/>
                <w:kern w:val="0"/>
                <w:sz w:val="24"/>
                <w:szCs w:val="24"/>
              </w:rPr>
              <w:t xml:space="preserve"> </w:t>
            </w:r>
            <w:r>
              <w:rPr>
                <w:rFonts w:ascii="Times New Roman" w:hAnsi="Times New Roman" w:eastAsia="宋体" w:cs="Times New Roman"/>
                <w:snapToGrid w:val="0"/>
                <w:color w:val="auto"/>
                <w:spacing w:val="-9"/>
                <w:kern w:val="0"/>
                <w:sz w:val="24"/>
                <w:szCs w:val="24"/>
              </w:rPr>
              <w:t>6。</w:t>
            </w:r>
          </w:p>
          <w:p>
            <w:pPr>
              <w:adjustRightInd w:val="0"/>
              <w:spacing w:line="324" w:lineRule="auto"/>
              <w:jc w:val="center"/>
              <w:rPr>
                <w:rFonts w:ascii="Times New Roman" w:hAnsi="Times New Roman" w:eastAsia="黑体" w:cs="Times New Roman"/>
                <w:color w:val="auto"/>
                <w:sz w:val="24"/>
              </w:rPr>
            </w:pPr>
            <w:r>
              <w:rPr>
                <w:rFonts w:ascii="Times New Roman" w:hAnsi="Times New Roman" w:eastAsia="黑体" w:cs="Times New Roman"/>
                <w:color w:val="auto"/>
                <w:sz w:val="24"/>
              </w:rPr>
              <w:t>表3-</w:t>
            </w:r>
            <w:r>
              <w:rPr>
                <w:rFonts w:hint="eastAsia" w:ascii="Times New Roman" w:hAnsi="Times New Roman" w:eastAsia="黑体" w:cs="Times New Roman"/>
                <w:color w:val="auto"/>
                <w:sz w:val="24"/>
              </w:rPr>
              <w:t>6</w:t>
            </w:r>
            <w:r>
              <w:rPr>
                <w:rFonts w:ascii="Times New Roman" w:hAnsi="Times New Roman" w:eastAsia="黑体" w:cs="Times New Roman"/>
                <w:color w:val="auto"/>
                <w:sz w:val="24"/>
              </w:rPr>
              <w:t xml:space="preserve"> 本项目大气污染物排放限值      单位：mg/m</w:t>
            </w:r>
            <w:r>
              <w:rPr>
                <w:rFonts w:ascii="Times New Roman" w:hAnsi="Times New Roman" w:eastAsia="黑体" w:cs="Times New Roman"/>
                <w:color w:val="auto"/>
                <w:sz w:val="24"/>
                <w:vertAlign w:val="superscript"/>
              </w:rPr>
              <w:t>3</w:t>
            </w:r>
          </w:p>
          <w:tbl>
            <w:tblPr>
              <w:tblStyle w:val="17"/>
              <w:tblW w:w="4949" w:type="pct"/>
              <w:jc w:val="center"/>
              <w:tblBorders>
                <w:top w:val="single" w:color="auto" w:sz="6" w:space="0"/>
                <w:left w:val="none" w:color="auto" w:sz="0" w:space="0"/>
                <w:bottom w:val="single" w:color="auto" w:sz="6" w:space="0"/>
                <w:right w:val="single" w:color="auto" w:sz="6" w:space="0"/>
                <w:insideH w:val="single" w:color="auto" w:sz="6" w:space="0"/>
                <w:insideV w:val="single" w:color="auto" w:sz="6" w:space="0"/>
              </w:tblBorders>
              <w:tblLayout w:type="autofit"/>
              <w:tblCellMar>
                <w:top w:w="0" w:type="dxa"/>
                <w:left w:w="108" w:type="dxa"/>
                <w:bottom w:w="0" w:type="dxa"/>
                <w:right w:w="108" w:type="dxa"/>
              </w:tblCellMar>
            </w:tblPr>
            <w:tblGrid>
              <w:gridCol w:w="953"/>
              <w:gridCol w:w="1094"/>
              <w:gridCol w:w="1055"/>
              <w:gridCol w:w="872"/>
              <w:gridCol w:w="800"/>
              <w:gridCol w:w="1290"/>
              <w:gridCol w:w="1696"/>
            </w:tblGrid>
            <w:tr>
              <w:tblPrEx>
                <w:tblBorders>
                  <w:top w:val="single" w:color="auto" w:sz="6" w:space="0"/>
                  <w:left w:val="none" w:color="auto" w:sz="0"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614" w:type="pct"/>
                  <w:vMerge w:val="restart"/>
                  <w:tcBorders>
                    <w:top w:val="single" w:color="auto" w:sz="8" w:space="0"/>
                    <w:bottom w:val="single" w:color="auto" w:sz="4" w:space="0"/>
                    <w:right w:val="single" w:color="auto" w:sz="4" w:space="0"/>
                  </w:tcBorders>
                  <w:vAlign w:val="center"/>
                </w:tcPr>
                <w:p>
                  <w:pPr>
                    <w:adjustRightInd w:val="0"/>
                    <w:snapToGrid w:val="0"/>
                    <w:jc w:val="center"/>
                    <w:rPr>
                      <w:rFonts w:ascii="Times New Roman" w:hAnsi="Times New Roman" w:eastAsia="宋体" w:cs="Times New Roman"/>
                      <w:color w:val="auto"/>
                      <w:sz w:val="18"/>
                      <w:szCs w:val="18"/>
                    </w:rPr>
                  </w:pPr>
                  <w:r>
                    <w:rPr>
                      <w:rFonts w:ascii="Times New Roman" w:hAnsi="Times New Roman" w:eastAsia="宋体" w:cs="Times New Roman"/>
                      <w:color w:val="auto"/>
                      <w:sz w:val="18"/>
                      <w:szCs w:val="18"/>
                    </w:rPr>
                    <w:t>污染物名称</w:t>
                  </w:r>
                </w:p>
              </w:tc>
              <w:tc>
                <w:tcPr>
                  <w:tcW w:w="705" w:type="pct"/>
                  <w:vMerge w:val="restart"/>
                  <w:tcBorders>
                    <w:top w:val="single" w:color="auto" w:sz="8" w:space="0"/>
                    <w:left w:val="single" w:color="auto" w:sz="4" w:space="0"/>
                    <w:bottom w:val="single" w:color="auto" w:sz="4" w:space="0"/>
                    <w:right w:val="single" w:color="auto" w:sz="4" w:space="0"/>
                  </w:tcBorders>
                  <w:vAlign w:val="center"/>
                </w:tcPr>
                <w:p>
                  <w:pPr>
                    <w:autoSpaceDE w:val="0"/>
                    <w:autoSpaceDN w:val="0"/>
                    <w:adjustRightInd w:val="0"/>
                    <w:snapToGrid w:val="0"/>
                    <w:jc w:val="center"/>
                    <w:rPr>
                      <w:rFonts w:ascii="Times New Roman" w:hAnsi="Times New Roman" w:eastAsia="宋体" w:cs="Times New Roman"/>
                      <w:color w:val="auto"/>
                      <w:sz w:val="18"/>
                      <w:szCs w:val="18"/>
                    </w:rPr>
                  </w:pPr>
                  <w:r>
                    <w:rPr>
                      <w:rFonts w:ascii="Times New Roman" w:hAnsi="Times New Roman" w:eastAsia="宋体" w:cs="Times New Roman"/>
                      <w:snapToGrid w:val="0"/>
                      <w:color w:val="auto"/>
                      <w:kern w:val="0"/>
                      <w:sz w:val="18"/>
                      <w:szCs w:val="18"/>
                    </w:rPr>
                    <w:t>适用的类型</w:t>
                  </w:r>
                </w:p>
              </w:tc>
              <w:tc>
                <w:tcPr>
                  <w:tcW w:w="678" w:type="pct"/>
                  <w:vMerge w:val="restart"/>
                  <w:tcBorders>
                    <w:top w:val="single" w:color="auto" w:sz="8" w:space="0"/>
                    <w:left w:val="single" w:color="auto" w:sz="4" w:space="0"/>
                    <w:bottom w:val="single" w:color="auto" w:sz="4" w:space="0"/>
                    <w:right w:val="single" w:color="auto" w:sz="4" w:space="0"/>
                  </w:tcBorders>
                  <w:vAlign w:val="center"/>
                </w:tcPr>
                <w:p>
                  <w:pPr>
                    <w:adjustRightInd w:val="0"/>
                    <w:snapToGrid w:val="0"/>
                    <w:jc w:val="center"/>
                    <w:rPr>
                      <w:rFonts w:ascii="Times New Roman" w:hAnsi="Times New Roman" w:eastAsia="宋体" w:cs="Times New Roman"/>
                      <w:color w:val="auto"/>
                      <w:sz w:val="18"/>
                      <w:szCs w:val="18"/>
                    </w:rPr>
                  </w:pPr>
                  <w:r>
                    <w:rPr>
                      <w:rFonts w:ascii="Times New Roman" w:hAnsi="Times New Roman" w:eastAsia="宋体" w:cs="Times New Roman"/>
                      <w:color w:val="auto"/>
                      <w:sz w:val="18"/>
                      <w:szCs w:val="18"/>
                    </w:rPr>
                    <w:t>最高允许排放浓度</w:t>
                  </w:r>
                  <w:r>
                    <w:rPr>
                      <w:rFonts w:ascii="Times New Roman" w:hAnsi="Times New Roman" w:eastAsia="宋体" w:cs="Times New Roman"/>
                      <w:color w:val="auto"/>
                      <w:sz w:val="18"/>
                      <w:szCs w:val="18"/>
                      <w:lang w:val="en-GB"/>
                    </w:rPr>
                    <w:t>（</w:t>
                  </w:r>
                  <w:r>
                    <w:rPr>
                      <w:rFonts w:ascii="Times New Roman" w:hAnsi="Times New Roman" w:eastAsia="宋体" w:cs="Times New Roman"/>
                      <w:color w:val="auto"/>
                      <w:sz w:val="18"/>
                      <w:szCs w:val="18"/>
                    </w:rPr>
                    <w:t>mg/m</w:t>
                  </w:r>
                  <w:r>
                    <w:rPr>
                      <w:rFonts w:ascii="Times New Roman" w:hAnsi="Times New Roman" w:eastAsia="宋体" w:cs="Times New Roman"/>
                      <w:color w:val="auto"/>
                      <w:sz w:val="18"/>
                      <w:szCs w:val="18"/>
                      <w:vertAlign w:val="superscript"/>
                    </w:rPr>
                    <w:t>3</w:t>
                  </w:r>
                  <w:r>
                    <w:rPr>
                      <w:rFonts w:ascii="Times New Roman" w:hAnsi="Times New Roman" w:eastAsia="宋体" w:cs="Times New Roman"/>
                      <w:color w:val="auto"/>
                      <w:sz w:val="18"/>
                      <w:szCs w:val="18"/>
                      <w:lang w:val="en-GB"/>
                    </w:rPr>
                    <w:t>）</w:t>
                  </w:r>
                </w:p>
              </w:tc>
              <w:tc>
                <w:tcPr>
                  <w:tcW w:w="1078" w:type="pct"/>
                  <w:gridSpan w:val="2"/>
                  <w:tcBorders>
                    <w:top w:val="single" w:color="auto" w:sz="8" w:space="0"/>
                    <w:left w:val="single" w:color="auto" w:sz="4" w:space="0"/>
                    <w:bottom w:val="single" w:color="auto" w:sz="4" w:space="0"/>
                    <w:right w:val="single" w:color="auto" w:sz="4" w:space="0"/>
                  </w:tcBorders>
                  <w:vAlign w:val="center"/>
                </w:tcPr>
                <w:p>
                  <w:pPr>
                    <w:adjustRightInd w:val="0"/>
                    <w:snapToGrid w:val="0"/>
                    <w:jc w:val="center"/>
                    <w:rPr>
                      <w:rFonts w:ascii="Times New Roman" w:hAnsi="Times New Roman" w:eastAsia="宋体" w:cs="Times New Roman"/>
                      <w:color w:val="auto"/>
                      <w:sz w:val="18"/>
                      <w:szCs w:val="18"/>
                    </w:rPr>
                  </w:pPr>
                  <w:r>
                    <w:rPr>
                      <w:rFonts w:ascii="Times New Roman" w:hAnsi="Times New Roman" w:eastAsia="宋体" w:cs="Times New Roman"/>
                      <w:color w:val="auto"/>
                      <w:sz w:val="18"/>
                      <w:szCs w:val="18"/>
                    </w:rPr>
                    <w:t>最高允许排放速率（kg/h）</w:t>
                  </w:r>
                </w:p>
              </w:tc>
              <w:tc>
                <w:tcPr>
                  <w:tcW w:w="831" w:type="pct"/>
                  <w:vMerge w:val="restart"/>
                  <w:tcBorders>
                    <w:top w:val="single" w:color="auto" w:sz="8" w:space="0"/>
                    <w:left w:val="single" w:color="auto" w:sz="4" w:space="0"/>
                    <w:bottom w:val="single" w:color="auto" w:sz="4" w:space="0"/>
                    <w:right w:val="nil"/>
                  </w:tcBorders>
                  <w:vAlign w:val="center"/>
                </w:tcPr>
                <w:p>
                  <w:pPr>
                    <w:adjustRightInd w:val="0"/>
                    <w:snapToGrid w:val="0"/>
                    <w:jc w:val="center"/>
                    <w:rPr>
                      <w:rFonts w:ascii="Times New Roman" w:hAnsi="Times New Roman" w:eastAsia="宋体" w:cs="Times New Roman"/>
                      <w:color w:val="auto"/>
                      <w:sz w:val="18"/>
                      <w:szCs w:val="18"/>
                    </w:rPr>
                  </w:pPr>
                  <w:r>
                    <w:rPr>
                      <w:rFonts w:ascii="Times New Roman" w:hAnsi="Times New Roman" w:eastAsia="宋体" w:cs="Times New Roman"/>
                      <w:color w:val="auto"/>
                      <w:sz w:val="18"/>
                      <w:szCs w:val="18"/>
                    </w:rPr>
                    <w:t>无组织排放</w:t>
                  </w:r>
                </w:p>
                <w:p>
                  <w:pPr>
                    <w:adjustRightInd w:val="0"/>
                    <w:snapToGrid w:val="0"/>
                    <w:jc w:val="center"/>
                    <w:rPr>
                      <w:rFonts w:ascii="Times New Roman" w:hAnsi="Times New Roman" w:eastAsia="宋体" w:cs="Times New Roman"/>
                      <w:color w:val="auto"/>
                      <w:sz w:val="18"/>
                      <w:szCs w:val="18"/>
                    </w:rPr>
                  </w:pPr>
                  <w:r>
                    <w:rPr>
                      <w:rFonts w:ascii="Times New Roman" w:hAnsi="Times New Roman" w:eastAsia="宋体" w:cs="Times New Roman"/>
                      <w:color w:val="auto"/>
                      <w:sz w:val="18"/>
                      <w:szCs w:val="18"/>
                    </w:rPr>
                    <w:t>监控浓度限</w:t>
                  </w:r>
                  <w:r>
                    <w:rPr>
                      <w:rFonts w:ascii="Times New Roman" w:hAnsi="Times New Roman" w:eastAsia="宋体" w:cs="Times New Roman"/>
                      <w:color w:val="auto"/>
                      <w:sz w:val="18"/>
                      <w:szCs w:val="18"/>
                      <w:lang w:val="en-GB"/>
                    </w:rPr>
                    <w:t>（</w:t>
                  </w:r>
                  <w:r>
                    <w:rPr>
                      <w:rFonts w:ascii="Times New Roman" w:hAnsi="Times New Roman" w:eastAsia="宋体" w:cs="Times New Roman"/>
                      <w:color w:val="auto"/>
                      <w:sz w:val="18"/>
                      <w:szCs w:val="18"/>
                    </w:rPr>
                    <w:t>mg/m</w:t>
                  </w:r>
                  <w:r>
                    <w:rPr>
                      <w:rFonts w:ascii="Times New Roman" w:hAnsi="Times New Roman" w:eastAsia="宋体" w:cs="Times New Roman"/>
                      <w:color w:val="auto"/>
                      <w:sz w:val="18"/>
                      <w:szCs w:val="18"/>
                      <w:vertAlign w:val="superscript"/>
                    </w:rPr>
                    <w:t>3</w:t>
                  </w:r>
                  <w:r>
                    <w:rPr>
                      <w:rFonts w:ascii="Times New Roman" w:hAnsi="Times New Roman" w:eastAsia="宋体" w:cs="Times New Roman"/>
                      <w:color w:val="auto"/>
                      <w:sz w:val="18"/>
                      <w:szCs w:val="18"/>
                      <w:lang w:val="en-GB"/>
                    </w:rPr>
                    <w:t>）</w:t>
                  </w:r>
                </w:p>
              </w:tc>
              <w:tc>
                <w:tcPr>
                  <w:tcW w:w="1091" w:type="pct"/>
                  <w:vMerge w:val="restart"/>
                  <w:tcBorders>
                    <w:top w:val="single" w:color="auto" w:sz="8" w:space="0"/>
                    <w:left w:val="single" w:color="auto" w:sz="4" w:space="0"/>
                    <w:right w:val="nil"/>
                  </w:tcBorders>
                  <w:vAlign w:val="center"/>
                </w:tcPr>
                <w:p>
                  <w:pPr>
                    <w:adjustRightInd w:val="0"/>
                    <w:snapToGrid w:val="0"/>
                    <w:jc w:val="center"/>
                    <w:rPr>
                      <w:rFonts w:ascii="Times New Roman" w:hAnsi="Times New Roman" w:eastAsia="宋体" w:cs="Times New Roman"/>
                      <w:color w:val="auto"/>
                      <w:sz w:val="18"/>
                      <w:szCs w:val="18"/>
                    </w:rPr>
                  </w:pPr>
                  <w:r>
                    <w:rPr>
                      <w:rFonts w:ascii="Times New Roman" w:hAnsi="Times New Roman" w:eastAsia="宋体" w:cs="Times New Roman"/>
                      <w:color w:val="auto"/>
                      <w:sz w:val="18"/>
                      <w:szCs w:val="18"/>
                    </w:rPr>
                    <w:t>执行标准</w:t>
                  </w:r>
                </w:p>
              </w:tc>
            </w:tr>
            <w:tr>
              <w:tblPrEx>
                <w:tblBorders>
                  <w:top w:val="single" w:color="auto" w:sz="6" w:space="0"/>
                  <w:left w:val="none" w:color="auto" w:sz="0"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614" w:type="pct"/>
                  <w:vMerge w:val="continue"/>
                  <w:tcBorders>
                    <w:top w:val="single" w:color="auto" w:sz="4" w:space="0"/>
                    <w:bottom w:val="single" w:color="auto" w:sz="4" w:space="0"/>
                    <w:right w:val="single" w:color="auto" w:sz="4" w:space="0"/>
                  </w:tcBorders>
                  <w:vAlign w:val="center"/>
                </w:tcPr>
                <w:p>
                  <w:pPr>
                    <w:adjustRightInd w:val="0"/>
                    <w:snapToGrid w:val="0"/>
                    <w:jc w:val="center"/>
                    <w:rPr>
                      <w:rFonts w:ascii="Times New Roman" w:hAnsi="Times New Roman" w:eastAsia="宋体" w:cs="Times New Roman"/>
                      <w:color w:val="auto"/>
                      <w:sz w:val="18"/>
                      <w:szCs w:val="18"/>
                    </w:rPr>
                  </w:pPr>
                </w:p>
              </w:tc>
              <w:tc>
                <w:tcPr>
                  <w:tcW w:w="705" w:type="pct"/>
                  <w:vMerge w:val="continue"/>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napToGrid w:val="0"/>
                    <w:jc w:val="center"/>
                    <w:rPr>
                      <w:rFonts w:ascii="Times New Roman" w:hAnsi="Times New Roman" w:eastAsia="宋体" w:cs="Times New Roman"/>
                      <w:color w:val="auto"/>
                      <w:sz w:val="18"/>
                      <w:szCs w:val="18"/>
                    </w:rPr>
                  </w:pPr>
                </w:p>
              </w:tc>
              <w:tc>
                <w:tcPr>
                  <w:tcW w:w="678" w:type="pct"/>
                  <w:vMerge w:val="continue"/>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Times New Roman" w:hAnsi="Times New Roman" w:eastAsia="宋体" w:cs="Times New Roman"/>
                      <w:color w:val="auto"/>
                      <w:sz w:val="18"/>
                      <w:szCs w:val="18"/>
                    </w:rPr>
                  </w:pPr>
                </w:p>
              </w:tc>
              <w:tc>
                <w:tcPr>
                  <w:tcW w:w="562"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Times New Roman" w:hAnsi="Times New Roman" w:eastAsia="宋体" w:cs="Times New Roman"/>
                      <w:color w:val="auto"/>
                      <w:sz w:val="18"/>
                      <w:szCs w:val="18"/>
                    </w:rPr>
                  </w:pPr>
                  <w:r>
                    <w:rPr>
                      <w:rFonts w:ascii="Times New Roman" w:hAnsi="Times New Roman" w:eastAsia="宋体" w:cs="Times New Roman"/>
                      <w:color w:val="auto"/>
                      <w:sz w:val="18"/>
                      <w:szCs w:val="18"/>
                    </w:rPr>
                    <w:t>排气筒（m）</w:t>
                  </w:r>
                </w:p>
              </w:tc>
              <w:tc>
                <w:tcPr>
                  <w:tcW w:w="515"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Times New Roman" w:hAnsi="Times New Roman" w:eastAsia="宋体" w:cs="Times New Roman"/>
                      <w:color w:val="auto"/>
                      <w:sz w:val="18"/>
                      <w:szCs w:val="18"/>
                    </w:rPr>
                  </w:pPr>
                  <w:r>
                    <w:rPr>
                      <w:rFonts w:ascii="Times New Roman" w:hAnsi="Times New Roman" w:eastAsia="宋体" w:cs="Times New Roman"/>
                      <w:color w:val="auto"/>
                      <w:sz w:val="18"/>
                      <w:szCs w:val="18"/>
                    </w:rPr>
                    <w:t>二级</w:t>
                  </w:r>
                </w:p>
              </w:tc>
              <w:tc>
                <w:tcPr>
                  <w:tcW w:w="831" w:type="pct"/>
                  <w:vMerge w:val="continue"/>
                  <w:tcBorders>
                    <w:top w:val="single" w:color="auto" w:sz="4" w:space="0"/>
                    <w:left w:val="single" w:color="auto" w:sz="4" w:space="0"/>
                    <w:bottom w:val="single" w:color="auto" w:sz="4" w:space="0"/>
                    <w:right w:val="nil"/>
                  </w:tcBorders>
                  <w:vAlign w:val="center"/>
                </w:tcPr>
                <w:p>
                  <w:pPr>
                    <w:adjustRightInd w:val="0"/>
                    <w:snapToGrid w:val="0"/>
                    <w:jc w:val="center"/>
                    <w:rPr>
                      <w:rFonts w:ascii="Times New Roman" w:hAnsi="Times New Roman" w:eastAsia="宋体" w:cs="Times New Roman"/>
                      <w:color w:val="auto"/>
                      <w:sz w:val="18"/>
                      <w:szCs w:val="18"/>
                    </w:rPr>
                  </w:pPr>
                </w:p>
              </w:tc>
              <w:tc>
                <w:tcPr>
                  <w:tcW w:w="1091" w:type="pct"/>
                  <w:vMerge w:val="continue"/>
                  <w:tcBorders>
                    <w:left w:val="single" w:color="auto" w:sz="4" w:space="0"/>
                    <w:bottom w:val="single" w:color="auto" w:sz="4" w:space="0"/>
                    <w:right w:val="nil"/>
                  </w:tcBorders>
                  <w:vAlign w:val="center"/>
                </w:tcPr>
                <w:p>
                  <w:pPr>
                    <w:adjustRightInd w:val="0"/>
                    <w:snapToGrid w:val="0"/>
                    <w:jc w:val="center"/>
                    <w:rPr>
                      <w:rFonts w:ascii="Times New Roman" w:hAnsi="Times New Roman" w:eastAsia="宋体" w:cs="Times New Roman"/>
                      <w:color w:val="auto"/>
                      <w:sz w:val="18"/>
                      <w:szCs w:val="18"/>
                    </w:rPr>
                  </w:pPr>
                </w:p>
              </w:tc>
            </w:tr>
            <w:tr>
              <w:tblPrEx>
                <w:tblBorders>
                  <w:top w:val="single" w:color="auto" w:sz="6" w:space="0"/>
                  <w:left w:val="none" w:color="auto" w:sz="0"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97" w:hRule="atLeast"/>
                <w:jc w:val="center"/>
              </w:trPr>
              <w:tc>
                <w:tcPr>
                  <w:tcW w:w="614" w:type="pct"/>
                  <w:tcBorders>
                    <w:top w:val="single" w:color="auto" w:sz="4" w:space="0"/>
                    <w:bottom w:val="single" w:color="auto" w:sz="4" w:space="0"/>
                    <w:right w:val="single" w:color="auto" w:sz="4" w:space="0"/>
                  </w:tcBorders>
                  <w:vAlign w:val="center"/>
                </w:tcPr>
                <w:p>
                  <w:pPr>
                    <w:adjustRightInd w:val="0"/>
                    <w:snapToGrid w:val="0"/>
                    <w:jc w:val="center"/>
                    <w:rPr>
                      <w:rFonts w:ascii="Times New Roman" w:hAnsi="Times New Roman" w:eastAsia="宋体" w:cs="Times New Roman"/>
                      <w:color w:val="auto"/>
                      <w:sz w:val="18"/>
                      <w:szCs w:val="18"/>
                    </w:rPr>
                  </w:pPr>
                  <w:r>
                    <w:rPr>
                      <w:rFonts w:ascii="Times New Roman" w:hAnsi="Times New Roman" w:eastAsia="宋体" w:cs="Times New Roman"/>
                      <w:color w:val="auto"/>
                      <w:sz w:val="18"/>
                      <w:szCs w:val="18"/>
                    </w:rPr>
                    <w:t>颗粒物</w:t>
                  </w:r>
                </w:p>
              </w:tc>
              <w:tc>
                <w:tcPr>
                  <w:tcW w:w="705"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Times New Roman" w:hAnsi="Times New Roman" w:eastAsia="宋体" w:cs="Times New Roman"/>
                      <w:color w:val="auto"/>
                      <w:sz w:val="18"/>
                      <w:szCs w:val="18"/>
                    </w:rPr>
                  </w:pPr>
                  <w:r>
                    <w:rPr>
                      <w:rFonts w:ascii="Times New Roman" w:hAnsi="Times New Roman" w:eastAsia="宋体" w:cs="Times New Roman"/>
                      <w:color w:val="auto"/>
                      <w:sz w:val="18"/>
                      <w:szCs w:val="18"/>
                    </w:rPr>
                    <w:t>/</w:t>
                  </w:r>
                </w:p>
              </w:tc>
              <w:tc>
                <w:tcPr>
                  <w:tcW w:w="678"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Times New Roman" w:hAnsi="Times New Roman" w:eastAsia="宋体" w:cs="Times New Roman"/>
                      <w:color w:val="auto"/>
                      <w:sz w:val="18"/>
                      <w:szCs w:val="18"/>
                    </w:rPr>
                  </w:pPr>
                  <w:r>
                    <w:rPr>
                      <w:rFonts w:ascii="Times New Roman" w:hAnsi="Times New Roman" w:eastAsia="宋体" w:cs="Times New Roman"/>
                      <w:color w:val="auto"/>
                      <w:sz w:val="18"/>
                      <w:szCs w:val="18"/>
                    </w:rPr>
                    <w:t>120</w:t>
                  </w:r>
                </w:p>
              </w:tc>
              <w:tc>
                <w:tcPr>
                  <w:tcW w:w="562"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Times New Roman" w:hAnsi="Times New Roman" w:eastAsia="宋体" w:cs="Times New Roman"/>
                      <w:color w:val="auto"/>
                      <w:sz w:val="18"/>
                      <w:szCs w:val="18"/>
                    </w:rPr>
                  </w:pPr>
                  <w:r>
                    <w:rPr>
                      <w:rFonts w:ascii="Times New Roman" w:hAnsi="Times New Roman" w:eastAsia="宋体" w:cs="Times New Roman"/>
                      <w:color w:val="auto"/>
                      <w:sz w:val="18"/>
                      <w:szCs w:val="18"/>
                    </w:rPr>
                    <w:t>15</w:t>
                  </w:r>
                </w:p>
              </w:tc>
              <w:tc>
                <w:tcPr>
                  <w:tcW w:w="515"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Times New Roman" w:hAnsi="Times New Roman" w:eastAsia="宋体" w:cs="Times New Roman"/>
                      <w:color w:val="auto"/>
                      <w:sz w:val="18"/>
                      <w:szCs w:val="18"/>
                    </w:rPr>
                  </w:pPr>
                  <w:r>
                    <w:rPr>
                      <w:rFonts w:ascii="Times New Roman" w:hAnsi="Times New Roman" w:eastAsia="宋体" w:cs="Times New Roman"/>
                      <w:color w:val="auto"/>
                      <w:sz w:val="18"/>
                      <w:szCs w:val="18"/>
                    </w:rPr>
                    <w:t>3.5</w:t>
                  </w:r>
                </w:p>
              </w:tc>
              <w:tc>
                <w:tcPr>
                  <w:tcW w:w="831" w:type="pct"/>
                  <w:tcBorders>
                    <w:top w:val="single" w:color="auto" w:sz="4" w:space="0"/>
                    <w:left w:val="single" w:color="auto" w:sz="4" w:space="0"/>
                    <w:bottom w:val="single" w:color="auto" w:sz="4" w:space="0"/>
                    <w:right w:val="nil"/>
                  </w:tcBorders>
                  <w:vAlign w:val="center"/>
                </w:tcPr>
                <w:p>
                  <w:pPr>
                    <w:adjustRightInd w:val="0"/>
                    <w:snapToGrid w:val="0"/>
                    <w:jc w:val="center"/>
                    <w:rPr>
                      <w:rFonts w:ascii="Times New Roman" w:hAnsi="Times New Roman" w:eastAsia="宋体" w:cs="Times New Roman"/>
                      <w:color w:val="auto"/>
                      <w:sz w:val="18"/>
                      <w:szCs w:val="18"/>
                    </w:rPr>
                  </w:pPr>
                  <w:r>
                    <w:rPr>
                      <w:rFonts w:ascii="Times New Roman" w:hAnsi="Times New Roman" w:eastAsia="宋体" w:cs="Times New Roman"/>
                      <w:color w:val="auto"/>
                      <w:sz w:val="18"/>
                      <w:szCs w:val="18"/>
                    </w:rPr>
                    <w:t>1.0</w:t>
                  </w:r>
                </w:p>
              </w:tc>
              <w:tc>
                <w:tcPr>
                  <w:tcW w:w="1091" w:type="pct"/>
                  <w:vMerge w:val="restart"/>
                  <w:tcBorders>
                    <w:top w:val="single" w:color="auto" w:sz="4" w:space="0"/>
                    <w:left w:val="single" w:color="auto" w:sz="4" w:space="0"/>
                    <w:right w:val="nil"/>
                  </w:tcBorders>
                  <w:vAlign w:val="center"/>
                </w:tcPr>
                <w:p>
                  <w:pPr>
                    <w:adjustRightInd w:val="0"/>
                    <w:snapToGrid w:val="0"/>
                    <w:jc w:val="center"/>
                    <w:rPr>
                      <w:rFonts w:ascii="Times New Roman" w:hAnsi="Times New Roman" w:eastAsia="宋体" w:cs="Times New Roman"/>
                      <w:color w:val="auto"/>
                      <w:sz w:val="18"/>
                      <w:szCs w:val="18"/>
                    </w:rPr>
                  </w:pPr>
                  <w:r>
                    <w:rPr>
                      <w:rFonts w:ascii="Times New Roman" w:hAnsi="Times New Roman" w:eastAsia="宋体" w:cs="Times New Roman"/>
                      <w:color w:val="auto"/>
                      <w:sz w:val="18"/>
                      <w:szCs w:val="18"/>
                    </w:rPr>
                    <w:t>《大气污染物综合排放标准》（GB16297-1996）</w:t>
                  </w:r>
                </w:p>
              </w:tc>
            </w:tr>
            <w:tr>
              <w:tblPrEx>
                <w:tblBorders>
                  <w:top w:val="single" w:color="auto" w:sz="6" w:space="0"/>
                  <w:left w:val="none" w:color="auto" w:sz="0"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97" w:hRule="atLeast"/>
                <w:jc w:val="center"/>
              </w:trPr>
              <w:tc>
                <w:tcPr>
                  <w:tcW w:w="614" w:type="pct"/>
                  <w:tcBorders>
                    <w:top w:val="single" w:color="auto" w:sz="4" w:space="0"/>
                    <w:bottom w:val="single" w:color="auto" w:sz="8" w:space="0"/>
                    <w:right w:val="single" w:color="auto" w:sz="4" w:space="0"/>
                  </w:tcBorders>
                  <w:vAlign w:val="center"/>
                </w:tcPr>
                <w:p>
                  <w:pPr>
                    <w:adjustRightInd w:val="0"/>
                    <w:snapToGrid w:val="0"/>
                    <w:jc w:val="center"/>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 xml:space="preserve">非甲烷总烃 </w:t>
                  </w:r>
                </w:p>
              </w:tc>
              <w:tc>
                <w:tcPr>
                  <w:tcW w:w="705" w:type="pct"/>
                  <w:tcBorders>
                    <w:top w:val="single" w:color="auto" w:sz="4" w:space="0"/>
                    <w:left w:val="single" w:color="auto" w:sz="4" w:space="0"/>
                    <w:bottom w:val="single" w:color="auto" w:sz="8" w:space="0"/>
                    <w:right w:val="single" w:color="auto" w:sz="4" w:space="0"/>
                  </w:tcBorders>
                  <w:vAlign w:val="center"/>
                </w:tcPr>
                <w:p>
                  <w:pPr>
                    <w:adjustRightInd w:val="0"/>
                    <w:snapToGrid w:val="0"/>
                    <w:jc w:val="center"/>
                    <w:rPr>
                      <w:rFonts w:hint="eastAsia"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w:t>
                  </w:r>
                </w:p>
              </w:tc>
              <w:tc>
                <w:tcPr>
                  <w:tcW w:w="678" w:type="pct"/>
                  <w:tcBorders>
                    <w:top w:val="single" w:color="auto" w:sz="4" w:space="0"/>
                    <w:left w:val="single" w:color="auto" w:sz="4" w:space="0"/>
                    <w:bottom w:val="single" w:color="auto" w:sz="8" w:space="0"/>
                    <w:right w:val="single" w:color="auto" w:sz="4" w:space="0"/>
                  </w:tcBorders>
                  <w:vAlign w:val="center"/>
                </w:tcPr>
                <w:p>
                  <w:pPr>
                    <w:adjustRightInd w:val="0"/>
                    <w:snapToGrid w:val="0"/>
                    <w:jc w:val="center"/>
                    <w:rPr>
                      <w:rFonts w:ascii="Times New Roman" w:hAnsi="Times New Roman" w:eastAsia="宋体" w:cs="Times New Roman"/>
                      <w:color w:val="auto"/>
                      <w:sz w:val="18"/>
                      <w:szCs w:val="18"/>
                    </w:rPr>
                  </w:pPr>
                  <w:r>
                    <w:rPr>
                      <w:rFonts w:ascii="Times New Roman" w:hAnsi="Times New Roman" w:eastAsia="宋体" w:cs="Times New Roman"/>
                      <w:color w:val="auto"/>
                      <w:sz w:val="18"/>
                      <w:szCs w:val="18"/>
                    </w:rPr>
                    <w:t>120</w:t>
                  </w:r>
                </w:p>
              </w:tc>
              <w:tc>
                <w:tcPr>
                  <w:tcW w:w="562" w:type="pct"/>
                  <w:tcBorders>
                    <w:top w:val="single" w:color="auto" w:sz="4" w:space="0"/>
                    <w:left w:val="single" w:color="auto" w:sz="4" w:space="0"/>
                    <w:bottom w:val="single" w:color="auto" w:sz="8" w:space="0"/>
                    <w:right w:val="single" w:color="auto" w:sz="4" w:space="0"/>
                  </w:tcBorders>
                  <w:vAlign w:val="center"/>
                </w:tcPr>
                <w:p>
                  <w:pPr>
                    <w:adjustRightInd w:val="0"/>
                    <w:snapToGrid w:val="0"/>
                    <w:jc w:val="center"/>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15</w:t>
                  </w:r>
                </w:p>
              </w:tc>
              <w:tc>
                <w:tcPr>
                  <w:tcW w:w="515" w:type="pct"/>
                  <w:tcBorders>
                    <w:top w:val="single" w:color="auto" w:sz="4" w:space="0"/>
                    <w:left w:val="single" w:color="auto" w:sz="4" w:space="0"/>
                    <w:bottom w:val="single" w:color="auto" w:sz="8" w:space="0"/>
                    <w:right w:val="single" w:color="auto" w:sz="4" w:space="0"/>
                  </w:tcBorders>
                  <w:vAlign w:val="center"/>
                </w:tcPr>
                <w:p>
                  <w:pPr>
                    <w:adjustRightInd w:val="0"/>
                    <w:snapToGrid w:val="0"/>
                    <w:jc w:val="center"/>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10</w:t>
                  </w:r>
                </w:p>
              </w:tc>
              <w:tc>
                <w:tcPr>
                  <w:tcW w:w="831" w:type="pct"/>
                  <w:tcBorders>
                    <w:top w:val="single" w:color="auto" w:sz="4" w:space="0"/>
                    <w:left w:val="single" w:color="auto" w:sz="4" w:space="0"/>
                    <w:bottom w:val="single" w:color="auto" w:sz="8" w:space="0"/>
                    <w:right w:val="nil"/>
                  </w:tcBorders>
                  <w:vAlign w:val="center"/>
                </w:tcPr>
                <w:p>
                  <w:pPr>
                    <w:adjustRightInd w:val="0"/>
                    <w:snapToGrid w:val="0"/>
                    <w:jc w:val="center"/>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4.0</w:t>
                  </w:r>
                </w:p>
              </w:tc>
              <w:tc>
                <w:tcPr>
                  <w:tcW w:w="1091" w:type="pct"/>
                  <w:vMerge w:val="continue"/>
                  <w:tcBorders>
                    <w:left w:val="single" w:color="auto" w:sz="4" w:space="0"/>
                    <w:bottom w:val="single" w:color="auto" w:sz="8" w:space="0"/>
                    <w:right w:val="nil"/>
                  </w:tcBorders>
                  <w:vAlign w:val="center"/>
                </w:tcPr>
                <w:p>
                  <w:pPr>
                    <w:adjustRightInd w:val="0"/>
                    <w:snapToGrid w:val="0"/>
                    <w:jc w:val="center"/>
                    <w:rPr>
                      <w:rFonts w:ascii="Times New Roman" w:hAnsi="Times New Roman" w:eastAsia="宋体" w:cs="Times New Roman"/>
                      <w:color w:val="auto"/>
                      <w:sz w:val="18"/>
                      <w:szCs w:val="18"/>
                    </w:rPr>
                  </w:pPr>
                </w:p>
              </w:tc>
            </w:tr>
          </w:tbl>
          <w:p>
            <w:pPr>
              <w:jc w:val="center"/>
              <w:rPr>
                <w:rFonts w:hint="eastAsia" w:ascii="Times New Roman" w:hAnsi="Times New Roman" w:eastAsia="宋体" w:cs="Times New Roman"/>
                <w:b/>
                <w:color w:val="auto"/>
                <w:sz w:val="24"/>
                <w:szCs w:val="22"/>
                <w:lang w:eastAsia="zh-CN"/>
              </w:rPr>
            </w:pPr>
            <w:r>
              <w:rPr>
                <w:rFonts w:hint="default" w:ascii="Times New Roman" w:hAnsi="Times New Roman" w:eastAsia="黑体" w:cs="Times New Roman"/>
                <w:color w:val="auto"/>
                <w:sz w:val="24"/>
              </w:rPr>
              <w:t>表</w:t>
            </w:r>
            <w:r>
              <w:rPr>
                <w:rFonts w:hint="default" w:ascii="Times New Roman" w:hAnsi="Times New Roman" w:eastAsia="黑体" w:cs="Times New Roman"/>
                <w:color w:val="auto"/>
                <w:sz w:val="24"/>
                <w:lang w:val="en-US" w:eastAsia="zh-CN"/>
              </w:rPr>
              <w:t>3-</w:t>
            </w:r>
            <w:r>
              <w:rPr>
                <w:rFonts w:hint="eastAsia" w:ascii="Times New Roman" w:hAnsi="Times New Roman" w:eastAsia="黑体" w:cs="Times New Roman"/>
                <w:color w:val="auto"/>
                <w:sz w:val="24"/>
                <w:lang w:val="en-US" w:eastAsia="zh-CN"/>
              </w:rPr>
              <w:t>10</w:t>
            </w:r>
            <w:r>
              <w:rPr>
                <w:rFonts w:hint="default" w:ascii="Times New Roman" w:hAnsi="Times New Roman" w:eastAsia="黑体" w:cs="Times New Roman"/>
                <w:color w:val="auto"/>
                <w:sz w:val="24"/>
              </w:rPr>
              <w:tab/>
            </w:r>
            <w:r>
              <w:rPr>
                <w:rFonts w:hint="default" w:ascii="Times New Roman" w:hAnsi="Times New Roman" w:eastAsia="黑体" w:cs="Times New Roman"/>
                <w:color w:val="auto"/>
                <w:sz w:val="24"/>
              </w:rPr>
              <w:t>《挥发性有机物无组织排放控制标准》排放要求  单位：mg/</w:t>
            </w:r>
            <w:r>
              <w:rPr>
                <w:rFonts w:hint="eastAsia" w:ascii="Times New Roman" w:hAnsi="Times New Roman" w:eastAsia="黑体" w:cs="Times New Roman"/>
                <w:color w:val="auto"/>
                <w:sz w:val="24"/>
                <w:lang w:eastAsia="zh-CN"/>
              </w:rPr>
              <w:t>m</w:t>
            </w:r>
            <w:r>
              <w:rPr>
                <w:rFonts w:hint="eastAsia" w:ascii="Times New Roman" w:hAnsi="Times New Roman" w:eastAsia="宋体" w:cs="Times New Roman"/>
                <w:b/>
                <w:color w:val="auto"/>
                <w:sz w:val="24"/>
                <w:szCs w:val="22"/>
                <w:vertAlign w:val="superscript"/>
                <w:lang w:eastAsia="zh-CN"/>
              </w:rPr>
              <w:t>3</w:t>
            </w:r>
          </w:p>
          <w:tbl>
            <w:tblPr>
              <w:tblStyle w:val="17"/>
              <w:tblW w:w="4998" w:type="pct"/>
              <w:tblInd w:w="5" w:type="dxa"/>
              <w:tblBorders>
                <w:top w:val="single" w:color="auto" w:sz="8" w:space="0"/>
                <w:left w:val="none" w:color="auto" w:sz="0" w:space="0"/>
                <w:bottom w:val="single" w:color="auto" w:sz="8"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598"/>
              <w:gridCol w:w="1792"/>
              <w:gridCol w:w="2541"/>
              <w:gridCol w:w="1914"/>
            </w:tblGrid>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PrEx>
              <w:trPr>
                <w:trHeight w:val="397" w:hRule="atLeast"/>
              </w:trPr>
              <w:tc>
                <w:tcPr>
                  <w:tcW w:w="1018" w:type="pct"/>
                  <w:tcBorders>
                    <w:tl2br w:val="nil"/>
                    <w:tr2bl w:val="nil"/>
                  </w:tcBorders>
                  <w:noWrap w:val="0"/>
                  <w:vAlign w:val="center"/>
                </w:tcPr>
                <w:p>
                  <w:pPr>
                    <w:pStyle w:val="88"/>
                    <w:ind w:firstLine="0"/>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污染物</w:t>
                  </w:r>
                </w:p>
              </w:tc>
              <w:tc>
                <w:tcPr>
                  <w:tcW w:w="1142" w:type="pct"/>
                  <w:tcBorders>
                    <w:tl2br w:val="nil"/>
                    <w:tr2bl w:val="nil"/>
                  </w:tcBorders>
                  <w:noWrap w:val="0"/>
                  <w:vAlign w:val="center"/>
                </w:tcPr>
                <w:p>
                  <w:pPr>
                    <w:pStyle w:val="88"/>
                    <w:ind w:firstLine="0"/>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特别排放限值</w:t>
                  </w:r>
                </w:p>
              </w:tc>
              <w:tc>
                <w:tcPr>
                  <w:tcW w:w="1619" w:type="pct"/>
                  <w:tcBorders>
                    <w:tl2br w:val="nil"/>
                    <w:tr2bl w:val="nil"/>
                  </w:tcBorders>
                  <w:noWrap w:val="0"/>
                  <w:vAlign w:val="center"/>
                </w:tcPr>
                <w:p>
                  <w:pPr>
                    <w:pStyle w:val="88"/>
                    <w:ind w:firstLine="0"/>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限值含义</w:t>
                  </w:r>
                </w:p>
              </w:tc>
              <w:tc>
                <w:tcPr>
                  <w:tcW w:w="1219" w:type="pct"/>
                  <w:tcBorders>
                    <w:tl2br w:val="nil"/>
                    <w:tr2bl w:val="nil"/>
                  </w:tcBorders>
                  <w:noWrap w:val="0"/>
                  <w:vAlign w:val="center"/>
                </w:tcPr>
                <w:p>
                  <w:pPr>
                    <w:pStyle w:val="88"/>
                    <w:ind w:firstLine="0"/>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无组织排放监控位置</w:t>
                  </w: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018" w:type="pct"/>
                  <w:vMerge w:val="restart"/>
                  <w:tcBorders>
                    <w:tl2br w:val="nil"/>
                    <w:tr2bl w:val="nil"/>
                  </w:tcBorders>
                  <w:noWrap w:val="0"/>
                  <w:vAlign w:val="center"/>
                </w:tcPr>
                <w:p>
                  <w:pPr>
                    <w:pStyle w:val="88"/>
                    <w:ind w:firstLine="0"/>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NMHC</w:t>
                  </w:r>
                </w:p>
              </w:tc>
              <w:tc>
                <w:tcPr>
                  <w:tcW w:w="1142" w:type="pct"/>
                  <w:tcBorders>
                    <w:tl2br w:val="nil"/>
                    <w:tr2bl w:val="nil"/>
                  </w:tcBorders>
                  <w:noWrap w:val="0"/>
                  <w:vAlign w:val="center"/>
                </w:tcPr>
                <w:p>
                  <w:pPr>
                    <w:pStyle w:val="88"/>
                    <w:ind w:firstLine="0"/>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6</w:t>
                  </w:r>
                </w:p>
              </w:tc>
              <w:tc>
                <w:tcPr>
                  <w:tcW w:w="1619" w:type="pct"/>
                  <w:tcBorders>
                    <w:tl2br w:val="nil"/>
                    <w:tr2bl w:val="nil"/>
                  </w:tcBorders>
                  <w:noWrap w:val="0"/>
                  <w:vAlign w:val="center"/>
                </w:tcPr>
                <w:p>
                  <w:pPr>
                    <w:pStyle w:val="88"/>
                    <w:ind w:firstLine="0"/>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监控点处1h平均浓度值</w:t>
                  </w:r>
                </w:p>
              </w:tc>
              <w:tc>
                <w:tcPr>
                  <w:tcW w:w="1219" w:type="pct"/>
                  <w:vMerge w:val="restart"/>
                  <w:tcBorders>
                    <w:tl2br w:val="nil"/>
                    <w:tr2bl w:val="nil"/>
                  </w:tcBorders>
                  <w:noWrap w:val="0"/>
                  <w:vAlign w:val="center"/>
                </w:tcPr>
                <w:p>
                  <w:pPr>
                    <w:pStyle w:val="88"/>
                    <w:ind w:firstLine="0"/>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在厂房外设置监控点</w:t>
                  </w: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018" w:type="pct"/>
                  <w:vMerge w:val="continue"/>
                  <w:tcBorders>
                    <w:tl2br w:val="nil"/>
                    <w:tr2bl w:val="nil"/>
                  </w:tcBorders>
                  <w:noWrap w:val="0"/>
                  <w:vAlign w:val="center"/>
                </w:tcPr>
                <w:p>
                  <w:pPr>
                    <w:pStyle w:val="88"/>
                    <w:ind w:firstLine="0"/>
                    <w:jc w:val="center"/>
                    <w:rPr>
                      <w:rFonts w:hint="default" w:ascii="Times New Roman" w:hAnsi="Times New Roman" w:cs="Times New Roman"/>
                      <w:color w:val="auto"/>
                      <w:sz w:val="18"/>
                      <w:szCs w:val="18"/>
                    </w:rPr>
                  </w:pPr>
                </w:p>
              </w:tc>
              <w:tc>
                <w:tcPr>
                  <w:tcW w:w="1142" w:type="pct"/>
                  <w:tcBorders>
                    <w:tl2br w:val="nil"/>
                    <w:tr2bl w:val="nil"/>
                  </w:tcBorders>
                  <w:noWrap w:val="0"/>
                  <w:vAlign w:val="center"/>
                </w:tcPr>
                <w:p>
                  <w:pPr>
                    <w:pStyle w:val="88"/>
                    <w:ind w:firstLine="0"/>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20</w:t>
                  </w:r>
                </w:p>
              </w:tc>
              <w:tc>
                <w:tcPr>
                  <w:tcW w:w="1619" w:type="pct"/>
                  <w:tcBorders>
                    <w:tl2br w:val="nil"/>
                    <w:tr2bl w:val="nil"/>
                  </w:tcBorders>
                  <w:noWrap w:val="0"/>
                  <w:vAlign w:val="center"/>
                </w:tcPr>
                <w:p>
                  <w:pPr>
                    <w:pStyle w:val="88"/>
                    <w:ind w:firstLine="0"/>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监控点处任意一次浓度值</w:t>
                  </w:r>
                </w:p>
              </w:tc>
              <w:tc>
                <w:tcPr>
                  <w:tcW w:w="1219" w:type="pct"/>
                  <w:vMerge w:val="continue"/>
                  <w:tcBorders>
                    <w:tl2br w:val="nil"/>
                    <w:tr2bl w:val="nil"/>
                  </w:tcBorders>
                  <w:noWrap w:val="0"/>
                  <w:vAlign w:val="center"/>
                </w:tcPr>
                <w:p>
                  <w:pPr>
                    <w:pStyle w:val="88"/>
                    <w:ind w:firstLine="0"/>
                    <w:jc w:val="center"/>
                    <w:rPr>
                      <w:rFonts w:hint="default" w:ascii="Times New Roman" w:hAnsi="Times New Roman" w:cs="Times New Roman"/>
                      <w:color w:val="auto"/>
                      <w:sz w:val="18"/>
                      <w:szCs w:val="18"/>
                    </w:rPr>
                  </w:pPr>
                </w:p>
              </w:tc>
            </w:tr>
          </w:tbl>
          <w:p>
            <w:pPr>
              <w:numPr>
                <w:ilvl w:val="0"/>
                <w:numId w:val="0"/>
              </w:numPr>
              <w:spacing w:line="360" w:lineRule="auto"/>
              <w:ind w:firstLine="482" w:firstLineChars="200"/>
              <w:jc w:val="left"/>
              <w:rPr>
                <w:rFonts w:ascii="Times New Roman" w:hAnsi="Times New Roman" w:eastAsia="宋体" w:cs="Times New Roman"/>
                <w:b/>
                <w:color w:val="auto"/>
                <w:sz w:val="24"/>
                <w:szCs w:val="24"/>
              </w:rPr>
            </w:pPr>
            <w:r>
              <w:rPr>
                <w:rFonts w:hint="eastAsia" w:ascii="Times New Roman" w:hAnsi="Times New Roman" w:eastAsia="宋体" w:cs="Times New Roman"/>
                <w:b/>
                <w:color w:val="auto"/>
                <w:kern w:val="2"/>
                <w:sz w:val="24"/>
                <w:szCs w:val="24"/>
                <w:lang w:val="en-US" w:eastAsia="zh-CN" w:bidi="ar-SA"/>
              </w:rPr>
              <w:t>2</w:t>
            </w:r>
            <w:r>
              <w:rPr>
                <w:rFonts w:ascii="Times New Roman" w:hAnsi="Times New Roman" w:eastAsia="宋体" w:cs="Times New Roman"/>
                <w:b/>
                <w:color w:val="auto"/>
                <w:kern w:val="2"/>
                <w:sz w:val="24"/>
                <w:szCs w:val="24"/>
                <w:lang w:val="en-US" w:eastAsia="zh-CN" w:bidi="ar-SA"/>
              </w:rPr>
              <w:t>、</w:t>
            </w:r>
            <w:r>
              <w:rPr>
                <w:rFonts w:ascii="Times New Roman" w:hAnsi="Times New Roman" w:eastAsia="宋体" w:cs="Times New Roman"/>
                <w:b/>
                <w:color w:val="auto"/>
                <w:sz w:val="24"/>
                <w:szCs w:val="24"/>
              </w:rPr>
              <w:t>水污染物排放标准</w:t>
            </w:r>
          </w:p>
          <w:p>
            <w:pPr>
              <w:widowControl/>
              <w:kinsoku w:val="0"/>
              <w:autoSpaceDE w:val="0"/>
              <w:autoSpaceDN w:val="0"/>
              <w:adjustRightInd w:val="0"/>
              <w:snapToGrid w:val="0"/>
              <w:spacing w:line="360" w:lineRule="auto"/>
              <w:ind w:firstLine="480" w:firstLineChars="200"/>
              <w:jc w:val="left"/>
              <w:textAlignment w:val="baseline"/>
              <w:rPr>
                <w:rFonts w:ascii="Times New Roman" w:hAnsi="Times New Roman" w:eastAsia="宋体" w:cs="Times New Roman"/>
                <w:color w:val="auto"/>
                <w:sz w:val="24"/>
              </w:rPr>
            </w:pPr>
            <w:r>
              <w:rPr>
                <w:rFonts w:ascii="Times New Roman" w:hAnsi="Times New Roman" w:eastAsia="宋体" w:cs="Times New Roman"/>
                <w:color w:val="auto"/>
                <w:sz w:val="24"/>
              </w:rPr>
              <w:t>项目废水排放需满足《污水综合排放标准》(GB8978-1996)三级标准及八公山污水处理厂接管限值中较严限值要求，八公山污水处理厂出水执行《城镇污水处理厂污染物排放标准》(GB18918-2002)及其修改单中一级A标准，具体标准值见下表。</w:t>
            </w:r>
          </w:p>
          <w:p>
            <w:pPr>
              <w:adjustRightInd w:val="0"/>
              <w:spacing w:line="324" w:lineRule="auto"/>
              <w:jc w:val="center"/>
              <w:rPr>
                <w:rFonts w:ascii="Times New Roman" w:hAnsi="Times New Roman" w:eastAsia="黑体" w:cs="Times New Roman"/>
                <w:color w:val="auto"/>
                <w:sz w:val="24"/>
              </w:rPr>
            </w:pPr>
            <w:r>
              <w:rPr>
                <w:rFonts w:ascii="Times New Roman" w:hAnsi="Times New Roman" w:eastAsia="黑体" w:cs="Times New Roman"/>
                <w:color w:val="auto"/>
                <w:sz w:val="24"/>
              </w:rPr>
              <w:t>表3-7  废水污染物排放限值  单位：mg/L，pH无量纲</w:t>
            </w:r>
          </w:p>
          <w:tbl>
            <w:tblPr>
              <w:tblStyle w:val="18"/>
              <w:tblW w:w="5000" w:type="pct"/>
              <w:tblInd w:w="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97"/>
              <w:gridCol w:w="1175"/>
              <w:gridCol w:w="1746"/>
              <w:gridCol w:w="1017"/>
              <w:gridCol w:w="916"/>
              <w:gridCol w:w="22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40" w:hRule="atLeast"/>
              </w:trPr>
              <w:tc>
                <w:tcPr>
                  <w:tcW w:w="444" w:type="pct"/>
                  <w:tcBorders>
                    <w:top w:val="single" w:color="auto" w:sz="8" w:space="0"/>
                    <w:left w:val="nil"/>
                  </w:tcBorders>
                  <w:vAlign w:val="center"/>
                </w:tcPr>
                <w:p>
                  <w:pPr>
                    <w:adjustRightInd w:val="0"/>
                    <w:snapToGrid w:val="0"/>
                    <w:jc w:val="center"/>
                    <w:rPr>
                      <w:rFonts w:ascii="Times New Roman" w:hAnsi="Times New Roman" w:eastAsia="宋体" w:cs="Times New Roman"/>
                      <w:b/>
                      <w:color w:val="auto"/>
                      <w:sz w:val="18"/>
                      <w:szCs w:val="18"/>
                    </w:rPr>
                  </w:pPr>
                  <w:r>
                    <w:rPr>
                      <w:rFonts w:ascii="Times New Roman" w:hAnsi="Times New Roman" w:eastAsia="宋体" w:cs="Times New Roman"/>
                      <w:b/>
                      <w:color w:val="auto"/>
                      <w:sz w:val="18"/>
                      <w:szCs w:val="18"/>
                    </w:rPr>
                    <w:t>序号</w:t>
                  </w:r>
                </w:p>
              </w:tc>
              <w:tc>
                <w:tcPr>
                  <w:tcW w:w="749" w:type="pct"/>
                  <w:tcBorders>
                    <w:top w:val="single" w:color="auto" w:sz="8" w:space="0"/>
                  </w:tcBorders>
                  <w:vAlign w:val="center"/>
                </w:tcPr>
                <w:p>
                  <w:pPr>
                    <w:adjustRightInd w:val="0"/>
                    <w:snapToGrid w:val="0"/>
                    <w:jc w:val="center"/>
                    <w:rPr>
                      <w:rFonts w:ascii="Times New Roman" w:hAnsi="Times New Roman" w:eastAsia="宋体" w:cs="Times New Roman"/>
                      <w:b/>
                      <w:color w:val="auto"/>
                      <w:sz w:val="18"/>
                      <w:szCs w:val="18"/>
                    </w:rPr>
                  </w:pPr>
                  <w:r>
                    <w:rPr>
                      <w:rFonts w:ascii="Times New Roman" w:hAnsi="Times New Roman" w:eastAsia="宋体" w:cs="Times New Roman"/>
                      <w:b/>
                      <w:color w:val="auto"/>
                      <w:sz w:val="18"/>
                      <w:szCs w:val="18"/>
                    </w:rPr>
                    <w:t>污染物项目</w:t>
                  </w:r>
                </w:p>
              </w:tc>
              <w:tc>
                <w:tcPr>
                  <w:tcW w:w="1113" w:type="pct"/>
                  <w:tcBorders>
                    <w:top w:val="single" w:color="auto" w:sz="8" w:space="0"/>
                  </w:tcBorders>
                  <w:vAlign w:val="center"/>
                </w:tcPr>
                <w:p>
                  <w:pPr>
                    <w:adjustRightInd w:val="0"/>
                    <w:snapToGrid w:val="0"/>
                    <w:jc w:val="center"/>
                    <w:rPr>
                      <w:rFonts w:ascii="Times New Roman" w:hAnsi="Times New Roman" w:eastAsia="宋体" w:cs="Times New Roman"/>
                      <w:b/>
                      <w:color w:val="auto"/>
                      <w:sz w:val="18"/>
                      <w:szCs w:val="18"/>
                    </w:rPr>
                  </w:pPr>
                  <w:r>
                    <w:rPr>
                      <w:rFonts w:ascii="Times New Roman" w:hAnsi="Times New Roman" w:eastAsia="宋体" w:cs="Times New Roman"/>
                      <w:b/>
                      <w:color w:val="auto"/>
                      <w:sz w:val="18"/>
                      <w:szCs w:val="18"/>
                    </w:rPr>
                    <w:t>《污水综合排放标准》(GB8978-1996)三级标准</w:t>
                  </w:r>
                </w:p>
              </w:tc>
              <w:tc>
                <w:tcPr>
                  <w:tcW w:w="648" w:type="pct"/>
                  <w:tcBorders>
                    <w:top w:val="single" w:color="auto" w:sz="8" w:space="0"/>
                  </w:tcBorders>
                  <w:vAlign w:val="center"/>
                </w:tcPr>
                <w:p>
                  <w:pPr>
                    <w:adjustRightInd w:val="0"/>
                    <w:snapToGrid w:val="0"/>
                    <w:jc w:val="center"/>
                    <w:rPr>
                      <w:rFonts w:ascii="Times New Roman" w:hAnsi="Times New Roman" w:eastAsia="宋体" w:cs="Times New Roman"/>
                      <w:b/>
                      <w:color w:val="auto"/>
                      <w:sz w:val="18"/>
                      <w:szCs w:val="18"/>
                    </w:rPr>
                  </w:pPr>
                  <w:r>
                    <w:rPr>
                      <w:rFonts w:ascii="Times New Roman" w:hAnsi="Times New Roman" w:eastAsia="宋体" w:cs="Times New Roman"/>
                      <w:b/>
                      <w:color w:val="auto"/>
                      <w:sz w:val="18"/>
                      <w:szCs w:val="18"/>
                    </w:rPr>
                    <w:t>八公山污水处理厂接管标准</w:t>
                  </w:r>
                </w:p>
              </w:tc>
              <w:tc>
                <w:tcPr>
                  <w:tcW w:w="584" w:type="pct"/>
                  <w:tcBorders>
                    <w:top w:val="single" w:color="auto" w:sz="8" w:space="0"/>
                  </w:tcBorders>
                  <w:vAlign w:val="center"/>
                </w:tcPr>
                <w:p>
                  <w:pPr>
                    <w:adjustRightInd w:val="0"/>
                    <w:snapToGrid w:val="0"/>
                    <w:jc w:val="center"/>
                    <w:rPr>
                      <w:rFonts w:ascii="Times New Roman" w:hAnsi="Times New Roman" w:eastAsia="宋体" w:cs="Times New Roman"/>
                      <w:b/>
                      <w:color w:val="auto"/>
                      <w:sz w:val="18"/>
                      <w:szCs w:val="18"/>
                    </w:rPr>
                  </w:pPr>
                  <w:r>
                    <w:rPr>
                      <w:rFonts w:ascii="Times New Roman" w:hAnsi="Times New Roman" w:eastAsia="宋体" w:cs="Times New Roman"/>
                      <w:b/>
                      <w:color w:val="auto"/>
                      <w:sz w:val="18"/>
                      <w:szCs w:val="18"/>
                    </w:rPr>
                    <w:t>本项目执行标准</w:t>
                  </w:r>
                </w:p>
              </w:tc>
              <w:tc>
                <w:tcPr>
                  <w:tcW w:w="1458" w:type="pct"/>
                  <w:tcBorders>
                    <w:top w:val="single" w:color="auto" w:sz="8" w:space="0"/>
                    <w:right w:val="nil"/>
                  </w:tcBorders>
                  <w:vAlign w:val="center"/>
                </w:tcPr>
                <w:p>
                  <w:pPr>
                    <w:adjustRightInd w:val="0"/>
                    <w:snapToGrid w:val="0"/>
                    <w:jc w:val="center"/>
                    <w:rPr>
                      <w:rFonts w:ascii="Times New Roman" w:hAnsi="Times New Roman" w:eastAsia="宋体" w:cs="Times New Roman"/>
                      <w:b/>
                      <w:color w:val="auto"/>
                      <w:sz w:val="18"/>
                      <w:szCs w:val="18"/>
                    </w:rPr>
                  </w:pPr>
                  <w:r>
                    <w:rPr>
                      <w:rFonts w:ascii="Times New Roman" w:hAnsi="Times New Roman" w:eastAsia="宋体" w:cs="Times New Roman"/>
                      <w:b/>
                      <w:color w:val="auto"/>
                      <w:sz w:val="18"/>
                      <w:szCs w:val="18"/>
                    </w:rPr>
                    <w:t>《城镇污水处理厂污染物排放标准》(GB18918-2002)及其修改单中一级A 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44" w:type="pct"/>
                  <w:tcBorders>
                    <w:left w:val="nil"/>
                  </w:tcBorders>
                  <w:vAlign w:val="center"/>
                </w:tcPr>
                <w:p>
                  <w:pPr>
                    <w:adjustRightInd w:val="0"/>
                    <w:snapToGrid w:val="0"/>
                    <w:jc w:val="center"/>
                    <w:rPr>
                      <w:rFonts w:ascii="Times New Roman" w:hAnsi="Times New Roman" w:eastAsia="宋体" w:cs="Times New Roman"/>
                      <w:bCs/>
                      <w:color w:val="auto"/>
                      <w:sz w:val="18"/>
                      <w:szCs w:val="18"/>
                    </w:rPr>
                  </w:pPr>
                  <w:r>
                    <w:rPr>
                      <w:rFonts w:ascii="Times New Roman" w:hAnsi="Times New Roman" w:eastAsia="宋体" w:cs="Times New Roman"/>
                      <w:bCs/>
                      <w:color w:val="auto"/>
                      <w:sz w:val="18"/>
                      <w:szCs w:val="18"/>
                    </w:rPr>
                    <w:t>1</w:t>
                  </w:r>
                </w:p>
              </w:tc>
              <w:tc>
                <w:tcPr>
                  <w:tcW w:w="749" w:type="pct"/>
                  <w:vAlign w:val="center"/>
                </w:tcPr>
                <w:p>
                  <w:pPr>
                    <w:adjustRightInd w:val="0"/>
                    <w:snapToGrid w:val="0"/>
                    <w:jc w:val="center"/>
                    <w:rPr>
                      <w:rFonts w:ascii="Times New Roman" w:hAnsi="Times New Roman" w:eastAsia="宋体" w:cs="Times New Roman"/>
                      <w:bCs/>
                      <w:color w:val="auto"/>
                      <w:sz w:val="18"/>
                      <w:szCs w:val="18"/>
                    </w:rPr>
                  </w:pPr>
                  <w:r>
                    <w:rPr>
                      <w:rFonts w:ascii="Times New Roman" w:hAnsi="Times New Roman" w:eastAsia="宋体" w:cs="Times New Roman"/>
                      <w:bCs/>
                      <w:color w:val="auto"/>
                      <w:sz w:val="18"/>
                      <w:szCs w:val="18"/>
                    </w:rPr>
                    <w:t>pH</w:t>
                  </w:r>
                </w:p>
              </w:tc>
              <w:tc>
                <w:tcPr>
                  <w:tcW w:w="1113" w:type="pct"/>
                  <w:vAlign w:val="center"/>
                </w:tcPr>
                <w:p>
                  <w:pPr>
                    <w:adjustRightInd w:val="0"/>
                    <w:snapToGrid w:val="0"/>
                    <w:jc w:val="center"/>
                    <w:rPr>
                      <w:rFonts w:ascii="Times New Roman" w:hAnsi="Times New Roman" w:eastAsia="宋体" w:cs="Times New Roman"/>
                      <w:bCs/>
                      <w:color w:val="auto"/>
                      <w:sz w:val="18"/>
                      <w:szCs w:val="18"/>
                    </w:rPr>
                  </w:pPr>
                  <w:r>
                    <w:rPr>
                      <w:rFonts w:ascii="Times New Roman" w:hAnsi="Times New Roman" w:eastAsia="宋体" w:cs="Times New Roman"/>
                      <w:bCs/>
                      <w:color w:val="auto"/>
                      <w:sz w:val="18"/>
                      <w:szCs w:val="18"/>
                    </w:rPr>
                    <w:t>6~9</w:t>
                  </w:r>
                </w:p>
              </w:tc>
              <w:tc>
                <w:tcPr>
                  <w:tcW w:w="648" w:type="pct"/>
                  <w:vAlign w:val="center"/>
                </w:tcPr>
                <w:p>
                  <w:pPr>
                    <w:adjustRightInd w:val="0"/>
                    <w:snapToGrid w:val="0"/>
                    <w:jc w:val="center"/>
                    <w:rPr>
                      <w:rFonts w:ascii="Times New Roman" w:hAnsi="Times New Roman" w:eastAsia="宋体" w:cs="Times New Roman"/>
                      <w:bCs/>
                      <w:color w:val="auto"/>
                      <w:sz w:val="18"/>
                      <w:szCs w:val="18"/>
                    </w:rPr>
                  </w:pPr>
                  <w:r>
                    <w:rPr>
                      <w:rFonts w:ascii="Times New Roman" w:hAnsi="Times New Roman" w:eastAsia="宋体" w:cs="Times New Roman"/>
                      <w:bCs/>
                      <w:color w:val="auto"/>
                      <w:sz w:val="18"/>
                      <w:szCs w:val="18"/>
                    </w:rPr>
                    <w:t>6~9</w:t>
                  </w:r>
                </w:p>
              </w:tc>
              <w:tc>
                <w:tcPr>
                  <w:tcW w:w="584" w:type="pct"/>
                  <w:vAlign w:val="center"/>
                </w:tcPr>
                <w:p>
                  <w:pPr>
                    <w:adjustRightInd w:val="0"/>
                    <w:snapToGrid w:val="0"/>
                    <w:jc w:val="center"/>
                    <w:rPr>
                      <w:rFonts w:ascii="Times New Roman" w:hAnsi="Times New Roman" w:eastAsia="宋体" w:cs="Times New Roman"/>
                      <w:bCs/>
                      <w:color w:val="auto"/>
                      <w:sz w:val="18"/>
                      <w:szCs w:val="18"/>
                    </w:rPr>
                  </w:pPr>
                  <w:r>
                    <w:rPr>
                      <w:rFonts w:ascii="Times New Roman" w:hAnsi="Times New Roman" w:eastAsia="宋体" w:cs="Times New Roman"/>
                      <w:bCs/>
                      <w:color w:val="auto"/>
                      <w:sz w:val="18"/>
                      <w:szCs w:val="18"/>
                    </w:rPr>
                    <w:t>6~9</w:t>
                  </w:r>
                </w:p>
              </w:tc>
              <w:tc>
                <w:tcPr>
                  <w:tcW w:w="1458" w:type="pct"/>
                  <w:tcBorders>
                    <w:right w:val="nil"/>
                  </w:tcBorders>
                  <w:vAlign w:val="center"/>
                </w:tcPr>
                <w:p>
                  <w:pPr>
                    <w:adjustRightInd w:val="0"/>
                    <w:snapToGrid w:val="0"/>
                    <w:jc w:val="center"/>
                    <w:rPr>
                      <w:rFonts w:ascii="Times New Roman" w:hAnsi="Times New Roman" w:eastAsia="宋体" w:cs="Times New Roman"/>
                      <w:bCs/>
                      <w:color w:val="auto"/>
                      <w:sz w:val="18"/>
                      <w:szCs w:val="18"/>
                    </w:rPr>
                  </w:pPr>
                  <w:r>
                    <w:rPr>
                      <w:rFonts w:ascii="Times New Roman" w:hAnsi="Times New Roman" w:eastAsia="宋体" w:cs="Times New Roman"/>
                      <w:bCs/>
                      <w:color w:val="auto"/>
                      <w:sz w:val="18"/>
                      <w:szCs w:val="18"/>
                    </w:rPr>
                    <w:t>6~9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44" w:type="pct"/>
                  <w:tcBorders>
                    <w:left w:val="nil"/>
                  </w:tcBorders>
                  <w:vAlign w:val="center"/>
                </w:tcPr>
                <w:p>
                  <w:pPr>
                    <w:adjustRightInd w:val="0"/>
                    <w:snapToGrid w:val="0"/>
                    <w:jc w:val="center"/>
                    <w:rPr>
                      <w:rFonts w:ascii="Times New Roman" w:hAnsi="Times New Roman" w:eastAsia="宋体" w:cs="Times New Roman"/>
                      <w:bCs/>
                      <w:color w:val="auto"/>
                      <w:sz w:val="18"/>
                      <w:szCs w:val="18"/>
                    </w:rPr>
                  </w:pPr>
                  <w:r>
                    <w:rPr>
                      <w:rFonts w:ascii="Times New Roman" w:hAnsi="Times New Roman" w:eastAsia="宋体" w:cs="Times New Roman"/>
                      <w:bCs/>
                      <w:color w:val="auto"/>
                      <w:sz w:val="18"/>
                      <w:szCs w:val="18"/>
                    </w:rPr>
                    <w:t>2</w:t>
                  </w:r>
                </w:p>
              </w:tc>
              <w:tc>
                <w:tcPr>
                  <w:tcW w:w="749" w:type="pct"/>
                  <w:vAlign w:val="center"/>
                </w:tcPr>
                <w:p>
                  <w:pPr>
                    <w:adjustRightInd w:val="0"/>
                    <w:snapToGrid w:val="0"/>
                    <w:jc w:val="center"/>
                    <w:rPr>
                      <w:rFonts w:ascii="Times New Roman" w:hAnsi="Times New Roman" w:eastAsia="宋体" w:cs="Times New Roman"/>
                      <w:bCs/>
                      <w:color w:val="auto"/>
                      <w:sz w:val="18"/>
                      <w:szCs w:val="18"/>
                    </w:rPr>
                  </w:pPr>
                  <w:r>
                    <w:rPr>
                      <w:rFonts w:ascii="Times New Roman" w:hAnsi="Times New Roman" w:eastAsia="宋体" w:cs="Times New Roman"/>
                      <w:bCs/>
                      <w:color w:val="auto"/>
                      <w:sz w:val="18"/>
                      <w:szCs w:val="18"/>
                    </w:rPr>
                    <w:t>CODcr</w:t>
                  </w:r>
                </w:p>
              </w:tc>
              <w:tc>
                <w:tcPr>
                  <w:tcW w:w="1113" w:type="pct"/>
                  <w:vAlign w:val="center"/>
                </w:tcPr>
                <w:p>
                  <w:pPr>
                    <w:adjustRightInd w:val="0"/>
                    <w:snapToGrid w:val="0"/>
                    <w:jc w:val="center"/>
                    <w:rPr>
                      <w:rFonts w:ascii="Times New Roman" w:hAnsi="Times New Roman" w:eastAsia="宋体" w:cs="Times New Roman"/>
                      <w:bCs/>
                      <w:color w:val="auto"/>
                      <w:sz w:val="18"/>
                      <w:szCs w:val="18"/>
                    </w:rPr>
                  </w:pPr>
                  <w:r>
                    <w:rPr>
                      <w:rFonts w:ascii="Times New Roman" w:hAnsi="Times New Roman" w:eastAsia="宋体" w:cs="Times New Roman"/>
                      <w:bCs/>
                      <w:color w:val="auto"/>
                      <w:sz w:val="18"/>
                      <w:szCs w:val="18"/>
                    </w:rPr>
                    <w:t>≤500</w:t>
                  </w:r>
                </w:p>
              </w:tc>
              <w:tc>
                <w:tcPr>
                  <w:tcW w:w="648" w:type="pct"/>
                  <w:vAlign w:val="center"/>
                </w:tcPr>
                <w:p>
                  <w:pPr>
                    <w:adjustRightInd w:val="0"/>
                    <w:snapToGrid w:val="0"/>
                    <w:jc w:val="center"/>
                    <w:rPr>
                      <w:rFonts w:ascii="Times New Roman" w:hAnsi="Times New Roman" w:eastAsia="宋体" w:cs="Times New Roman"/>
                      <w:bCs/>
                      <w:color w:val="auto"/>
                      <w:sz w:val="18"/>
                      <w:szCs w:val="18"/>
                    </w:rPr>
                  </w:pPr>
                  <w:r>
                    <w:rPr>
                      <w:rFonts w:ascii="Times New Roman" w:hAnsi="Times New Roman" w:eastAsia="宋体" w:cs="Times New Roman"/>
                      <w:bCs/>
                      <w:color w:val="auto"/>
                      <w:sz w:val="18"/>
                      <w:szCs w:val="18"/>
                    </w:rPr>
                    <w:t>≤400</w:t>
                  </w:r>
                </w:p>
              </w:tc>
              <w:tc>
                <w:tcPr>
                  <w:tcW w:w="584" w:type="pct"/>
                  <w:vAlign w:val="center"/>
                </w:tcPr>
                <w:p>
                  <w:pPr>
                    <w:adjustRightInd w:val="0"/>
                    <w:snapToGrid w:val="0"/>
                    <w:jc w:val="center"/>
                    <w:rPr>
                      <w:rFonts w:ascii="Times New Roman" w:hAnsi="Times New Roman" w:eastAsia="宋体" w:cs="Times New Roman"/>
                      <w:bCs/>
                      <w:color w:val="auto"/>
                      <w:sz w:val="18"/>
                      <w:szCs w:val="18"/>
                    </w:rPr>
                  </w:pPr>
                  <w:r>
                    <w:rPr>
                      <w:rFonts w:ascii="Times New Roman" w:hAnsi="Times New Roman" w:eastAsia="宋体" w:cs="Times New Roman"/>
                      <w:bCs/>
                      <w:color w:val="auto"/>
                      <w:sz w:val="18"/>
                      <w:szCs w:val="18"/>
                    </w:rPr>
                    <w:t>≤400</w:t>
                  </w:r>
                </w:p>
              </w:tc>
              <w:tc>
                <w:tcPr>
                  <w:tcW w:w="1458" w:type="pct"/>
                  <w:tcBorders>
                    <w:right w:val="nil"/>
                  </w:tcBorders>
                  <w:vAlign w:val="center"/>
                </w:tcPr>
                <w:p>
                  <w:pPr>
                    <w:adjustRightInd w:val="0"/>
                    <w:snapToGrid w:val="0"/>
                    <w:jc w:val="center"/>
                    <w:rPr>
                      <w:rFonts w:ascii="Times New Roman" w:hAnsi="Times New Roman" w:eastAsia="宋体" w:cs="Times New Roman"/>
                      <w:bCs/>
                      <w:color w:val="auto"/>
                      <w:sz w:val="18"/>
                      <w:szCs w:val="18"/>
                    </w:rPr>
                  </w:pPr>
                  <w:r>
                    <w:rPr>
                      <w:rFonts w:ascii="Times New Roman" w:hAnsi="Times New Roman" w:eastAsia="宋体" w:cs="Times New Roman"/>
                      <w:bCs/>
                      <w:color w:val="auto"/>
                      <w:sz w:val="18"/>
                      <w:szCs w:val="18"/>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44" w:type="pct"/>
                  <w:tcBorders>
                    <w:left w:val="nil"/>
                  </w:tcBorders>
                  <w:vAlign w:val="center"/>
                </w:tcPr>
                <w:p>
                  <w:pPr>
                    <w:adjustRightInd w:val="0"/>
                    <w:snapToGrid w:val="0"/>
                    <w:jc w:val="center"/>
                    <w:rPr>
                      <w:rFonts w:ascii="Times New Roman" w:hAnsi="Times New Roman" w:eastAsia="宋体" w:cs="Times New Roman"/>
                      <w:bCs/>
                      <w:color w:val="auto"/>
                      <w:sz w:val="18"/>
                      <w:szCs w:val="18"/>
                    </w:rPr>
                  </w:pPr>
                  <w:r>
                    <w:rPr>
                      <w:rFonts w:ascii="Times New Roman" w:hAnsi="Times New Roman" w:eastAsia="宋体" w:cs="Times New Roman"/>
                      <w:bCs/>
                      <w:color w:val="auto"/>
                      <w:sz w:val="18"/>
                      <w:szCs w:val="18"/>
                    </w:rPr>
                    <w:t>3</w:t>
                  </w:r>
                </w:p>
              </w:tc>
              <w:tc>
                <w:tcPr>
                  <w:tcW w:w="749" w:type="pct"/>
                  <w:vAlign w:val="center"/>
                </w:tcPr>
                <w:p>
                  <w:pPr>
                    <w:adjustRightInd w:val="0"/>
                    <w:snapToGrid w:val="0"/>
                    <w:jc w:val="center"/>
                    <w:rPr>
                      <w:rFonts w:ascii="Times New Roman" w:hAnsi="Times New Roman" w:eastAsia="宋体" w:cs="Times New Roman"/>
                      <w:bCs/>
                      <w:color w:val="auto"/>
                      <w:sz w:val="18"/>
                      <w:szCs w:val="18"/>
                    </w:rPr>
                  </w:pPr>
                  <w:r>
                    <w:rPr>
                      <w:rFonts w:ascii="Times New Roman" w:hAnsi="Times New Roman" w:eastAsia="宋体" w:cs="Times New Roman"/>
                      <w:bCs/>
                      <w:color w:val="auto"/>
                      <w:sz w:val="18"/>
                      <w:szCs w:val="18"/>
                    </w:rPr>
                    <w:t>BOD</w:t>
                  </w:r>
                  <w:r>
                    <w:rPr>
                      <w:rFonts w:ascii="Times New Roman" w:hAnsi="Times New Roman" w:eastAsia="宋体" w:cs="Times New Roman"/>
                      <w:bCs/>
                      <w:color w:val="auto"/>
                      <w:sz w:val="18"/>
                      <w:szCs w:val="18"/>
                      <w:vertAlign w:val="subscript"/>
                    </w:rPr>
                    <w:t>5</w:t>
                  </w:r>
                </w:p>
              </w:tc>
              <w:tc>
                <w:tcPr>
                  <w:tcW w:w="1113" w:type="pct"/>
                  <w:vAlign w:val="center"/>
                </w:tcPr>
                <w:p>
                  <w:pPr>
                    <w:adjustRightInd w:val="0"/>
                    <w:snapToGrid w:val="0"/>
                    <w:jc w:val="center"/>
                    <w:rPr>
                      <w:rFonts w:ascii="Times New Roman" w:hAnsi="Times New Roman" w:eastAsia="宋体" w:cs="Times New Roman"/>
                      <w:bCs/>
                      <w:color w:val="auto"/>
                      <w:sz w:val="18"/>
                      <w:szCs w:val="18"/>
                    </w:rPr>
                  </w:pPr>
                  <w:r>
                    <w:rPr>
                      <w:rFonts w:ascii="Times New Roman" w:hAnsi="Times New Roman" w:eastAsia="宋体" w:cs="Times New Roman"/>
                      <w:bCs/>
                      <w:color w:val="auto"/>
                      <w:sz w:val="18"/>
                      <w:szCs w:val="18"/>
                    </w:rPr>
                    <w:t>≤300</w:t>
                  </w:r>
                </w:p>
              </w:tc>
              <w:tc>
                <w:tcPr>
                  <w:tcW w:w="648" w:type="pct"/>
                  <w:vAlign w:val="center"/>
                </w:tcPr>
                <w:p>
                  <w:pPr>
                    <w:adjustRightInd w:val="0"/>
                    <w:snapToGrid w:val="0"/>
                    <w:jc w:val="center"/>
                    <w:rPr>
                      <w:rFonts w:ascii="Times New Roman" w:hAnsi="Times New Roman" w:eastAsia="宋体" w:cs="Times New Roman"/>
                      <w:bCs/>
                      <w:color w:val="auto"/>
                      <w:sz w:val="18"/>
                      <w:szCs w:val="18"/>
                    </w:rPr>
                  </w:pPr>
                  <w:r>
                    <w:rPr>
                      <w:rFonts w:ascii="Times New Roman" w:hAnsi="Times New Roman" w:eastAsia="宋体" w:cs="Times New Roman"/>
                      <w:bCs/>
                      <w:color w:val="auto"/>
                      <w:sz w:val="18"/>
                      <w:szCs w:val="18"/>
                    </w:rPr>
                    <w:t>≤250</w:t>
                  </w:r>
                </w:p>
              </w:tc>
              <w:tc>
                <w:tcPr>
                  <w:tcW w:w="584" w:type="pct"/>
                  <w:vAlign w:val="center"/>
                </w:tcPr>
                <w:p>
                  <w:pPr>
                    <w:adjustRightInd w:val="0"/>
                    <w:snapToGrid w:val="0"/>
                    <w:jc w:val="center"/>
                    <w:rPr>
                      <w:rFonts w:ascii="Times New Roman" w:hAnsi="Times New Roman" w:eastAsia="宋体" w:cs="Times New Roman"/>
                      <w:bCs/>
                      <w:color w:val="auto"/>
                      <w:sz w:val="18"/>
                      <w:szCs w:val="18"/>
                    </w:rPr>
                  </w:pPr>
                  <w:r>
                    <w:rPr>
                      <w:rFonts w:ascii="Times New Roman" w:hAnsi="Times New Roman" w:eastAsia="宋体" w:cs="Times New Roman"/>
                      <w:bCs/>
                      <w:color w:val="auto"/>
                      <w:sz w:val="18"/>
                      <w:szCs w:val="18"/>
                    </w:rPr>
                    <w:t>≤250</w:t>
                  </w:r>
                </w:p>
              </w:tc>
              <w:tc>
                <w:tcPr>
                  <w:tcW w:w="1458" w:type="pct"/>
                  <w:tcBorders>
                    <w:right w:val="nil"/>
                  </w:tcBorders>
                  <w:vAlign w:val="center"/>
                </w:tcPr>
                <w:p>
                  <w:pPr>
                    <w:adjustRightInd w:val="0"/>
                    <w:snapToGrid w:val="0"/>
                    <w:jc w:val="center"/>
                    <w:rPr>
                      <w:rFonts w:ascii="Times New Roman" w:hAnsi="Times New Roman" w:eastAsia="宋体" w:cs="Times New Roman"/>
                      <w:bCs/>
                      <w:color w:val="auto"/>
                      <w:sz w:val="18"/>
                      <w:szCs w:val="18"/>
                    </w:rPr>
                  </w:pPr>
                  <w:r>
                    <w:rPr>
                      <w:rFonts w:ascii="Times New Roman" w:hAnsi="Times New Roman" w:eastAsia="宋体" w:cs="Times New Roman"/>
                      <w:bCs/>
                      <w:color w:val="auto"/>
                      <w:sz w:val="18"/>
                      <w:szCs w:val="18"/>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44" w:type="pct"/>
                  <w:tcBorders>
                    <w:left w:val="nil"/>
                  </w:tcBorders>
                  <w:vAlign w:val="center"/>
                </w:tcPr>
                <w:p>
                  <w:pPr>
                    <w:adjustRightInd w:val="0"/>
                    <w:snapToGrid w:val="0"/>
                    <w:jc w:val="center"/>
                    <w:rPr>
                      <w:rFonts w:ascii="Times New Roman" w:hAnsi="Times New Roman" w:eastAsia="宋体" w:cs="Times New Roman"/>
                      <w:bCs/>
                      <w:color w:val="auto"/>
                      <w:sz w:val="18"/>
                      <w:szCs w:val="18"/>
                    </w:rPr>
                  </w:pPr>
                  <w:r>
                    <w:rPr>
                      <w:rFonts w:ascii="Times New Roman" w:hAnsi="Times New Roman" w:eastAsia="宋体" w:cs="Times New Roman"/>
                      <w:bCs/>
                      <w:color w:val="auto"/>
                      <w:sz w:val="18"/>
                      <w:szCs w:val="18"/>
                    </w:rPr>
                    <w:t>4</w:t>
                  </w:r>
                </w:p>
              </w:tc>
              <w:tc>
                <w:tcPr>
                  <w:tcW w:w="749" w:type="pct"/>
                  <w:vAlign w:val="center"/>
                </w:tcPr>
                <w:p>
                  <w:pPr>
                    <w:adjustRightInd w:val="0"/>
                    <w:snapToGrid w:val="0"/>
                    <w:jc w:val="center"/>
                    <w:rPr>
                      <w:rFonts w:ascii="Times New Roman" w:hAnsi="Times New Roman" w:eastAsia="宋体" w:cs="Times New Roman"/>
                      <w:bCs/>
                      <w:color w:val="auto"/>
                      <w:sz w:val="18"/>
                      <w:szCs w:val="18"/>
                    </w:rPr>
                  </w:pPr>
                  <w:r>
                    <w:rPr>
                      <w:rFonts w:ascii="Times New Roman" w:hAnsi="Times New Roman" w:eastAsia="宋体" w:cs="Times New Roman"/>
                      <w:bCs/>
                      <w:color w:val="auto"/>
                      <w:sz w:val="18"/>
                      <w:szCs w:val="18"/>
                    </w:rPr>
                    <w:t>SS</w:t>
                  </w:r>
                </w:p>
              </w:tc>
              <w:tc>
                <w:tcPr>
                  <w:tcW w:w="1113" w:type="pct"/>
                  <w:vAlign w:val="center"/>
                </w:tcPr>
                <w:p>
                  <w:pPr>
                    <w:adjustRightInd w:val="0"/>
                    <w:snapToGrid w:val="0"/>
                    <w:jc w:val="center"/>
                    <w:rPr>
                      <w:rFonts w:ascii="Times New Roman" w:hAnsi="Times New Roman" w:eastAsia="宋体" w:cs="Times New Roman"/>
                      <w:bCs/>
                      <w:color w:val="auto"/>
                      <w:sz w:val="18"/>
                      <w:szCs w:val="18"/>
                    </w:rPr>
                  </w:pPr>
                  <w:r>
                    <w:rPr>
                      <w:rFonts w:ascii="Times New Roman" w:hAnsi="Times New Roman" w:eastAsia="宋体" w:cs="Times New Roman"/>
                      <w:bCs/>
                      <w:color w:val="auto"/>
                      <w:sz w:val="18"/>
                      <w:szCs w:val="18"/>
                    </w:rPr>
                    <w:t>≤400</w:t>
                  </w:r>
                </w:p>
              </w:tc>
              <w:tc>
                <w:tcPr>
                  <w:tcW w:w="648" w:type="pct"/>
                  <w:vAlign w:val="center"/>
                </w:tcPr>
                <w:p>
                  <w:pPr>
                    <w:adjustRightInd w:val="0"/>
                    <w:snapToGrid w:val="0"/>
                    <w:jc w:val="center"/>
                    <w:rPr>
                      <w:rFonts w:ascii="Times New Roman" w:hAnsi="Times New Roman" w:eastAsia="宋体" w:cs="Times New Roman"/>
                      <w:bCs/>
                      <w:color w:val="auto"/>
                      <w:sz w:val="18"/>
                      <w:szCs w:val="18"/>
                    </w:rPr>
                  </w:pPr>
                  <w:r>
                    <w:rPr>
                      <w:rFonts w:ascii="Times New Roman" w:hAnsi="Times New Roman" w:eastAsia="宋体" w:cs="Times New Roman"/>
                      <w:bCs/>
                      <w:color w:val="auto"/>
                      <w:sz w:val="18"/>
                      <w:szCs w:val="18"/>
                    </w:rPr>
                    <w:t>≤250</w:t>
                  </w:r>
                </w:p>
              </w:tc>
              <w:tc>
                <w:tcPr>
                  <w:tcW w:w="584" w:type="pct"/>
                  <w:vAlign w:val="center"/>
                </w:tcPr>
                <w:p>
                  <w:pPr>
                    <w:adjustRightInd w:val="0"/>
                    <w:snapToGrid w:val="0"/>
                    <w:jc w:val="center"/>
                    <w:rPr>
                      <w:rFonts w:ascii="Times New Roman" w:hAnsi="Times New Roman" w:eastAsia="宋体" w:cs="Times New Roman"/>
                      <w:bCs/>
                      <w:color w:val="auto"/>
                      <w:sz w:val="18"/>
                      <w:szCs w:val="18"/>
                    </w:rPr>
                  </w:pPr>
                  <w:r>
                    <w:rPr>
                      <w:rFonts w:ascii="Times New Roman" w:hAnsi="Times New Roman" w:eastAsia="宋体" w:cs="Times New Roman"/>
                      <w:bCs/>
                      <w:color w:val="auto"/>
                      <w:sz w:val="18"/>
                      <w:szCs w:val="18"/>
                    </w:rPr>
                    <w:t>≤250</w:t>
                  </w:r>
                </w:p>
              </w:tc>
              <w:tc>
                <w:tcPr>
                  <w:tcW w:w="1458" w:type="pct"/>
                  <w:tcBorders>
                    <w:right w:val="nil"/>
                  </w:tcBorders>
                  <w:vAlign w:val="center"/>
                </w:tcPr>
                <w:p>
                  <w:pPr>
                    <w:adjustRightInd w:val="0"/>
                    <w:snapToGrid w:val="0"/>
                    <w:jc w:val="center"/>
                    <w:rPr>
                      <w:rFonts w:ascii="Times New Roman" w:hAnsi="Times New Roman" w:eastAsia="宋体" w:cs="Times New Roman"/>
                      <w:bCs/>
                      <w:color w:val="auto"/>
                      <w:sz w:val="18"/>
                      <w:szCs w:val="18"/>
                    </w:rPr>
                  </w:pPr>
                  <w:r>
                    <w:rPr>
                      <w:rFonts w:ascii="Times New Roman" w:hAnsi="Times New Roman" w:eastAsia="宋体" w:cs="Times New Roman"/>
                      <w:bCs/>
                      <w:color w:val="auto"/>
                      <w:sz w:val="18"/>
                      <w:szCs w:val="18"/>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44" w:type="pct"/>
                  <w:tcBorders>
                    <w:left w:val="nil"/>
                    <w:bottom w:val="single" w:color="auto" w:sz="8" w:space="0"/>
                  </w:tcBorders>
                  <w:vAlign w:val="center"/>
                </w:tcPr>
                <w:p>
                  <w:pPr>
                    <w:adjustRightInd w:val="0"/>
                    <w:snapToGrid w:val="0"/>
                    <w:jc w:val="center"/>
                    <w:rPr>
                      <w:rFonts w:ascii="Times New Roman" w:hAnsi="Times New Roman" w:eastAsia="宋体" w:cs="Times New Roman"/>
                      <w:bCs/>
                      <w:color w:val="auto"/>
                      <w:sz w:val="18"/>
                      <w:szCs w:val="18"/>
                    </w:rPr>
                  </w:pPr>
                  <w:r>
                    <w:rPr>
                      <w:rFonts w:ascii="Times New Roman" w:hAnsi="Times New Roman" w:eastAsia="宋体" w:cs="Times New Roman"/>
                      <w:bCs/>
                      <w:color w:val="auto"/>
                      <w:sz w:val="18"/>
                      <w:szCs w:val="18"/>
                    </w:rPr>
                    <w:t>5</w:t>
                  </w:r>
                </w:p>
              </w:tc>
              <w:tc>
                <w:tcPr>
                  <w:tcW w:w="749" w:type="pct"/>
                  <w:tcBorders>
                    <w:bottom w:val="single" w:color="auto" w:sz="8" w:space="0"/>
                  </w:tcBorders>
                  <w:vAlign w:val="center"/>
                </w:tcPr>
                <w:p>
                  <w:pPr>
                    <w:adjustRightInd w:val="0"/>
                    <w:snapToGrid w:val="0"/>
                    <w:jc w:val="center"/>
                    <w:rPr>
                      <w:rFonts w:ascii="Times New Roman" w:hAnsi="Times New Roman" w:eastAsia="宋体" w:cs="Times New Roman"/>
                      <w:bCs/>
                      <w:color w:val="auto"/>
                      <w:sz w:val="18"/>
                      <w:szCs w:val="18"/>
                    </w:rPr>
                  </w:pPr>
                  <w:r>
                    <w:rPr>
                      <w:rFonts w:ascii="Times New Roman" w:hAnsi="Times New Roman" w:eastAsia="宋体" w:cs="Times New Roman"/>
                      <w:bCs/>
                      <w:color w:val="auto"/>
                      <w:sz w:val="18"/>
                      <w:szCs w:val="18"/>
                    </w:rPr>
                    <w:t>NH</w:t>
                  </w:r>
                  <w:r>
                    <w:rPr>
                      <w:rFonts w:ascii="Times New Roman" w:hAnsi="Times New Roman" w:eastAsia="宋体" w:cs="Times New Roman"/>
                      <w:bCs/>
                      <w:color w:val="auto"/>
                      <w:sz w:val="18"/>
                      <w:szCs w:val="18"/>
                      <w:vertAlign w:val="subscript"/>
                    </w:rPr>
                    <w:t>3</w:t>
                  </w:r>
                  <w:r>
                    <w:rPr>
                      <w:rFonts w:ascii="Times New Roman" w:hAnsi="Times New Roman" w:eastAsia="宋体" w:cs="Times New Roman"/>
                      <w:bCs/>
                      <w:color w:val="auto"/>
                      <w:sz w:val="18"/>
                      <w:szCs w:val="18"/>
                    </w:rPr>
                    <w:t>-N</w:t>
                  </w:r>
                </w:p>
              </w:tc>
              <w:tc>
                <w:tcPr>
                  <w:tcW w:w="1113" w:type="pct"/>
                  <w:tcBorders>
                    <w:bottom w:val="single" w:color="auto" w:sz="8" w:space="0"/>
                  </w:tcBorders>
                  <w:vAlign w:val="center"/>
                </w:tcPr>
                <w:p>
                  <w:pPr>
                    <w:adjustRightInd w:val="0"/>
                    <w:snapToGrid w:val="0"/>
                    <w:jc w:val="center"/>
                    <w:rPr>
                      <w:rFonts w:ascii="Times New Roman" w:hAnsi="Times New Roman" w:eastAsia="宋体" w:cs="Times New Roman"/>
                      <w:bCs/>
                      <w:color w:val="auto"/>
                      <w:sz w:val="18"/>
                      <w:szCs w:val="18"/>
                    </w:rPr>
                  </w:pPr>
                  <w:r>
                    <w:rPr>
                      <w:rFonts w:ascii="Times New Roman" w:hAnsi="Times New Roman" w:eastAsia="宋体" w:cs="Times New Roman"/>
                      <w:bCs/>
                      <w:color w:val="auto"/>
                      <w:sz w:val="18"/>
                      <w:szCs w:val="18"/>
                    </w:rPr>
                    <w:t>/</w:t>
                  </w:r>
                </w:p>
              </w:tc>
              <w:tc>
                <w:tcPr>
                  <w:tcW w:w="648" w:type="pct"/>
                  <w:tcBorders>
                    <w:bottom w:val="single" w:color="auto" w:sz="8" w:space="0"/>
                  </w:tcBorders>
                  <w:vAlign w:val="center"/>
                </w:tcPr>
                <w:p>
                  <w:pPr>
                    <w:adjustRightInd w:val="0"/>
                    <w:snapToGrid w:val="0"/>
                    <w:jc w:val="center"/>
                    <w:rPr>
                      <w:rFonts w:ascii="Times New Roman" w:hAnsi="Times New Roman" w:eastAsia="宋体" w:cs="Times New Roman"/>
                      <w:bCs/>
                      <w:color w:val="auto"/>
                      <w:sz w:val="18"/>
                      <w:szCs w:val="18"/>
                    </w:rPr>
                  </w:pPr>
                  <w:r>
                    <w:rPr>
                      <w:rFonts w:ascii="Times New Roman" w:hAnsi="Times New Roman" w:eastAsia="宋体" w:cs="Times New Roman"/>
                      <w:bCs/>
                      <w:color w:val="auto"/>
                      <w:sz w:val="18"/>
                      <w:szCs w:val="18"/>
                    </w:rPr>
                    <w:t>≤35</w:t>
                  </w:r>
                </w:p>
              </w:tc>
              <w:tc>
                <w:tcPr>
                  <w:tcW w:w="584" w:type="pct"/>
                  <w:tcBorders>
                    <w:bottom w:val="single" w:color="auto" w:sz="8" w:space="0"/>
                  </w:tcBorders>
                  <w:vAlign w:val="center"/>
                </w:tcPr>
                <w:p>
                  <w:pPr>
                    <w:adjustRightInd w:val="0"/>
                    <w:snapToGrid w:val="0"/>
                    <w:jc w:val="center"/>
                    <w:rPr>
                      <w:rFonts w:ascii="Times New Roman" w:hAnsi="Times New Roman" w:eastAsia="宋体" w:cs="Times New Roman"/>
                      <w:bCs/>
                      <w:color w:val="auto"/>
                      <w:sz w:val="18"/>
                      <w:szCs w:val="18"/>
                    </w:rPr>
                  </w:pPr>
                  <w:r>
                    <w:rPr>
                      <w:rFonts w:ascii="Times New Roman" w:hAnsi="Times New Roman" w:eastAsia="宋体" w:cs="Times New Roman"/>
                      <w:bCs/>
                      <w:color w:val="auto"/>
                      <w:sz w:val="18"/>
                      <w:szCs w:val="18"/>
                    </w:rPr>
                    <w:t>≤35</w:t>
                  </w:r>
                </w:p>
              </w:tc>
              <w:tc>
                <w:tcPr>
                  <w:tcW w:w="1458" w:type="pct"/>
                  <w:tcBorders>
                    <w:bottom w:val="single" w:color="auto" w:sz="8" w:space="0"/>
                    <w:right w:val="nil"/>
                  </w:tcBorders>
                  <w:vAlign w:val="center"/>
                </w:tcPr>
                <w:p>
                  <w:pPr>
                    <w:adjustRightInd w:val="0"/>
                    <w:snapToGrid w:val="0"/>
                    <w:jc w:val="center"/>
                    <w:rPr>
                      <w:rFonts w:ascii="Times New Roman" w:hAnsi="Times New Roman" w:eastAsia="宋体" w:cs="Times New Roman"/>
                      <w:bCs/>
                      <w:color w:val="auto"/>
                      <w:sz w:val="18"/>
                      <w:szCs w:val="18"/>
                    </w:rPr>
                  </w:pPr>
                  <w:r>
                    <w:rPr>
                      <w:rFonts w:ascii="Times New Roman" w:hAnsi="Times New Roman" w:eastAsia="宋体" w:cs="Times New Roman"/>
                      <w:bCs/>
                      <w:color w:val="auto"/>
                      <w:sz w:val="18"/>
                      <w:szCs w:val="18"/>
                    </w:rPr>
                    <w:t>5（8）</w:t>
                  </w:r>
                </w:p>
              </w:tc>
            </w:tr>
          </w:tbl>
          <w:p>
            <w:pPr>
              <w:widowControl/>
              <w:spacing w:line="360" w:lineRule="auto"/>
              <w:ind w:firstLine="482" w:firstLineChars="200"/>
              <w:rPr>
                <w:rFonts w:ascii="Times New Roman" w:hAnsi="Times New Roman" w:eastAsia="宋体" w:cs="Times New Roman"/>
                <w:b/>
                <w:color w:val="auto"/>
                <w:sz w:val="24"/>
                <w:szCs w:val="24"/>
              </w:rPr>
            </w:pPr>
            <w:r>
              <w:rPr>
                <w:rFonts w:ascii="Times New Roman" w:hAnsi="Times New Roman" w:eastAsia="宋体" w:cs="Times New Roman"/>
                <w:b/>
                <w:color w:val="auto"/>
                <w:sz w:val="24"/>
                <w:szCs w:val="24"/>
              </w:rPr>
              <w:t>3、噪声</w:t>
            </w:r>
          </w:p>
          <w:p>
            <w:pPr>
              <w:wordWrap w:val="0"/>
              <w:spacing w:line="360" w:lineRule="auto"/>
              <w:ind w:firstLine="480" w:firstLineChars="200"/>
              <w:jc w:val="left"/>
              <w:rPr>
                <w:rFonts w:ascii="Times New Roman" w:hAnsi="Times New Roman" w:eastAsia="宋体" w:cs="Times New Roman"/>
                <w:bCs/>
                <w:color w:val="auto"/>
                <w:kern w:val="0"/>
                <w:sz w:val="24"/>
                <w:szCs w:val="24"/>
              </w:rPr>
            </w:pPr>
            <w:r>
              <w:rPr>
                <w:rFonts w:ascii="Times New Roman" w:hAnsi="Times New Roman" w:eastAsia="宋体" w:cs="Times New Roman"/>
                <w:bCs/>
                <w:color w:val="auto"/>
                <w:kern w:val="0"/>
                <w:sz w:val="24"/>
                <w:szCs w:val="24"/>
              </w:rPr>
              <w:t>本项目营运期各厂界噪声排放执行《工业企业厂界环境噪声排放标准》（GB12348-2008）中</w:t>
            </w:r>
            <w:r>
              <w:rPr>
                <w:rFonts w:hint="eastAsia" w:ascii="Times New Roman" w:hAnsi="Times New Roman" w:eastAsia="宋体" w:cs="Times New Roman"/>
                <w:bCs/>
                <w:color w:val="auto"/>
                <w:kern w:val="0"/>
                <w:sz w:val="24"/>
                <w:szCs w:val="24"/>
              </w:rPr>
              <w:t>2</w:t>
            </w:r>
            <w:r>
              <w:rPr>
                <w:rFonts w:ascii="Times New Roman" w:hAnsi="Times New Roman" w:eastAsia="宋体" w:cs="Times New Roman"/>
                <w:bCs/>
                <w:color w:val="auto"/>
                <w:kern w:val="0"/>
                <w:sz w:val="24"/>
                <w:szCs w:val="24"/>
              </w:rPr>
              <w:t>类标准</w:t>
            </w:r>
            <w:r>
              <w:rPr>
                <w:rFonts w:ascii="Times New Roman" w:hAnsi="Times New Roman" w:eastAsia="宋体" w:cs="Times New Roman"/>
                <w:bCs/>
                <w:color w:val="auto"/>
                <w:sz w:val="24"/>
              </w:rPr>
              <w:t>，标准值</w:t>
            </w:r>
            <w:r>
              <w:rPr>
                <w:rFonts w:ascii="Times New Roman" w:hAnsi="Times New Roman" w:eastAsia="宋体" w:cs="Times New Roman"/>
                <w:bCs/>
                <w:color w:val="auto"/>
                <w:kern w:val="0"/>
                <w:sz w:val="24"/>
                <w:szCs w:val="24"/>
              </w:rPr>
              <w:t>详见下表。</w:t>
            </w:r>
          </w:p>
          <w:p>
            <w:pPr>
              <w:adjustRightInd w:val="0"/>
              <w:spacing w:line="324" w:lineRule="auto"/>
              <w:jc w:val="center"/>
              <w:rPr>
                <w:rFonts w:ascii="Times New Roman" w:hAnsi="Times New Roman" w:eastAsia="黑体" w:cs="Times New Roman"/>
                <w:color w:val="auto"/>
                <w:sz w:val="24"/>
              </w:rPr>
            </w:pPr>
            <w:r>
              <w:rPr>
                <w:rFonts w:ascii="Times New Roman" w:hAnsi="Times New Roman" w:eastAsia="黑体" w:cs="Times New Roman"/>
                <w:color w:val="auto"/>
                <w:sz w:val="24"/>
              </w:rPr>
              <w:t>表3-</w:t>
            </w:r>
            <w:r>
              <w:rPr>
                <w:rFonts w:hint="eastAsia" w:ascii="Times New Roman" w:hAnsi="Times New Roman" w:eastAsia="黑体" w:cs="Times New Roman"/>
                <w:color w:val="auto"/>
                <w:sz w:val="24"/>
              </w:rPr>
              <w:t>8</w:t>
            </w:r>
            <w:r>
              <w:rPr>
                <w:rFonts w:ascii="Times New Roman" w:hAnsi="Times New Roman" w:eastAsia="黑体" w:cs="Times New Roman"/>
                <w:color w:val="auto"/>
                <w:sz w:val="24"/>
              </w:rPr>
              <w:t xml:space="preserve">  工业企业厂界环境噪声排放标准</w:t>
            </w:r>
          </w:p>
          <w:tbl>
            <w:tblPr>
              <w:tblStyle w:val="18"/>
              <w:tblW w:w="5000"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3919"/>
              <w:gridCol w:w="1964"/>
              <w:gridCol w:w="1965"/>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497" w:type="pct"/>
                  <w:vMerge w:val="restart"/>
                  <w:tcBorders>
                    <w:top w:val="single" w:color="auto" w:sz="8" w:space="0"/>
                  </w:tcBorders>
                  <w:vAlign w:val="center"/>
                </w:tcPr>
                <w:p>
                  <w:pPr>
                    <w:snapToGrid w:val="0"/>
                    <w:spacing w:line="276" w:lineRule="auto"/>
                    <w:jc w:val="center"/>
                    <w:rPr>
                      <w:rFonts w:ascii="Times New Roman" w:hAnsi="Times New Roman" w:eastAsia="宋体" w:cs="Times New Roman"/>
                      <w:b/>
                      <w:color w:val="auto"/>
                      <w:sz w:val="18"/>
                      <w:szCs w:val="18"/>
                    </w:rPr>
                  </w:pPr>
                  <w:r>
                    <w:rPr>
                      <w:rFonts w:ascii="Times New Roman" w:hAnsi="Times New Roman" w:eastAsia="宋体" w:cs="Times New Roman"/>
                      <w:b/>
                      <w:color w:val="auto"/>
                      <w:sz w:val="18"/>
                      <w:szCs w:val="18"/>
                    </w:rPr>
                    <w:t>标准名称</w:t>
                  </w:r>
                </w:p>
              </w:tc>
              <w:tc>
                <w:tcPr>
                  <w:tcW w:w="2503" w:type="pct"/>
                  <w:gridSpan w:val="2"/>
                  <w:tcBorders>
                    <w:top w:val="single" w:color="auto" w:sz="8" w:space="0"/>
                  </w:tcBorders>
                  <w:vAlign w:val="center"/>
                </w:tcPr>
                <w:p>
                  <w:pPr>
                    <w:snapToGrid w:val="0"/>
                    <w:spacing w:line="276" w:lineRule="auto"/>
                    <w:jc w:val="center"/>
                    <w:rPr>
                      <w:rFonts w:ascii="Times New Roman" w:hAnsi="Times New Roman" w:eastAsia="宋体" w:cs="Times New Roman"/>
                      <w:b/>
                      <w:color w:val="auto"/>
                      <w:sz w:val="18"/>
                      <w:szCs w:val="18"/>
                    </w:rPr>
                  </w:pPr>
                  <w:r>
                    <w:rPr>
                      <w:rFonts w:ascii="Times New Roman" w:hAnsi="Times New Roman" w:eastAsia="宋体" w:cs="Times New Roman"/>
                      <w:b/>
                      <w:color w:val="auto"/>
                      <w:sz w:val="18"/>
                      <w:szCs w:val="18"/>
                    </w:rPr>
                    <w:t>标准值（dB）</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497" w:type="pct"/>
                  <w:vMerge w:val="continue"/>
                  <w:vAlign w:val="center"/>
                </w:tcPr>
                <w:p>
                  <w:pPr>
                    <w:snapToGrid w:val="0"/>
                    <w:spacing w:line="276" w:lineRule="auto"/>
                    <w:jc w:val="center"/>
                    <w:rPr>
                      <w:rFonts w:ascii="Times New Roman" w:hAnsi="Times New Roman" w:eastAsia="宋体" w:cs="Times New Roman"/>
                      <w:color w:val="auto"/>
                      <w:sz w:val="18"/>
                      <w:szCs w:val="18"/>
                    </w:rPr>
                  </w:pPr>
                </w:p>
              </w:tc>
              <w:tc>
                <w:tcPr>
                  <w:tcW w:w="1251" w:type="pct"/>
                  <w:vAlign w:val="center"/>
                </w:tcPr>
                <w:p>
                  <w:pPr>
                    <w:snapToGrid w:val="0"/>
                    <w:spacing w:line="276" w:lineRule="auto"/>
                    <w:jc w:val="center"/>
                    <w:rPr>
                      <w:rFonts w:ascii="Times New Roman" w:hAnsi="Times New Roman" w:eastAsia="宋体" w:cs="Times New Roman"/>
                      <w:b/>
                      <w:color w:val="auto"/>
                      <w:sz w:val="18"/>
                      <w:szCs w:val="18"/>
                    </w:rPr>
                  </w:pPr>
                  <w:r>
                    <w:rPr>
                      <w:rFonts w:ascii="Times New Roman" w:hAnsi="Times New Roman" w:eastAsia="宋体" w:cs="Times New Roman"/>
                      <w:b/>
                      <w:color w:val="auto"/>
                      <w:sz w:val="18"/>
                      <w:szCs w:val="18"/>
                    </w:rPr>
                    <w:t>昼间</w:t>
                  </w:r>
                </w:p>
              </w:tc>
              <w:tc>
                <w:tcPr>
                  <w:tcW w:w="1251" w:type="pct"/>
                  <w:vAlign w:val="center"/>
                </w:tcPr>
                <w:p>
                  <w:pPr>
                    <w:snapToGrid w:val="0"/>
                    <w:spacing w:line="276" w:lineRule="auto"/>
                    <w:jc w:val="center"/>
                    <w:rPr>
                      <w:rFonts w:ascii="Times New Roman" w:hAnsi="Times New Roman" w:eastAsia="宋体" w:cs="Times New Roman"/>
                      <w:b/>
                      <w:color w:val="auto"/>
                      <w:sz w:val="18"/>
                      <w:szCs w:val="18"/>
                    </w:rPr>
                  </w:pPr>
                  <w:r>
                    <w:rPr>
                      <w:rFonts w:ascii="Times New Roman" w:hAnsi="Times New Roman" w:eastAsia="宋体" w:cs="Times New Roman"/>
                      <w:b/>
                      <w:color w:val="auto"/>
                      <w:sz w:val="18"/>
                      <w:szCs w:val="18"/>
                    </w:rPr>
                    <w:t>夜间</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497" w:type="pct"/>
                  <w:tcBorders>
                    <w:bottom w:val="single" w:color="auto" w:sz="8" w:space="0"/>
                  </w:tcBorders>
                  <w:vAlign w:val="center"/>
                </w:tcPr>
                <w:p>
                  <w:pPr>
                    <w:snapToGrid w:val="0"/>
                    <w:spacing w:line="276" w:lineRule="auto"/>
                    <w:jc w:val="center"/>
                    <w:rPr>
                      <w:rFonts w:ascii="Times New Roman" w:hAnsi="Times New Roman" w:eastAsia="宋体" w:cs="Times New Roman"/>
                      <w:color w:val="auto"/>
                      <w:sz w:val="18"/>
                      <w:szCs w:val="18"/>
                    </w:rPr>
                  </w:pPr>
                  <w:r>
                    <w:rPr>
                      <w:rFonts w:ascii="Times New Roman" w:hAnsi="Times New Roman" w:eastAsia="宋体" w:cs="Times New Roman"/>
                      <w:bCs/>
                      <w:color w:val="auto"/>
                      <w:sz w:val="18"/>
                      <w:szCs w:val="18"/>
                    </w:rPr>
                    <w:t>（GB12348-2008）中</w:t>
                  </w:r>
                  <w:r>
                    <w:rPr>
                      <w:rFonts w:hint="eastAsia" w:ascii="Times New Roman" w:hAnsi="Times New Roman" w:eastAsia="宋体" w:cs="Times New Roman"/>
                      <w:bCs/>
                      <w:color w:val="auto"/>
                      <w:sz w:val="18"/>
                      <w:szCs w:val="18"/>
                    </w:rPr>
                    <w:t>2</w:t>
                  </w:r>
                  <w:r>
                    <w:rPr>
                      <w:rFonts w:ascii="Times New Roman" w:hAnsi="Times New Roman" w:eastAsia="宋体" w:cs="Times New Roman"/>
                      <w:bCs/>
                      <w:color w:val="auto"/>
                      <w:sz w:val="18"/>
                      <w:szCs w:val="18"/>
                    </w:rPr>
                    <w:t>类标准</w:t>
                  </w:r>
                </w:p>
              </w:tc>
              <w:tc>
                <w:tcPr>
                  <w:tcW w:w="1251" w:type="pct"/>
                  <w:tcBorders>
                    <w:bottom w:val="single" w:color="auto" w:sz="8" w:space="0"/>
                  </w:tcBorders>
                  <w:vAlign w:val="center"/>
                </w:tcPr>
                <w:p>
                  <w:pPr>
                    <w:snapToGrid w:val="0"/>
                    <w:spacing w:line="276" w:lineRule="auto"/>
                    <w:jc w:val="center"/>
                    <w:rPr>
                      <w:rFonts w:ascii="Times New Roman" w:hAnsi="Times New Roman" w:eastAsia="宋体" w:cs="Times New Roman"/>
                      <w:color w:val="auto"/>
                      <w:sz w:val="18"/>
                      <w:szCs w:val="18"/>
                    </w:rPr>
                  </w:pPr>
                  <w:r>
                    <w:rPr>
                      <w:rFonts w:hint="eastAsia" w:ascii="Times New Roman" w:hAnsi="Times New Roman" w:eastAsia="宋体" w:cs="Times New Roman"/>
                      <w:color w:val="auto"/>
                      <w:sz w:val="18"/>
                      <w:szCs w:val="18"/>
                    </w:rPr>
                    <w:t>60</w:t>
                  </w:r>
                </w:p>
              </w:tc>
              <w:tc>
                <w:tcPr>
                  <w:tcW w:w="1251" w:type="pct"/>
                  <w:tcBorders>
                    <w:bottom w:val="single" w:color="auto" w:sz="8" w:space="0"/>
                  </w:tcBorders>
                  <w:vAlign w:val="center"/>
                </w:tcPr>
                <w:p>
                  <w:pPr>
                    <w:snapToGrid w:val="0"/>
                    <w:spacing w:line="276" w:lineRule="auto"/>
                    <w:jc w:val="center"/>
                    <w:rPr>
                      <w:rFonts w:ascii="Times New Roman" w:hAnsi="Times New Roman" w:eastAsia="宋体" w:cs="Times New Roman"/>
                      <w:color w:val="auto"/>
                      <w:sz w:val="18"/>
                      <w:szCs w:val="18"/>
                    </w:rPr>
                  </w:pPr>
                  <w:r>
                    <w:rPr>
                      <w:rFonts w:hint="eastAsia" w:ascii="Times New Roman" w:hAnsi="Times New Roman" w:eastAsia="宋体" w:cs="Times New Roman"/>
                      <w:color w:val="auto"/>
                      <w:sz w:val="18"/>
                      <w:szCs w:val="18"/>
                    </w:rPr>
                    <w:t>50</w:t>
                  </w:r>
                </w:p>
              </w:tc>
            </w:tr>
          </w:tbl>
          <w:p>
            <w:pPr>
              <w:spacing w:line="360" w:lineRule="auto"/>
              <w:ind w:firstLine="482" w:firstLineChars="200"/>
              <w:jc w:val="left"/>
              <w:rPr>
                <w:rFonts w:ascii="Times New Roman" w:hAnsi="Times New Roman" w:eastAsia="宋体" w:cs="Times New Roman"/>
                <w:b/>
                <w:color w:val="auto"/>
                <w:sz w:val="24"/>
                <w:szCs w:val="24"/>
              </w:rPr>
            </w:pPr>
            <w:r>
              <w:rPr>
                <w:rFonts w:ascii="Times New Roman" w:hAnsi="Times New Roman" w:eastAsia="宋体" w:cs="Times New Roman"/>
                <w:b/>
                <w:color w:val="auto"/>
                <w:sz w:val="24"/>
                <w:szCs w:val="24"/>
              </w:rPr>
              <w:t>4、固体废物</w:t>
            </w:r>
          </w:p>
          <w:p>
            <w:pPr>
              <w:spacing w:line="360" w:lineRule="auto"/>
              <w:ind w:firstLine="480" w:firstLineChars="200"/>
              <w:rPr>
                <w:rFonts w:ascii="Times New Roman" w:hAnsi="Times New Roman" w:eastAsia="宋体" w:cs="Times New Roman"/>
                <w:snapToGrid w:val="0"/>
                <w:color w:val="auto"/>
                <w:kern w:val="0"/>
                <w:sz w:val="24"/>
              </w:rPr>
            </w:pPr>
            <w:r>
              <w:rPr>
                <w:rFonts w:ascii="Times New Roman" w:hAnsi="Times New Roman" w:eastAsia="宋体" w:cs="Times New Roman"/>
                <w:snapToGrid w:val="0"/>
                <w:color w:val="auto"/>
                <w:kern w:val="0"/>
                <w:sz w:val="24"/>
              </w:rPr>
              <w:t>按照《中华人民共和国固体废物污染环境防治法》的要求，固体废物要妥善处置，不得形成二次污染。一般工业固体废物废物贮存、处置参照执行《一般工业固体废物贮存和填埋污染控制标准》（GB18599-2020）；危险废物贮存执行《危险废物贮存污染控制标准》（GB18597-2023）。</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0997" w:hRule="atLeast"/>
          <w:jc w:val="center"/>
        </w:trPr>
        <w:tc>
          <w:tcPr>
            <w:tcW w:w="457" w:type="dxa"/>
            <w:tcMar>
              <w:left w:w="28" w:type="dxa"/>
              <w:right w:w="28" w:type="dxa"/>
            </w:tcMar>
            <w:vAlign w:val="center"/>
          </w:tcPr>
          <w:p>
            <w:pPr>
              <w:jc w:val="center"/>
              <w:rPr>
                <w:rFonts w:ascii="Times New Roman" w:hAnsi="Times New Roman" w:eastAsia="宋体" w:cs="Times New Roman"/>
                <w:bCs/>
                <w:color w:val="auto"/>
                <w:sz w:val="24"/>
                <w:szCs w:val="24"/>
              </w:rPr>
            </w:pPr>
            <w:r>
              <w:rPr>
                <w:rFonts w:ascii="Times New Roman" w:hAnsi="Times New Roman" w:eastAsia="宋体" w:cs="Times New Roman"/>
                <w:bCs/>
                <w:color w:val="auto"/>
                <w:sz w:val="24"/>
                <w:szCs w:val="24"/>
              </w:rPr>
              <w:t>总量</w:t>
            </w:r>
          </w:p>
          <w:p>
            <w:pPr>
              <w:jc w:val="center"/>
              <w:rPr>
                <w:rFonts w:ascii="Times New Roman" w:hAnsi="Times New Roman" w:eastAsia="宋体" w:cs="Times New Roman"/>
                <w:bCs/>
                <w:color w:val="auto"/>
                <w:sz w:val="24"/>
                <w:szCs w:val="24"/>
              </w:rPr>
            </w:pPr>
            <w:r>
              <w:rPr>
                <w:rFonts w:ascii="Times New Roman" w:hAnsi="Times New Roman" w:eastAsia="宋体" w:cs="Times New Roman"/>
                <w:bCs/>
                <w:color w:val="auto"/>
                <w:sz w:val="24"/>
                <w:szCs w:val="24"/>
              </w:rPr>
              <w:t>控制</w:t>
            </w:r>
          </w:p>
          <w:p>
            <w:pPr>
              <w:jc w:val="center"/>
              <w:rPr>
                <w:rFonts w:ascii="Times New Roman" w:hAnsi="Times New Roman" w:eastAsia="宋体" w:cs="Times New Roman"/>
                <w:bCs/>
                <w:color w:val="auto"/>
                <w:sz w:val="24"/>
                <w:szCs w:val="24"/>
              </w:rPr>
            </w:pPr>
            <w:r>
              <w:rPr>
                <w:rFonts w:ascii="Times New Roman" w:hAnsi="Times New Roman" w:eastAsia="宋体" w:cs="Times New Roman"/>
                <w:bCs/>
                <w:color w:val="auto"/>
                <w:sz w:val="24"/>
                <w:szCs w:val="24"/>
              </w:rPr>
              <w:t>指标</w:t>
            </w:r>
          </w:p>
        </w:tc>
        <w:tc>
          <w:tcPr>
            <w:tcW w:w="8064" w:type="dxa"/>
            <w:vAlign w:val="center"/>
          </w:tcPr>
          <w:p>
            <w:pPr>
              <w:wordWrap w:val="0"/>
              <w:spacing w:line="360" w:lineRule="auto"/>
              <w:rPr>
                <w:rFonts w:ascii="Times New Roman" w:hAnsi="Times New Roman" w:eastAsia="宋体" w:cs="Times New Roman"/>
                <w:snapToGrid w:val="0"/>
                <w:color w:val="auto"/>
                <w:kern w:val="0"/>
                <w:sz w:val="24"/>
              </w:rPr>
            </w:pPr>
            <w:r>
              <w:rPr>
                <w:rFonts w:ascii="Times New Roman" w:hAnsi="Times New Roman" w:eastAsia="宋体" w:cs="Times New Roman"/>
                <w:snapToGrid w:val="0"/>
                <w:color w:val="auto"/>
                <w:kern w:val="0"/>
                <w:sz w:val="24"/>
              </w:rPr>
              <w:t>废气：本项目颗粒物、VOCs有组织排放量为</w:t>
            </w:r>
            <w:r>
              <w:rPr>
                <w:rFonts w:hint="eastAsia" w:ascii="Times New Roman" w:hAnsi="Times New Roman" w:eastAsia="宋体" w:cs="Times New Roman"/>
                <w:snapToGrid w:val="0"/>
                <w:color w:val="auto"/>
                <w:kern w:val="0"/>
                <w:sz w:val="24"/>
              </w:rPr>
              <w:t>0.012</w:t>
            </w:r>
            <w:r>
              <w:rPr>
                <w:rFonts w:ascii="Times New Roman" w:hAnsi="Times New Roman" w:eastAsia="宋体" w:cs="Times New Roman"/>
                <w:snapToGrid w:val="0"/>
                <w:color w:val="auto"/>
                <w:kern w:val="0"/>
                <w:sz w:val="24"/>
              </w:rPr>
              <w:t>t/a</w:t>
            </w:r>
            <w:r>
              <w:rPr>
                <w:rFonts w:hint="eastAsia" w:ascii="Times New Roman" w:hAnsi="Times New Roman" w:eastAsia="宋体" w:cs="Times New Roman"/>
                <w:snapToGrid w:val="0"/>
                <w:color w:val="auto"/>
                <w:kern w:val="0"/>
                <w:sz w:val="24"/>
              </w:rPr>
              <w:t>、0.0012</w:t>
            </w:r>
            <w:r>
              <w:rPr>
                <w:rFonts w:ascii="Times New Roman" w:hAnsi="Times New Roman" w:eastAsia="宋体" w:cs="Times New Roman"/>
                <w:snapToGrid w:val="0"/>
                <w:color w:val="auto"/>
                <w:kern w:val="0"/>
                <w:sz w:val="24"/>
              </w:rPr>
              <w:t>t/a，无组织</w:t>
            </w:r>
            <w:r>
              <w:rPr>
                <w:rFonts w:hint="eastAsia" w:ascii="Times New Roman" w:hAnsi="Times New Roman" w:eastAsia="宋体" w:cs="Times New Roman"/>
                <w:snapToGrid w:val="0"/>
                <w:color w:val="auto"/>
                <w:kern w:val="0"/>
                <w:sz w:val="24"/>
              </w:rPr>
              <w:t>颗粒物</w:t>
            </w:r>
            <w:r>
              <w:rPr>
                <w:rFonts w:ascii="Times New Roman" w:hAnsi="Times New Roman" w:eastAsia="宋体" w:cs="Times New Roman"/>
                <w:snapToGrid w:val="0"/>
                <w:color w:val="auto"/>
                <w:kern w:val="0"/>
                <w:sz w:val="24"/>
              </w:rPr>
              <w:t>排放量为</w:t>
            </w:r>
            <w:r>
              <w:rPr>
                <w:rFonts w:hint="eastAsia" w:ascii="Times New Roman" w:hAnsi="Times New Roman" w:eastAsia="宋体" w:cs="Times New Roman"/>
                <w:snapToGrid w:val="0"/>
                <w:color w:val="auto"/>
                <w:kern w:val="0"/>
                <w:sz w:val="24"/>
              </w:rPr>
              <w:t>0.4305</w:t>
            </w:r>
            <w:r>
              <w:rPr>
                <w:rFonts w:ascii="Times New Roman" w:hAnsi="Times New Roman" w:eastAsia="宋体" w:cs="Times New Roman"/>
                <w:snapToGrid w:val="0"/>
                <w:color w:val="auto"/>
                <w:kern w:val="0"/>
                <w:sz w:val="24"/>
              </w:rPr>
              <w:t>t/a。</w:t>
            </w:r>
          </w:p>
          <w:p>
            <w:pPr>
              <w:spacing w:line="360" w:lineRule="auto"/>
              <w:jc w:val="left"/>
              <w:rPr>
                <w:rFonts w:ascii="Times New Roman" w:hAnsi="Times New Roman" w:eastAsia="宋体" w:cs="Times New Roman"/>
                <w:snapToGrid w:val="0"/>
                <w:color w:val="auto"/>
                <w:kern w:val="0"/>
                <w:sz w:val="24"/>
              </w:rPr>
            </w:pPr>
            <w:r>
              <w:rPr>
                <w:rFonts w:ascii="Times New Roman" w:hAnsi="Times New Roman" w:eastAsia="宋体" w:cs="Times New Roman"/>
                <w:snapToGrid w:val="0"/>
                <w:color w:val="auto"/>
                <w:kern w:val="0"/>
                <w:sz w:val="24"/>
              </w:rPr>
              <w:t>废水：本项目生活污水经化粪池处理后接管至市政污水管网，送至八公山污水处理厂处理后排入淮河。</w:t>
            </w:r>
          </w:p>
        </w:tc>
      </w:tr>
    </w:tbl>
    <w:p>
      <w:pPr>
        <w:jc w:val="center"/>
        <w:rPr>
          <w:rFonts w:ascii="Times New Roman" w:hAnsi="Times New Roman" w:eastAsia="宋体" w:cs="Times New Roman"/>
          <w:bCs/>
          <w:sz w:val="24"/>
          <w:szCs w:val="24"/>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widowControl/>
        <w:snapToGrid w:val="0"/>
        <w:spacing w:line="360" w:lineRule="auto"/>
        <w:jc w:val="center"/>
        <w:outlineLvl w:val="0"/>
        <w:rPr>
          <w:rFonts w:ascii="Times New Roman" w:hAnsi="Times New Roman" w:eastAsia="宋体" w:cs="Times New Roman"/>
          <w:snapToGrid w:val="0"/>
          <w:kern w:val="0"/>
          <w:sz w:val="30"/>
          <w:szCs w:val="30"/>
        </w:rPr>
      </w:pPr>
      <w:r>
        <w:rPr>
          <w:rFonts w:ascii="Times New Roman" w:hAnsi="Times New Roman" w:eastAsia="宋体" w:cs="Times New Roman"/>
          <w:snapToGrid w:val="0"/>
          <w:kern w:val="0"/>
          <w:sz w:val="30"/>
          <w:szCs w:val="30"/>
        </w:rPr>
        <w:t>四、主要环境影响和保护措施</w:t>
      </w:r>
    </w:p>
    <w:tbl>
      <w:tblPr>
        <w:tblStyle w:val="17"/>
        <w:tblW w:w="8448"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495"/>
        <w:gridCol w:w="7953"/>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3168" w:hRule="atLeast"/>
          <w:jc w:val="center"/>
        </w:trPr>
        <w:tc>
          <w:tcPr>
            <w:tcW w:w="495" w:type="dxa"/>
            <w:tcMar>
              <w:left w:w="28" w:type="dxa"/>
              <w:right w:w="28" w:type="dxa"/>
            </w:tcMar>
            <w:vAlign w:val="center"/>
          </w:tcPr>
          <w:p>
            <w:pPr>
              <w:jc w:val="center"/>
              <w:rPr>
                <w:rFonts w:ascii="Times New Roman" w:hAnsi="Times New Roman" w:eastAsia="宋体" w:cs="Times New Roman"/>
                <w:bCs/>
                <w:color w:val="auto"/>
                <w:sz w:val="24"/>
                <w:szCs w:val="24"/>
              </w:rPr>
            </w:pPr>
            <w:r>
              <w:rPr>
                <w:rFonts w:ascii="Times New Roman" w:hAnsi="Times New Roman" w:eastAsia="宋体" w:cs="Times New Roman"/>
                <w:bCs/>
                <w:color w:val="auto"/>
                <w:sz w:val="24"/>
                <w:szCs w:val="24"/>
              </w:rPr>
              <w:t>施工期环境保护措施</w:t>
            </w:r>
          </w:p>
        </w:tc>
        <w:tc>
          <w:tcPr>
            <w:tcW w:w="7953" w:type="dxa"/>
          </w:tcPr>
          <w:p>
            <w:pPr>
              <w:spacing w:line="360" w:lineRule="auto"/>
              <w:ind w:firstLine="480" w:firstLineChars="200"/>
              <w:rPr>
                <w:rFonts w:ascii="Times New Roman" w:hAnsi="Times New Roman" w:eastAsia="宋体" w:cs="Times New Roman"/>
                <w:snapToGrid w:val="0"/>
                <w:color w:val="auto"/>
                <w:sz w:val="24"/>
              </w:rPr>
            </w:pPr>
            <w:r>
              <w:rPr>
                <w:rFonts w:ascii="Times New Roman" w:hAnsi="Times New Roman" w:eastAsia="宋体" w:cs="Times New Roman"/>
                <w:snapToGrid w:val="0"/>
                <w:color w:val="auto"/>
                <w:sz w:val="24"/>
              </w:rPr>
              <w:t>本项目租赁现有厂房，施工期主要是对厂房进行简单改造、设备安装，不涉及大型土建工程，产生的污染物较少。因此，本次评价仅对其进行简要定性分析和评价。</w:t>
            </w:r>
          </w:p>
          <w:p>
            <w:pPr>
              <w:spacing w:line="360" w:lineRule="auto"/>
              <w:ind w:firstLine="480" w:firstLineChars="200"/>
              <w:rPr>
                <w:rFonts w:ascii="Times New Roman" w:hAnsi="Times New Roman" w:eastAsia="宋体" w:cs="Times New Roman"/>
                <w:snapToGrid w:val="0"/>
                <w:color w:val="auto"/>
                <w:sz w:val="24"/>
              </w:rPr>
            </w:pPr>
            <w:r>
              <w:rPr>
                <w:rFonts w:ascii="Times New Roman" w:hAnsi="Times New Roman" w:eastAsia="宋体" w:cs="Times New Roman"/>
                <w:snapToGrid w:val="0"/>
                <w:color w:val="auto"/>
                <w:sz w:val="24"/>
              </w:rPr>
              <w:t>施工期保护措施如下：</w:t>
            </w:r>
          </w:p>
          <w:p>
            <w:pPr>
              <w:spacing w:line="360" w:lineRule="auto"/>
              <w:ind w:firstLine="480" w:firstLineChars="200"/>
              <w:rPr>
                <w:rFonts w:ascii="Times New Roman" w:hAnsi="Times New Roman" w:eastAsia="宋体" w:cs="Times New Roman"/>
                <w:snapToGrid w:val="0"/>
                <w:color w:val="auto"/>
                <w:sz w:val="24"/>
              </w:rPr>
            </w:pPr>
            <w:r>
              <w:rPr>
                <w:rFonts w:ascii="Times New Roman" w:hAnsi="Times New Roman" w:eastAsia="宋体" w:cs="Times New Roman"/>
                <w:snapToGrid w:val="0"/>
                <w:color w:val="auto"/>
                <w:sz w:val="24"/>
              </w:rPr>
              <w:t>（1）施工人员生活废水经化粪池预处理后排入市政污水管网。</w:t>
            </w:r>
          </w:p>
          <w:p>
            <w:pPr>
              <w:spacing w:line="360" w:lineRule="auto"/>
              <w:ind w:firstLine="480" w:firstLineChars="200"/>
              <w:rPr>
                <w:rFonts w:ascii="Times New Roman" w:hAnsi="Times New Roman" w:eastAsia="宋体" w:cs="Times New Roman"/>
                <w:snapToGrid w:val="0"/>
                <w:color w:val="auto"/>
                <w:sz w:val="24"/>
              </w:rPr>
            </w:pPr>
            <w:r>
              <w:rPr>
                <w:rFonts w:ascii="Times New Roman" w:hAnsi="Times New Roman" w:eastAsia="宋体" w:cs="Times New Roman"/>
                <w:snapToGrid w:val="0"/>
                <w:color w:val="auto"/>
                <w:sz w:val="24"/>
              </w:rPr>
              <w:t>（2）施工人员生活垃圾由垃圾桶收集后委托环卫清运。</w:t>
            </w:r>
          </w:p>
          <w:p>
            <w:pPr>
              <w:spacing w:line="360" w:lineRule="auto"/>
              <w:ind w:firstLine="480" w:firstLineChars="200"/>
              <w:rPr>
                <w:rFonts w:ascii="Times New Roman" w:hAnsi="Times New Roman" w:eastAsia="宋体" w:cs="Times New Roman"/>
                <w:snapToGrid w:val="0"/>
                <w:color w:val="auto"/>
                <w:sz w:val="24"/>
              </w:rPr>
            </w:pPr>
            <w:r>
              <w:rPr>
                <w:rFonts w:ascii="Times New Roman" w:hAnsi="Times New Roman" w:eastAsia="宋体" w:cs="Times New Roman"/>
                <w:snapToGrid w:val="0"/>
                <w:color w:val="auto"/>
                <w:sz w:val="24"/>
              </w:rPr>
              <w:t>（3）通过关闭厂房门窗降低施工噪声对周围环境的影响。</w:t>
            </w:r>
          </w:p>
          <w:p>
            <w:pPr>
              <w:spacing w:line="360" w:lineRule="auto"/>
              <w:ind w:firstLine="480" w:firstLineChars="200"/>
              <w:rPr>
                <w:rFonts w:ascii="Times New Roman" w:hAnsi="Times New Roman" w:eastAsia="宋体" w:cs="Times New Roman"/>
                <w:color w:val="auto"/>
                <w:sz w:val="24"/>
              </w:rPr>
            </w:pPr>
          </w:p>
          <w:p>
            <w:pPr>
              <w:spacing w:line="360" w:lineRule="auto"/>
              <w:ind w:firstLine="480" w:firstLineChars="200"/>
              <w:rPr>
                <w:rFonts w:ascii="Times New Roman" w:hAnsi="Times New Roman" w:eastAsia="宋体" w:cs="Times New Roman"/>
                <w:color w:val="auto"/>
                <w:sz w:val="24"/>
              </w:rPr>
            </w:pPr>
          </w:p>
          <w:p>
            <w:pPr>
              <w:spacing w:line="360" w:lineRule="auto"/>
              <w:ind w:firstLine="480" w:firstLineChars="200"/>
              <w:rPr>
                <w:rFonts w:ascii="Times New Roman" w:hAnsi="Times New Roman" w:eastAsia="宋体" w:cs="Times New Roman"/>
                <w:color w:val="auto"/>
                <w:sz w:val="24"/>
              </w:rPr>
            </w:pPr>
          </w:p>
          <w:p>
            <w:pPr>
              <w:spacing w:line="360" w:lineRule="auto"/>
              <w:ind w:firstLine="480" w:firstLineChars="200"/>
              <w:rPr>
                <w:rFonts w:ascii="Times New Roman" w:hAnsi="Times New Roman" w:eastAsia="宋体" w:cs="Times New Roman"/>
                <w:color w:val="auto"/>
                <w:sz w:val="24"/>
              </w:rPr>
            </w:pPr>
          </w:p>
          <w:p>
            <w:pPr>
              <w:spacing w:line="360" w:lineRule="auto"/>
              <w:ind w:firstLine="480" w:firstLineChars="200"/>
              <w:rPr>
                <w:rFonts w:ascii="Times New Roman" w:hAnsi="Times New Roman" w:eastAsia="宋体" w:cs="Times New Roman"/>
                <w:color w:val="auto"/>
                <w:sz w:val="24"/>
              </w:rPr>
            </w:pPr>
          </w:p>
          <w:p>
            <w:pPr>
              <w:spacing w:line="360" w:lineRule="auto"/>
              <w:ind w:firstLine="480" w:firstLineChars="200"/>
              <w:rPr>
                <w:rFonts w:ascii="Times New Roman" w:hAnsi="Times New Roman" w:eastAsia="宋体" w:cs="Times New Roman"/>
                <w:color w:val="auto"/>
                <w:sz w:val="24"/>
              </w:rPr>
            </w:pPr>
          </w:p>
          <w:p>
            <w:pPr>
              <w:spacing w:line="360" w:lineRule="auto"/>
              <w:ind w:firstLine="480" w:firstLineChars="200"/>
              <w:rPr>
                <w:rFonts w:ascii="Times New Roman" w:hAnsi="Times New Roman" w:eastAsia="宋体" w:cs="Times New Roman"/>
                <w:color w:val="auto"/>
                <w:sz w:val="24"/>
              </w:rPr>
            </w:pPr>
          </w:p>
          <w:p>
            <w:pPr>
              <w:spacing w:line="360" w:lineRule="auto"/>
              <w:ind w:firstLine="480" w:firstLineChars="200"/>
              <w:rPr>
                <w:rFonts w:ascii="Times New Roman" w:hAnsi="Times New Roman" w:eastAsia="宋体" w:cs="Times New Roman"/>
                <w:color w:val="auto"/>
                <w:sz w:val="24"/>
              </w:rPr>
            </w:pPr>
          </w:p>
          <w:p>
            <w:pPr>
              <w:spacing w:line="360" w:lineRule="auto"/>
              <w:ind w:firstLine="480" w:firstLineChars="200"/>
              <w:rPr>
                <w:rFonts w:ascii="Times New Roman" w:hAnsi="Times New Roman" w:eastAsia="宋体" w:cs="Times New Roman"/>
                <w:color w:val="auto"/>
                <w:sz w:val="24"/>
              </w:rPr>
            </w:pPr>
          </w:p>
          <w:p>
            <w:pPr>
              <w:spacing w:line="360" w:lineRule="auto"/>
              <w:ind w:firstLine="480" w:firstLineChars="200"/>
              <w:rPr>
                <w:rFonts w:ascii="Times New Roman" w:hAnsi="Times New Roman" w:eastAsia="宋体" w:cs="Times New Roman"/>
                <w:color w:val="auto"/>
                <w:sz w:val="24"/>
              </w:rPr>
            </w:pPr>
          </w:p>
          <w:p>
            <w:pPr>
              <w:spacing w:line="360" w:lineRule="auto"/>
              <w:ind w:firstLine="480" w:firstLineChars="200"/>
              <w:rPr>
                <w:rFonts w:ascii="Times New Roman" w:hAnsi="Times New Roman" w:eastAsia="宋体" w:cs="Times New Roman"/>
                <w:color w:val="auto"/>
                <w:sz w:val="24"/>
              </w:rPr>
            </w:pPr>
          </w:p>
          <w:p>
            <w:pPr>
              <w:spacing w:line="360" w:lineRule="auto"/>
              <w:ind w:firstLine="480" w:firstLineChars="200"/>
              <w:rPr>
                <w:rFonts w:ascii="Times New Roman" w:hAnsi="Times New Roman" w:eastAsia="宋体" w:cs="Times New Roman"/>
                <w:color w:val="auto"/>
                <w:sz w:val="24"/>
              </w:rPr>
            </w:pPr>
          </w:p>
          <w:p>
            <w:pPr>
              <w:spacing w:line="360" w:lineRule="auto"/>
              <w:ind w:firstLine="480" w:firstLineChars="200"/>
              <w:rPr>
                <w:rFonts w:ascii="Times New Roman" w:hAnsi="Times New Roman" w:eastAsia="宋体" w:cs="Times New Roman"/>
                <w:color w:val="auto"/>
                <w:sz w:val="24"/>
              </w:rPr>
            </w:pPr>
          </w:p>
          <w:p>
            <w:pPr>
              <w:spacing w:line="360" w:lineRule="auto"/>
              <w:ind w:firstLine="480" w:firstLineChars="200"/>
              <w:rPr>
                <w:rFonts w:ascii="Times New Roman" w:hAnsi="Times New Roman" w:eastAsia="宋体" w:cs="Times New Roman"/>
                <w:color w:val="auto"/>
                <w:sz w:val="24"/>
              </w:rPr>
            </w:pPr>
          </w:p>
          <w:p>
            <w:pPr>
              <w:spacing w:line="360" w:lineRule="auto"/>
              <w:ind w:firstLine="480" w:firstLineChars="200"/>
              <w:rPr>
                <w:rFonts w:ascii="Times New Roman" w:hAnsi="Times New Roman" w:eastAsia="宋体" w:cs="Times New Roman"/>
                <w:color w:val="auto"/>
                <w:sz w:val="24"/>
              </w:rPr>
            </w:pPr>
          </w:p>
          <w:p>
            <w:pPr>
              <w:spacing w:line="360" w:lineRule="auto"/>
              <w:rPr>
                <w:rFonts w:ascii="Times New Roman" w:hAnsi="Times New Roman" w:eastAsia="宋体" w:cs="Times New Roman"/>
                <w:color w:val="auto"/>
                <w:sz w:val="24"/>
              </w:rPr>
            </w:pPr>
          </w:p>
          <w:p>
            <w:pPr>
              <w:spacing w:line="360" w:lineRule="auto"/>
              <w:rPr>
                <w:rFonts w:ascii="Times New Roman" w:hAnsi="Times New Roman" w:eastAsia="宋体" w:cs="Times New Roman"/>
                <w:color w:val="auto"/>
                <w:sz w:val="24"/>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3315" w:hRule="atLeast"/>
          <w:jc w:val="center"/>
        </w:trPr>
        <w:tc>
          <w:tcPr>
            <w:tcW w:w="495" w:type="dxa"/>
            <w:tcMar>
              <w:left w:w="28" w:type="dxa"/>
              <w:right w:w="28" w:type="dxa"/>
            </w:tcMar>
            <w:vAlign w:val="center"/>
          </w:tcPr>
          <w:p>
            <w:pPr>
              <w:jc w:val="center"/>
              <w:rPr>
                <w:rFonts w:ascii="Times New Roman" w:hAnsi="Times New Roman" w:eastAsia="宋体" w:cs="Times New Roman"/>
                <w:bCs/>
                <w:color w:val="auto"/>
                <w:sz w:val="24"/>
                <w:szCs w:val="24"/>
              </w:rPr>
            </w:pPr>
            <w:r>
              <w:rPr>
                <w:rFonts w:ascii="Times New Roman" w:hAnsi="Times New Roman" w:eastAsia="宋体" w:cs="Times New Roman"/>
                <w:bCs/>
                <w:color w:val="auto"/>
                <w:sz w:val="24"/>
                <w:szCs w:val="24"/>
              </w:rPr>
              <w:t>运营</w:t>
            </w:r>
          </w:p>
          <w:p>
            <w:pPr>
              <w:jc w:val="center"/>
              <w:rPr>
                <w:rFonts w:ascii="Times New Roman" w:hAnsi="Times New Roman" w:eastAsia="宋体" w:cs="Times New Roman"/>
                <w:bCs/>
                <w:color w:val="auto"/>
                <w:sz w:val="24"/>
                <w:szCs w:val="24"/>
              </w:rPr>
            </w:pPr>
            <w:r>
              <w:rPr>
                <w:rFonts w:ascii="Times New Roman" w:hAnsi="Times New Roman" w:eastAsia="宋体" w:cs="Times New Roman"/>
                <w:bCs/>
                <w:color w:val="auto"/>
                <w:sz w:val="24"/>
                <w:szCs w:val="24"/>
              </w:rPr>
              <w:t>期环</w:t>
            </w:r>
          </w:p>
          <w:p>
            <w:pPr>
              <w:jc w:val="center"/>
              <w:rPr>
                <w:rFonts w:ascii="Times New Roman" w:hAnsi="Times New Roman" w:eastAsia="宋体" w:cs="Times New Roman"/>
                <w:bCs/>
                <w:color w:val="auto"/>
                <w:sz w:val="24"/>
                <w:szCs w:val="24"/>
              </w:rPr>
            </w:pPr>
            <w:r>
              <w:rPr>
                <w:rFonts w:ascii="Times New Roman" w:hAnsi="Times New Roman" w:eastAsia="宋体" w:cs="Times New Roman"/>
                <w:bCs/>
                <w:color w:val="auto"/>
                <w:sz w:val="24"/>
                <w:szCs w:val="24"/>
              </w:rPr>
              <w:t>境影</w:t>
            </w:r>
          </w:p>
          <w:p>
            <w:pPr>
              <w:jc w:val="center"/>
              <w:rPr>
                <w:rFonts w:ascii="Times New Roman" w:hAnsi="Times New Roman" w:eastAsia="宋体" w:cs="Times New Roman"/>
                <w:bCs/>
                <w:color w:val="auto"/>
                <w:sz w:val="24"/>
                <w:szCs w:val="24"/>
              </w:rPr>
            </w:pPr>
            <w:r>
              <w:rPr>
                <w:rFonts w:ascii="Times New Roman" w:hAnsi="Times New Roman" w:eastAsia="宋体" w:cs="Times New Roman"/>
                <w:bCs/>
                <w:color w:val="auto"/>
                <w:sz w:val="24"/>
                <w:szCs w:val="24"/>
              </w:rPr>
              <w:t>响和</w:t>
            </w:r>
          </w:p>
          <w:p>
            <w:pPr>
              <w:jc w:val="center"/>
              <w:rPr>
                <w:rFonts w:ascii="Times New Roman" w:hAnsi="Times New Roman" w:eastAsia="宋体" w:cs="Times New Roman"/>
                <w:bCs/>
                <w:color w:val="auto"/>
                <w:sz w:val="24"/>
                <w:szCs w:val="24"/>
              </w:rPr>
            </w:pPr>
            <w:r>
              <w:rPr>
                <w:rFonts w:ascii="Times New Roman" w:hAnsi="Times New Roman" w:eastAsia="宋体" w:cs="Times New Roman"/>
                <w:bCs/>
                <w:color w:val="auto"/>
                <w:sz w:val="24"/>
                <w:szCs w:val="24"/>
              </w:rPr>
              <w:t>保护</w:t>
            </w:r>
          </w:p>
          <w:p>
            <w:pPr>
              <w:widowControl/>
              <w:jc w:val="center"/>
              <w:rPr>
                <w:rFonts w:ascii="Times New Roman" w:hAnsi="Times New Roman" w:eastAsia="宋体" w:cs="Times New Roman"/>
                <w:bCs/>
                <w:color w:val="auto"/>
                <w:sz w:val="24"/>
                <w:szCs w:val="24"/>
              </w:rPr>
            </w:pPr>
            <w:r>
              <w:rPr>
                <w:rFonts w:ascii="Times New Roman" w:hAnsi="Times New Roman" w:eastAsia="宋体" w:cs="Times New Roman"/>
                <w:bCs/>
                <w:color w:val="auto"/>
                <w:sz w:val="24"/>
                <w:szCs w:val="24"/>
              </w:rPr>
              <w:t>措施</w:t>
            </w:r>
          </w:p>
        </w:tc>
        <w:tc>
          <w:tcPr>
            <w:tcW w:w="7953" w:type="dxa"/>
          </w:tcPr>
          <w:p>
            <w:pPr>
              <w:spacing w:line="360" w:lineRule="auto"/>
              <w:rPr>
                <w:rFonts w:ascii="Times New Roman" w:hAnsi="Times New Roman" w:eastAsia="宋体" w:cs="Times New Roman"/>
                <w:b/>
                <w:bCs/>
                <w:color w:val="auto"/>
                <w:sz w:val="24"/>
                <w:szCs w:val="24"/>
              </w:rPr>
            </w:pPr>
            <w:r>
              <w:rPr>
                <w:rFonts w:ascii="Times New Roman" w:hAnsi="Times New Roman" w:eastAsia="宋体" w:cs="Times New Roman"/>
                <w:b/>
                <w:bCs/>
                <w:color w:val="auto"/>
                <w:sz w:val="24"/>
                <w:szCs w:val="24"/>
              </w:rPr>
              <w:t>一、运营期水环境影响和保护措施</w:t>
            </w:r>
          </w:p>
          <w:p>
            <w:pPr>
              <w:spacing w:line="360" w:lineRule="auto"/>
              <w:ind w:firstLine="442" w:firstLineChars="200"/>
              <w:rPr>
                <w:rFonts w:ascii="Times New Roman" w:hAnsi="Times New Roman" w:eastAsia="宋体" w:cs="Times New Roman"/>
                <w:b/>
                <w:bCs/>
                <w:color w:val="auto"/>
                <w:spacing w:val="-10"/>
                <w:sz w:val="24"/>
                <w:szCs w:val="24"/>
              </w:rPr>
            </w:pPr>
            <w:r>
              <w:rPr>
                <w:rFonts w:ascii="Times New Roman" w:hAnsi="Times New Roman" w:eastAsia="宋体" w:cs="Times New Roman"/>
                <w:b/>
                <w:bCs/>
                <w:color w:val="auto"/>
                <w:spacing w:val="-10"/>
                <w:sz w:val="24"/>
                <w:szCs w:val="24"/>
              </w:rPr>
              <w:t>1、运营期水环境影响分析</w:t>
            </w:r>
          </w:p>
          <w:p>
            <w:pPr>
              <w:spacing w:line="360" w:lineRule="auto"/>
              <w:ind w:firstLine="480" w:firstLineChars="200"/>
              <w:rPr>
                <w:rFonts w:ascii="Times New Roman" w:hAnsi="Times New Roman" w:eastAsia="宋体" w:cs="Times New Roman"/>
                <w:color w:val="auto"/>
                <w:sz w:val="24"/>
              </w:rPr>
            </w:pPr>
            <w:r>
              <w:rPr>
                <w:rFonts w:ascii="Times New Roman" w:hAnsi="Times New Roman" w:eastAsia="宋体" w:cs="Times New Roman"/>
                <w:color w:val="auto"/>
                <w:sz w:val="24"/>
              </w:rPr>
              <w:t>根据工程分析，本项目用水为生活用水，废水主要</w:t>
            </w:r>
            <w:r>
              <w:rPr>
                <w:rFonts w:hint="eastAsia" w:ascii="Times New Roman" w:hAnsi="Times New Roman" w:eastAsia="宋体" w:cs="Times New Roman"/>
                <w:color w:val="auto"/>
                <w:sz w:val="24"/>
              </w:rPr>
              <w:t>为</w:t>
            </w:r>
            <w:r>
              <w:rPr>
                <w:rFonts w:ascii="Times New Roman" w:hAnsi="Times New Roman" w:eastAsia="宋体" w:cs="Times New Roman"/>
                <w:color w:val="auto"/>
                <w:sz w:val="24"/>
              </w:rPr>
              <w:t>生活污水，无生产废水。</w:t>
            </w:r>
          </w:p>
          <w:p>
            <w:pPr>
              <w:spacing w:line="360" w:lineRule="auto"/>
              <w:ind w:firstLine="480" w:firstLineChars="200"/>
              <w:rPr>
                <w:rFonts w:ascii="Times New Roman" w:hAnsi="Times New Roman" w:eastAsia="宋体" w:cs="Times New Roman"/>
                <w:color w:val="auto"/>
                <w:sz w:val="24"/>
              </w:rPr>
            </w:pPr>
            <w:r>
              <w:rPr>
                <w:rFonts w:ascii="Times New Roman" w:hAnsi="Times New Roman" w:eastAsia="宋体" w:cs="Times New Roman"/>
                <w:color w:val="auto"/>
                <w:sz w:val="24"/>
                <w:szCs w:val="28"/>
              </w:rPr>
              <w:t>根据建设单位提供资料，</w:t>
            </w:r>
            <w:r>
              <w:rPr>
                <w:rFonts w:ascii="Times New Roman" w:hAnsi="Times New Roman" w:eastAsia="宋体" w:cs="Times New Roman"/>
                <w:color w:val="auto"/>
                <w:sz w:val="24"/>
                <w:szCs w:val="24"/>
              </w:rPr>
              <w:t>本项目投入生产后劳动定员45人。</w:t>
            </w:r>
            <w:r>
              <w:rPr>
                <w:rFonts w:ascii="Times New Roman" w:hAnsi="Times New Roman" w:eastAsia="宋体" w:cs="Times New Roman"/>
                <w:color w:val="auto"/>
                <w:sz w:val="24"/>
              </w:rPr>
              <w:t>根据《安徽省行业用水定额》（DB34/T 679-2014），人员用水量以50L/（人·d）计，则用水量为2.25m</w:t>
            </w:r>
            <w:r>
              <w:rPr>
                <w:rFonts w:ascii="Times New Roman" w:hAnsi="Times New Roman" w:eastAsia="宋体" w:cs="Times New Roman"/>
                <w:color w:val="auto"/>
                <w:sz w:val="24"/>
                <w:vertAlign w:val="superscript"/>
              </w:rPr>
              <w:t>3</w:t>
            </w:r>
            <w:r>
              <w:rPr>
                <w:rFonts w:ascii="Times New Roman" w:hAnsi="Times New Roman" w:eastAsia="宋体" w:cs="Times New Roman"/>
                <w:color w:val="auto"/>
                <w:sz w:val="24"/>
              </w:rPr>
              <w:t>/d，合</w:t>
            </w:r>
            <w:r>
              <w:rPr>
                <w:rFonts w:ascii="Times New Roman" w:hAnsi="Times New Roman" w:eastAsia="宋体" w:cs="Times New Roman"/>
                <w:color w:val="auto"/>
                <w:sz w:val="24"/>
                <w:szCs w:val="28"/>
              </w:rPr>
              <w:t>计年用水量为</w:t>
            </w:r>
            <w:r>
              <w:rPr>
                <w:rFonts w:ascii="Times New Roman" w:hAnsi="Times New Roman" w:eastAsia="宋体" w:cs="Times New Roman"/>
                <w:color w:val="auto"/>
                <w:sz w:val="24"/>
              </w:rPr>
              <w:t>675m</w:t>
            </w:r>
            <w:r>
              <w:rPr>
                <w:rFonts w:ascii="Times New Roman" w:hAnsi="Times New Roman" w:eastAsia="宋体" w:cs="Times New Roman"/>
                <w:color w:val="auto"/>
                <w:sz w:val="24"/>
                <w:vertAlign w:val="superscript"/>
              </w:rPr>
              <w:t>3</w:t>
            </w:r>
            <w:r>
              <w:rPr>
                <w:rFonts w:ascii="Times New Roman" w:hAnsi="Times New Roman" w:eastAsia="宋体" w:cs="Times New Roman"/>
                <w:color w:val="auto"/>
                <w:sz w:val="24"/>
              </w:rPr>
              <w:t>/a。</w:t>
            </w:r>
            <w:r>
              <w:rPr>
                <w:rFonts w:ascii="Times New Roman" w:hAnsi="Times New Roman" w:eastAsia="宋体" w:cs="Times New Roman"/>
                <w:color w:val="auto"/>
                <w:sz w:val="24"/>
                <w:szCs w:val="28"/>
              </w:rPr>
              <w:t>根据《环境统计手册》，生活污水的产生量取用水量的80%，则生活污水产生量约为1.8</w:t>
            </w:r>
            <w:r>
              <w:rPr>
                <w:rFonts w:ascii="Times New Roman" w:hAnsi="Times New Roman" w:eastAsia="宋体" w:cs="Times New Roman"/>
                <w:color w:val="auto"/>
                <w:sz w:val="24"/>
              </w:rPr>
              <w:t>m</w:t>
            </w:r>
            <w:r>
              <w:rPr>
                <w:rFonts w:ascii="Times New Roman" w:hAnsi="Times New Roman" w:eastAsia="宋体" w:cs="Times New Roman"/>
                <w:color w:val="auto"/>
                <w:sz w:val="24"/>
                <w:vertAlign w:val="superscript"/>
              </w:rPr>
              <w:t>3</w:t>
            </w:r>
            <w:r>
              <w:rPr>
                <w:rFonts w:ascii="Times New Roman" w:hAnsi="Times New Roman" w:eastAsia="宋体" w:cs="Times New Roman"/>
                <w:color w:val="auto"/>
                <w:sz w:val="24"/>
              </w:rPr>
              <w:t>/d（540m</w:t>
            </w:r>
            <w:r>
              <w:rPr>
                <w:rFonts w:ascii="Times New Roman" w:hAnsi="Times New Roman" w:eastAsia="宋体" w:cs="Times New Roman"/>
                <w:color w:val="auto"/>
                <w:sz w:val="24"/>
                <w:vertAlign w:val="superscript"/>
              </w:rPr>
              <w:t>3</w:t>
            </w:r>
            <w:r>
              <w:rPr>
                <w:rFonts w:ascii="Times New Roman" w:hAnsi="Times New Roman" w:eastAsia="宋体" w:cs="Times New Roman"/>
                <w:color w:val="auto"/>
                <w:sz w:val="24"/>
              </w:rPr>
              <w:t>/a）。生活污水经化粪池处理后接管至市政污水管网，送至八公山污水处理厂处理，</w:t>
            </w:r>
          </w:p>
          <w:p>
            <w:pPr>
              <w:spacing w:line="360" w:lineRule="auto"/>
              <w:ind w:firstLine="470" w:firstLineChars="196"/>
              <w:rPr>
                <w:rFonts w:ascii="Times New Roman" w:hAnsi="Times New Roman" w:eastAsia="宋体" w:cs="Times New Roman"/>
                <w:color w:val="auto"/>
                <w:sz w:val="24"/>
              </w:rPr>
            </w:pPr>
            <w:r>
              <w:rPr>
                <w:rFonts w:ascii="Times New Roman" w:hAnsi="Times New Roman" w:eastAsia="宋体" w:cs="Times New Roman"/>
                <w:color w:val="auto"/>
                <w:sz w:val="24"/>
              </w:rPr>
              <w:t>本项目废水产生情况见下表：</w:t>
            </w:r>
          </w:p>
          <w:p>
            <w:pPr>
              <w:adjustRightInd w:val="0"/>
              <w:spacing w:line="324" w:lineRule="auto"/>
              <w:jc w:val="center"/>
              <w:rPr>
                <w:rFonts w:ascii="Times New Roman" w:hAnsi="Times New Roman" w:eastAsia="黑体" w:cs="Times New Roman"/>
                <w:color w:val="auto"/>
                <w:sz w:val="24"/>
              </w:rPr>
            </w:pPr>
            <w:r>
              <w:rPr>
                <w:rFonts w:ascii="Times New Roman" w:hAnsi="Times New Roman" w:eastAsia="黑体" w:cs="Times New Roman"/>
                <w:color w:val="auto"/>
                <w:sz w:val="24"/>
              </w:rPr>
              <w:t>表4-1  项目废水产生及排放情况一览表</w:t>
            </w:r>
          </w:p>
          <w:tbl>
            <w:tblPr>
              <w:tblStyle w:val="17"/>
              <w:tblW w:w="4996" w:type="pct"/>
              <w:jc w:val="center"/>
              <w:tblBorders>
                <w:top w:val="single" w:color="auto" w:sz="8" w:space="0"/>
                <w:left w:val="none" w:color="auto" w:sz="0" w:space="0"/>
                <w:bottom w:val="single" w:color="auto" w:sz="8"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944"/>
              <w:gridCol w:w="1009"/>
              <w:gridCol w:w="944"/>
              <w:gridCol w:w="1009"/>
              <w:gridCol w:w="944"/>
              <w:gridCol w:w="1038"/>
              <w:gridCol w:w="1036"/>
              <w:gridCol w:w="807"/>
            </w:tblGrid>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610" w:type="pct"/>
                  <w:vMerge w:val="restar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rPr>
                  </w:pPr>
                  <w:r>
                    <w:rPr>
                      <w:rFonts w:ascii="Times New Roman" w:hAnsi="Times New Roman" w:eastAsia="宋体" w:cs="Times New Roman"/>
                      <w:b/>
                      <w:bCs/>
                      <w:color w:val="auto"/>
                      <w:kern w:val="0"/>
                      <w:sz w:val="18"/>
                      <w:szCs w:val="18"/>
                    </w:rPr>
                    <w:t>污染源</w:t>
                  </w:r>
                </w:p>
              </w:tc>
              <w:tc>
                <w:tcPr>
                  <w:tcW w:w="652" w:type="pct"/>
                  <w:vMerge w:val="restar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rPr>
                  </w:pPr>
                  <w:r>
                    <w:rPr>
                      <w:rFonts w:ascii="Times New Roman" w:hAnsi="Times New Roman" w:eastAsia="宋体" w:cs="Times New Roman"/>
                      <w:b/>
                      <w:bCs/>
                      <w:color w:val="auto"/>
                      <w:kern w:val="0"/>
                      <w:sz w:val="18"/>
                      <w:szCs w:val="18"/>
                    </w:rPr>
                    <w:t>废水量（</w:t>
                  </w:r>
                  <w:r>
                    <w:rPr>
                      <w:rFonts w:ascii="Times New Roman" w:hAnsi="Times New Roman" w:eastAsia="宋体" w:cs="Times New Roman"/>
                      <w:color w:val="auto"/>
                      <w:kern w:val="0"/>
                      <w:sz w:val="18"/>
                      <w:szCs w:val="18"/>
                    </w:rPr>
                    <w:t>m</w:t>
                  </w:r>
                  <w:r>
                    <w:rPr>
                      <w:rFonts w:ascii="Times New Roman" w:hAnsi="Times New Roman" w:eastAsia="宋体" w:cs="Times New Roman"/>
                      <w:color w:val="auto"/>
                      <w:kern w:val="0"/>
                      <w:sz w:val="18"/>
                      <w:szCs w:val="18"/>
                      <w:vertAlign w:val="superscript"/>
                    </w:rPr>
                    <w:t>3</w:t>
                  </w:r>
                  <w:r>
                    <w:rPr>
                      <w:rFonts w:ascii="Times New Roman" w:hAnsi="Times New Roman" w:eastAsia="宋体" w:cs="Times New Roman"/>
                      <w:color w:val="auto"/>
                      <w:kern w:val="0"/>
                      <w:sz w:val="18"/>
                      <w:szCs w:val="18"/>
                    </w:rPr>
                    <w:t>/a）</w:t>
                  </w:r>
                </w:p>
              </w:tc>
              <w:tc>
                <w:tcPr>
                  <w:tcW w:w="610" w:type="pct"/>
                  <w:vMerge w:val="restar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rPr>
                  </w:pPr>
                  <w:r>
                    <w:rPr>
                      <w:rFonts w:ascii="Times New Roman" w:hAnsi="Times New Roman" w:eastAsia="宋体" w:cs="Times New Roman"/>
                      <w:b/>
                      <w:bCs/>
                      <w:color w:val="auto"/>
                      <w:kern w:val="0"/>
                      <w:sz w:val="18"/>
                      <w:szCs w:val="18"/>
                    </w:rPr>
                    <w:t>污染物种类</w:t>
                  </w:r>
                </w:p>
              </w:tc>
              <w:tc>
                <w:tcPr>
                  <w:tcW w:w="1262" w:type="pct"/>
                  <w:gridSpan w:val="2"/>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rPr>
                  </w:pPr>
                  <w:r>
                    <w:rPr>
                      <w:rFonts w:ascii="Times New Roman" w:hAnsi="Times New Roman" w:eastAsia="宋体" w:cs="Times New Roman"/>
                      <w:b/>
                      <w:bCs/>
                      <w:color w:val="auto"/>
                      <w:kern w:val="0"/>
                      <w:sz w:val="18"/>
                      <w:szCs w:val="18"/>
                    </w:rPr>
                    <w:t>污染物产生情况</w:t>
                  </w:r>
                </w:p>
              </w:tc>
              <w:tc>
                <w:tcPr>
                  <w:tcW w:w="671" w:type="pct"/>
                  <w:vMerge w:val="restar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rPr>
                  </w:pPr>
                  <w:r>
                    <w:rPr>
                      <w:rFonts w:ascii="Times New Roman" w:hAnsi="Times New Roman" w:eastAsia="宋体" w:cs="Times New Roman"/>
                      <w:b/>
                      <w:bCs/>
                      <w:color w:val="auto"/>
                      <w:kern w:val="0"/>
                      <w:sz w:val="18"/>
                      <w:szCs w:val="18"/>
                    </w:rPr>
                    <w:t>治理措施</w:t>
                  </w:r>
                </w:p>
              </w:tc>
              <w:tc>
                <w:tcPr>
                  <w:tcW w:w="1192" w:type="pct"/>
                  <w:gridSpan w:val="2"/>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kern w:val="0"/>
                      <w:sz w:val="18"/>
                      <w:szCs w:val="18"/>
                    </w:rPr>
                  </w:pPr>
                  <w:r>
                    <w:rPr>
                      <w:rFonts w:ascii="Times New Roman" w:hAnsi="Times New Roman" w:eastAsia="宋体" w:cs="Times New Roman"/>
                      <w:b/>
                      <w:bCs/>
                      <w:color w:val="auto"/>
                      <w:kern w:val="0"/>
                      <w:sz w:val="18"/>
                      <w:szCs w:val="18"/>
                    </w:rPr>
                    <w:t>排放情况</w:t>
                  </w:r>
                </w:p>
                <w:p>
                  <w:pPr>
                    <w:widowControl/>
                    <w:adjustRightInd w:val="0"/>
                    <w:snapToGrid w:val="0"/>
                    <w:jc w:val="center"/>
                    <w:textAlignment w:val="center"/>
                    <w:rPr>
                      <w:rFonts w:ascii="Times New Roman" w:hAnsi="Times New Roman" w:eastAsia="宋体" w:cs="Times New Roman"/>
                      <w:b/>
                      <w:bCs/>
                      <w:color w:val="auto"/>
                      <w:sz w:val="18"/>
                      <w:szCs w:val="18"/>
                    </w:rPr>
                  </w:pPr>
                  <w:r>
                    <w:rPr>
                      <w:rFonts w:ascii="Times New Roman" w:hAnsi="Times New Roman" w:eastAsia="宋体" w:cs="Times New Roman"/>
                      <w:b/>
                      <w:bCs/>
                      <w:color w:val="auto"/>
                      <w:kern w:val="0"/>
                      <w:sz w:val="18"/>
                      <w:szCs w:val="18"/>
                    </w:rPr>
                    <w:t>（排入外环境）</w:t>
                  </w: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610" w:type="pct"/>
                  <w:vMerge w:val="continue"/>
                  <w:tcBorders>
                    <w:tl2br w:val="nil"/>
                    <w:tr2bl w:val="nil"/>
                  </w:tcBorders>
                  <w:shd w:val="clear" w:color="auto" w:fill="auto"/>
                  <w:vAlign w:val="center"/>
                </w:tcPr>
                <w:p>
                  <w:pPr>
                    <w:widowControl/>
                    <w:adjustRightInd w:val="0"/>
                    <w:snapToGrid w:val="0"/>
                    <w:jc w:val="center"/>
                    <w:rPr>
                      <w:rFonts w:ascii="Times New Roman" w:hAnsi="Times New Roman" w:eastAsia="宋体" w:cs="Times New Roman"/>
                      <w:b/>
                      <w:bCs/>
                      <w:color w:val="auto"/>
                      <w:sz w:val="18"/>
                      <w:szCs w:val="18"/>
                    </w:rPr>
                  </w:pPr>
                </w:p>
              </w:tc>
              <w:tc>
                <w:tcPr>
                  <w:tcW w:w="652" w:type="pct"/>
                  <w:vMerge w:val="continue"/>
                  <w:tcBorders>
                    <w:tl2br w:val="nil"/>
                    <w:tr2bl w:val="nil"/>
                  </w:tcBorders>
                  <w:shd w:val="clear" w:color="auto" w:fill="auto"/>
                  <w:vAlign w:val="center"/>
                </w:tcPr>
                <w:p>
                  <w:pPr>
                    <w:widowControl/>
                    <w:adjustRightInd w:val="0"/>
                    <w:snapToGrid w:val="0"/>
                    <w:jc w:val="center"/>
                    <w:rPr>
                      <w:rFonts w:ascii="Times New Roman" w:hAnsi="Times New Roman" w:eastAsia="宋体" w:cs="Times New Roman"/>
                      <w:b/>
                      <w:bCs/>
                      <w:color w:val="auto"/>
                      <w:sz w:val="18"/>
                      <w:szCs w:val="18"/>
                    </w:rPr>
                  </w:pPr>
                </w:p>
              </w:tc>
              <w:tc>
                <w:tcPr>
                  <w:tcW w:w="610" w:type="pct"/>
                  <w:vMerge w:val="continue"/>
                  <w:tcBorders>
                    <w:tl2br w:val="nil"/>
                    <w:tr2bl w:val="nil"/>
                  </w:tcBorders>
                  <w:shd w:val="clear" w:color="auto" w:fill="auto"/>
                  <w:vAlign w:val="center"/>
                </w:tcPr>
                <w:p>
                  <w:pPr>
                    <w:widowControl/>
                    <w:adjustRightInd w:val="0"/>
                    <w:snapToGrid w:val="0"/>
                    <w:jc w:val="center"/>
                    <w:rPr>
                      <w:rFonts w:ascii="Times New Roman" w:hAnsi="Times New Roman" w:eastAsia="宋体" w:cs="Times New Roman"/>
                      <w:b/>
                      <w:bCs/>
                      <w:color w:val="auto"/>
                      <w:sz w:val="18"/>
                      <w:szCs w:val="18"/>
                    </w:rPr>
                  </w:pPr>
                </w:p>
              </w:tc>
              <w:tc>
                <w:tcPr>
                  <w:tcW w:w="652"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kern w:val="0"/>
                      <w:sz w:val="18"/>
                      <w:szCs w:val="18"/>
                    </w:rPr>
                  </w:pPr>
                  <w:r>
                    <w:rPr>
                      <w:rFonts w:ascii="Times New Roman" w:hAnsi="Times New Roman" w:eastAsia="宋体" w:cs="Times New Roman"/>
                      <w:b/>
                      <w:bCs/>
                      <w:color w:val="auto"/>
                      <w:kern w:val="0"/>
                      <w:sz w:val="18"/>
                      <w:szCs w:val="18"/>
                    </w:rPr>
                    <w:t>产生浓度</w:t>
                  </w:r>
                </w:p>
                <w:p>
                  <w:pPr>
                    <w:widowControl/>
                    <w:adjustRightInd w:val="0"/>
                    <w:snapToGrid w:val="0"/>
                    <w:jc w:val="center"/>
                    <w:textAlignment w:val="center"/>
                    <w:rPr>
                      <w:rFonts w:ascii="Times New Roman" w:hAnsi="Times New Roman" w:eastAsia="宋体" w:cs="Times New Roman"/>
                      <w:b/>
                      <w:bCs/>
                      <w:color w:val="auto"/>
                      <w:sz w:val="18"/>
                      <w:szCs w:val="18"/>
                    </w:rPr>
                  </w:pPr>
                  <w:r>
                    <w:rPr>
                      <w:rFonts w:ascii="Times New Roman" w:hAnsi="Times New Roman" w:eastAsia="宋体" w:cs="Times New Roman"/>
                      <w:b/>
                      <w:bCs/>
                      <w:color w:val="auto"/>
                      <w:kern w:val="0"/>
                      <w:sz w:val="18"/>
                      <w:szCs w:val="18"/>
                    </w:rPr>
                    <w:t>（mg/L）</w:t>
                  </w:r>
                </w:p>
              </w:tc>
              <w:tc>
                <w:tcPr>
                  <w:tcW w:w="610"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kern w:val="0"/>
                      <w:sz w:val="18"/>
                      <w:szCs w:val="18"/>
                    </w:rPr>
                  </w:pPr>
                  <w:r>
                    <w:rPr>
                      <w:rFonts w:ascii="Times New Roman" w:hAnsi="Times New Roman" w:eastAsia="宋体" w:cs="Times New Roman"/>
                      <w:b/>
                      <w:bCs/>
                      <w:color w:val="auto"/>
                      <w:kern w:val="0"/>
                      <w:sz w:val="18"/>
                      <w:szCs w:val="18"/>
                    </w:rPr>
                    <w:t>产生量</w:t>
                  </w:r>
                </w:p>
                <w:p>
                  <w:pPr>
                    <w:widowControl/>
                    <w:adjustRightInd w:val="0"/>
                    <w:snapToGrid w:val="0"/>
                    <w:jc w:val="center"/>
                    <w:textAlignment w:val="center"/>
                    <w:rPr>
                      <w:rFonts w:ascii="Times New Roman" w:hAnsi="Times New Roman" w:eastAsia="宋体" w:cs="Times New Roman"/>
                      <w:b/>
                      <w:bCs/>
                      <w:color w:val="auto"/>
                      <w:sz w:val="18"/>
                      <w:szCs w:val="18"/>
                    </w:rPr>
                  </w:pPr>
                  <w:r>
                    <w:rPr>
                      <w:rFonts w:ascii="Times New Roman" w:hAnsi="Times New Roman" w:eastAsia="宋体" w:cs="Times New Roman"/>
                      <w:b/>
                      <w:bCs/>
                      <w:color w:val="auto"/>
                      <w:kern w:val="0"/>
                      <w:sz w:val="18"/>
                      <w:szCs w:val="18"/>
                    </w:rPr>
                    <w:t>（t/a）</w:t>
                  </w:r>
                </w:p>
              </w:tc>
              <w:tc>
                <w:tcPr>
                  <w:tcW w:w="671" w:type="pct"/>
                  <w:vMerge w:val="continue"/>
                  <w:tcBorders>
                    <w:tl2br w:val="nil"/>
                    <w:tr2bl w:val="nil"/>
                  </w:tcBorders>
                  <w:shd w:val="clear" w:color="auto" w:fill="auto"/>
                  <w:vAlign w:val="center"/>
                </w:tcPr>
                <w:p>
                  <w:pPr>
                    <w:widowControl/>
                    <w:adjustRightInd w:val="0"/>
                    <w:snapToGrid w:val="0"/>
                    <w:jc w:val="center"/>
                    <w:rPr>
                      <w:rFonts w:ascii="Times New Roman" w:hAnsi="Times New Roman" w:eastAsia="宋体" w:cs="Times New Roman"/>
                      <w:b/>
                      <w:bCs/>
                      <w:color w:val="auto"/>
                      <w:sz w:val="18"/>
                      <w:szCs w:val="18"/>
                    </w:rPr>
                  </w:pPr>
                </w:p>
              </w:tc>
              <w:tc>
                <w:tcPr>
                  <w:tcW w:w="670"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kern w:val="0"/>
                      <w:sz w:val="18"/>
                      <w:szCs w:val="18"/>
                    </w:rPr>
                  </w:pPr>
                  <w:r>
                    <w:rPr>
                      <w:rFonts w:ascii="Times New Roman" w:hAnsi="Times New Roman" w:eastAsia="宋体" w:cs="Times New Roman"/>
                      <w:b/>
                      <w:bCs/>
                      <w:color w:val="auto"/>
                      <w:kern w:val="0"/>
                      <w:sz w:val="18"/>
                      <w:szCs w:val="18"/>
                    </w:rPr>
                    <w:t>排放浓度</w:t>
                  </w:r>
                </w:p>
                <w:p>
                  <w:pPr>
                    <w:widowControl/>
                    <w:adjustRightInd w:val="0"/>
                    <w:snapToGrid w:val="0"/>
                    <w:jc w:val="center"/>
                    <w:textAlignment w:val="center"/>
                    <w:rPr>
                      <w:rFonts w:ascii="Times New Roman" w:hAnsi="Times New Roman" w:eastAsia="宋体" w:cs="Times New Roman"/>
                      <w:b/>
                      <w:bCs/>
                      <w:color w:val="auto"/>
                      <w:sz w:val="18"/>
                      <w:szCs w:val="18"/>
                    </w:rPr>
                  </w:pPr>
                  <w:r>
                    <w:rPr>
                      <w:rFonts w:ascii="Times New Roman" w:hAnsi="Times New Roman" w:eastAsia="宋体" w:cs="Times New Roman"/>
                      <w:b/>
                      <w:bCs/>
                      <w:color w:val="auto"/>
                      <w:kern w:val="0"/>
                      <w:sz w:val="18"/>
                      <w:szCs w:val="18"/>
                    </w:rPr>
                    <w:t>（mg/L）</w:t>
                  </w:r>
                </w:p>
              </w:tc>
              <w:tc>
                <w:tcPr>
                  <w:tcW w:w="521"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kern w:val="0"/>
                      <w:sz w:val="18"/>
                      <w:szCs w:val="18"/>
                    </w:rPr>
                  </w:pPr>
                  <w:r>
                    <w:rPr>
                      <w:rFonts w:ascii="Times New Roman" w:hAnsi="Times New Roman" w:eastAsia="宋体" w:cs="Times New Roman"/>
                      <w:b/>
                      <w:bCs/>
                      <w:color w:val="auto"/>
                      <w:kern w:val="0"/>
                      <w:sz w:val="18"/>
                      <w:szCs w:val="18"/>
                    </w:rPr>
                    <w:t>排放量</w:t>
                  </w:r>
                </w:p>
                <w:p>
                  <w:pPr>
                    <w:widowControl/>
                    <w:adjustRightInd w:val="0"/>
                    <w:snapToGrid w:val="0"/>
                    <w:jc w:val="center"/>
                    <w:textAlignment w:val="center"/>
                    <w:rPr>
                      <w:rFonts w:ascii="Times New Roman" w:hAnsi="Times New Roman" w:eastAsia="宋体" w:cs="Times New Roman"/>
                      <w:b/>
                      <w:bCs/>
                      <w:color w:val="auto"/>
                      <w:sz w:val="18"/>
                      <w:szCs w:val="18"/>
                    </w:rPr>
                  </w:pPr>
                  <w:r>
                    <w:rPr>
                      <w:rFonts w:ascii="Times New Roman" w:hAnsi="Times New Roman" w:eastAsia="宋体" w:cs="Times New Roman"/>
                      <w:b/>
                      <w:bCs/>
                      <w:color w:val="auto"/>
                      <w:kern w:val="0"/>
                      <w:sz w:val="18"/>
                      <w:szCs w:val="18"/>
                    </w:rPr>
                    <w:t>（t/a）</w:t>
                  </w: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610" w:type="pct"/>
                  <w:vMerge w:val="restar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生活污水</w:t>
                  </w:r>
                </w:p>
              </w:tc>
              <w:tc>
                <w:tcPr>
                  <w:tcW w:w="652" w:type="pct"/>
                  <w:vMerge w:val="restar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540</w:t>
                  </w:r>
                </w:p>
              </w:tc>
              <w:tc>
                <w:tcPr>
                  <w:tcW w:w="610"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COD</w:t>
                  </w:r>
                  <w:r>
                    <w:rPr>
                      <w:rFonts w:ascii="Times New Roman" w:hAnsi="Times New Roman" w:eastAsia="宋体" w:cs="Times New Roman"/>
                      <w:color w:val="auto"/>
                      <w:kern w:val="0"/>
                      <w:sz w:val="18"/>
                      <w:szCs w:val="18"/>
                      <w:vertAlign w:val="subscript"/>
                    </w:rPr>
                    <w:t>Cr</w:t>
                  </w:r>
                </w:p>
              </w:tc>
              <w:tc>
                <w:tcPr>
                  <w:tcW w:w="652"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300</w:t>
                  </w:r>
                </w:p>
              </w:tc>
              <w:tc>
                <w:tcPr>
                  <w:tcW w:w="944" w:type="dxa"/>
                  <w:tcBorders>
                    <w:tl2br w:val="nil"/>
                    <w:tr2bl w:val="nil"/>
                  </w:tcBorders>
                  <w:shd w:val="clear" w:color="auto" w:fill="auto"/>
                  <w:vAlign w:val="center"/>
                </w:tcPr>
                <w:p>
                  <w:pPr>
                    <w:widowControl/>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0.162</w:t>
                  </w:r>
                </w:p>
              </w:tc>
              <w:tc>
                <w:tcPr>
                  <w:tcW w:w="671" w:type="pct"/>
                  <w:vMerge w:val="restar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sz w:val="18"/>
                      <w:szCs w:val="18"/>
                    </w:rPr>
                    <w:t>经化粪池处理后接管至市政污水管网，送至八公山污水处理厂处理后排入淮河</w:t>
                  </w:r>
                </w:p>
              </w:tc>
              <w:tc>
                <w:tcPr>
                  <w:tcW w:w="670" w:type="pct"/>
                  <w:tcBorders>
                    <w:tl2br w:val="nil"/>
                    <w:tr2bl w:val="nil"/>
                  </w:tcBorders>
                  <w:shd w:val="clear" w:color="auto" w:fill="auto"/>
                  <w:vAlign w:val="center"/>
                </w:tcPr>
                <w:p>
                  <w:pPr>
                    <w:widowControl/>
                    <w:adjustRightInd w:val="0"/>
                    <w:snapToGrid w:val="0"/>
                    <w:jc w:val="center"/>
                    <w:textAlignment w:val="center"/>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kern w:val="0"/>
                      <w:sz w:val="18"/>
                      <w:szCs w:val="18"/>
                      <w:lang w:val="en-US" w:eastAsia="zh-CN"/>
                    </w:rPr>
                    <w:t>50</w:t>
                  </w:r>
                </w:p>
              </w:tc>
              <w:tc>
                <w:tcPr>
                  <w:tcW w:w="521" w:type="pct"/>
                  <w:tcBorders>
                    <w:tl2br w:val="nil"/>
                    <w:tr2bl w:val="nil"/>
                  </w:tcBorders>
                  <w:shd w:val="clear" w:color="auto" w:fill="auto"/>
                  <w:vAlign w:val="center"/>
                </w:tcPr>
                <w:p>
                  <w:pPr>
                    <w:widowControl/>
                    <w:adjustRightInd w:val="0"/>
                    <w:snapToGrid w:val="0"/>
                    <w:jc w:val="center"/>
                    <w:textAlignment w:val="center"/>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kern w:val="0"/>
                      <w:sz w:val="18"/>
                      <w:szCs w:val="18"/>
                      <w:lang w:val="en-US" w:eastAsia="zh-CN"/>
                    </w:rPr>
                    <w:t>0.027</w:t>
                  </w: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610" w:type="pct"/>
                  <w:vMerge w:val="continue"/>
                  <w:tcBorders>
                    <w:tl2br w:val="nil"/>
                    <w:tr2bl w:val="nil"/>
                  </w:tcBorders>
                  <w:shd w:val="clear" w:color="auto" w:fill="auto"/>
                  <w:vAlign w:val="center"/>
                </w:tcPr>
                <w:p>
                  <w:pPr>
                    <w:widowControl/>
                    <w:adjustRightInd w:val="0"/>
                    <w:snapToGrid w:val="0"/>
                    <w:jc w:val="center"/>
                    <w:rPr>
                      <w:rFonts w:ascii="Times New Roman" w:hAnsi="Times New Roman" w:eastAsia="宋体" w:cs="Times New Roman"/>
                      <w:color w:val="auto"/>
                      <w:sz w:val="18"/>
                      <w:szCs w:val="18"/>
                    </w:rPr>
                  </w:pPr>
                </w:p>
              </w:tc>
              <w:tc>
                <w:tcPr>
                  <w:tcW w:w="652" w:type="pct"/>
                  <w:vMerge w:val="continue"/>
                  <w:tcBorders>
                    <w:tl2br w:val="nil"/>
                    <w:tr2bl w:val="nil"/>
                  </w:tcBorders>
                  <w:shd w:val="clear" w:color="auto" w:fill="auto"/>
                  <w:vAlign w:val="center"/>
                </w:tcPr>
                <w:p>
                  <w:pPr>
                    <w:widowControl/>
                    <w:adjustRightInd w:val="0"/>
                    <w:snapToGrid w:val="0"/>
                    <w:jc w:val="center"/>
                    <w:rPr>
                      <w:rFonts w:ascii="Times New Roman" w:hAnsi="Times New Roman" w:eastAsia="宋体" w:cs="Times New Roman"/>
                      <w:color w:val="auto"/>
                      <w:sz w:val="18"/>
                      <w:szCs w:val="18"/>
                    </w:rPr>
                  </w:pPr>
                </w:p>
              </w:tc>
              <w:tc>
                <w:tcPr>
                  <w:tcW w:w="610"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BOD</w:t>
                  </w:r>
                  <w:r>
                    <w:rPr>
                      <w:rFonts w:ascii="Times New Roman" w:hAnsi="Times New Roman" w:eastAsia="宋体" w:cs="Times New Roman"/>
                      <w:color w:val="auto"/>
                      <w:kern w:val="0"/>
                      <w:sz w:val="18"/>
                      <w:szCs w:val="18"/>
                      <w:vertAlign w:val="subscript"/>
                    </w:rPr>
                    <w:t>5</w:t>
                  </w:r>
                </w:p>
              </w:tc>
              <w:tc>
                <w:tcPr>
                  <w:tcW w:w="652"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180</w:t>
                  </w:r>
                </w:p>
              </w:tc>
              <w:tc>
                <w:tcPr>
                  <w:tcW w:w="944" w:type="dxa"/>
                  <w:tcBorders>
                    <w:tl2br w:val="nil"/>
                    <w:tr2bl w:val="nil"/>
                  </w:tcBorders>
                  <w:shd w:val="clear" w:color="auto" w:fill="auto"/>
                  <w:vAlign w:val="center"/>
                </w:tcPr>
                <w:p>
                  <w:pPr>
                    <w:widowControl/>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0.0972</w:t>
                  </w:r>
                </w:p>
              </w:tc>
              <w:tc>
                <w:tcPr>
                  <w:tcW w:w="671" w:type="pct"/>
                  <w:vMerge w:val="continue"/>
                  <w:tcBorders>
                    <w:tl2br w:val="nil"/>
                    <w:tr2bl w:val="nil"/>
                  </w:tcBorders>
                  <w:shd w:val="clear" w:color="auto" w:fill="auto"/>
                  <w:vAlign w:val="center"/>
                </w:tcPr>
                <w:p>
                  <w:pPr>
                    <w:widowControl/>
                    <w:adjustRightInd w:val="0"/>
                    <w:snapToGrid w:val="0"/>
                    <w:jc w:val="center"/>
                    <w:rPr>
                      <w:rFonts w:ascii="Times New Roman" w:hAnsi="Times New Roman" w:eastAsia="宋体" w:cs="Times New Roman"/>
                      <w:color w:val="auto"/>
                      <w:sz w:val="18"/>
                      <w:szCs w:val="18"/>
                    </w:rPr>
                  </w:pPr>
                </w:p>
              </w:tc>
              <w:tc>
                <w:tcPr>
                  <w:tcW w:w="670" w:type="pct"/>
                  <w:tcBorders>
                    <w:tl2br w:val="nil"/>
                    <w:tr2bl w:val="nil"/>
                  </w:tcBorders>
                  <w:shd w:val="clear" w:color="auto" w:fill="auto"/>
                  <w:vAlign w:val="center"/>
                </w:tcPr>
                <w:p>
                  <w:pPr>
                    <w:widowControl/>
                    <w:adjustRightInd w:val="0"/>
                    <w:snapToGrid w:val="0"/>
                    <w:jc w:val="center"/>
                    <w:textAlignment w:val="center"/>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10</w:t>
                  </w:r>
                </w:p>
              </w:tc>
              <w:tc>
                <w:tcPr>
                  <w:tcW w:w="521" w:type="pct"/>
                  <w:tcBorders>
                    <w:tl2br w:val="nil"/>
                    <w:tr2bl w:val="nil"/>
                  </w:tcBorders>
                  <w:shd w:val="clear" w:color="auto" w:fill="auto"/>
                  <w:vAlign w:val="center"/>
                </w:tcPr>
                <w:p>
                  <w:pPr>
                    <w:widowControl/>
                    <w:adjustRightInd w:val="0"/>
                    <w:snapToGrid w:val="0"/>
                    <w:jc w:val="center"/>
                    <w:textAlignment w:val="center"/>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0.0054</w:t>
                  </w: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610" w:type="pct"/>
                  <w:vMerge w:val="continue"/>
                  <w:tcBorders>
                    <w:tl2br w:val="nil"/>
                    <w:tr2bl w:val="nil"/>
                  </w:tcBorders>
                  <w:shd w:val="clear" w:color="auto" w:fill="auto"/>
                  <w:vAlign w:val="center"/>
                </w:tcPr>
                <w:p>
                  <w:pPr>
                    <w:widowControl/>
                    <w:adjustRightInd w:val="0"/>
                    <w:snapToGrid w:val="0"/>
                    <w:jc w:val="center"/>
                    <w:rPr>
                      <w:rFonts w:ascii="Times New Roman" w:hAnsi="Times New Roman" w:eastAsia="宋体" w:cs="Times New Roman"/>
                      <w:color w:val="auto"/>
                      <w:sz w:val="18"/>
                      <w:szCs w:val="18"/>
                    </w:rPr>
                  </w:pPr>
                </w:p>
              </w:tc>
              <w:tc>
                <w:tcPr>
                  <w:tcW w:w="652" w:type="pct"/>
                  <w:vMerge w:val="continue"/>
                  <w:tcBorders>
                    <w:tl2br w:val="nil"/>
                    <w:tr2bl w:val="nil"/>
                  </w:tcBorders>
                  <w:shd w:val="clear" w:color="auto" w:fill="auto"/>
                  <w:vAlign w:val="center"/>
                </w:tcPr>
                <w:p>
                  <w:pPr>
                    <w:widowControl/>
                    <w:adjustRightInd w:val="0"/>
                    <w:snapToGrid w:val="0"/>
                    <w:jc w:val="center"/>
                    <w:rPr>
                      <w:rFonts w:ascii="Times New Roman" w:hAnsi="Times New Roman" w:eastAsia="宋体" w:cs="Times New Roman"/>
                      <w:color w:val="auto"/>
                      <w:sz w:val="18"/>
                      <w:szCs w:val="18"/>
                    </w:rPr>
                  </w:pPr>
                </w:p>
              </w:tc>
              <w:tc>
                <w:tcPr>
                  <w:tcW w:w="610"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SS</w:t>
                  </w:r>
                </w:p>
              </w:tc>
              <w:tc>
                <w:tcPr>
                  <w:tcW w:w="652"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150</w:t>
                  </w:r>
                </w:p>
              </w:tc>
              <w:tc>
                <w:tcPr>
                  <w:tcW w:w="944" w:type="dxa"/>
                  <w:tcBorders>
                    <w:tl2br w:val="nil"/>
                    <w:tr2bl w:val="nil"/>
                  </w:tcBorders>
                  <w:shd w:val="clear" w:color="auto" w:fill="auto"/>
                  <w:vAlign w:val="center"/>
                </w:tcPr>
                <w:p>
                  <w:pPr>
                    <w:widowControl/>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0.081</w:t>
                  </w:r>
                </w:p>
              </w:tc>
              <w:tc>
                <w:tcPr>
                  <w:tcW w:w="671" w:type="pct"/>
                  <w:vMerge w:val="continue"/>
                  <w:tcBorders>
                    <w:tl2br w:val="nil"/>
                    <w:tr2bl w:val="nil"/>
                  </w:tcBorders>
                  <w:shd w:val="clear" w:color="auto" w:fill="auto"/>
                  <w:vAlign w:val="center"/>
                </w:tcPr>
                <w:p>
                  <w:pPr>
                    <w:widowControl/>
                    <w:adjustRightInd w:val="0"/>
                    <w:snapToGrid w:val="0"/>
                    <w:jc w:val="center"/>
                    <w:rPr>
                      <w:rFonts w:ascii="Times New Roman" w:hAnsi="Times New Roman" w:eastAsia="宋体" w:cs="Times New Roman"/>
                      <w:color w:val="auto"/>
                      <w:sz w:val="18"/>
                      <w:szCs w:val="18"/>
                    </w:rPr>
                  </w:pPr>
                </w:p>
              </w:tc>
              <w:tc>
                <w:tcPr>
                  <w:tcW w:w="670" w:type="pct"/>
                  <w:tcBorders>
                    <w:tl2br w:val="nil"/>
                    <w:tr2bl w:val="nil"/>
                  </w:tcBorders>
                  <w:shd w:val="clear" w:color="auto" w:fill="auto"/>
                  <w:vAlign w:val="center"/>
                </w:tcPr>
                <w:p>
                  <w:pPr>
                    <w:widowControl/>
                    <w:adjustRightInd w:val="0"/>
                    <w:snapToGrid w:val="0"/>
                    <w:jc w:val="center"/>
                    <w:textAlignment w:val="center"/>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kern w:val="0"/>
                      <w:sz w:val="18"/>
                      <w:szCs w:val="18"/>
                      <w:lang w:val="en-US" w:eastAsia="zh-CN"/>
                    </w:rPr>
                    <w:t>10</w:t>
                  </w:r>
                </w:p>
              </w:tc>
              <w:tc>
                <w:tcPr>
                  <w:tcW w:w="521" w:type="pct"/>
                  <w:tcBorders>
                    <w:tl2br w:val="nil"/>
                    <w:tr2bl w:val="nil"/>
                  </w:tcBorders>
                  <w:shd w:val="clear" w:color="auto" w:fill="auto"/>
                  <w:vAlign w:val="center"/>
                </w:tcPr>
                <w:p>
                  <w:pPr>
                    <w:widowControl/>
                    <w:adjustRightInd w:val="0"/>
                    <w:snapToGrid w:val="0"/>
                    <w:jc w:val="center"/>
                    <w:textAlignment w:val="center"/>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0.0054</w:t>
                  </w: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610" w:type="pct"/>
                  <w:vMerge w:val="continue"/>
                  <w:tcBorders>
                    <w:tl2br w:val="nil"/>
                    <w:tr2bl w:val="nil"/>
                  </w:tcBorders>
                  <w:shd w:val="clear" w:color="auto" w:fill="auto"/>
                  <w:vAlign w:val="center"/>
                </w:tcPr>
                <w:p>
                  <w:pPr>
                    <w:widowControl/>
                    <w:adjustRightInd w:val="0"/>
                    <w:snapToGrid w:val="0"/>
                    <w:jc w:val="center"/>
                    <w:rPr>
                      <w:rFonts w:ascii="Times New Roman" w:hAnsi="Times New Roman" w:eastAsia="宋体" w:cs="Times New Roman"/>
                      <w:color w:val="auto"/>
                      <w:sz w:val="18"/>
                      <w:szCs w:val="18"/>
                    </w:rPr>
                  </w:pPr>
                </w:p>
              </w:tc>
              <w:tc>
                <w:tcPr>
                  <w:tcW w:w="652" w:type="pct"/>
                  <w:vMerge w:val="continue"/>
                  <w:tcBorders>
                    <w:tl2br w:val="nil"/>
                    <w:tr2bl w:val="nil"/>
                  </w:tcBorders>
                  <w:shd w:val="clear" w:color="auto" w:fill="auto"/>
                  <w:vAlign w:val="center"/>
                </w:tcPr>
                <w:p>
                  <w:pPr>
                    <w:widowControl/>
                    <w:adjustRightInd w:val="0"/>
                    <w:snapToGrid w:val="0"/>
                    <w:jc w:val="center"/>
                    <w:rPr>
                      <w:rFonts w:ascii="Times New Roman" w:hAnsi="Times New Roman" w:eastAsia="宋体" w:cs="Times New Roman"/>
                      <w:color w:val="auto"/>
                      <w:sz w:val="18"/>
                      <w:szCs w:val="18"/>
                    </w:rPr>
                  </w:pPr>
                </w:p>
              </w:tc>
              <w:tc>
                <w:tcPr>
                  <w:tcW w:w="610"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NH</w:t>
                  </w:r>
                  <w:r>
                    <w:rPr>
                      <w:rFonts w:ascii="Times New Roman" w:hAnsi="Times New Roman" w:eastAsia="宋体" w:cs="Times New Roman"/>
                      <w:color w:val="auto"/>
                      <w:kern w:val="0"/>
                      <w:sz w:val="18"/>
                      <w:szCs w:val="18"/>
                      <w:vertAlign w:val="subscript"/>
                    </w:rPr>
                    <w:t>3</w:t>
                  </w:r>
                  <w:r>
                    <w:rPr>
                      <w:rFonts w:ascii="Times New Roman" w:hAnsi="Times New Roman" w:eastAsia="宋体" w:cs="Times New Roman"/>
                      <w:color w:val="auto"/>
                      <w:kern w:val="0"/>
                      <w:sz w:val="18"/>
                      <w:szCs w:val="18"/>
                    </w:rPr>
                    <w:t>-N</w:t>
                  </w:r>
                </w:p>
              </w:tc>
              <w:tc>
                <w:tcPr>
                  <w:tcW w:w="652"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25</w:t>
                  </w:r>
                </w:p>
              </w:tc>
              <w:tc>
                <w:tcPr>
                  <w:tcW w:w="944" w:type="dxa"/>
                  <w:tcBorders>
                    <w:tl2br w:val="nil"/>
                    <w:tr2bl w:val="nil"/>
                  </w:tcBorders>
                  <w:shd w:val="clear" w:color="auto" w:fill="auto"/>
                  <w:vAlign w:val="center"/>
                </w:tcPr>
                <w:p>
                  <w:pPr>
                    <w:widowControl/>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0.0135</w:t>
                  </w:r>
                </w:p>
              </w:tc>
              <w:tc>
                <w:tcPr>
                  <w:tcW w:w="671" w:type="pct"/>
                  <w:vMerge w:val="continue"/>
                  <w:tcBorders>
                    <w:tl2br w:val="nil"/>
                    <w:tr2bl w:val="nil"/>
                  </w:tcBorders>
                  <w:shd w:val="clear" w:color="auto" w:fill="auto"/>
                  <w:vAlign w:val="center"/>
                </w:tcPr>
                <w:p>
                  <w:pPr>
                    <w:widowControl/>
                    <w:adjustRightInd w:val="0"/>
                    <w:snapToGrid w:val="0"/>
                    <w:jc w:val="center"/>
                    <w:rPr>
                      <w:rFonts w:ascii="Times New Roman" w:hAnsi="Times New Roman" w:eastAsia="宋体" w:cs="Times New Roman"/>
                      <w:color w:val="auto"/>
                      <w:sz w:val="18"/>
                      <w:szCs w:val="18"/>
                    </w:rPr>
                  </w:pPr>
                </w:p>
              </w:tc>
              <w:tc>
                <w:tcPr>
                  <w:tcW w:w="670" w:type="pct"/>
                  <w:tcBorders>
                    <w:tl2br w:val="nil"/>
                    <w:tr2bl w:val="nil"/>
                  </w:tcBorders>
                  <w:shd w:val="clear" w:color="auto" w:fill="auto"/>
                  <w:vAlign w:val="center"/>
                </w:tcPr>
                <w:p>
                  <w:pPr>
                    <w:widowControl/>
                    <w:adjustRightInd w:val="0"/>
                    <w:snapToGrid w:val="0"/>
                    <w:jc w:val="center"/>
                    <w:textAlignment w:val="center"/>
                    <w:rPr>
                      <w:rFonts w:hint="eastAsia"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5</w:t>
                  </w:r>
                </w:p>
              </w:tc>
              <w:tc>
                <w:tcPr>
                  <w:tcW w:w="521" w:type="pct"/>
                  <w:tcBorders>
                    <w:tl2br w:val="nil"/>
                    <w:tr2bl w:val="nil"/>
                  </w:tcBorders>
                  <w:shd w:val="clear" w:color="auto" w:fill="auto"/>
                  <w:vAlign w:val="center"/>
                </w:tcPr>
                <w:p>
                  <w:pPr>
                    <w:widowControl/>
                    <w:adjustRightInd w:val="0"/>
                    <w:snapToGrid w:val="0"/>
                    <w:jc w:val="center"/>
                    <w:textAlignment w:val="center"/>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kern w:val="0"/>
                      <w:sz w:val="18"/>
                      <w:szCs w:val="18"/>
                      <w:lang w:val="en-US" w:eastAsia="zh-CN"/>
                    </w:rPr>
                    <w:t>0.0027</w:t>
                  </w:r>
                </w:p>
              </w:tc>
            </w:tr>
          </w:tbl>
          <w:p>
            <w:pPr>
              <w:spacing w:line="360" w:lineRule="auto"/>
              <w:ind w:firstLine="482" w:firstLineChars="200"/>
              <w:rPr>
                <w:rFonts w:ascii="Times New Roman" w:hAnsi="Times New Roman" w:eastAsia="宋体" w:cs="Times New Roman"/>
                <w:b/>
                <w:bCs/>
                <w:color w:val="auto"/>
                <w:sz w:val="24"/>
                <w:szCs w:val="24"/>
              </w:rPr>
            </w:pPr>
            <w:r>
              <w:rPr>
                <w:rFonts w:ascii="Times New Roman" w:hAnsi="Times New Roman" w:eastAsia="宋体" w:cs="Times New Roman"/>
                <w:b/>
                <w:bCs/>
                <w:color w:val="auto"/>
                <w:sz w:val="24"/>
                <w:szCs w:val="24"/>
              </w:rPr>
              <w:t>2、运营期水环境保护措施</w:t>
            </w:r>
          </w:p>
          <w:p>
            <w:pPr>
              <w:spacing w:line="360" w:lineRule="auto"/>
              <w:ind w:firstLine="482" w:firstLineChars="200"/>
              <w:rPr>
                <w:rFonts w:ascii="Times New Roman" w:hAnsi="Times New Roman" w:eastAsia="宋体" w:cs="Times New Roman"/>
                <w:b/>
                <w:bCs/>
                <w:color w:val="auto"/>
                <w:sz w:val="24"/>
                <w:szCs w:val="24"/>
              </w:rPr>
            </w:pPr>
            <w:r>
              <w:rPr>
                <w:rFonts w:ascii="Times New Roman" w:hAnsi="Times New Roman" w:eastAsia="宋体" w:cs="Times New Roman"/>
                <w:b/>
                <w:bCs/>
                <w:color w:val="auto"/>
                <w:sz w:val="24"/>
                <w:szCs w:val="24"/>
              </w:rPr>
              <w:t>（1）废水处理措施可行性分析</w:t>
            </w:r>
          </w:p>
          <w:p>
            <w:pPr>
              <w:spacing w:line="360" w:lineRule="auto"/>
              <w:ind w:firstLine="480" w:firstLineChars="200"/>
              <w:rPr>
                <w:rFonts w:ascii="Times New Roman" w:hAnsi="Times New Roman" w:eastAsia="宋体" w:cs="Times New Roman"/>
                <w:color w:val="auto"/>
                <w:sz w:val="24"/>
                <w:szCs w:val="24"/>
              </w:rPr>
            </w:pPr>
            <w:r>
              <w:rPr>
                <w:rFonts w:ascii="Times New Roman" w:hAnsi="Times New Roman" w:eastAsia="宋体" w:cs="Times New Roman"/>
                <w:color w:val="auto"/>
                <w:sz w:val="24"/>
              </w:rPr>
              <w:t>本项目用水为生活用水，用水量约为</w:t>
            </w:r>
            <w:r>
              <w:rPr>
                <w:rFonts w:ascii="Times New Roman" w:hAnsi="Times New Roman" w:eastAsia="宋体" w:cs="Times New Roman"/>
                <w:bCs/>
                <w:color w:val="auto"/>
                <w:sz w:val="24"/>
                <w:szCs w:val="24"/>
              </w:rPr>
              <w:t>2.25</w:t>
            </w:r>
            <w:r>
              <w:rPr>
                <w:rFonts w:ascii="Times New Roman" w:hAnsi="Times New Roman" w:eastAsia="宋体" w:cs="Times New Roman"/>
                <w:color w:val="auto"/>
                <w:sz w:val="24"/>
              </w:rPr>
              <w:t>m</w:t>
            </w:r>
            <w:r>
              <w:rPr>
                <w:rFonts w:ascii="Times New Roman" w:hAnsi="Times New Roman" w:eastAsia="宋体" w:cs="Times New Roman"/>
                <w:color w:val="auto"/>
                <w:sz w:val="24"/>
                <w:vertAlign w:val="superscript"/>
              </w:rPr>
              <w:t>3</w:t>
            </w:r>
            <w:r>
              <w:rPr>
                <w:rFonts w:ascii="Times New Roman" w:hAnsi="Times New Roman" w:eastAsia="宋体" w:cs="Times New Roman"/>
                <w:color w:val="auto"/>
                <w:sz w:val="24"/>
              </w:rPr>
              <w:t>/d（</w:t>
            </w:r>
            <w:r>
              <w:rPr>
                <w:rFonts w:ascii="Times New Roman" w:hAnsi="Times New Roman" w:eastAsia="宋体" w:cs="Times New Roman"/>
                <w:bCs/>
                <w:color w:val="auto"/>
                <w:sz w:val="24"/>
                <w:szCs w:val="24"/>
              </w:rPr>
              <w:t>675</w:t>
            </w:r>
            <w:r>
              <w:rPr>
                <w:rFonts w:ascii="Times New Roman" w:hAnsi="Times New Roman" w:eastAsia="宋体" w:cs="Times New Roman"/>
                <w:color w:val="auto"/>
                <w:sz w:val="24"/>
              </w:rPr>
              <w:t>m</w:t>
            </w:r>
            <w:r>
              <w:rPr>
                <w:rFonts w:ascii="Times New Roman" w:hAnsi="Times New Roman" w:eastAsia="宋体" w:cs="Times New Roman"/>
                <w:color w:val="auto"/>
                <w:sz w:val="24"/>
                <w:vertAlign w:val="superscript"/>
              </w:rPr>
              <w:t>3</w:t>
            </w:r>
            <w:r>
              <w:rPr>
                <w:rFonts w:ascii="Times New Roman" w:hAnsi="Times New Roman" w:eastAsia="宋体" w:cs="Times New Roman"/>
                <w:color w:val="auto"/>
                <w:sz w:val="24"/>
              </w:rPr>
              <w:t>/a）。项目废水为</w:t>
            </w:r>
            <w:r>
              <w:rPr>
                <w:rFonts w:ascii="Times New Roman" w:hAnsi="Times New Roman" w:eastAsia="宋体" w:cs="Times New Roman"/>
                <w:bCs/>
                <w:color w:val="auto"/>
                <w:sz w:val="24"/>
                <w:szCs w:val="24"/>
              </w:rPr>
              <w:t>生活污水，废水产生量为1.8m</w:t>
            </w:r>
            <w:r>
              <w:rPr>
                <w:rFonts w:ascii="Times New Roman" w:hAnsi="Times New Roman" w:eastAsia="宋体" w:cs="Times New Roman"/>
                <w:bCs/>
                <w:color w:val="auto"/>
                <w:sz w:val="24"/>
                <w:szCs w:val="24"/>
                <w:vertAlign w:val="superscript"/>
              </w:rPr>
              <w:t>3</w:t>
            </w:r>
            <w:r>
              <w:rPr>
                <w:rFonts w:ascii="Times New Roman" w:hAnsi="Times New Roman" w:eastAsia="宋体" w:cs="Times New Roman"/>
                <w:bCs/>
                <w:color w:val="auto"/>
                <w:sz w:val="24"/>
                <w:szCs w:val="24"/>
              </w:rPr>
              <w:t>/d（540m</w:t>
            </w:r>
            <w:r>
              <w:rPr>
                <w:rFonts w:ascii="Times New Roman" w:hAnsi="Times New Roman" w:eastAsia="宋体" w:cs="Times New Roman"/>
                <w:bCs/>
                <w:color w:val="auto"/>
                <w:sz w:val="24"/>
                <w:szCs w:val="24"/>
                <w:vertAlign w:val="superscript"/>
              </w:rPr>
              <w:t>3</w:t>
            </w:r>
            <w:r>
              <w:rPr>
                <w:rFonts w:ascii="Times New Roman" w:hAnsi="Times New Roman" w:eastAsia="宋体" w:cs="Times New Roman"/>
                <w:bCs/>
                <w:color w:val="auto"/>
                <w:sz w:val="24"/>
                <w:szCs w:val="24"/>
              </w:rPr>
              <w:t>/a）。</w:t>
            </w:r>
            <w:r>
              <w:rPr>
                <w:rFonts w:ascii="Times New Roman" w:hAnsi="Times New Roman" w:eastAsia="宋体" w:cs="Times New Roman"/>
                <w:color w:val="auto"/>
                <w:sz w:val="24"/>
                <w:szCs w:val="24"/>
              </w:rPr>
              <w:t>生活污水经化粪池处理后，最终废水出水水质可以满足八公山污水处理厂接管限值，排至八公山污水处理厂。</w:t>
            </w:r>
            <w:bookmarkStart w:id="1" w:name="_Toc133333763"/>
            <w:bookmarkStart w:id="2" w:name="_Toc133214606"/>
          </w:p>
          <w:p>
            <w:pPr>
              <w:spacing w:line="360" w:lineRule="auto"/>
              <w:ind w:firstLine="482" w:firstLineChars="200"/>
              <w:rPr>
                <w:rFonts w:ascii="Times New Roman" w:hAnsi="Times New Roman" w:eastAsia="宋体" w:cs="Times New Roman"/>
                <w:b/>
                <w:color w:val="auto"/>
                <w:sz w:val="24"/>
              </w:rPr>
            </w:pPr>
            <w:r>
              <w:rPr>
                <w:rFonts w:ascii="Times New Roman" w:hAnsi="Times New Roman" w:eastAsia="宋体" w:cs="Times New Roman"/>
                <w:b/>
                <w:color w:val="auto"/>
                <w:sz w:val="24"/>
              </w:rPr>
              <w:t>（2）废水纳管可行性分析</w:t>
            </w:r>
            <w:bookmarkEnd w:id="1"/>
            <w:bookmarkEnd w:id="2"/>
          </w:p>
          <w:p>
            <w:pPr>
              <w:pStyle w:val="25"/>
              <w:adjustRightInd/>
              <w:spacing w:line="360" w:lineRule="auto"/>
              <w:ind w:firstLine="480" w:firstLineChars="200"/>
              <w:jc w:val="both"/>
              <w:rPr>
                <w:rFonts w:ascii="Times New Roman" w:cs="Times New Roman"/>
                <w:b/>
                <w:bCs/>
                <w:color w:val="auto"/>
              </w:rPr>
            </w:pPr>
            <w:r>
              <w:rPr>
                <w:rFonts w:ascii="Times New Roman" w:cs="Times New Roman"/>
                <w:color w:val="auto"/>
              </w:rPr>
              <w:t>八公山污水处理厂位于淮南市八公山区北郊，厂区东临蔡新路，北临皖淮机械厂铁路专用线，占地约8.36hm</w:t>
            </w:r>
            <w:r>
              <w:rPr>
                <w:rFonts w:ascii="Times New Roman" w:cs="Times New Roman"/>
                <w:color w:val="auto"/>
                <w:vertAlign w:val="superscript"/>
              </w:rPr>
              <w:t>2</w:t>
            </w:r>
            <w:r>
              <w:rPr>
                <w:rFonts w:ascii="Times New Roman" w:cs="Times New Roman"/>
                <w:color w:val="auto"/>
              </w:rPr>
              <w:t>。负责淮南市西部地区的污水处理，即谢家集区和八公山区，区域土地面积378.7km</w:t>
            </w:r>
            <w:r>
              <w:rPr>
                <w:rFonts w:ascii="Times New Roman" w:cs="Times New Roman"/>
                <w:color w:val="auto"/>
                <w:vertAlign w:val="superscript"/>
              </w:rPr>
              <w:t>2</w:t>
            </w:r>
            <w:r>
              <w:rPr>
                <w:rFonts w:ascii="Times New Roman" w:cs="Times New Roman"/>
                <w:color w:val="auto"/>
              </w:rPr>
              <w:t>建成区面积约30.4km</w:t>
            </w:r>
            <w:r>
              <w:rPr>
                <w:rFonts w:ascii="Times New Roman" w:cs="Times New Roman"/>
                <w:color w:val="auto"/>
                <w:vertAlign w:val="superscript"/>
              </w:rPr>
              <w:t>2</w:t>
            </w:r>
            <w:r>
              <w:rPr>
                <w:rFonts w:ascii="Times New Roman" w:cs="Times New Roman"/>
                <w:color w:val="auto"/>
              </w:rPr>
              <w:t>，服务人口约50万人，该厂污水日处理设计能力为10万m</w:t>
            </w:r>
            <w:r>
              <w:rPr>
                <w:rFonts w:ascii="Times New Roman" w:cs="Times New Roman"/>
                <w:color w:val="auto"/>
                <w:vertAlign w:val="superscript"/>
              </w:rPr>
              <w:t>3</w:t>
            </w:r>
            <w:r>
              <w:rPr>
                <w:rFonts w:ascii="Times New Roman" w:cs="Times New Roman"/>
                <w:color w:val="auto"/>
              </w:rPr>
              <w:t>/d，于2009年11月建成并投入试运行，2010年6月转让给淮南首创水务公司，目前实际处理污水规模6-7万m</w:t>
            </w:r>
            <w:r>
              <w:rPr>
                <w:rFonts w:ascii="Times New Roman" w:cs="Times New Roman"/>
                <w:color w:val="auto"/>
                <w:vertAlign w:val="superscript"/>
              </w:rPr>
              <w:t>3</w:t>
            </w:r>
            <w:r>
              <w:rPr>
                <w:rFonts w:ascii="Times New Roman" w:cs="Times New Roman"/>
                <w:color w:val="auto"/>
              </w:rPr>
              <w:t>/d，设计出水按《城镇污水处理厂污染物排放标准》(GB18918-2002)一级A标准。处理工艺是氧化沟工艺，现有工艺单元包括：粗格栅、提升泵站、细格栅、沉砂池、配水井、选择厌氧池和氧化沟、终沉池、污泥泵房和脱水机房等组成，尾水排放执行国家《城镇污水处理厂污染物排放标准》（GB18918-2002）的一级A标准，排入淮河</w:t>
            </w:r>
            <w:r>
              <w:rPr>
                <w:rFonts w:ascii="Times New Roman" w:cs="Times New Roman"/>
                <w:b/>
                <w:bCs/>
                <w:color w:val="auto"/>
              </w:rPr>
              <w:t>。</w:t>
            </w:r>
          </w:p>
          <w:p>
            <w:pPr>
              <w:pStyle w:val="25"/>
              <w:adjustRightInd/>
              <w:spacing w:line="360" w:lineRule="auto"/>
              <w:rPr>
                <w:rFonts w:ascii="Times New Roman" w:cs="Times New Roman"/>
                <w:b/>
                <w:bCs/>
                <w:color w:val="auto"/>
              </w:rPr>
            </w:pPr>
            <w:r>
              <w:rPr>
                <w:rFonts w:ascii="Times New Roman" w:cs="Times New Roman"/>
                <w:b/>
                <w:bCs/>
                <w:color w:val="auto"/>
              </w:rPr>
              <w:drawing>
                <wp:inline distT="0" distB="0" distL="0" distR="0">
                  <wp:extent cx="4923155" cy="1247775"/>
                  <wp:effectExtent l="0" t="0" r="1270" b="0"/>
                  <wp:docPr id="229"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 name="图片 26"/>
                          <pic:cNvPicPr>
                            <a:picLocks noChangeAspect="1" noChangeArrowheads="1"/>
                          </pic:cNvPicPr>
                        </pic:nvPicPr>
                        <pic:blipFill>
                          <a:blip r:embed="rId14" cstate="print"/>
                          <a:srcRect l="4956"/>
                          <a:stretch>
                            <a:fillRect/>
                          </a:stretch>
                        </pic:blipFill>
                        <pic:spPr>
                          <a:xfrm>
                            <a:off x="0" y="0"/>
                            <a:ext cx="4923155" cy="1247775"/>
                          </a:xfrm>
                          <a:prstGeom prst="rect">
                            <a:avLst/>
                          </a:prstGeom>
                          <a:noFill/>
                          <a:ln w="9525">
                            <a:noFill/>
                            <a:miter lim="800000"/>
                            <a:headEnd/>
                            <a:tailEnd/>
                          </a:ln>
                        </pic:spPr>
                      </pic:pic>
                    </a:graphicData>
                  </a:graphic>
                </wp:inline>
              </w:drawing>
            </w:r>
          </w:p>
          <w:p>
            <w:pPr>
              <w:adjustRightInd w:val="0"/>
              <w:spacing w:line="324" w:lineRule="auto"/>
              <w:jc w:val="center"/>
              <w:rPr>
                <w:rFonts w:ascii="Times New Roman" w:hAnsi="Times New Roman" w:eastAsia="黑体" w:cs="Times New Roman"/>
                <w:color w:val="auto"/>
                <w:sz w:val="24"/>
              </w:rPr>
            </w:pPr>
            <w:r>
              <w:rPr>
                <w:rFonts w:ascii="Times New Roman" w:hAnsi="Times New Roman" w:eastAsia="黑体" w:cs="Times New Roman"/>
                <w:color w:val="auto"/>
                <w:sz w:val="24"/>
              </w:rPr>
              <w:t>图</w:t>
            </w:r>
            <w:r>
              <w:rPr>
                <w:rFonts w:hint="eastAsia" w:ascii="Times New Roman" w:hAnsi="Times New Roman" w:eastAsia="黑体" w:cs="Times New Roman"/>
                <w:color w:val="auto"/>
                <w:sz w:val="24"/>
              </w:rPr>
              <w:t>4</w:t>
            </w:r>
            <w:r>
              <w:rPr>
                <w:rFonts w:ascii="Times New Roman" w:hAnsi="Times New Roman" w:eastAsia="黑体" w:cs="Times New Roman"/>
                <w:color w:val="auto"/>
                <w:sz w:val="24"/>
              </w:rPr>
              <w:t>-</w:t>
            </w:r>
            <w:r>
              <w:rPr>
                <w:rFonts w:hint="eastAsia" w:ascii="Times New Roman" w:hAnsi="Times New Roman" w:eastAsia="黑体" w:cs="Times New Roman"/>
                <w:color w:val="auto"/>
                <w:sz w:val="24"/>
              </w:rPr>
              <w:t>1</w:t>
            </w:r>
            <w:r>
              <w:rPr>
                <w:rFonts w:ascii="Times New Roman" w:hAnsi="Times New Roman" w:eastAsia="黑体" w:cs="Times New Roman"/>
                <w:color w:val="auto"/>
                <w:sz w:val="24"/>
              </w:rPr>
              <w:t xml:space="preserve">  八公山污水处理厂主体工艺流程图</w:t>
            </w:r>
          </w:p>
          <w:p>
            <w:pPr>
              <w:spacing w:line="360" w:lineRule="auto"/>
              <w:ind w:firstLine="482" w:firstLineChars="200"/>
              <w:rPr>
                <w:rFonts w:ascii="Times New Roman" w:hAnsi="Times New Roman" w:eastAsia="宋体" w:cs="Times New Roman"/>
                <w:b/>
                <w:bCs/>
                <w:color w:val="auto"/>
                <w:sz w:val="24"/>
                <w:szCs w:val="24"/>
              </w:rPr>
            </w:pPr>
            <w:r>
              <w:rPr>
                <w:rFonts w:ascii="Times New Roman" w:hAnsi="Times New Roman" w:eastAsia="宋体" w:cs="Times New Roman"/>
                <w:b/>
                <w:bCs/>
                <w:color w:val="auto"/>
                <w:sz w:val="24"/>
                <w:szCs w:val="24"/>
              </w:rPr>
              <w:t>①接管可行性</w:t>
            </w:r>
          </w:p>
          <w:p>
            <w:pPr>
              <w:pStyle w:val="25"/>
              <w:adjustRightInd/>
              <w:spacing w:line="360" w:lineRule="auto"/>
              <w:ind w:firstLine="480" w:firstLineChars="200"/>
              <w:rPr>
                <w:rFonts w:ascii="Times New Roman" w:cs="Times New Roman"/>
                <w:color w:val="auto"/>
              </w:rPr>
            </w:pPr>
            <w:bookmarkStart w:id="3" w:name="_Toc133333764"/>
            <w:bookmarkStart w:id="4" w:name="_Toc133214607"/>
            <w:r>
              <w:rPr>
                <w:rFonts w:ascii="Times New Roman" w:cs="Times New Roman"/>
                <w:color w:val="auto"/>
              </w:rPr>
              <w:t>根据现场踏勘和资料查阅，项目区域雨污水分流管网已建成，属于八公山污水处理厂收水范围，污水可排入污水处理厂集中处理。八公山污水处理厂主体工艺采用“粗格栅提升泵站-细格栅及沉砂池-沉砂池-A</w:t>
            </w:r>
            <w:r>
              <w:rPr>
                <w:rFonts w:ascii="Times New Roman" w:cs="Times New Roman"/>
                <w:color w:val="auto"/>
                <w:vertAlign w:val="superscript"/>
              </w:rPr>
              <w:t>2</w:t>
            </w:r>
            <w:r>
              <w:rPr>
                <w:rFonts w:ascii="Times New Roman" w:cs="Times New Roman"/>
                <w:color w:val="auto"/>
              </w:rPr>
              <w:t>O生化池-二沉池-沉淀池”，处理规模为6-7万m</w:t>
            </w:r>
            <w:r>
              <w:rPr>
                <w:rFonts w:ascii="Times New Roman" w:cs="Times New Roman"/>
                <w:color w:val="auto"/>
                <w:vertAlign w:val="superscript"/>
              </w:rPr>
              <w:t>3</w:t>
            </w:r>
            <w:r>
              <w:rPr>
                <w:rFonts w:ascii="Times New Roman" w:cs="Times New Roman"/>
                <w:color w:val="auto"/>
              </w:rPr>
              <w:t>/d，目前余量充足。综上，本项目生活废水依托污水处理厂处理可行。</w:t>
            </w:r>
          </w:p>
          <w:p>
            <w:pPr>
              <w:pStyle w:val="25"/>
              <w:adjustRightInd/>
              <w:spacing w:line="360" w:lineRule="auto"/>
              <w:ind w:firstLine="482" w:firstLineChars="200"/>
              <w:rPr>
                <w:rFonts w:ascii="Times New Roman" w:cs="Times New Roman"/>
                <w:b/>
                <w:color w:val="auto"/>
              </w:rPr>
            </w:pPr>
            <w:r>
              <w:rPr>
                <w:rFonts w:ascii="Times New Roman" w:cs="Times New Roman"/>
                <w:b/>
                <w:color w:val="auto"/>
              </w:rPr>
              <w:t>②对污水处理厂的影响</w:t>
            </w:r>
          </w:p>
          <w:p>
            <w:pPr>
              <w:pStyle w:val="25"/>
              <w:adjustRightInd/>
              <w:spacing w:line="360" w:lineRule="auto"/>
              <w:ind w:firstLine="480" w:firstLineChars="200"/>
              <w:rPr>
                <w:rFonts w:ascii="Times New Roman" w:cs="Times New Roman"/>
                <w:color w:val="auto"/>
              </w:rPr>
            </w:pPr>
            <w:r>
              <w:rPr>
                <w:rFonts w:ascii="Times New Roman" w:cs="Times New Roman"/>
                <w:color w:val="auto"/>
              </w:rPr>
              <w:t>本项目废水排放量约为</w:t>
            </w:r>
            <w:r>
              <w:rPr>
                <w:rFonts w:ascii="Times New Roman" w:cs="Times New Roman"/>
                <w:color w:val="auto"/>
                <w:szCs w:val="22"/>
              </w:rPr>
              <w:t>1.8m³/d</w:t>
            </w:r>
            <w:r>
              <w:rPr>
                <w:rFonts w:ascii="Times New Roman" w:cs="Times New Roman"/>
                <w:color w:val="auto"/>
              </w:rPr>
              <w:t>，废水产生量较小，本项目废水经预处理后水质满足八公山污水处理厂的进水水质要求，因此不会对八公山污水处理厂造成冲击影响。</w:t>
            </w:r>
          </w:p>
          <w:p>
            <w:pPr>
              <w:pStyle w:val="25"/>
              <w:adjustRightInd/>
              <w:spacing w:line="360" w:lineRule="auto"/>
              <w:ind w:firstLine="480" w:firstLineChars="200"/>
              <w:rPr>
                <w:rFonts w:ascii="Times New Roman" w:cs="Times New Roman"/>
                <w:color w:val="auto"/>
              </w:rPr>
            </w:pPr>
            <w:r>
              <w:rPr>
                <w:rFonts w:ascii="Times New Roman" w:cs="Times New Roman"/>
                <w:color w:val="auto"/>
              </w:rPr>
              <w:t>综上，本项目废水经八公山污水处理厂处理达标后最终排入淮河，会增加淮河总量，但本项目污水量不大，总量贡献值小，不会降低项目所在区域现有水环境功能。</w:t>
            </w:r>
          </w:p>
          <w:p>
            <w:pPr>
              <w:spacing w:line="460" w:lineRule="exact"/>
              <w:jc w:val="center"/>
              <w:rPr>
                <w:rFonts w:hint="default" w:ascii="Times New Roman" w:hAnsi="Times New Roman" w:eastAsia="黑体" w:cs="Times New Roman"/>
                <w:bCs/>
                <w:color w:val="auto"/>
                <w:szCs w:val="21"/>
              </w:rPr>
            </w:pPr>
            <w:r>
              <w:rPr>
                <w:rFonts w:hint="default" w:ascii="Times New Roman" w:hAnsi="Times New Roman" w:eastAsia="黑体" w:cs="Times New Roman"/>
                <w:bCs/>
                <w:color w:val="auto"/>
                <w:szCs w:val="21"/>
              </w:rPr>
              <w:t>表4-1</w:t>
            </w:r>
            <w:r>
              <w:rPr>
                <w:rFonts w:hint="eastAsia" w:ascii="Times New Roman" w:hAnsi="Times New Roman" w:eastAsia="黑体" w:cs="Times New Roman"/>
                <w:bCs/>
                <w:color w:val="auto"/>
                <w:szCs w:val="21"/>
                <w:lang w:val="en-US" w:eastAsia="zh-CN"/>
              </w:rPr>
              <w:t>9</w:t>
            </w:r>
            <w:r>
              <w:rPr>
                <w:rFonts w:hint="default" w:ascii="Times New Roman" w:hAnsi="Times New Roman" w:eastAsia="黑体" w:cs="Times New Roman"/>
                <w:bCs/>
                <w:color w:val="auto"/>
                <w:szCs w:val="21"/>
              </w:rPr>
              <w:t xml:space="preserve"> 废水类别、污染物及治理设施信息表</w:t>
            </w:r>
          </w:p>
          <w:tbl>
            <w:tblPr>
              <w:tblStyle w:val="17"/>
              <w:tblW w:w="5000" w:type="pct"/>
              <w:tblInd w:w="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19"/>
              <w:gridCol w:w="622"/>
              <w:gridCol w:w="867"/>
              <w:gridCol w:w="631"/>
              <w:gridCol w:w="680"/>
              <w:gridCol w:w="848"/>
              <w:gridCol w:w="841"/>
              <w:gridCol w:w="631"/>
              <w:gridCol w:w="753"/>
              <w:gridCol w:w="618"/>
              <w:gridCol w:w="61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00" w:type="pct"/>
                  <w:vMerge w:val="restart"/>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序号</w:t>
                  </w:r>
                </w:p>
              </w:tc>
              <w:tc>
                <w:tcPr>
                  <w:tcW w:w="402" w:type="pct"/>
                  <w:vMerge w:val="restart"/>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废水类别</w:t>
                  </w:r>
                </w:p>
              </w:tc>
              <w:tc>
                <w:tcPr>
                  <w:tcW w:w="561" w:type="pct"/>
                  <w:vMerge w:val="restart"/>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污染物种类</w:t>
                  </w:r>
                </w:p>
              </w:tc>
              <w:tc>
                <w:tcPr>
                  <w:tcW w:w="408" w:type="pct"/>
                  <w:vMerge w:val="restart"/>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排放去向</w:t>
                  </w:r>
                </w:p>
              </w:tc>
              <w:tc>
                <w:tcPr>
                  <w:tcW w:w="440" w:type="pct"/>
                  <w:vMerge w:val="restart"/>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排放规律</w:t>
                  </w:r>
                </w:p>
              </w:tc>
              <w:tc>
                <w:tcPr>
                  <w:tcW w:w="1501" w:type="pct"/>
                  <w:gridSpan w:val="3"/>
                  <w:vMerge w:val="restart"/>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污染治理设施</w:t>
                  </w:r>
                </w:p>
              </w:tc>
              <w:tc>
                <w:tcPr>
                  <w:tcW w:w="487" w:type="pct"/>
                  <w:vMerge w:val="restart"/>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排放口编号</w:t>
                  </w:r>
                </w:p>
              </w:tc>
              <w:tc>
                <w:tcPr>
                  <w:tcW w:w="399" w:type="pct"/>
                  <w:vMerge w:val="restart"/>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排放口设置是否符合要求</w:t>
                  </w:r>
                </w:p>
              </w:tc>
              <w:tc>
                <w:tcPr>
                  <w:tcW w:w="399" w:type="pct"/>
                  <w:vMerge w:val="restart"/>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排放类型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00" w:type="pct"/>
                  <w:vMerge w:val="continue"/>
                  <w:noWrap w:val="0"/>
                  <w:vAlign w:val="center"/>
                </w:tcPr>
                <w:p>
                  <w:pPr>
                    <w:widowControl/>
                    <w:jc w:val="left"/>
                    <w:rPr>
                      <w:rFonts w:hint="default" w:ascii="Times New Roman" w:hAnsi="Times New Roman" w:cs="Times New Roman"/>
                      <w:color w:val="auto"/>
                      <w:kern w:val="0"/>
                      <w:sz w:val="18"/>
                      <w:szCs w:val="18"/>
                    </w:rPr>
                  </w:pPr>
                </w:p>
              </w:tc>
              <w:tc>
                <w:tcPr>
                  <w:tcW w:w="402" w:type="pct"/>
                  <w:vMerge w:val="continue"/>
                  <w:noWrap w:val="0"/>
                  <w:vAlign w:val="center"/>
                </w:tcPr>
                <w:p>
                  <w:pPr>
                    <w:widowControl/>
                    <w:jc w:val="left"/>
                    <w:rPr>
                      <w:rFonts w:hint="default" w:ascii="Times New Roman" w:hAnsi="Times New Roman" w:cs="Times New Roman"/>
                      <w:color w:val="auto"/>
                      <w:kern w:val="0"/>
                      <w:sz w:val="18"/>
                      <w:szCs w:val="18"/>
                    </w:rPr>
                  </w:pPr>
                </w:p>
              </w:tc>
              <w:tc>
                <w:tcPr>
                  <w:tcW w:w="561" w:type="pct"/>
                  <w:vMerge w:val="continue"/>
                  <w:noWrap w:val="0"/>
                  <w:vAlign w:val="center"/>
                </w:tcPr>
                <w:p>
                  <w:pPr>
                    <w:widowControl/>
                    <w:jc w:val="left"/>
                    <w:rPr>
                      <w:rFonts w:hint="default" w:ascii="Times New Roman" w:hAnsi="Times New Roman" w:cs="Times New Roman"/>
                      <w:color w:val="auto"/>
                      <w:kern w:val="0"/>
                      <w:sz w:val="18"/>
                      <w:szCs w:val="18"/>
                    </w:rPr>
                  </w:pPr>
                </w:p>
              </w:tc>
              <w:tc>
                <w:tcPr>
                  <w:tcW w:w="408" w:type="pct"/>
                  <w:vMerge w:val="continue"/>
                  <w:noWrap w:val="0"/>
                  <w:vAlign w:val="center"/>
                </w:tcPr>
                <w:p>
                  <w:pPr>
                    <w:widowControl/>
                    <w:jc w:val="left"/>
                    <w:rPr>
                      <w:rFonts w:hint="default" w:ascii="Times New Roman" w:hAnsi="Times New Roman" w:cs="Times New Roman"/>
                      <w:color w:val="auto"/>
                      <w:kern w:val="0"/>
                      <w:sz w:val="18"/>
                      <w:szCs w:val="18"/>
                    </w:rPr>
                  </w:pPr>
                </w:p>
              </w:tc>
              <w:tc>
                <w:tcPr>
                  <w:tcW w:w="440" w:type="pct"/>
                  <w:vMerge w:val="continue"/>
                  <w:noWrap w:val="0"/>
                  <w:vAlign w:val="center"/>
                </w:tcPr>
                <w:p>
                  <w:pPr>
                    <w:widowControl/>
                    <w:jc w:val="left"/>
                    <w:rPr>
                      <w:rFonts w:hint="default" w:ascii="Times New Roman" w:hAnsi="Times New Roman" w:cs="Times New Roman"/>
                      <w:color w:val="auto"/>
                      <w:kern w:val="0"/>
                      <w:sz w:val="18"/>
                      <w:szCs w:val="18"/>
                    </w:rPr>
                  </w:pPr>
                </w:p>
              </w:tc>
              <w:tc>
                <w:tcPr>
                  <w:tcW w:w="1501" w:type="pct"/>
                  <w:gridSpan w:val="3"/>
                  <w:vMerge w:val="continue"/>
                  <w:noWrap w:val="0"/>
                  <w:vAlign w:val="center"/>
                </w:tcPr>
                <w:p>
                  <w:pPr>
                    <w:widowControl/>
                    <w:jc w:val="left"/>
                    <w:rPr>
                      <w:rFonts w:hint="default" w:ascii="Times New Roman" w:hAnsi="Times New Roman" w:cs="Times New Roman"/>
                      <w:color w:val="auto"/>
                      <w:kern w:val="0"/>
                      <w:sz w:val="18"/>
                      <w:szCs w:val="18"/>
                    </w:rPr>
                  </w:pPr>
                </w:p>
              </w:tc>
              <w:tc>
                <w:tcPr>
                  <w:tcW w:w="487" w:type="pct"/>
                  <w:vMerge w:val="continue"/>
                  <w:noWrap w:val="0"/>
                  <w:vAlign w:val="center"/>
                </w:tcPr>
                <w:p>
                  <w:pPr>
                    <w:widowControl/>
                    <w:jc w:val="left"/>
                    <w:rPr>
                      <w:rFonts w:hint="default" w:ascii="Times New Roman" w:hAnsi="Times New Roman" w:cs="Times New Roman"/>
                      <w:color w:val="auto"/>
                      <w:kern w:val="0"/>
                      <w:sz w:val="18"/>
                      <w:szCs w:val="18"/>
                    </w:rPr>
                  </w:pPr>
                </w:p>
              </w:tc>
              <w:tc>
                <w:tcPr>
                  <w:tcW w:w="399" w:type="pct"/>
                  <w:vMerge w:val="continue"/>
                  <w:noWrap w:val="0"/>
                  <w:vAlign w:val="center"/>
                </w:tcPr>
                <w:p>
                  <w:pPr>
                    <w:widowControl/>
                    <w:jc w:val="left"/>
                    <w:rPr>
                      <w:rFonts w:hint="default" w:ascii="Times New Roman" w:hAnsi="Times New Roman" w:cs="Times New Roman"/>
                      <w:color w:val="auto"/>
                      <w:kern w:val="0"/>
                      <w:sz w:val="18"/>
                      <w:szCs w:val="18"/>
                    </w:rPr>
                  </w:pPr>
                </w:p>
              </w:tc>
              <w:tc>
                <w:tcPr>
                  <w:tcW w:w="399" w:type="pct"/>
                  <w:vMerge w:val="continue"/>
                  <w:noWrap w:val="0"/>
                  <w:vAlign w:val="center"/>
                </w:tcPr>
                <w:p>
                  <w:pPr>
                    <w:widowControl/>
                    <w:jc w:val="left"/>
                    <w:rPr>
                      <w:rFonts w:hint="default" w:ascii="Times New Roman" w:hAnsi="Times New Roman" w:cs="Times New Roman"/>
                      <w:color w:val="auto"/>
                      <w:kern w:val="0"/>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00" w:type="pct"/>
                  <w:vMerge w:val="continue"/>
                  <w:noWrap w:val="0"/>
                  <w:vAlign w:val="center"/>
                </w:tcPr>
                <w:p>
                  <w:pPr>
                    <w:widowControl/>
                    <w:jc w:val="left"/>
                    <w:rPr>
                      <w:rFonts w:hint="default" w:ascii="Times New Roman" w:hAnsi="Times New Roman" w:cs="Times New Roman"/>
                      <w:color w:val="auto"/>
                      <w:kern w:val="0"/>
                      <w:sz w:val="18"/>
                      <w:szCs w:val="18"/>
                    </w:rPr>
                  </w:pPr>
                </w:p>
              </w:tc>
              <w:tc>
                <w:tcPr>
                  <w:tcW w:w="402" w:type="pct"/>
                  <w:vMerge w:val="continue"/>
                  <w:noWrap w:val="0"/>
                  <w:vAlign w:val="center"/>
                </w:tcPr>
                <w:p>
                  <w:pPr>
                    <w:widowControl/>
                    <w:jc w:val="left"/>
                    <w:rPr>
                      <w:rFonts w:hint="default" w:ascii="Times New Roman" w:hAnsi="Times New Roman" w:cs="Times New Roman"/>
                      <w:color w:val="auto"/>
                      <w:kern w:val="0"/>
                      <w:sz w:val="18"/>
                      <w:szCs w:val="18"/>
                    </w:rPr>
                  </w:pPr>
                </w:p>
              </w:tc>
              <w:tc>
                <w:tcPr>
                  <w:tcW w:w="561" w:type="pct"/>
                  <w:vMerge w:val="continue"/>
                  <w:noWrap w:val="0"/>
                  <w:vAlign w:val="center"/>
                </w:tcPr>
                <w:p>
                  <w:pPr>
                    <w:widowControl/>
                    <w:jc w:val="left"/>
                    <w:rPr>
                      <w:rFonts w:hint="default" w:ascii="Times New Roman" w:hAnsi="Times New Roman" w:cs="Times New Roman"/>
                      <w:color w:val="auto"/>
                      <w:kern w:val="0"/>
                      <w:sz w:val="18"/>
                      <w:szCs w:val="18"/>
                    </w:rPr>
                  </w:pPr>
                </w:p>
              </w:tc>
              <w:tc>
                <w:tcPr>
                  <w:tcW w:w="408" w:type="pct"/>
                  <w:vMerge w:val="continue"/>
                  <w:noWrap w:val="0"/>
                  <w:vAlign w:val="center"/>
                </w:tcPr>
                <w:p>
                  <w:pPr>
                    <w:widowControl/>
                    <w:jc w:val="left"/>
                    <w:rPr>
                      <w:rFonts w:hint="default" w:ascii="Times New Roman" w:hAnsi="Times New Roman" w:cs="Times New Roman"/>
                      <w:color w:val="auto"/>
                      <w:kern w:val="0"/>
                      <w:sz w:val="18"/>
                      <w:szCs w:val="18"/>
                    </w:rPr>
                  </w:pPr>
                </w:p>
              </w:tc>
              <w:tc>
                <w:tcPr>
                  <w:tcW w:w="440" w:type="pct"/>
                  <w:vMerge w:val="continue"/>
                  <w:noWrap w:val="0"/>
                  <w:vAlign w:val="center"/>
                </w:tcPr>
                <w:p>
                  <w:pPr>
                    <w:widowControl/>
                    <w:jc w:val="left"/>
                    <w:rPr>
                      <w:rFonts w:hint="default" w:ascii="Times New Roman" w:hAnsi="Times New Roman" w:cs="Times New Roman"/>
                      <w:color w:val="auto"/>
                      <w:kern w:val="0"/>
                      <w:sz w:val="18"/>
                      <w:szCs w:val="18"/>
                    </w:rPr>
                  </w:pPr>
                </w:p>
              </w:tc>
              <w:tc>
                <w:tcPr>
                  <w:tcW w:w="548" w:type="pct"/>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污染治理设施编号</w:t>
                  </w:r>
                </w:p>
              </w:tc>
              <w:tc>
                <w:tcPr>
                  <w:tcW w:w="544" w:type="pct"/>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污染治理设施名称</w:t>
                  </w:r>
                </w:p>
              </w:tc>
              <w:tc>
                <w:tcPr>
                  <w:tcW w:w="408" w:type="pct"/>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污染治理设施工艺</w:t>
                  </w:r>
                </w:p>
              </w:tc>
              <w:tc>
                <w:tcPr>
                  <w:tcW w:w="487" w:type="pct"/>
                  <w:vMerge w:val="continue"/>
                  <w:noWrap w:val="0"/>
                  <w:vAlign w:val="center"/>
                </w:tcPr>
                <w:p>
                  <w:pPr>
                    <w:widowControl/>
                    <w:jc w:val="left"/>
                    <w:rPr>
                      <w:rFonts w:hint="default" w:ascii="Times New Roman" w:hAnsi="Times New Roman" w:cs="Times New Roman"/>
                      <w:color w:val="auto"/>
                      <w:kern w:val="0"/>
                      <w:sz w:val="18"/>
                      <w:szCs w:val="18"/>
                    </w:rPr>
                  </w:pPr>
                </w:p>
              </w:tc>
              <w:tc>
                <w:tcPr>
                  <w:tcW w:w="399" w:type="pct"/>
                  <w:vMerge w:val="continue"/>
                  <w:noWrap w:val="0"/>
                  <w:vAlign w:val="center"/>
                </w:tcPr>
                <w:p>
                  <w:pPr>
                    <w:widowControl/>
                    <w:jc w:val="left"/>
                    <w:rPr>
                      <w:rFonts w:hint="default" w:ascii="Times New Roman" w:hAnsi="Times New Roman" w:cs="Times New Roman"/>
                      <w:color w:val="auto"/>
                      <w:kern w:val="0"/>
                      <w:sz w:val="18"/>
                      <w:szCs w:val="18"/>
                    </w:rPr>
                  </w:pPr>
                </w:p>
              </w:tc>
              <w:tc>
                <w:tcPr>
                  <w:tcW w:w="399" w:type="pct"/>
                  <w:vMerge w:val="continue"/>
                  <w:noWrap w:val="0"/>
                  <w:vAlign w:val="center"/>
                </w:tcPr>
                <w:p>
                  <w:pPr>
                    <w:widowControl/>
                    <w:jc w:val="left"/>
                    <w:rPr>
                      <w:rFonts w:hint="default" w:ascii="Times New Roman" w:hAnsi="Times New Roman" w:cs="Times New Roman"/>
                      <w:color w:val="auto"/>
                      <w:kern w:val="0"/>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00" w:type="pct"/>
                  <w:noWrap w:val="0"/>
                  <w:vAlign w:val="center"/>
                </w:tcPr>
                <w:p>
                  <w:pPr>
                    <w:widowControl/>
                    <w:jc w:val="center"/>
                    <w:rPr>
                      <w:rFonts w:hint="default" w:ascii="Times New Roman" w:hAnsi="Times New Roman" w:eastAsia="等线" w:cs="Times New Roman"/>
                      <w:color w:val="auto"/>
                      <w:kern w:val="0"/>
                      <w:sz w:val="18"/>
                      <w:szCs w:val="18"/>
                    </w:rPr>
                  </w:pPr>
                  <w:r>
                    <w:rPr>
                      <w:rFonts w:hint="default" w:ascii="Times New Roman" w:hAnsi="Times New Roman" w:eastAsia="等线" w:cs="Times New Roman"/>
                      <w:color w:val="auto"/>
                      <w:kern w:val="0"/>
                      <w:sz w:val="18"/>
                      <w:szCs w:val="18"/>
                    </w:rPr>
                    <w:t>1</w:t>
                  </w:r>
                </w:p>
              </w:tc>
              <w:tc>
                <w:tcPr>
                  <w:tcW w:w="402" w:type="pct"/>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生活污水</w:t>
                  </w:r>
                </w:p>
              </w:tc>
              <w:tc>
                <w:tcPr>
                  <w:tcW w:w="561" w:type="pct"/>
                  <w:noWrap w:val="0"/>
                  <w:vAlign w:val="center"/>
                </w:tcPr>
                <w:p>
                  <w:pPr>
                    <w:widowControl/>
                    <w:jc w:val="center"/>
                    <w:rPr>
                      <w:rFonts w:hint="default" w:ascii="Times New Roman" w:hAnsi="Times New Roman" w:eastAsia="等线" w:cs="Times New Roman"/>
                      <w:color w:val="auto"/>
                      <w:kern w:val="0"/>
                      <w:sz w:val="18"/>
                      <w:szCs w:val="18"/>
                    </w:rPr>
                  </w:pPr>
                  <w:r>
                    <w:rPr>
                      <w:rFonts w:hint="default" w:ascii="Times New Roman" w:hAnsi="Times New Roman" w:eastAsia="等线" w:cs="Times New Roman"/>
                      <w:color w:val="auto"/>
                      <w:kern w:val="0"/>
                      <w:sz w:val="18"/>
                      <w:szCs w:val="18"/>
                    </w:rPr>
                    <w:t>pH</w:t>
                  </w:r>
                  <w:r>
                    <w:rPr>
                      <w:rFonts w:hint="default" w:ascii="Times New Roman" w:hAnsi="Times New Roman" w:cs="Times New Roman"/>
                      <w:color w:val="auto"/>
                      <w:kern w:val="0"/>
                      <w:sz w:val="18"/>
                      <w:szCs w:val="18"/>
                    </w:rPr>
                    <w:t>、</w:t>
                  </w:r>
                  <w:r>
                    <w:rPr>
                      <w:rFonts w:hint="default" w:ascii="Times New Roman" w:hAnsi="Times New Roman" w:eastAsia="等线" w:cs="Times New Roman"/>
                      <w:color w:val="auto"/>
                      <w:kern w:val="0"/>
                      <w:sz w:val="18"/>
                      <w:szCs w:val="18"/>
                    </w:rPr>
                    <w:t>COD</w:t>
                  </w:r>
                  <w:r>
                    <w:rPr>
                      <w:rFonts w:hint="default" w:ascii="Times New Roman" w:hAnsi="Times New Roman" w:cs="Times New Roman"/>
                      <w:color w:val="auto"/>
                      <w:kern w:val="0"/>
                      <w:sz w:val="18"/>
                      <w:szCs w:val="18"/>
                    </w:rPr>
                    <w:t>、</w:t>
                  </w:r>
                  <w:r>
                    <w:rPr>
                      <w:rFonts w:hint="default" w:ascii="Times New Roman" w:hAnsi="Times New Roman" w:eastAsia="等线" w:cs="Times New Roman"/>
                      <w:color w:val="auto"/>
                      <w:kern w:val="0"/>
                      <w:sz w:val="18"/>
                      <w:szCs w:val="18"/>
                    </w:rPr>
                    <w:t>SS</w:t>
                  </w:r>
                  <w:r>
                    <w:rPr>
                      <w:rFonts w:hint="default" w:ascii="Times New Roman" w:hAnsi="Times New Roman" w:cs="Times New Roman"/>
                      <w:color w:val="auto"/>
                      <w:kern w:val="0"/>
                      <w:sz w:val="18"/>
                      <w:szCs w:val="18"/>
                    </w:rPr>
                    <w:t>、</w:t>
                  </w:r>
                  <w:r>
                    <w:rPr>
                      <w:rFonts w:hint="default" w:ascii="Times New Roman" w:hAnsi="Times New Roman" w:eastAsia="等线" w:cs="Times New Roman"/>
                      <w:color w:val="auto"/>
                      <w:kern w:val="0"/>
                      <w:sz w:val="18"/>
                      <w:szCs w:val="18"/>
                    </w:rPr>
                    <w:t>NH</w:t>
                  </w:r>
                  <w:r>
                    <w:rPr>
                      <w:rFonts w:hint="default" w:ascii="Times New Roman" w:hAnsi="Times New Roman" w:eastAsia="等线" w:cs="Times New Roman"/>
                      <w:color w:val="auto"/>
                      <w:kern w:val="0"/>
                      <w:sz w:val="18"/>
                      <w:szCs w:val="18"/>
                      <w:vertAlign w:val="subscript"/>
                    </w:rPr>
                    <w:t>3</w:t>
                  </w:r>
                  <w:r>
                    <w:rPr>
                      <w:rFonts w:hint="default" w:ascii="Times New Roman" w:hAnsi="Times New Roman" w:eastAsia="等线" w:cs="Times New Roman"/>
                      <w:color w:val="auto"/>
                      <w:kern w:val="0"/>
                      <w:sz w:val="18"/>
                      <w:szCs w:val="18"/>
                    </w:rPr>
                    <w:t>-N</w:t>
                  </w:r>
                  <w:r>
                    <w:rPr>
                      <w:rFonts w:hint="default" w:ascii="Times New Roman" w:hAnsi="Times New Roman" w:cs="Times New Roman"/>
                      <w:color w:val="auto"/>
                      <w:kern w:val="0"/>
                      <w:sz w:val="18"/>
                      <w:szCs w:val="18"/>
                    </w:rPr>
                    <w:t>、</w:t>
                  </w:r>
                  <w:r>
                    <w:rPr>
                      <w:rFonts w:hint="default" w:ascii="Times New Roman" w:hAnsi="Times New Roman" w:eastAsia="等线" w:cs="Times New Roman"/>
                      <w:color w:val="auto"/>
                      <w:kern w:val="0"/>
                      <w:sz w:val="18"/>
                      <w:szCs w:val="18"/>
                    </w:rPr>
                    <w:t>BOD</w:t>
                  </w:r>
                  <w:r>
                    <w:rPr>
                      <w:rFonts w:hint="default" w:ascii="Times New Roman" w:hAnsi="Times New Roman" w:eastAsia="等线" w:cs="Times New Roman"/>
                      <w:color w:val="auto"/>
                      <w:kern w:val="0"/>
                      <w:sz w:val="18"/>
                      <w:szCs w:val="18"/>
                      <w:vertAlign w:val="subscript"/>
                    </w:rPr>
                    <w:t>5</w:t>
                  </w:r>
                </w:p>
              </w:tc>
              <w:tc>
                <w:tcPr>
                  <w:tcW w:w="408" w:type="pct"/>
                  <w:noWrap w:val="0"/>
                  <w:vAlign w:val="center"/>
                </w:tcPr>
                <w:p>
                  <w:pPr>
                    <w:widowControl/>
                    <w:jc w:val="center"/>
                    <w:rPr>
                      <w:rFonts w:hint="default" w:ascii="Times New Roman" w:hAnsi="Times New Roman" w:eastAsia="宋体" w:cs="Times New Roman"/>
                      <w:color w:val="auto"/>
                      <w:kern w:val="0"/>
                      <w:sz w:val="18"/>
                      <w:szCs w:val="18"/>
                      <w:lang w:eastAsia="zh-CN"/>
                    </w:rPr>
                  </w:pPr>
                  <w:r>
                    <w:rPr>
                      <w:rFonts w:hint="eastAsia" w:ascii="Times New Roman" w:hAnsi="Times New Roman" w:cs="Times New Roman"/>
                      <w:color w:val="auto"/>
                      <w:kern w:val="0"/>
                      <w:sz w:val="18"/>
                      <w:szCs w:val="18"/>
                      <w:lang w:val="en-US" w:eastAsia="zh-CN"/>
                    </w:rPr>
                    <w:t>八公山</w:t>
                  </w:r>
                  <w:r>
                    <w:rPr>
                      <w:rFonts w:hint="default" w:ascii="Times New Roman" w:hAnsi="Times New Roman" w:cs="Times New Roman"/>
                      <w:color w:val="auto"/>
                      <w:kern w:val="0"/>
                      <w:sz w:val="18"/>
                      <w:szCs w:val="18"/>
                      <w:lang w:eastAsia="zh-CN"/>
                    </w:rPr>
                    <w:t>污水处理厂</w:t>
                  </w:r>
                </w:p>
              </w:tc>
              <w:tc>
                <w:tcPr>
                  <w:tcW w:w="440" w:type="pct"/>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间歇排放</w:t>
                  </w:r>
                </w:p>
              </w:tc>
              <w:tc>
                <w:tcPr>
                  <w:tcW w:w="548" w:type="pct"/>
                  <w:noWrap w:val="0"/>
                  <w:vAlign w:val="center"/>
                </w:tcPr>
                <w:p>
                  <w:pPr>
                    <w:widowControl/>
                    <w:jc w:val="center"/>
                    <w:rPr>
                      <w:rFonts w:hint="default" w:ascii="Times New Roman" w:hAnsi="Times New Roman" w:eastAsia="等线" w:cs="Times New Roman"/>
                      <w:color w:val="auto"/>
                      <w:kern w:val="0"/>
                      <w:sz w:val="18"/>
                      <w:szCs w:val="18"/>
                    </w:rPr>
                  </w:pPr>
                  <w:r>
                    <w:rPr>
                      <w:rFonts w:hint="default" w:ascii="Times New Roman" w:hAnsi="Times New Roman" w:eastAsia="等线" w:cs="Times New Roman"/>
                      <w:color w:val="auto"/>
                      <w:kern w:val="0"/>
                      <w:sz w:val="18"/>
                      <w:szCs w:val="18"/>
                    </w:rPr>
                    <w:t>TW001</w:t>
                  </w:r>
                </w:p>
              </w:tc>
              <w:tc>
                <w:tcPr>
                  <w:tcW w:w="544" w:type="pct"/>
                  <w:noWrap w:val="0"/>
                  <w:vAlign w:val="center"/>
                </w:tcPr>
                <w:p>
                  <w:pPr>
                    <w:widowControl/>
                    <w:jc w:val="center"/>
                    <w:rPr>
                      <w:rFonts w:hint="eastAsia" w:ascii="Times New Roman" w:hAnsi="Times New Roman" w:cs="Times New Roman" w:eastAsiaTheme="minorEastAsia"/>
                      <w:color w:val="auto"/>
                      <w:kern w:val="0"/>
                      <w:sz w:val="18"/>
                      <w:szCs w:val="18"/>
                      <w:lang w:val="en-US" w:eastAsia="zh-CN"/>
                    </w:rPr>
                  </w:pPr>
                  <w:r>
                    <w:rPr>
                      <w:rFonts w:hint="eastAsia" w:ascii="Times New Roman" w:hAnsi="Times New Roman" w:cs="Times New Roman"/>
                      <w:color w:val="auto"/>
                      <w:kern w:val="0"/>
                      <w:sz w:val="18"/>
                      <w:szCs w:val="18"/>
                      <w:lang w:val="en-US" w:eastAsia="zh-CN"/>
                    </w:rPr>
                    <w:t>化粪池</w:t>
                  </w:r>
                </w:p>
              </w:tc>
              <w:tc>
                <w:tcPr>
                  <w:tcW w:w="408" w:type="pct"/>
                  <w:noWrap w:val="0"/>
                  <w:vAlign w:val="center"/>
                </w:tcPr>
                <w:p>
                  <w:pPr>
                    <w:widowControl/>
                    <w:jc w:val="both"/>
                    <w:rPr>
                      <w:rFonts w:hint="default" w:ascii="Times New Roman" w:hAnsi="Times New Roman" w:eastAsia="宋体" w:cs="Times New Roman"/>
                      <w:color w:val="auto"/>
                      <w:kern w:val="0"/>
                      <w:sz w:val="18"/>
                      <w:szCs w:val="18"/>
                      <w:lang w:val="en-US" w:eastAsia="zh-CN"/>
                    </w:rPr>
                  </w:pPr>
                  <w:r>
                    <w:rPr>
                      <w:rFonts w:hint="eastAsia" w:ascii="Times New Roman" w:hAnsi="Times New Roman" w:eastAsia="宋体" w:cs="Times New Roman"/>
                      <w:color w:val="auto"/>
                      <w:kern w:val="0"/>
                      <w:sz w:val="18"/>
                      <w:szCs w:val="18"/>
                      <w:lang w:val="en-US" w:eastAsia="zh-CN"/>
                    </w:rPr>
                    <w:t>/</w:t>
                  </w:r>
                </w:p>
              </w:tc>
              <w:tc>
                <w:tcPr>
                  <w:tcW w:w="487" w:type="pct"/>
                  <w:noWrap w:val="0"/>
                  <w:vAlign w:val="center"/>
                </w:tcPr>
                <w:p>
                  <w:pPr>
                    <w:widowControl/>
                    <w:jc w:val="center"/>
                    <w:rPr>
                      <w:rFonts w:hint="default" w:ascii="Times New Roman" w:hAnsi="Times New Roman" w:eastAsia="等线" w:cs="Times New Roman"/>
                      <w:color w:val="auto"/>
                      <w:kern w:val="0"/>
                      <w:sz w:val="18"/>
                      <w:szCs w:val="18"/>
                    </w:rPr>
                  </w:pPr>
                  <w:r>
                    <w:rPr>
                      <w:rFonts w:hint="default" w:ascii="Times New Roman" w:hAnsi="Times New Roman" w:eastAsia="等线" w:cs="Times New Roman"/>
                      <w:color w:val="auto"/>
                      <w:kern w:val="0"/>
                      <w:sz w:val="18"/>
                      <w:szCs w:val="18"/>
                    </w:rPr>
                    <w:t>DW001</w:t>
                  </w:r>
                </w:p>
              </w:tc>
              <w:tc>
                <w:tcPr>
                  <w:tcW w:w="399" w:type="pct"/>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是</w:t>
                  </w:r>
                </w:p>
              </w:tc>
              <w:tc>
                <w:tcPr>
                  <w:tcW w:w="399" w:type="pct"/>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■企业总排</w:t>
                  </w:r>
                </w:p>
              </w:tc>
            </w:tr>
          </w:tbl>
          <w:p>
            <w:pPr>
              <w:spacing w:line="460" w:lineRule="exact"/>
              <w:jc w:val="center"/>
              <w:rPr>
                <w:rFonts w:hint="default" w:ascii="Times New Roman" w:hAnsi="Times New Roman" w:eastAsia="黑体" w:cs="Times New Roman"/>
                <w:bCs/>
                <w:color w:val="auto"/>
                <w:szCs w:val="21"/>
              </w:rPr>
            </w:pPr>
            <w:r>
              <w:rPr>
                <w:rFonts w:hint="default" w:ascii="Times New Roman" w:hAnsi="Times New Roman" w:eastAsia="黑体" w:cs="Times New Roman"/>
                <w:bCs/>
                <w:color w:val="auto"/>
                <w:szCs w:val="21"/>
              </w:rPr>
              <w:t>表4-</w:t>
            </w:r>
            <w:r>
              <w:rPr>
                <w:rFonts w:hint="eastAsia" w:ascii="Times New Roman" w:hAnsi="Times New Roman" w:eastAsia="黑体" w:cs="Times New Roman"/>
                <w:bCs/>
                <w:color w:val="auto"/>
                <w:szCs w:val="21"/>
                <w:lang w:val="en-US" w:eastAsia="zh-CN"/>
              </w:rPr>
              <w:t>20</w:t>
            </w:r>
            <w:r>
              <w:rPr>
                <w:rFonts w:hint="default" w:ascii="Times New Roman" w:hAnsi="Times New Roman" w:eastAsia="黑体" w:cs="Times New Roman"/>
                <w:bCs/>
                <w:color w:val="auto"/>
                <w:szCs w:val="21"/>
              </w:rPr>
              <w:t xml:space="preserve"> 废水间接排放口基本情况表</w:t>
            </w:r>
          </w:p>
          <w:tbl>
            <w:tblPr>
              <w:tblStyle w:val="17"/>
              <w:tblW w:w="5000" w:type="pct"/>
              <w:tblInd w:w="0" w:type="dxa"/>
              <w:tblLayout w:type="fixed"/>
              <w:tblCellMar>
                <w:top w:w="0" w:type="dxa"/>
                <w:left w:w="108" w:type="dxa"/>
                <w:bottom w:w="0" w:type="dxa"/>
                <w:right w:w="108" w:type="dxa"/>
              </w:tblCellMar>
            </w:tblPr>
            <w:tblGrid>
              <w:gridCol w:w="616"/>
              <w:gridCol w:w="763"/>
              <w:gridCol w:w="621"/>
              <w:gridCol w:w="690"/>
              <w:gridCol w:w="672"/>
              <w:gridCol w:w="842"/>
              <w:gridCol w:w="842"/>
              <w:gridCol w:w="616"/>
              <w:gridCol w:w="617"/>
              <w:gridCol w:w="704"/>
              <w:gridCol w:w="754"/>
            </w:tblGrid>
            <w:tr>
              <w:tblPrEx>
                <w:tblCellMar>
                  <w:top w:w="0" w:type="dxa"/>
                  <w:left w:w="108" w:type="dxa"/>
                  <w:bottom w:w="0" w:type="dxa"/>
                  <w:right w:w="108" w:type="dxa"/>
                </w:tblCellMar>
              </w:tblPrEx>
              <w:trPr>
                <w:trHeight w:val="340" w:hRule="atLeast"/>
              </w:trPr>
              <w:tc>
                <w:tcPr>
                  <w:tcW w:w="399" w:type="pct"/>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序号</w:t>
                  </w:r>
                </w:p>
              </w:tc>
              <w:tc>
                <w:tcPr>
                  <w:tcW w:w="493" w:type="pct"/>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排放口编号</w:t>
                  </w:r>
                </w:p>
              </w:tc>
              <w:tc>
                <w:tcPr>
                  <w:tcW w:w="847" w:type="pct"/>
                  <w:gridSpan w:val="2"/>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排放口地理坐标</w:t>
                  </w:r>
                </w:p>
              </w:tc>
              <w:tc>
                <w:tcPr>
                  <w:tcW w:w="434" w:type="pct"/>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废水排放量/（万t/a）</w:t>
                  </w:r>
                </w:p>
              </w:tc>
              <w:tc>
                <w:tcPr>
                  <w:tcW w:w="544" w:type="pct"/>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排放去向</w:t>
                  </w:r>
                </w:p>
              </w:tc>
              <w:tc>
                <w:tcPr>
                  <w:tcW w:w="544" w:type="pct"/>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排放规律</w:t>
                  </w:r>
                </w:p>
              </w:tc>
              <w:tc>
                <w:tcPr>
                  <w:tcW w:w="398" w:type="pct"/>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间歇排放时段</w:t>
                  </w:r>
                </w:p>
              </w:tc>
              <w:tc>
                <w:tcPr>
                  <w:tcW w:w="1341" w:type="pct"/>
                  <w:gridSpan w:val="3"/>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受纳污水处理厂信息</w:t>
                  </w:r>
                </w:p>
              </w:tc>
            </w:tr>
            <w:tr>
              <w:tblPrEx>
                <w:tblCellMar>
                  <w:top w:w="0" w:type="dxa"/>
                  <w:left w:w="108" w:type="dxa"/>
                  <w:bottom w:w="0" w:type="dxa"/>
                  <w:right w:w="108" w:type="dxa"/>
                </w:tblCellMar>
              </w:tblPrEx>
              <w:trPr>
                <w:trHeight w:val="340" w:hRule="atLeast"/>
              </w:trPr>
              <w:tc>
                <w:tcPr>
                  <w:tcW w:w="399"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c>
                <w:tcPr>
                  <w:tcW w:w="493"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c>
                <w:tcPr>
                  <w:tcW w:w="847" w:type="pct"/>
                  <w:gridSpan w:val="2"/>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c>
                <w:tcPr>
                  <w:tcW w:w="434"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c>
                <w:tcPr>
                  <w:tcW w:w="544"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c>
                <w:tcPr>
                  <w:tcW w:w="544"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c>
                <w:tcPr>
                  <w:tcW w:w="398"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c>
                <w:tcPr>
                  <w:tcW w:w="1341" w:type="pct"/>
                  <w:gridSpan w:val="3"/>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r>
            <w:tr>
              <w:tblPrEx>
                <w:tblCellMar>
                  <w:top w:w="0" w:type="dxa"/>
                  <w:left w:w="108" w:type="dxa"/>
                  <w:bottom w:w="0" w:type="dxa"/>
                  <w:right w:w="108" w:type="dxa"/>
                </w:tblCellMar>
              </w:tblPrEx>
              <w:trPr>
                <w:trHeight w:val="340" w:hRule="atLeast"/>
              </w:trPr>
              <w:tc>
                <w:tcPr>
                  <w:tcW w:w="399"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c>
                <w:tcPr>
                  <w:tcW w:w="493"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c>
                <w:tcPr>
                  <w:tcW w:w="401" w:type="pct"/>
                  <w:vMerge w:val="restart"/>
                  <w:tcBorders>
                    <w:top w:val="nil"/>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经度</w:t>
                  </w:r>
                </w:p>
              </w:tc>
              <w:tc>
                <w:tcPr>
                  <w:tcW w:w="446" w:type="pct"/>
                  <w:vMerge w:val="restart"/>
                  <w:tcBorders>
                    <w:top w:val="nil"/>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纬度</w:t>
                  </w:r>
                </w:p>
              </w:tc>
              <w:tc>
                <w:tcPr>
                  <w:tcW w:w="434"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c>
                <w:tcPr>
                  <w:tcW w:w="544"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c>
                <w:tcPr>
                  <w:tcW w:w="544"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c>
                <w:tcPr>
                  <w:tcW w:w="398"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c>
                <w:tcPr>
                  <w:tcW w:w="399" w:type="pct"/>
                  <w:vMerge w:val="restart"/>
                  <w:tcBorders>
                    <w:top w:val="nil"/>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名称</w:t>
                  </w:r>
                </w:p>
              </w:tc>
              <w:tc>
                <w:tcPr>
                  <w:tcW w:w="455" w:type="pct"/>
                  <w:tcBorders>
                    <w:top w:val="nil"/>
                    <w:left w:val="nil"/>
                    <w:bottom w:val="single" w:color="auto" w:sz="4" w:space="0"/>
                    <w:right w:val="single" w:color="auto" w:sz="4" w:space="0"/>
                  </w:tcBorders>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污染物</w:t>
                  </w:r>
                </w:p>
              </w:tc>
              <w:tc>
                <w:tcPr>
                  <w:tcW w:w="486" w:type="pct"/>
                  <w:vMerge w:val="restart"/>
                  <w:tcBorders>
                    <w:top w:val="nil"/>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国家或地方污染物排放标准浓度限值/(mg/L)</w:t>
                  </w:r>
                </w:p>
              </w:tc>
            </w:tr>
            <w:tr>
              <w:tblPrEx>
                <w:tblCellMar>
                  <w:top w:w="0" w:type="dxa"/>
                  <w:left w:w="108" w:type="dxa"/>
                  <w:bottom w:w="0" w:type="dxa"/>
                  <w:right w:w="108" w:type="dxa"/>
                </w:tblCellMar>
              </w:tblPrEx>
              <w:trPr>
                <w:trHeight w:val="340" w:hRule="atLeast"/>
              </w:trPr>
              <w:tc>
                <w:tcPr>
                  <w:tcW w:w="399"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c>
                <w:tcPr>
                  <w:tcW w:w="493"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c>
                <w:tcPr>
                  <w:tcW w:w="401"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c>
                <w:tcPr>
                  <w:tcW w:w="446"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c>
                <w:tcPr>
                  <w:tcW w:w="434"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c>
                <w:tcPr>
                  <w:tcW w:w="544"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c>
                <w:tcPr>
                  <w:tcW w:w="544"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c>
                <w:tcPr>
                  <w:tcW w:w="398"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c>
                <w:tcPr>
                  <w:tcW w:w="399"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c>
                <w:tcPr>
                  <w:tcW w:w="455" w:type="pct"/>
                  <w:tcBorders>
                    <w:top w:val="nil"/>
                    <w:left w:val="nil"/>
                    <w:bottom w:val="single" w:color="auto" w:sz="4" w:space="0"/>
                    <w:right w:val="single" w:color="auto" w:sz="4" w:space="0"/>
                  </w:tcBorders>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种类</w:t>
                  </w:r>
                </w:p>
              </w:tc>
              <w:tc>
                <w:tcPr>
                  <w:tcW w:w="486"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r>
            <w:tr>
              <w:tblPrEx>
                <w:tblCellMar>
                  <w:top w:w="0" w:type="dxa"/>
                  <w:left w:w="108" w:type="dxa"/>
                  <w:bottom w:w="0" w:type="dxa"/>
                  <w:right w:w="108" w:type="dxa"/>
                </w:tblCellMar>
              </w:tblPrEx>
              <w:trPr>
                <w:trHeight w:val="340" w:hRule="atLeast"/>
              </w:trPr>
              <w:tc>
                <w:tcPr>
                  <w:tcW w:w="399" w:type="pct"/>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1</w:t>
                  </w:r>
                </w:p>
              </w:tc>
              <w:tc>
                <w:tcPr>
                  <w:tcW w:w="493" w:type="pct"/>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DW001</w:t>
                  </w:r>
                </w:p>
              </w:tc>
              <w:tc>
                <w:tcPr>
                  <w:tcW w:w="401" w:type="pct"/>
                  <w:vMerge w:val="restart"/>
                  <w:tcBorders>
                    <w:top w:val="nil"/>
                    <w:left w:val="single" w:color="auto" w:sz="4" w:space="0"/>
                    <w:bottom w:val="single" w:color="auto" w:sz="4" w:space="0"/>
                    <w:right w:val="single" w:color="auto" w:sz="4" w:space="0"/>
                  </w:tcBorders>
                  <w:shd w:val="clear" w:color="000000" w:fill="FFFFFF"/>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116.6153</w:t>
                  </w:r>
                </w:p>
              </w:tc>
              <w:tc>
                <w:tcPr>
                  <w:tcW w:w="446" w:type="pct"/>
                  <w:vMerge w:val="restart"/>
                  <w:tcBorders>
                    <w:top w:val="nil"/>
                    <w:left w:val="single" w:color="auto" w:sz="4" w:space="0"/>
                    <w:bottom w:val="single" w:color="auto" w:sz="4" w:space="0"/>
                    <w:right w:val="single" w:color="auto" w:sz="4" w:space="0"/>
                  </w:tcBorders>
                  <w:shd w:val="clear" w:color="000000" w:fill="FFFFFF"/>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32.6596</w:t>
                  </w:r>
                </w:p>
              </w:tc>
              <w:tc>
                <w:tcPr>
                  <w:tcW w:w="434" w:type="pct"/>
                  <w:vMerge w:val="restart"/>
                  <w:tcBorders>
                    <w:top w:val="nil"/>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eastAsia="宋体" w:cs="Times New Roman"/>
                      <w:color w:val="auto"/>
                      <w:kern w:val="0"/>
                      <w:sz w:val="18"/>
                      <w:szCs w:val="18"/>
                      <w:lang w:val="en-US" w:eastAsia="zh-CN"/>
                    </w:rPr>
                  </w:pPr>
                  <w:r>
                    <w:rPr>
                      <w:rFonts w:hint="eastAsia" w:ascii="Times New Roman" w:hAnsi="Times New Roman" w:cs="Times New Roman"/>
                      <w:color w:val="auto"/>
                      <w:kern w:val="0"/>
                      <w:sz w:val="18"/>
                      <w:szCs w:val="18"/>
                      <w:lang w:val="en-US" w:eastAsia="zh-CN"/>
                    </w:rPr>
                    <w:t>0.54</w:t>
                  </w:r>
                </w:p>
              </w:tc>
              <w:tc>
                <w:tcPr>
                  <w:tcW w:w="544" w:type="pct"/>
                  <w:vMerge w:val="restart"/>
                  <w:tcBorders>
                    <w:top w:val="nil"/>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eastAsia="宋体" w:cs="Times New Roman"/>
                      <w:color w:val="auto"/>
                      <w:kern w:val="0"/>
                      <w:sz w:val="18"/>
                      <w:szCs w:val="18"/>
                      <w:lang w:eastAsia="zh-CN"/>
                    </w:rPr>
                  </w:pPr>
                  <w:r>
                    <w:rPr>
                      <w:rFonts w:hint="eastAsia" w:ascii="Times New Roman" w:hAnsi="Times New Roman" w:cs="Times New Roman"/>
                      <w:color w:val="auto"/>
                      <w:kern w:val="0"/>
                      <w:sz w:val="18"/>
                      <w:szCs w:val="18"/>
                      <w:lang w:val="en-US" w:eastAsia="zh-CN"/>
                    </w:rPr>
                    <w:t>八公山</w:t>
                  </w:r>
                  <w:r>
                    <w:rPr>
                      <w:rFonts w:hint="default" w:ascii="Times New Roman" w:hAnsi="Times New Roman" w:cs="Times New Roman"/>
                      <w:color w:val="auto"/>
                      <w:kern w:val="0"/>
                      <w:sz w:val="18"/>
                      <w:szCs w:val="18"/>
                      <w:lang w:eastAsia="zh-CN"/>
                    </w:rPr>
                    <w:t>污水处理厂</w:t>
                  </w:r>
                </w:p>
              </w:tc>
              <w:tc>
                <w:tcPr>
                  <w:tcW w:w="544" w:type="pct"/>
                  <w:vMerge w:val="restart"/>
                  <w:tcBorders>
                    <w:top w:val="nil"/>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lang w:val="en-US" w:eastAsia="zh-CN"/>
                    </w:rPr>
                    <w:t>间歇</w:t>
                  </w:r>
                  <w:r>
                    <w:rPr>
                      <w:rFonts w:hint="default" w:ascii="Times New Roman" w:hAnsi="Times New Roman" w:cs="Times New Roman"/>
                      <w:color w:val="auto"/>
                      <w:kern w:val="0"/>
                      <w:sz w:val="18"/>
                      <w:szCs w:val="18"/>
                    </w:rPr>
                    <w:t>排放</w:t>
                  </w:r>
                </w:p>
              </w:tc>
              <w:tc>
                <w:tcPr>
                  <w:tcW w:w="398" w:type="pct"/>
                  <w:vMerge w:val="restart"/>
                  <w:tcBorders>
                    <w:top w:val="nil"/>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w:t>
                  </w:r>
                </w:p>
              </w:tc>
              <w:tc>
                <w:tcPr>
                  <w:tcW w:w="399" w:type="pct"/>
                  <w:vMerge w:val="restart"/>
                  <w:tcBorders>
                    <w:top w:val="nil"/>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eastAsia="宋体" w:cs="Times New Roman"/>
                      <w:color w:val="auto"/>
                      <w:kern w:val="0"/>
                      <w:sz w:val="18"/>
                      <w:szCs w:val="18"/>
                      <w:lang w:eastAsia="zh-CN"/>
                    </w:rPr>
                  </w:pPr>
                  <w:r>
                    <w:rPr>
                      <w:rFonts w:hint="eastAsia" w:ascii="Times New Roman" w:hAnsi="Times New Roman" w:cs="Times New Roman"/>
                      <w:color w:val="auto"/>
                      <w:kern w:val="0"/>
                      <w:sz w:val="18"/>
                      <w:szCs w:val="18"/>
                      <w:lang w:val="en-US" w:eastAsia="zh-CN"/>
                    </w:rPr>
                    <w:t>八公山</w:t>
                  </w:r>
                  <w:r>
                    <w:rPr>
                      <w:rFonts w:hint="default" w:ascii="Times New Roman" w:hAnsi="Times New Roman" w:cs="Times New Roman"/>
                      <w:color w:val="auto"/>
                      <w:kern w:val="0"/>
                      <w:sz w:val="18"/>
                      <w:szCs w:val="18"/>
                      <w:lang w:eastAsia="zh-CN"/>
                    </w:rPr>
                    <w:t>污水处理厂</w:t>
                  </w:r>
                </w:p>
              </w:tc>
              <w:tc>
                <w:tcPr>
                  <w:tcW w:w="455" w:type="pct"/>
                  <w:tcBorders>
                    <w:top w:val="nil"/>
                    <w:left w:val="nil"/>
                    <w:bottom w:val="single" w:color="auto" w:sz="4" w:space="0"/>
                    <w:right w:val="single" w:color="auto" w:sz="4" w:space="0"/>
                  </w:tcBorders>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pH</w:t>
                  </w:r>
                </w:p>
              </w:tc>
              <w:tc>
                <w:tcPr>
                  <w:tcW w:w="486" w:type="pct"/>
                  <w:tcBorders>
                    <w:top w:val="nil"/>
                    <w:left w:val="nil"/>
                    <w:bottom w:val="single" w:color="auto" w:sz="4" w:space="0"/>
                    <w:right w:val="single" w:color="auto" w:sz="4" w:space="0"/>
                  </w:tcBorders>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6~9</w:t>
                  </w:r>
                </w:p>
              </w:tc>
            </w:tr>
            <w:tr>
              <w:tblPrEx>
                <w:tblCellMar>
                  <w:top w:w="0" w:type="dxa"/>
                  <w:left w:w="108" w:type="dxa"/>
                  <w:bottom w:w="0" w:type="dxa"/>
                  <w:right w:w="108" w:type="dxa"/>
                </w:tblCellMar>
              </w:tblPrEx>
              <w:trPr>
                <w:trHeight w:val="340" w:hRule="atLeast"/>
              </w:trPr>
              <w:tc>
                <w:tcPr>
                  <w:tcW w:w="399" w:type="pct"/>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jc w:val="left"/>
                    <w:rPr>
                      <w:rFonts w:hint="default" w:ascii="Times New Roman" w:hAnsi="Times New Roman" w:cs="Times New Roman"/>
                      <w:color w:val="auto"/>
                      <w:kern w:val="0"/>
                      <w:sz w:val="18"/>
                      <w:szCs w:val="18"/>
                    </w:rPr>
                  </w:pPr>
                </w:p>
              </w:tc>
              <w:tc>
                <w:tcPr>
                  <w:tcW w:w="493" w:type="pct"/>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jc w:val="left"/>
                    <w:rPr>
                      <w:rFonts w:hint="default" w:ascii="Times New Roman" w:hAnsi="Times New Roman" w:cs="Times New Roman"/>
                      <w:color w:val="auto"/>
                      <w:kern w:val="0"/>
                      <w:sz w:val="18"/>
                      <w:szCs w:val="18"/>
                    </w:rPr>
                  </w:pPr>
                </w:p>
              </w:tc>
              <w:tc>
                <w:tcPr>
                  <w:tcW w:w="401" w:type="pct"/>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jc w:val="left"/>
                    <w:rPr>
                      <w:rFonts w:hint="default" w:ascii="Times New Roman" w:hAnsi="Times New Roman" w:cs="Times New Roman"/>
                      <w:color w:val="auto"/>
                      <w:kern w:val="0"/>
                      <w:sz w:val="18"/>
                      <w:szCs w:val="18"/>
                    </w:rPr>
                  </w:pPr>
                </w:p>
              </w:tc>
              <w:tc>
                <w:tcPr>
                  <w:tcW w:w="446" w:type="pct"/>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jc w:val="left"/>
                    <w:rPr>
                      <w:rFonts w:hint="default" w:ascii="Times New Roman" w:hAnsi="Times New Roman" w:cs="Times New Roman"/>
                      <w:color w:val="auto"/>
                      <w:kern w:val="0"/>
                      <w:sz w:val="18"/>
                      <w:szCs w:val="18"/>
                    </w:rPr>
                  </w:pPr>
                </w:p>
              </w:tc>
              <w:tc>
                <w:tcPr>
                  <w:tcW w:w="434" w:type="pct"/>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jc w:val="left"/>
                    <w:rPr>
                      <w:rFonts w:hint="default" w:ascii="Times New Roman" w:hAnsi="Times New Roman" w:cs="Times New Roman"/>
                      <w:color w:val="auto"/>
                      <w:kern w:val="0"/>
                      <w:sz w:val="18"/>
                      <w:szCs w:val="18"/>
                    </w:rPr>
                  </w:pPr>
                </w:p>
              </w:tc>
              <w:tc>
                <w:tcPr>
                  <w:tcW w:w="544" w:type="pct"/>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jc w:val="left"/>
                    <w:rPr>
                      <w:rFonts w:hint="default" w:ascii="Times New Roman" w:hAnsi="Times New Roman" w:cs="Times New Roman"/>
                      <w:color w:val="auto"/>
                      <w:kern w:val="0"/>
                      <w:sz w:val="18"/>
                      <w:szCs w:val="18"/>
                    </w:rPr>
                  </w:pPr>
                </w:p>
              </w:tc>
              <w:tc>
                <w:tcPr>
                  <w:tcW w:w="544" w:type="pct"/>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jc w:val="left"/>
                    <w:rPr>
                      <w:rFonts w:hint="default" w:ascii="Times New Roman" w:hAnsi="Times New Roman" w:cs="Times New Roman"/>
                      <w:color w:val="auto"/>
                      <w:kern w:val="0"/>
                      <w:sz w:val="18"/>
                      <w:szCs w:val="18"/>
                    </w:rPr>
                  </w:pPr>
                </w:p>
              </w:tc>
              <w:tc>
                <w:tcPr>
                  <w:tcW w:w="398" w:type="pct"/>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jc w:val="left"/>
                    <w:rPr>
                      <w:rFonts w:hint="default" w:ascii="Times New Roman" w:hAnsi="Times New Roman" w:cs="Times New Roman"/>
                      <w:color w:val="auto"/>
                      <w:kern w:val="0"/>
                      <w:sz w:val="18"/>
                      <w:szCs w:val="18"/>
                    </w:rPr>
                  </w:pPr>
                </w:p>
              </w:tc>
              <w:tc>
                <w:tcPr>
                  <w:tcW w:w="399" w:type="pct"/>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jc w:val="left"/>
                    <w:rPr>
                      <w:rFonts w:hint="default" w:ascii="Times New Roman" w:hAnsi="Times New Roman" w:cs="Times New Roman"/>
                      <w:color w:val="auto"/>
                      <w:kern w:val="0"/>
                      <w:sz w:val="18"/>
                      <w:szCs w:val="18"/>
                    </w:rPr>
                  </w:pPr>
                </w:p>
              </w:tc>
              <w:tc>
                <w:tcPr>
                  <w:tcW w:w="455" w:type="pct"/>
                  <w:tcBorders>
                    <w:top w:val="nil"/>
                    <w:left w:val="nil"/>
                    <w:bottom w:val="single" w:color="auto" w:sz="4" w:space="0"/>
                    <w:right w:val="single" w:color="auto" w:sz="4" w:space="0"/>
                  </w:tcBorders>
                  <w:shd w:val="clear" w:color="auto" w:fill="auto"/>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COD</w:t>
                  </w:r>
                </w:p>
              </w:tc>
              <w:tc>
                <w:tcPr>
                  <w:tcW w:w="486" w:type="pct"/>
                  <w:tcBorders>
                    <w:top w:val="nil"/>
                    <w:left w:val="nil"/>
                    <w:bottom w:val="single" w:color="auto" w:sz="4" w:space="0"/>
                    <w:right w:val="single" w:color="auto" w:sz="4" w:space="0"/>
                  </w:tcBorders>
                  <w:shd w:val="clear" w:color="000000" w:fill="FFFFFF"/>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50</w:t>
                  </w:r>
                </w:p>
              </w:tc>
            </w:tr>
            <w:tr>
              <w:tblPrEx>
                <w:tblCellMar>
                  <w:top w:w="0" w:type="dxa"/>
                  <w:left w:w="108" w:type="dxa"/>
                  <w:bottom w:w="0" w:type="dxa"/>
                  <w:right w:w="108" w:type="dxa"/>
                </w:tblCellMar>
              </w:tblPrEx>
              <w:trPr>
                <w:trHeight w:val="340" w:hRule="atLeast"/>
              </w:trPr>
              <w:tc>
                <w:tcPr>
                  <w:tcW w:w="399" w:type="pct"/>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jc w:val="left"/>
                    <w:rPr>
                      <w:rFonts w:hint="default" w:ascii="Times New Roman" w:hAnsi="Times New Roman" w:cs="Times New Roman"/>
                      <w:color w:val="auto"/>
                      <w:kern w:val="0"/>
                      <w:sz w:val="18"/>
                      <w:szCs w:val="18"/>
                    </w:rPr>
                  </w:pPr>
                </w:p>
              </w:tc>
              <w:tc>
                <w:tcPr>
                  <w:tcW w:w="493" w:type="pct"/>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jc w:val="left"/>
                    <w:rPr>
                      <w:rFonts w:hint="default" w:ascii="Times New Roman" w:hAnsi="Times New Roman" w:cs="Times New Roman"/>
                      <w:color w:val="auto"/>
                      <w:kern w:val="0"/>
                      <w:sz w:val="18"/>
                      <w:szCs w:val="18"/>
                    </w:rPr>
                  </w:pPr>
                </w:p>
              </w:tc>
              <w:tc>
                <w:tcPr>
                  <w:tcW w:w="401" w:type="pct"/>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jc w:val="left"/>
                    <w:rPr>
                      <w:rFonts w:hint="default" w:ascii="Times New Roman" w:hAnsi="Times New Roman" w:cs="Times New Roman"/>
                      <w:color w:val="auto"/>
                      <w:kern w:val="0"/>
                      <w:sz w:val="18"/>
                      <w:szCs w:val="18"/>
                    </w:rPr>
                  </w:pPr>
                </w:p>
              </w:tc>
              <w:tc>
                <w:tcPr>
                  <w:tcW w:w="446" w:type="pct"/>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jc w:val="left"/>
                    <w:rPr>
                      <w:rFonts w:hint="default" w:ascii="Times New Roman" w:hAnsi="Times New Roman" w:cs="Times New Roman"/>
                      <w:color w:val="auto"/>
                      <w:kern w:val="0"/>
                      <w:sz w:val="18"/>
                      <w:szCs w:val="18"/>
                    </w:rPr>
                  </w:pPr>
                </w:p>
              </w:tc>
              <w:tc>
                <w:tcPr>
                  <w:tcW w:w="434" w:type="pct"/>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jc w:val="left"/>
                    <w:rPr>
                      <w:rFonts w:hint="default" w:ascii="Times New Roman" w:hAnsi="Times New Roman" w:cs="Times New Roman"/>
                      <w:color w:val="auto"/>
                      <w:kern w:val="0"/>
                      <w:sz w:val="18"/>
                      <w:szCs w:val="18"/>
                    </w:rPr>
                  </w:pPr>
                </w:p>
              </w:tc>
              <w:tc>
                <w:tcPr>
                  <w:tcW w:w="544" w:type="pct"/>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jc w:val="left"/>
                    <w:rPr>
                      <w:rFonts w:hint="default" w:ascii="Times New Roman" w:hAnsi="Times New Roman" w:cs="Times New Roman"/>
                      <w:color w:val="auto"/>
                      <w:kern w:val="0"/>
                      <w:sz w:val="18"/>
                      <w:szCs w:val="18"/>
                    </w:rPr>
                  </w:pPr>
                </w:p>
              </w:tc>
              <w:tc>
                <w:tcPr>
                  <w:tcW w:w="544" w:type="pct"/>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jc w:val="left"/>
                    <w:rPr>
                      <w:rFonts w:hint="default" w:ascii="Times New Roman" w:hAnsi="Times New Roman" w:cs="Times New Roman"/>
                      <w:color w:val="auto"/>
                      <w:kern w:val="0"/>
                      <w:sz w:val="18"/>
                      <w:szCs w:val="18"/>
                    </w:rPr>
                  </w:pPr>
                </w:p>
              </w:tc>
              <w:tc>
                <w:tcPr>
                  <w:tcW w:w="398" w:type="pct"/>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jc w:val="left"/>
                    <w:rPr>
                      <w:rFonts w:hint="default" w:ascii="Times New Roman" w:hAnsi="Times New Roman" w:cs="Times New Roman"/>
                      <w:color w:val="auto"/>
                      <w:kern w:val="0"/>
                      <w:sz w:val="18"/>
                      <w:szCs w:val="18"/>
                    </w:rPr>
                  </w:pPr>
                </w:p>
              </w:tc>
              <w:tc>
                <w:tcPr>
                  <w:tcW w:w="399" w:type="pct"/>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jc w:val="left"/>
                    <w:rPr>
                      <w:rFonts w:hint="default" w:ascii="Times New Roman" w:hAnsi="Times New Roman" w:cs="Times New Roman"/>
                      <w:color w:val="auto"/>
                      <w:kern w:val="0"/>
                      <w:sz w:val="18"/>
                      <w:szCs w:val="18"/>
                    </w:rPr>
                  </w:pPr>
                </w:p>
              </w:tc>
              <w:tc>
                <w:tcPr>
                  <w:tcW w:w="455" w:type="pct"/>
                  <w:tcBorders>
                    <w:top w:val="nil"/>
                    <w:left w:val="nil"/>
                    <w:bottom w:val="single" w:color="auto" w:sz="4" w:space="0"/>
                    <w:right w:val="single" w:color="auto" w:sz="4" w:space="0"/>
                  </w:tcBorders>
                  <w:shd w:val="clear" w:color="auto" w:fill="auto"/>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BOD</w:t>
                  </w:r>
                  <w:r>
                    <w:rPr>
                      <w:rFonts w:hint="default" w:ascii="Times New Roman" w:hAnsi="Times New Roman" w:cs="Times New Roman"/>
                      <w:color w:val="auto"/>
                      <w:kern w:val="0"/>
                      <w:sz w:val="18"/>
                      <w:szCs w:val="18"/>
                      <w:vertAlign w:val="subscript"/>
                    </w:rPr>
                    <w:t>5</w:t>
                  </w:r>
                </w:p>
              </w:tc>
              <w:tc>
                <w:tcPr>
                  <w:tcW w:w="486" w:type="pct"/>
                  <w:tcBorders>
                    <w:top w:val="nil"/>
                    <w:left w:val="nil"/>
                    <w:bottom w:val="single" w:color="auto" w:sz="4" w:space="0"/>
                    <w:right w:val="single" w:color="auto" w:sz="4" w:space="0"/>
                  </w:tcBorders>
                  <w:shd w:val="clear" w:color="000000" w:fill="FFFFFF"/>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10</w:t>
                  </w:r>
                </w:p>
              </w:tc>
            </w:tr>
            <w:tr>
              <w:tblPrEx>
                <w:tblCellMar>
                  <w:top w:w="0" w:type="dxa"/>
                  <w:left w:w="108" w:type="dxa"/>
                  <w:bottom w:w="0" w:type="dxa"/>
                  <w:right w:w="108" w:type="dxa"/>
                </w:tblCellMar>
              </w:tblPrEx>
              <w:trPr>
                <w:trHeight w:val="340" w:hRule="atLeast"/>
              </w:trPr>
              <w:tc>
                <w:tcPr>
                  <w:tcW w:w="399" w:type="pct"/>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jc w:val="left"/>
                    <w:rPr>
                      <w:rFonts w:hint="default" w:ascii="Times New Roman" w:hAnsi="Times New Roman" w:cs="Times New Roman"/>
                      <w:color w:val="auto"/>
                      <w:kern w:val="0"/>
                      <w:sz w:val="18"/>
                      <w:szCs w:val="18"/>
                    </w:rPr>
                  </w:pPr>
                </w:p>
              </w:tc>
              <w:tc>
                <w:tcPr>
                  <w:tcW w:w="493" w:type="pct"/>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jc w:val="left"/>
                    <w:rPr>
                      <w:rFonts w:hint="default" w:ascii="Times New Roman" w:hAnsi="Times New Roman" w:cs="Times New Roman"/>
                      <w:color w:val="auto"/>
                      <w:kern w:val="0"/>
                      <w:sz w:val="18"/>
                      <w:szCs w:val="18"/>
                    </w:rPr>
                  </w:pPr>
                </w:p>
              </w:tc>
              <w:tc>
                <w:tcPr>
                  <w:tcW w:w="401" w:type="pct"/>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jc w:val="left"/>
                    <w:rPr>
                      <w:rFonts w:hint="default" w:ascii="Times New Roman" w:hAnsi="Times New Roman" w:cs="Times New Roman"/>
                      <w:color w:val="auto"/>
                      <w:kern w:val="0"/>
                      <w:sz w:val="18"/>
                      <w:szCs w:val="18"/>
                    </w:rPr>
                  </w:pPr>
                </w:p>
              </w:tc>
              <w:tc>
                <w:tcPr>
                  <w:tcW w:w="446" w:type="pct"/>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jc w:val="left"/>
                    <w:rPr>
                      <w:rFonts w:hint="default" w:ascii="Times New Roman" w:hAnsi="Times New Roman" w:cs="Times New Roman"/>
                      <w:color w:val="auto"/>
                      <w:kern w:val="0"/>
                      <w:sz w:val="18"/>
                      <w:szCs w:val="18"/>
                    </w:rPr>
                  </w:pPr>
                </w:p>
              </w:tc>
              <w:tc>
                <w:tcPr>
                  <w:tcW w:w="434" w:type="pct"/>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jc w:val="left"/>
                    <w:rPr>
                      <w:rFonts w:hint="default" w:ascii="Times New Roman" w:hAnsi="Times New Roman" w:cs="Times New Roman"/>
                      <w:color w:val="auto"/>
                      <w:kern w:val="0"/>
                      <w:sz w:val="18"/>
                      <w:szCs w:val="18"/>
                    </w:rPr>
                  </w:pPr>
                </w:p>
              </w:tc>
              <w:tc>
                <w:tcPr>
                  <w:tcW w:w="544" w:type="pct"/>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jc w:val="left"/>
                    <w:rPr>
                      <w:rFonts w:hint="default" w:ascii="Times New Roman" w:hAnsi="Times New Roman" w:cs="Times New Roman"/>
                      <w:color w:val="auto"/>
                      <w:kern w:val="0"/>
                      <w:sz w:val="18"/>
                      <w:szCs w:val="18"/>
                    </w:rPr>
                  </w:pPr>
                </w:p>
              </w:tc>
              <w:tc>
                <w:tcPr>
                  <w:tcW w:w="544" w:type="pct"/>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jc w:val="left"/>
                    <w:rPr>
                      <w:rFonts w:hint="default" w:ascii="Times New Roman" w:hAnsi="Times New Roman" w:cs="Times New Roman"/>
                      <w:color w:val="auto"/>
                      <w:kern w:val="0"/>
                      <w:sz w:val="18"/>
                      <w:szCs w:val="18"/>
                    </w:rPr>
                  </w:pPr>
                </w:p>
              </w:tc>
              <w:tc>
                <w:tcPr>
                  <w:tcW w:w="398" w:type="pct"/>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jc w:val="left"/>
                    <w:rPr>
                      <w:rFonts w:hint="default" w:ascii="Times New Roman" w:hAnsi="Times New Roman" w:cs="Times New Roman"/>
                      <w:color w:val="auto"/>
                      <w:kern w:val="0"/>
                      <w:sz w:val="18"/>
                      <w:szCs w:val="18"/>
                    </w:rPr>
                  </w:pPr>
                </w:p>
              </w:tc>
              <w:tc>
                <w:tcPr>
                  <w:tcW w:w="399" w:type="pct"/>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jc w:val="left"/>
                    <w:rPr>
                      <w:rFonts w:hint="default" w:ascii="Times New Roman" w:hAnsi="Times New Roman" w:cs="Times New Roman"/>
                      <w:color w:val="auto"/>
                      <w:kern w:val="0"/>
                      <w:sz w:val="18"/>
                      <w:szCs w:val="18"/>
                    </w:rPr>
                  </w:pPr>
                </w:p>
              </w:tc>
              <w:tc>
                <w:tcPr>
                  <w:tcW w:w="455" w:type="pct"/>
                  <w:tcBorders>
                    <w:top w:val="nil"/>
                    <w:left w:val="nil"/>
                    <w:bottom w:val="single" w:color="auto" w:sz="4" w:space="0"/>
                    <w:right w:val="single" w:color="auto" w:sz="4" w:space="0"/>
                  </w:tcBorders>
                  <w:shd w:val="clear" w:color="auto" w:fill="auto"/>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SS</w:t>
                  </w:r>
                </w:p>
              </w:tc>
              <w:tc>
                <w:tcPr>
                  <w:tcW w:w="486" w:type="pct"/>
                  <w:tcBorders>
                    <w:top w:val="nil"/>
                    <w:left w:val="nil"/>
                    <w:bottom w:val="single" w:color="auto" w:sz="4" w:space="0"/>
                    <w:right w:val="single" w:color="auto" w:sz="4" w:space="0"/>
                  </w:tcBorders>
                  <w:shd w:val="clear" w:color="000000" w:fill="FFFFFF"/>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10</w:t>
                  </w:r>
                </w:p>
              </w:tc>
            </w:tr>
            <w:tr>
              <w:tblPrEx>
                <w:tblCellMar>
                  <w:top w:w="0" w:type="dxa"/>
                  <w:left w:w="108" w:type="dxa"/>
                  <w:bottom w:w="0" w:type="dxa"/>
                  <w:right w:w="108" w:type="dxa"/>
                </w:tblCellMar>
              </w:tblPrEx>
              <w:trPr>
                <w:trHeight w:val="340" w:hRule="atLeast"/>
              </w:trPr>
              <w:tc>
                <w:tcPr>
                  <w:tcW w:w="399"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c>
                <w:tcPr>
                  <w:tcW w:w="493"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c>
                <w:tcPr>
                  <w:tcW w:w="401"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c>
                <w:tcPr>
                  <w:tcW w:w="446"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c>
                <w:tcPr>
                  <w:tcW w:w="434"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c>
                <w:tcPr>
                  <w:tcW w:w="544"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c>
                <w:tcPr>
                  <w:tcW w:w="544"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c>
                <w:tcPr>
                  <w:tcW w:w="398"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c>
                <w:tcPr>
                  <w:tcW w:w="399"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c>
                <w:tcPr>
                  <w:tcW w:w="455" w:type="pct"/>
                  <w:tcBorders>
                    <w:top w:val="nil"/>
                    <w:left w:val="nil"/>
                    <w:bottom w:val="single" w:color="auto" w:sz="4" w:space="0"/>
                    <w:right w:val="single" w:color="auto" w:sz="4" w:space="0"/>
                  </w:tcBorders>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NH</w:t>
                  </w:r>
                  <w:r>
                    <w:rPr>
                      <w:rFonts w:hint="default" w:ascii="Times New Roman" w:hAnsi="Times New Roman" w:cs="Times New Roman"/>
                      <w:color w:val="auto"/>
                      <w:kern w:val="0"/>
                      <w:sz w:val="18"/>
                      <w:szCs w:val="18"/>
                      <w:vertAlign w:val="subscript"/>
                    </w:rPr>
                    <w:t>3</w:t>
                  </w:r>
                  <w:r>
                    <w:rPr>
                      <w:rFonts w:hint="default" w:ascii="Times New Roman" w:hAnsi="Times New Roman" w:cs="Times New Roman"/>
                      <w:color w:val="auto"/>
                      <w:kern w:val="0"/>
                      <w:sz w:val="18"/>
                      <w:szCs w:val="18"/>
                    </w:rPr>
                    <w:t>-N</w:t>
                  </w:r>
                </w:p>
              </w:tc>
              <w:tc>
                <w:tcPr>
                  <w:tcW w:w="486" w:type="pct"/>
                  <w:tcBorders>
                    <w:top w:val="nil"/>
                    <w:left w:val="nil"/>
                    <w:bottom w:val="single" w:color="auto" w:sz="4" w:space="0"/>
                    <w:right w:val="single" w:color="auto" w:sz="4" w:space="0"/>
                  </w:tcBorders>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5</w:t>
                  </w:r>
                </w:p>
              </w:tc>
            </w:tr>
          </w:tbl>
          <w:p>
            <w:pPr>
              <w:spacing w:line="460" w:lineRule="exact"/>
              <w:jc w:val="center"/>
              <w:rPr>
                <w:rFonts w:hint="default" w:ascii="Times New Roman" w:hAnsi="Times New Roman" w:eastAsia="黑体" w:cs="Times New Roman"/>
                <w:bCs/>
                <w:color w:val="auto"/>
                <w:szCs w:val="21"/>
              </w:rPr>
            </w:pPr>
            <w:r>
              <w:rPr>
                <w:rFonts w:hint="default" w:ascii="Times New Roman" w:hAnsi="Times New Roman" w:eastAsia="黑体" w:cs="Times New Roman"/>
                <w:bCs/>
                <w:color w:val="auto"/>
                <w:szCs w:val="21"/>
              </w:rPr>
              <w:t>表4-</w:t>
            </w:r>
            <w:r>
              <w:rPr>
                <w:rFonts w:hint="eastAsia" w:ascii="Times New Roman" w:hAnsi="Times New Roman" w:eastAsia="黑体" w:cs="Times New Roman"/>
                <w:bCs/>
                <w:color w:val="auto"/>
                <w:szCs w:val="21"/>
                <w:lang w:val="en-US" w:eastAsia="zh-CN"/>
              </w:rPr>
              <w:t>21</w:t>
            </w:r>
            <w:r>
              <w:rPr>
                <w:rFonts w:hint="default" w:ascii="Times New Roman" w:hAnsi="Times New Roman" w:eastAsia="黑体" w:cs="Times New Roman"/>
                <w:bCs/>
                <w:color w:val="auto"/>
                <w:szCs w:val="21"/>
              </w:rPr>
              <w:t xml:space="preserve"> 废水污染物排放执行标准表</w:t>
            </w:r>
          </w:p>
          <w:tbl>
            <w:tblPr>
              <w:tblStyle w:val="17"/>
              <w:tblW w:w="5000" w:type="pct"/>
              <w:tblInd w:w="0" w:type="dxa"/>
              <w:tblLayout w:type="fixed"/>
              <w:tblCellMar>
                <w:top w:w="0" w:type="dxa"/>
                <w:left w:w="108" w:type="dxa"/>
                <w:bottom w:w="0" w:type="dxa"/>
                <w:right w:w="108" w:type="dxa"/>
              </w:tblCellMar>
            </w:tblPr>
            <w:tblGrid>
              <w:gridCol w:w="1547"/>
              <w:gridCol w:w="1547"/>
              <w:gridCol w:w="1547"/>
              <w:gridCol w:w="1548"/>
              <w:gridCol w:w="1548"/>
            </w:tblGrid>
            <w:tr>
              <w:tblPrEx>
                <w:tblCellMar>
                  <w:top w:w="0" w:type="dxa"/>
                  <w:left w:w="108" w:type="dxa"/>
                  <w:bottom w:w="0" w:type="dxa"/>
                  <w:right w:w="108" w:type="dxa"/>
                </w:tblCellMar>
              </w:tblPrEx>
              <w:trPr>
                <w:trHeight w:val="340" w:hRule="atLeast"/>
              </w:trPr>
              <w:tc>
                <w:tcPr>
                  <w:tcW w:w="1000" w:type="pct"/>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序号</w:t>
                  </w:r>
                </w:p>
              </w:tc>
              <w:tc>
                <w:tcPr>
                  <w:tcW w:w="1000" w:type="pct"/>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排放编号</w:t>
                  </w:r>
                </w:p>
              </w:tc>
              <w:tc>
                <w:tcPr>
                  <w:tcW w:w="1000" w:type="pct"/>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污染物种类</w:t>
                  </w:r>
                </w:p>
              </w:tc>
              <w:tc>
                <w:tcPr>
                  <w:tcW w:w="2000" w:type="pct"/>
                  <w:gridSpan w:val="2"/>
                  <w:tcBorders>
                    <w:top w:val="single" w:color="auto" w:sz="4" w:space="0"/>
                    <w:left w:val="nil"/>
                    <w:bottom w:val="single" w:color="auto" w:sz="4" w:space="0"/>
                    <w:right w:val="single" w:color="auto" w:sz="4" w:space="0"/>
                  </w:tcBorders>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lang w:eastAsia="zh-CN"/>
                    </w:rPr>
                    <w:t>《污水综合排放标准》(GB 8978-1996)三级标准</w:t>
                  </w:r>
                </w:p>
              </w:tc>
            </w:tr>
            <w:tr>
              <w:tblPrEx>
                <w:tblCellMar>
                  <w:top w:w="0" w:type="dxa"/>
                  <w:left w:w="108" w:type="dxa"/>
                  <w:bottom w:w="0" w:type="dxa"/>
                  <w:right w:w="108" w:type="dxa"/>
                </w:tblCellMar>
              </w:tblPrEx>
              <w:trPr>
                <w:trHeight w:val="340" w:hRule="atLeast"/>
              </w:trPr>
              <w:tc>
                <w:tcPr>
                  <w:tcW w:w="1000"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c>
                <w:tcPr>
                  <w:tcW w:w="1000"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c>
                <w:tcPr>
                  <w:tcW w:w="1000"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c>
                <w:tcPr>
                  <w:tcW w:w="1000" w:type="pct"/>
                  <w:tcBorders>
                    <w:top w:val="nil"/>
                    <w:left w:val="nil"/>
                    <w:bottom w:val="single" w:color="auto" w:sz="4" w:space="0"/>
                    <w:right w:val="single" w:color="auto" w:sz="4" w:space="0"/>
                  </w:tcBorders>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名称</w:t>
                  </w:r>
                </w:p>
              </w:tc>
              <w:tc>
                <w:tcPr>
                  <w:tcW w:w="1000" w:type="pct"/>
                  <w:tcBorders>
                    <w:top w:val="nil"/>
                    <w:left w:val="nil"/>
                    <w:bottom w:val="single" w:color="auto" w:sz="4" w:space="0"/>
                    <w:right w:val="single" w:color="auto" w:sz="4" w:space="0"/>
                  </w:tcBorders>
                  <w:noWrap w:val="0"/>
                  <w:vAlign w:val="center"/>
                </w:tcPr>
                <w:p>
                  <w:pPr>
                    <w:widowControl/>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浓度限值/(mg/L)</w:t>
                  </w:r>
                </w:p>
              </w:tc>
            </w:tr>
            <w:tr>
              <w:tblPrEx>
                <w:tblCellMar>
                  <w:top w:w="0" w:type="dxa"/>
                  <w:left w:w="108" w:type="dxa"/>
                  <w:bottom w:w="0" w:type="dxa"/>
                  <w:right w:w="108" w:type="dxa"/>
                </w:tblCellMar>
              </w:tblPrEx>
              <w:trPr>
                <w:trHeight w:val="340" w:hRule="atLeast"/>
              </w:trPr>
              <w:tc>
                <w:tcPr>
                  <w:tcW w:w="1000" w:type="pct"/>
                  <w:vMerge w:val="restart"/>
                  <w:tcBorders>
                    <w:top w:val="nil"/>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eastAsia="等线" w:cs="Times New Roman"/>
                      <w:color w:val="auto"/>
                      <w:kern w:val="0"/>
                      <w:sz w:val="18"/>
                      <w:szCs w:val="18"/>
                    </w:rPr>
                  </w:pPr>
                  <w:r>
                    <w:rPr>
                      <w:rFonts w:hint="default" w:ascii="Times New Roman" w:hAnsi="Times New Roman" w:eastAsia="等线" w:cs="Times New Roman"/>
                      <w:color w:val="auto"/>
                      <w:kern w:val="0"/>
                      <w:sz w:val="18"/>
                      <w:szCs w:val="18"/>
                    </w:rPr>
                    <w:t>1</w:t>
                  </w:r>
                </w:p>
              </w:tc>
              <w:tc>
                <w:tcPr>
                  <w:tcW w:w="1000" w:type="pct"/>
                  <w:vMerge w:val="restart"/>
                  <w:tcBorders>
                    <w:top w:val="nil"/>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eastAsia="等线" w:cs="Times New Roman"/>
                      <w:color w:val="auto"/>
                      <w:kern w:val="0"/>
                      <w:sz w:val="18"/>
                      <w:szCs w:val="18"/>
                    </w:rPr>
                  </w:pPr>
                  <w:r>
                    <w:rPr>
                      <w:rFonts w:hint="default" w:ascii="Times New Roman" w:hAnsi="Times New Roman" w:eastAsia="等线" w:cs="Times New Roman"/>
                      <w:color w:val="auto"/>
                      <w:kern w:val="0"/>
                      <w:sz w:val="18"/>
                      <w:szCs w:val="18"/>
                    </w:rPr>
                    <w:t>DW001</w:t>
                  </w:r>
                </w:p>
              </w:tc>
              <w:tc>
                <w:tcPr>
                  <w:tcW w:w="1000" w:type="pct"/>
                  <w:tcBorders>
                    <w:top w:val="nil"/>
                    <w:left w:val="nil"/>
                    <w:bottom w:val="single" w:color="auto" w:sz="4" w:space="0"/>
                    <w:right w:val="single" w:color="auto" w:sz="4" w:space="0"/>
                  </w:tcBorders>
                  <w:noWrap w:val="0"/>
                  <w:vAlign w:val="center"/>
                </w:tcPr>
                <w:p>
                  <w:pPr>
                    <w:widowControl/>
                    <w:jc w:val="center"/>
                    <w:rPr>
                      <w:rFonts w:hint="default" w:ascii="Times New Roman" w:hAnsi="Times New Roman" w:eastAsia="等线" w:cs="Times New Roman"/>
                      <w:color w:val="auto"/>
                      <w:kern w:val="0"/>
                      <w:sz w:val="18"/>
                      <w:szCs w:val="18"/>
                    </w:rPr>
                  </w:pPr>
                  <w:r>
                    <w:rPr>
                      <w:rFonts w:hint="default" w:ascii="Times New Roman" w:hAnsi="Times New Roman" w:eastAsia="等线" w:cs="Times New Roman"/>
                      <w:color w:val="auto"/>
                      <w:kern w:val="0"/>
                      <w:sz w:val="18"/>
                      <w:szCs w:val="18"/>
                    </w:rPr>
                    <w:t>pH</w:t>
                  </w:r>
                </w:p>
              </w:tc>
              <w:tc>
                <w:tcPr>
                  <w:tcW w:w="1000" w:type="pct"/>
                  <w:vMerge w:val="restart"/>
                  <w:tcBorders>
                    <w:top w:val="nil"/>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cs="Times New Roman"/>
                      <w:color w:val="auto"/>
                      <w:kern w:val="0"/>
                      <w:sz w:val="18"/>
                      <w:szCs w:val="18"/>
                    </w:rPr>
                  </w:pPr>
                  <w:r>
                    <w:rPr>
                      <w:rFonts w:hint="eastAsia" w:ascii="Times New Roman" w:hAnsi="Times New Roman" w:cs="Times New Roman"/>
                      <w:color w:val="auto"/>
                      <w:kern w:val="0"/>
                      <w:sz w:val="18"/>
                      <w:szCs w:val="18"/>
                      <w:lang w:eastAsia="zh-CN"/>
                    </w:rPr>
                    <w:t>《污水综合排放标准》(GB 8978-1996)三级标准</w:t>
                  </w:r>
                </w:p>
              </w:tc>
              <w:tc>
                <w:tcPr>
                  <w:tcW w:w="1000" w:type="pct"/>
                  <w:tcBorders>
                    <w:top w:val="nil"/>
                    <w:left w:val="nil"/>
                    <w:bottom w:val="single" w:color="auto" w:sz="4" w:space="0"/>
                    <w:right w:val="single" w:color="auto" w:sz="4" w:space="0"/>
                  </w:tcBorders>
                  <w:noWrap w:val="0"/>
                  <w:vAlign w:val="center"/>
                </w:tcPr>
                <w:p>
                  <w:pPr>
                    <w:widowControl/>
                    <w:jc w:val="center"/>
                    <w:rPr>
                      <w:rFonts w:hint="default" w:ascii="Times New Roman" w:hAnsi="Times New Roman" w:eastAsia="等线" w:cs="Times New Roman"/>
                      <w:color w:val="auto"/>
                      <w:kern w:val="0"/>
                      <w:sz w:val="18"/>
                      <w:szCs w:val="18"/>
                    </w:rPr>
                  </w:pPr>
                  <w:r>
                    <w:rPr>
                      <w:rFonts w:hint="default" w:ascii="Times New Roman" w:hAnsi="Times New Roman" w:eastAsia="等线" w:cs="Times New Roman"/>
                      <w:color w:val="auto"/>
                      <w:kern w:val="0"/>
                      <w:sz w:val="18"/>
                      <w:szCs w:val="18"/>
                    </w:rPr>
                    <w:t>6~9</w:t>
                  </w:r>
                </w:p>
              </w:tc>
            </w:tr>
            <w:tr>
              <w:tblPrEx>
                <w:tblCellMar>
                  <w:top w:w="0" w:type="dxa"/>
                  <w:left w:w="108" w:type="dxa"/>
                  <w:bottom w:w="0" w:type="dxa"/>
                  <w:right w:w="108" w:type="dxa"/>
                </w:tblCellMar>
              </w:tblPrEx>
              <w:trPr>
                <w:trHeight w:val="340" w:hRule="atLeast"/>
              </w:trPr>
              <w:tc>
                <w:tcPr>
                  <w:tcW w:w="1000"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eastAsia="等线" w:cs="Times New Roman"/>
                      <w:color w:val="auto"/>
                      <w:kern w:val="0"/>
                      <w:sz w:val="18"/>
                      <w:szCs w:val="18"/>
                    </w:rPr>
                  </w:pPr>
                </w:p>
              </w:tc>
              <w:tc>
                <w:tcPr>
                  <w:tcW w:w="1000"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eastAsia="等线" w:cs="Times New Roman"/>
                      <w:color w:val="auto"/>
                      <w:kern w:val="0"/>
                      <w:sz w:val="18"/>
                      <w:szCs w:val="18"/>
                    </w:rPr>
                  </w:pPr>
                </w:p>
              </w:tc>
              <w:tc>
                <w:tcPr>
                  <w:tcW w:w="1000" w:type="pct"/>
                  <w:tcBorders>
                    <w:top w:val="nil"/>
                    <w:left w:val="nil"/>
                    <w:bottom w:val="single" w:color="auto" w:sz="4" w:space="0"/>
                    <w:right w:val="single" w:color="auto" w:sz="4" w:space="0"/>
                  </w:tcBorders>
                  <w:noWrap w:val="0"/>
                  <w:vAlign w:val="center"/>
                </w:tcPr>
                <w:p>
                  <w:pPr>
                    <w:widowControl/>
                    <w:jc w:val="center"/>
                    <w:rPr>
                      <w:rFonts w:hint="default" w:ascii="Times New Roman" w:hAnsi="Times New Roman" w:eastAsia="等线" w:cs="Times New Roman"/>
                      <w:color w:val="auto"/>
                      <w:kern w:val="0"/>
                      <w:sz w:val="18"/>
                      <w:szCs w:val="18"/>
                    </w:rPr>
                  </w:pPr>
                  <w:r>
                    <w:rPr>
                      <w:rFonts w:hint="default" w:ascii="Times New Roman" w:hAnsi="Times New Roman" w:eastAsia="等线" w:cs="Times New Roman"/>
                      <w:color w:val="auto"/>
                      <w:kern w:val="0"/>
                      <w:sz w:val="18"/>
                      <w:szCs w:val="18"/>
                    </w:rPr>
                    <w:t>COD</w:t>
                  </w:r>
                </w:p>
              </w:tc>
              <w:tc>
                <w:tcPr>
                  <w:tcW w:w="1000"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c>
                <w:tcPr>
                  <w:tcW w:w="1000" w:type="pct"/>
                  <w:tcBorders>
                    <w:top w:val="nil"/>
                    <w:left w:val="nil"/>
                    <w:bottom w:val="single" w:color="auto" w:sz="4" w:space="0"/>
                    <w:right w:val="single" w:color="auto" w:sz="4" w:space="0"/>
                  </w:tcBorders>
                  <w:noWrap w:val="0"/>
                  <w:vAlign w:val="center"/>
                </w:tcPr>
                <w:p>
                  <w:pPr>
                    <w:widowControl/>
                    <w:jc w:val="center"/>
                    <w:rPr>
                      <w:rFonts w:hint="default" w:ascii="Times New Roman" w:hAnsi="Times New Roman" w:eastAsia="等线" w:cs="Times New Roman"/>
                      <w:color w:val="auto"/>
                      <w:kern w:val="0"/>
                      <w:sz w:val="18"/>
                      <w:szCs w:val="18"/>
                    </w:rPr>
                  </w:pPr>
                  <w:r>
                    <w:rPr>
                      <w:rFonts w:hint="default" w:ascii="Times New Roman" w:hAnsi="Times New Roman" w:eastAsia="等线" w:cs="Times New Roman"/>
                      <w:color w:val="auto"/>
                      <w:kern w:val="0"/>
                      <w:sz w:val="18"/>
                      <w:szCs w:val="18"/>
                    </w:rPr>
                    <w:t>500</w:t>
                  </w:r>
                </w:p>
              </w:tc>
            </w:tr>
            <w:tr>
              <w:tblPrEx>
                <w:tblCellMar>
                  <w:top w:w="0" w:type="dxa"/>
                  <w:left w:w="108" w:type="dxa"/>
                  <w:bottom w:w="0" w:type="dxa"/>
                  <w:right w:w="108" w:type="dxa"/>
                </w:tblCellMar>
              </w:tblPrEx>
              <w:trPr>
                <w:trHeight w:val="340" w:hRule="atLeast"/>
              </w:trPr>
              <w:tc>
                <w:tcPr>
                  <w:tcW w:w="1000"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eastAsia="等线" w:cs="Times New Roman"/>
                      <w:color w:val="auto"/>
                      <w:kern w:val="0"/>
                      <w:sz w:val="18"/>
                      <w:szCs w:val="18"/>
                    </w:rPr>
                  </w:pPr>
                </w:p>
              </w:tc>
              <w:tc>
                <w:tcPr>
                  <w:tcW w:w="1000"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eastAsia="等线" w:cs="Times New Roman"/>
                      <w:color w:val="auto"/>
                      <w:kern w:val="0"/>
                      <w:sz w:val="18"/>
                      <w:szCs w:val="18"/>
                    </w:rPr>
                  </w:pPr>
                </w:p>
              </w:tc>
              <w:tc>
                <w:tcPr>
                  <w:tcW w:w="1000" w:type="pct"/>
                  <w:tcBorders>
                    <w:top w:val="nil"/>
                    <w:left w:val="nil"/>
                    <w:bottom w:val="single" w:color="auto" w:sz="4" w:space="0"/>
                    <w:right w:val="single" w:color="auto" w:sz="4" w:space="0"/>
                  </w:tcBorders>
                  <w:noWrap w:val="0"/>
                  <w:vAlign w:val="center"/>
                </w:tcPr>
                <w:p>
                  <w:pPr>
                    <w:widowControl/>
                    <w:jc w:val="center"/>
                    <w:rPr>
                      <w:rFonts w:hint="default" w:ascii="Times New Roman" w:hAnsi="Times New Roman" w:eastAsia="等线" w:cs="Times New Roman"/>
                      <w:color w:val="auto"/>
                      <w:kern w:val="0"/>
                      <w:sz w:val="18"/>
                      <w:szCs w:val="18"/>
                    </w:rPr>
                  </w:pPr>
                  <w:r>
                    <w:rPr>
                      <w:rFonts w:hint="default" w:ascii="Times New Roman" w:hAnsi="Times New Roman" w:eastAsia="等线" w:cs="Times New Roman"/>
                      <w:color w:val="auto"/>
                      <w:kern w:val="0"/>
                      <w:sz w:val="18"/>
                      <w:szCs w:val="18"/>
                    </w:rPr>
                    <w:t>BOD</w:t>
                  </w:r>
                  <w:r>
                    <w:rPr>
                      <w:rFonts w:hint="default" w:ascii="Times New Roman" w:hAnsi="Times New Roman" w:eastAsia="等线" w:cs="Times New Roman"/>
                      <w:color w:val="auto"/>
                      <w:kern w:val="0"/>
                      <w:sz w:val="18"/>
                      <w:szCs w:val="18"/>
                      <w:vertAlign w:val="subscript"/>
                    </w:rPr>
                    <w:t>5</w:t>
                  </w:r>
                </w:p>
              </w:tc>
              <w:tc>
                <w:tcPr>
                  <w:tcW w:w="1000"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c>
                <w:tcPr>
                  <w:tcW w:w="1000" w:type="pct"/>
                  <w:tcBorders>
                    <w:top w:val="nil"/>
                    <w:left w:val="nil"/>
                    <w:bottom w:val="single" w:color="auto" w:sz="4" w:space="0"/>
                    <w:right w:val="single" w:color="auto" w:sz="4" w:space="0"/>
                  </w:tcBorders>
                  <w:noWrap w:val="0"/>
                  <w:vAlign w:val="center"/>
                </w:tcPr>
                <w:p>
                  <w:pPr>
                    <w:widowControl/>
                    <w:jc w:val="center"/>
                    <w:rPr>
                      <w:rFonts w:hint="default" w:ascii="Times New Roman" w:hAnsi="Times New Roman" w:eastAsia="等线" w:cs="Times New Roman"/>
                      <w:color w:val="auto"/>
                      <w:kern w:val="0"/>
                      <w:sz w:val="18"/>
                      <w:szCs w:val="18"/>
                    </w:rPr>
                  </w:pPr>
                  <w:r>
                    <w:rPr>
                      <w:rFonts w:hint="eastAsia" w:ascii="Times New Roman" w:hAnsi="Times New Roman" w:eastAsia="等线" w:cs="Times New Roman"/>
                      <w:color w:val="auto"/>
                      <w:kern w:val="0"/>
                      <w:sz w:val="18"/>
                      <w:szCs w:val="18"/>
                      <w:lang w:val="en-US" w:eastAsia="zh-CN"/>
                    </w:rPr>
                    <w:t>3</w:t>
                  </w:r>
                  <w:r>
                    <w:rPr>
                      <w:rFonts w:hint="default" w:ascii="Times New Roman" w:hAnsi="Times New Roman" w:eastAsia="等线" w:cs="Times New Roman"/>
                      <w:color w:val="auto"/>
                      <w:kern w:val="0"/>
                      <w:sz w:val="18"/>
                      <w:szCs w:val="18"/>
                    </w:rPr>
                    <w:t>00</w:t>
                  </w:r>
                </w:p>
              </w:tc>
            </w:tr>
            <w:tr>
              <w:tblPrEx>
                <w:tblCellMar>
                  <w:top w:w="0" w:type="dxa"/>
                  <w:left w:w="108" w:type="dxa"/>
                  <w:bottom w:w="0" w:type="dxa"/>
                  <w:right w:w="108" w:type="dxa"/>
                </w:tblCellMar>
              </w:tblPrEx>
              <w:trPr>
                <w:trHeight w:val="340" w:hRule="atLeast"/>
              </w:trPr>
              <w:tc>
                <w:tcPr>
                  <w:tcW w:w="1000"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eastAsia="等线" w:cs="Times New Roman"/>
                      <w:color w:val="auto"/>
                      <w:kern w:val="0"/>
                      <w:sz w:val="18"/>
                      <w:szCs w:val="18"/>
                    </w:rPr>
                  </w:pPr>
                </w:p>
              </w:tc>
              <w:tc>
                <w:tcPr>
                  <w:tcW w:w="1000"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eastAsia="等线" w:cs="Times New Roman"/>
                      <w:color w:val="auto"/>
                      <w:kern w:val="0"/>
                      <w:sz w:val="18"/>
                      <w:szCs w:val="18"/>
                    </w:rPr>
                  </w:pPr>
                </w:p>
              </w:tc>
              <w:tc>
                <w:tcPr>
                  <w:tcW w:w="1000" w:type="pct"/>
                  <w:tcBorders>
                    <w:top w:val="nil"/>
                    <w:left w:val="nil"/>
                    <w:bottom w:val="single" w:color="auto" w:sz="4" w:space="0"/>
                    <w:right w:val="single" w:color="auto" w:sz="4" w:space="0"/>
                  </w:tcBorders>
                  <w:noWrap w:val="0"/>
                  <w:vAlign w:val="center"/>
                </w:tcPr>
                <w:p>
                  <w:pPr>
                    <w:widowControl/>
                    <w:jc w:val="center"/>
                    <w:rPr>
                      <w:rFonts w:hint="default" w:ascii="Times New Roman" w:hAnsi="Times New Roman" w:eastAsia="等线" w:cs="Times New Roman"/>
                      <w:color w:val="auto"/>
                      <w:kern w:val="0"/>
                      <w:sz w:val="18"/>
                      <w:szCs w:val="18"/>
                    </w:rPr>
                  </w:pPr>
                  <w:r>
                    <w:rPr>
                      <w:rFonts w:hint="default" w:ascii="Times New Roman" w:hAnsi="Times New Roman" w:eastAsia="等线" w:cs="Times New Roman"/>
                      <w:color w:val="auto"/>
                      <w:kern w:val="0"/>
                      <w:sz w:val="18"/>
                      <w:szCs w:val="18"/>
                    </w:rPr>
                    <w:t>SS</w:t>
                  </w:r>
                </w:p>
              </w:tc>
              <w:tc>
                <w:tcPr>
                  <w:tcW w:w="1000"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c>
                <w:tcPr>
                  <w:tcW w:w="1000" w:type="pct"/>
                  <w:tcBorders>
                    <w:top w:val="nil"/>
                    <w:left w:val="nil"/>
                    <w:bottom w:val="single" w:color="auto" w:sz="4" w:space="0"/>
                    <w:right w:val="single" w:color="auto" w:sz="4" w:space="0"/>
                  </w:tcBorders>
                  <w:noWrap w:val="0"/>
                  <w:vAlign w:val="center"/>
                </w:tcPr>
                <w:p>
                  <w:pPr>
                    <w:widowControl/>
                    <w:jc w:val="center"/>
                    <w:rPr>
                      <w:rFonts w:hint="default" w:ascii="Times New Roman" w:hAnsi="Times New Roman" w:eastAsia="等线" w:cs="Times New Roman"/>
                      <w:color w:val="auto"/>
                      <w:kern w:val="0"/>
                      <w:sz w:val="18"/>
                      <w:szCs w:val="18"/>
                    </w:rPr>
                  </w:pPr>
                  <w:r>
                    <w:rPr>
                      <w:rFonts w:hint="eastAsia" w:ascii="Times New Roman" w:hAnsi="Times New Roman" w:eastAsia="等线" w:cs="Times New Roman"/>
                      <w:color w:val="auto"/>
                      <w:kern w:val="0"/>
                      <w:sz w:val="18"/>
                      <w:szCs w:val="18"/>
                      <w:lang w:val="en-US" w:eastAsia="zh-CN"/>
                    </w:rPr>
                    <w:t>4</w:t>
                  </w:r>
                  <w:r>
                    <w:rPr>
                      <w:rFonts w:hint="default" w:ascii="Times New Roman" w:hAnsi="Times New Roman" w:eastAsia="等线" w:cs="Times New Roman"/>
                      <w:color w:val="auto"/>
                      <w:kern w:val="0"/>
                      <w:sz w:val="18"/>
                      <w:szCs w:val="18"/>
                    </w:rPr>
                    <w:t>00</w:t>
                  </w:r>
                </w:p>
              </w:tc>
            </w:tr>
            <w:tr>
              <w:tblPrEx>
                <w:tblCellMar>
                  <w:top w:w="0" w:type="dxa"/>
                  <w:left w:w="108" w:type="dxa"/>
                  <w:bottom w:w="0" w:type="dxa"/>
                  <w:right w:w="108" w:type="dxa"/>
                </w:tblCellMar>
              </w:tblPrEx>
              <w:trPr>
                <w:trHeight w:val="340" w:hRule="atLeast"/>
              </w:trPr>
              <w:tc>
                <w:tcPr>
                  <w:tcW w:w="1000"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eastAsia="等线" w:cs="Times New Roman"/>
                      <w:color w:val="auto"/>
                      <w:kern w:val="0"/>
                      <w:sz w:val="18"/>
                      <w:szCs w:val="18"/>
                    </w:rPr>
                  </w:pPr>
                </w:p>
              </w:tc>
              <w:tc>
                <w:tcPr>
                  <w:tcW w:w="1000"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eastAsia="等线" w:cs="Times New Roman"/>
                      <w:color w:val="auto"/>
                      <w:kern w:val="0"/>
                      <w:sz w:val="18"/>
                      <w:szCs w:val="18"/>
                    </w:rPr>
                  </w:pPr>
                </w:p>
              </w:tc>
              <w:tc>
                <w:tcPr>
                  <w:tcW w:w="1000" w:type="pct"/>
                  <w:tcBorders>
                    <w:top w:val="nil"/>
                    <w:left w:val="nil"/>
                    <w:bottom w:val="single" w:color="auto" w:sz="4" w:space="0"/>
                    <w:right w:val="single" w:color="auto" w:sz="4" w:space="0"/>
                  </w:tcBorders>
                  <w:noWrap w:val="0"/>
                  <w:vAlign w:val="center"/>
                </w:tcPr>
                <w:p>
                  <w:pPr>
                    <w:widowControl/>
                    <w:jc w:val="center"/>
                    <w:rPr>
                      <w:rFonts w:hint="default" w:ascii="Times New Roman" w:hAnsi="Times New Roman" w:eastAsia="等线" w:cs="Times New Roman"/>
                      <w:color w:val="auto"/>
                      <w:kern w:val="0"/>
                      <w:sz w:val="18"/>
                      <w:szCs w:val="18"/>
                    </w:rPr>
                  </w:pPr>
                  <w:r>
                    <w:rPr>
                      <w:rFonts w:hint="default" w:ascii="Times New Roman" w:hAnsi="Times New Roman" w:eastAsia="等线" w:cs="Times New Roman"/>
                      <w:color w:val="auto"/>
                      <w:kern w:val="0"/>
                      <w:sz w:val="18"/>
                      <w:szCs w:val="18"/>
                    </w:rPr>
                    <w:t>NH</w:t>
                  </w:r>
                  <w:r>
                    <w:rPr>
                      <w:rFonts w:hint="default" w:ascii="Times New Roman" w:hAnsi="Times New Roman" w:eastAsia="等线" w:cs="Times New Roman"/>
                      <w:color w:val="auto"/>
                      <w:kern w:val="0"/>
                      <w:sz w:val="18"/>
                      <w:szCs w:val="18"/>
                      <w:vertAlign w:val="subscript"/>
                    </w:rPr>
                    <w:t>3</w:t>
                  </w:r>
                  <w:r>
                    <w:rPr>
                      <w:rFonts w:hint="default" w:ascii="Times New Roman" w:hAnsi="Times New Roman" w:eastAsia="等线" w:cs="Times New Roman"/>
                      <w:color w:val="auto"/>
                      <w:kern w:val="0"/>
                      <w:sz w:val="18"/>
                      <w:szCs w:val="18"/>
                    </w:rPr>
                    <w:t>-N</w:t>
                  </w:r>
                </w:p>
              </w:tc>
              <w:tc>
                <w:tcPr>
                  <w:tcW w:w="1000"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hint="default" w:ascii="Times New Roman" w:hAnsi="Times New Roman" w:cs="Times New Roman"/>
                      <w:color w:val="auto"/>
                      <w:kern w:val="0"/>
                      <w:sz w:val="18"/>
                      <w:szCs w:val="18"/>
                    </w:rPr>
                  </w:pPr>
                </w:p>
              </w:tc>
              <w:tc>
                <w:tcPr>
                  <w:tcW w:w="1000" w:type="pct"/>
                  <w:tcBorders>
                    <w:top w:val="nil"/>
                    <w:left w:val="nil"/>
                    <w:bottom w:val="single" w:color="auto" w:sz="4" w:space="0"/>
                    <w:right w:val="single" w:color="auto" w:sz="4" w:space="0"/>
                  </w:tcBorders>
                  <w:noWrap w:val="0"/>
                  <w:vAlign w:val="center"/>
                </w:tcPr>
                <w:p>
                  <w:pPr>
                    <w:widowControl/>
                    <w:jc w:val="center"/>
                    <w:rPr>
                      <w:rFonts w:hint="eastAsia" w:ascii="Times New Roman" w:hAnsi="Times New Roman" w:eastAsia="等线" w:cs="Times New Roman"/>
                      <w:color w:val="auto"/>
                      <w:kern w:val="0"/>
                      <w:sz w:val="18"/>
                      <w:szCs w:val="18"/>
                      <w:lang w:eastAsia="zh-CN"/>
                    </w:rPr>
                  </w:pPr>
                  <w:r>
                    <w:rPr>
                      <w:rFonts w:hint="eastAsia" w:ascii="Times New Roman" w:hAnsi="Times New Roman" w:eastAsia="等线" w:cs="Times New Roman"/>
                      <w:color w:val="auto"/>
                      <w:kern w:val="0"/>
                      <w:sz w:val="18"/>
                      <w:szCs w:val="18"/>
                      <w:lang w:val="en-US" w:eastAsia="zh-CN"/>
                    </w:rPr>
                    <w:t>/</w:t>
                  </w:r>
                </w:p>
              </w:tc>
            </w:tr>
          </w:tbl>
          <w:p>
            <w:pPr>
              <w:spacing w:line="460" w:lineRule="exact"/>
              <w:jc w:val="center"/>
              <w:rPr>
                <w:rFonts w:hint="default" w:ascii="Times New Roman" w:hAnsi="Times New Roman" w:eastAsia="黑体" w:cs="Times New Roman"/>
                <w:bCs/>
                <w:color w:val="auto"/>
                <w:szCs w:val="21"/>
              </w:rPr>
            </w:pPr>
            <w:r>
              <w:rPr>
                <w:rFonts w:hint="default" w:ascii="Times New Roman" w:hAnsi="Times New Roman" w:eastAsia="黑体" w:cs="Times New Roman"/>
                <w:bCs/>
                <w:color w:val="auto"/>
                <w:szCs w:val="21"/>
              </w:rPr>
              <w:t>表4-</w:t>
            </w:r>
            <w:r>
              <w:rPr>
                <w:rFonts w:hint="eastAsia" w:ascii="Times New Roman" w:hAnsi="Times New Roman" w:eastAsia="黑体" w:cs="Times New Roman"/>
                <w:bCs/>
                <w:color w:val="auto"/>
                <w:szCs w:val="21"/>
                <w:lang w:val="en-US" w:eastAsia="zh-CN"/>
              </w:rPr>
              <w:t>22</w:t>
            </w:r>
            <w:r>
              <w:rPr>
                <w:rFonts w:hint="default" w:ascii="Times New Roman" w:hAnsi="Times New Roman" w:eastAsia="黑体" w:cs="Times New Roman"/>
                <w:bCs/>
                <w:color w:val="auto"/>
                <w:szCs w:val="21"/>
              </w:rPr>
              <w:t xml:space="preserve"> 废水污染物排放信息表</w:t>
            </w:r>
          </w:p>
          <w:tbl>
            <w:tblPr>
              <w:tblStyle w:val="17"/>
              <w:tblW w:w="4996"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588"/>
              <w:gridCol w:w="1142"/>
              <w:gridCol w:w="1142"/>
              <w:gridCol w:w="1726"/>
              <w:gridCol w:w="1572"/>
              <w:gridCol w:w="156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0" w:hRule="atLeast"/>
              </w:trPr>
              <w:tc>
                <w:tcPr>
                  <w:tcW w:w="380" w:type="pct"/>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序号</w:t>
                  </w:r>
                </w:p>
              </w:tc>
              <w:tc>
                <w:tcPr>
                  <w:tcW w:w="738" w:type="pct"/>
                  <w:tcBorders>
                    <w:top w:val="single" w:color="auto" w:sz="4" w:space="0"/>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排放口编号</w:t>
                  </w:r>
                </w:p>
              </w:tc>
              <w:tc>
                <w:tcPr>
                  <w:tcW w:w="738" w:type="pct"/>
                  <w:tcBorders>
                    <w:top w:val="single" w:color="auto" w:sz="4" w:space="0"/>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污染物种类</w:t>
                  </w:r>
                </w:p>
              </w:tc>
              <w:tc>
                <w:tcPr>
                  <w:tcW w:w="1116" w:type="pct"/>
                  <w:tcBorders>
                    <w:top w:val="single" w:color="auto" w:sz="4" w:space="0"/>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排放浓度（mg/L）</w:t>
                  </w:r>
                </w:p>
              </w:tc>
              <w:tc>
                <w:tcPr>
                  <w:tcW w:w="1016" w:type="pct"/>
                  <w:tcBorders>
                    <w:top w:val="single" w:color="auto" w:sz="4" w:space="0"/>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日排放量/（t/d）</w:t>
                  </w:r>
                </w:p>
              </w:tc>
              <w:tc>
                <w:tcPr>
                  <w:tcW w:w="1010" w:type="pct"/>
                  <w:tcBorders>
                    <w:top w:val="single" w:color="auto" w:sz="4" w:space="0"/>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年排放量/（t/a）</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0" w:hRule="atLeast"/>
              </w:trPr>
              <w:tc>
                <w:tcPr>
                  <w:tcW w:w="380" w:type="pct"/>
                  <w:vMerge w:val="restart"/>
                  <w:tcBorders>
                    <w:top w:val="nil"/>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1</w:t>
                  </w:r>
                </w:p>
              </w:tc>
              <w:tc>
                <w:tcPr>
                  <w:tcW w:w="738" w:type="pct"/>
                  <w:vMerge w:val="restart"/>
                  <w:tcBorders>
                    <w:top w:val="nil"/>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DW001</w:t>
                  </w:r>
                </w:p>
              </w:tc>
              <w:tc>
                <w:tcPr>
                  <w:tcW w:w="738" w:type="pct"/>
                  <w:tcBorders>
                    <w:top w:val="nil"/>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pH</w:t>
                  </w:r>
                </w:p>
              </w:tc>
              <w:tc>
                <w:tcPr>
                  <w:tcW w:w="1116" w:type="pct"/>
                  <w:tcBorders>
                    <w:top w:val="nil"/>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6~9</w:t>
                  </w:r>
                </w:p>
              </w:tc>
              <w:tc>
                <w:tcPr>
                  <w:tcW w:w="1016" w:type="pct"/>
                  <w:tcBorders>
                    <w:top w:val="nil"/>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w:t>
                  </w:r>
                </w:p>
              </w:tc>
              <w:tc>
                <w:tcPr>
                  <w:tcW w:w="1010" w:type="pct"/>
                  <w:tcBorders>
                    <w:top w:val="nil"/>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0" w:hRule="atLeast"/>
              </w:trPr>
              <w:tc>
                <w:tcPr>
                  <w:tcW w:w="380" w:type="pct"/>
                  <w:vMerge w:val="continue"/>
                  <w:tcBorders>
                    <w:top w:val="nil"/>
                    <w:left w:val="single" w:color="auto" w:sz="4" w:space="0"/>
                    <w:bottom w:val="single" w:color="auto" w:sz="4" w:space="0"/>
                    <w:right w:val="single" w:color="auto" w:sz="4" w:space="0"/>
                  </w:tcBorders>
                  <w:noWrap w:val="0"/>
                  <w:vAlign w:val="center"/>
                </w:tcPr>
                <w:p>
                  <w:pPr>
                    <w:jc w:val="center"/>
                    <w:rPr>
                      <w:rFonts w:hint="default" w:ascii="Times New Roman" w:hAnsi="Times New Roman" w:eastAsia="宋体" w:cs="Times New Roman"/>
                      <w:i w:val="0"/>
                      <w:iCs w:val="0"/>
                      <w:color w:val="auto"/>
                      <w:sz w:val="18"/>
                      <w:szCs w:val="18"/>
                      <w:u w:val="none"/>
                    </w:rPr>
                  </w:pPr>
                </w:p>
              </w:tc>
              <w:tc>
                <w:tcPr>
                  <w:tcW w:w="738" w:type="pct"/>
                  <w:vMerge w:val="continue"/>
                  <w:tcBorders>
                    <w:top w:val="nil"/>
                    <w:left w:val="single" w:color="auto" w:sz="4" w:space="0"/>
                    <w:bottom w:val="single" w:color="auto" w:sz="4" w:space="0"/>
                    <w:right w:val="single" w:color="auto" w:sz="4" w:space="0"/>
                  </w:tcBorders>
                  <w:noWrap w:val="0"/>
                  <w:vAlign w:val="center"/>
                </w:tcPr>
                <w:p>
                  <w:pPr>
                    <w:jc w:val="center"/>
                    <w:rPr>
                      <w:rFonts w:hint="default" w:ascii="Times New Roman" w:hAnsi="Times New Roman" w:eastAsia="宋体" w:cs="Times New Roman"/>
                      <w:i w:val="0"/>
                      <w:iCs w:val="0"/>
                      <w:color w:val="auto"/>
                      <w:sz w:val="18"/>
                      <w:szCs w:val="18"/>
                      <w:u w:val="none"/>
                    </w:rPr>
                  </w:pPr>
                </w:p>
              </w:tc>
              <w:tc>
                <w:tcPr>
                  <w:tcW w:w="738" w:type="pct"/>
                  <w:tcBorders>
                    <w:top w:val="nil"/>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COD</w:t>
                  </w:r>
                </w:p>
              </w:tc>
              <w:tc>
                <w:tcPr>
                  <w:tcW w:w="1116" w:type="pct"/>
                  <w:tcBorders>
                    <w:top w:val="nil"/>
                    <w:left w:val="nil"/>
                    <w:bottom w:val="single" w:color="auto" w:sz="4" w:space="0"/>
                    <w:right w:val="single" w:color="auto" w:sz="4" w:space="0"/>
                  </w:tcBorders>
                  <w:noWrap w:val="0"/>
                  <w:vAlign w:val="center"/>
                </w:tcPr>
                <w:p>
                  <w:pPr>
                    <w:widowControl/>
                    <w:adjustRightInd w:val="0"/>
                    <w:snapToGrid w:val="0"/>
                    <w:jc w:val="center"/>
                    <w:textAlignment w:val="center"/>
                    <w:rPr>
                      <w:rFonts w:hint="default" w:ascii="Times New Roman" w:hAnsi="Times New Roman" w:eastAsia="宋体" w:cs="Times New Roman"/>
                      <w:color w:val="auto"/>
                      <w:kern w:val="2"/>
                      <w:sz w:val="18"/>
                      <w:szCs w:val="18"/>
                      <w:lang w:val="en-US" w:eastAsia="zh-CN" w:bidi="ar-SA"/>
                    </w:rPr>
                  </w:pPr>
                  <w:r>
                    <w:rPr>
                      <w:rFonts w:ascii="Times New Roman" w:hAnsi="Times New Roman" w:eastAsia="宋体" w:cs="Times New Roman"/>
                      <w:color w:val="auto"/>
                      <w:kern w:val="0"/>
                      <w:sz w:val="18"/>
                      <w:szCs w:val="18"/>
                    </w:rPr>
                    <w:t>300</w:t>
                  </w:r>
                </w:p>
              </w:tc>
              <w:tc>
                <w:tcPr>
                  <w:tcW w:w="1572" w:type="dxa"/>
                  <w:tcBorders>
                    <w:top w:val="nil"/>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 xml:space="preserve">0.0005 </w:t>
                  </w:r>
                </w:p>
              </w:tc>
              <w:tc>
                <w:tcPr>
                  <w:tcW w:w="1010" w:type="pct"/>
                  <w:tcBorders>
                    <w:top w:val="nil"/>
                    <w:left w:val="nil"/>
                    <w:bottom w:val="single" w:color="auto" w:sz="4" w:space="0"/>
                    <w:right w:val="single" w:color="auto" w:sz="4" w:space="0"/>
                  </w:tcBorders>
                  <w:noWrap w:val="0"/>
                  <w:vAlign w:val="center"/>
                </w:tcPr>
                <w:p>
                  <w:pPr>
                    <w:widowControl/>
                    <w:jc w:val="center"/>
                    <w:textAlignment w:val="center"/>
                    <w:rPr>
                      <w:rFonts w:hint="default" w:ascii="Times New Roman" w:hAnsi="Times New Roman" w:eastAsia="宋体" w:cs="Times New Roman"/>
                      <w:i w:val="0"/>
                      <w:iCs w:val="0"/>
                      <w:color w:val="auto"/>
                      <w:sz w:val="18"/>
                      <w:szCs w:val="18"/>
                      <w:u w:val="none"/>
                    </w:rPr>
                  </w:pPr>
                  <w:r>
                    <w:rPr>
                      <w:rFonts w:ascii="Times New Roman" w:hAnsi="Times New Roman" w:eastAsia="宋体" w:cs="Times New Roman"/>
                      <w:color w:val="auto"/>
                      <w:kern w:val="0"/>
                      <w:sz w:val="18"/>
                      <w:szCs w:val="18"/>
                    </w:rPr>
                    <w:t>0.162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0" w:hRule="atLeast"/>
              </w:trPr>
              <w:tc>
                <w:tcPr>
                  <w:tcW w:w="380" w:type="pct"/>
                  <w:vMerge w:val="continue"/>
                  <w:tcBorders>
                    <w:top w:val="nil"/>
                    <w:left w:val="single" w:color="auto" w:sz="4" w:space="0"/>
                    <w:bottom w:val="single" w:color="auto" w:sz="4" w:space="0"/>
                    <w:right w:val="single" w:color="auto" w:sz="4" w:space="0"/>
                  </w:tcBorders>
                  <w:noWrap w:val="0"/>
                  <w:vAlign w:val="center"/>
                </w:tcPr>
                <w:p>
                  <w:pPr>
                    <w:jc w:val="center"/>
                    <w:rPr>
                      <w:rFonts w:hint="default" w:ascii="Times New Roman" w:hAnsi="Times New Roman" w:eastAsia="宋体" w:cs="Times New Roman"/>
                      <w:i w:val="0"/>
                      <w:iCs w:val="0"/>
                      <w:color w:val="auto"/>
                      <w:sz w:val="18"/>
                      <w:szCs w:val="18"/>
                      <w:u w:val="none"/>
                    </w:rPr>
                  </w:pPr>
                </w:p>
              </w:tc>
              <w:tc>
                <w:tcPr>
                  <w:tcW w:w="738" w:type="pct"/>
                  <w:vMerge w:val="continue"/>
                  <w:tcBorders>
                    <w:top w:val="nil"/>
                    <w:left w:val="single" w:color="auto" w:sz="4" w:space="0"/>
                    <w:bottom w:val="single" w:color="auto" w:sz="4" w:space="0"/>
                    <w:right w:val="single" w:color="auto" w:sz="4" w:space="0"/>
                  </w:tcBorders>
                  <w:noWrap w:val="0"/>
                  <w:vAlign w:val="center"/>
                </w:tcPr>
                <w:p>
                  <w:pPr>
                    <w:jc w:val="center"/>
                    <w:rPr>
                      <w:rFonts w:hint="default" w:ascii="Times New Roman" w:hAnsi="Times New Roman" w:eastAsia="宋体" w:cs="Times New Roman"/>
                      <w:i w:val="0"/>
                      <w:iCs w:val="0"/>
                      <w:color w:val="auto"/>
                      <w:sz w:val="18"/>
                      <w:szCs w:val="18"/>
                      <w:u w:val="none"/>
                    </w:rPr>
                  </w:pPr>
                </w:p>
              </w:tc>
              <w:tc>
                <w:tcPr>
                  <w:tcW w:w="738" w:type="pct"/>
                  <w:tcBorders>
                    <w:top w:val="nil"/>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BOD</w:t>
                  </w:r>
                  <w:r>
                    <w:rPr>
                      <w:rFonts w:hint="default" w:ascii="Times New Roman" w:hAnsi="Times New Roman" w:eastAsia="宋体" w:cs="Times New Roman"/>
                      <w:i w:val="0"/>
                      <w:iCs w:val="0"/>
                      <w:color w:val="auto"/>
                      <w:kern w:val="0"/>
                      <w:sz w:val="18"/>
                      <w:szCs w:val="18"/>
                      <w:u w:val="none"/>
                      <w:vertAlign w:val="subscript"/>
                      <w:lang w:val="en-US" w:eastAsia="zh-CN" w:bidi="ar"/>
                    </w:rPr>
                    <w:t>5</w:t>
                  </w:r>
                </w:p>
              </w:tc>
              <w:tc>
                <w:tcPr>
                  <w:tcW w:w="1116" w:type="pct"/>
                  <w:tcBorders>
                    <w:top w:val="nil"/>
                    <w:left w:val="nil"/>
                    <w:bottom w:val="single" w:color="auto" w:sz="4" w:space="0"/>
                    <w:right w:val="single" w:color="auto" w:sz="4" w:space="0"/>
                  </w:tcBorders>
                  <w:noWrap w:val="0"/>
                  <w:vAlign w:val="center"/>
                </w:tcPr>
                <w:p>
                  <w:pPr>
                    <w:widowControl/>
                    <w:adjustRightInd w:val="0"/>
                    <w:snapToGrid w:val="0"/>
                    <w:jc w:val="center"/>
                    <w:textAlignment w:val="center"/>
                    <w:rPr>
                      <w:rFonts w:hint="default" w:ascii="Times New Roman" w:hAnsi="Times New Roman" w:eastAsia="宋体" w:cs="Times New Roman"/>
                      <w:color w:val="auto"/>
                      <w:kern w:val="2"/>
                      <w:sz w:val="18"/>
                      <w:szCs w:val="18"/>
                      <w:lang w:val="en-US" w:eastAsia="zh-CN" w:bidi="ar-SA"/>
                    </w:rPr>
                  </w:pPr>
                  <w:r>
                    <w:rPr>
                      <w:rFonts w:ascii="Times New Roman" w:hAnsi="Times New Roman" w:eastAsia="宋体" w:cs="Times New Roman"/>
                      <w:color w:val="auto"/>
                      <w:kern w:val="0"/>
                      <w:sz w:val="18"/>
                      <w:szCs w:val="18"/>
                    </w:rPr>
                    <w:t>180</w:t>
                  </w:r>
                </w:p>
              </w:tc>
              <w:tc>
                <w:tcPr>
                  <w:tcW w:w="1572" w:type="dxa"/>
                  <w:tcBorders>
                    <w:top w:val="nil"/>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 xml:space="preserve">0.0003 </w:t>
                  </w:r>
                </w:p>
              </w:tc>
              <w:tc>
                <w:tcPr>
                  <w:tcW w:w="1010" w:type="pct"/>
                  <w:tcBorders>
                    <w:top w:val="nil"/>
                    <w:left w:val="nil"/>
                    <w:bottom w:val="single" w:color="auto" w:sz="4" w:space="0"/>
                    <w:right w:val="single" w:color="auto" w:sz="4" w:space="0"/>
                  </w:tcBorders>
                  <w:noWrap w:val="0"/>
                  <w:vAlign w:val="center"/>
                </w:tcPr>
                <w:p>
                  <w:pPr>
                    <w:widowControl/>
                    <w:jc w:val="center"/>
                    <w:textAlignment w:val="center"/>
                    <w:rPr>
                      <w:rFonts w:hint="default" w:ascii="Times New Roman" w:hAnsi="Times New Roman" w:eastAsia="宋体" w:cs="Times New Roman"/>
                      <w:i w:val="0"/>
                      <w:iCs w:val="0"/>
                      <w:color w:val="auto"/>
                      <w:sz w:val="18"/>
                      <w:szCs w:val="18"/>
                      <w:u w:val="none"/>
                    </w:rPr>
                  </w:pPr>
                  <w:r>
                    <w:rPr>
                      <w:rFonts w:ascii="Times New Roman" w:hAnsi="Times New Roman" w:eastAsia="宋体" w:cs="Times New Roman"/>
                      <w:color w:val="auto"/>
                      <w:kern w:val="0"/>
                      <w:sz w:val="18"/>
                      <w:szCs w:val="18"/>
                    </w:rPr>
                    <w:t>0.097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0" w:hRule="atLeast"/>
              </w:trPr>
              <w:tc>
                <w:tcPr>
                  <w:tcW w:w="380" w:type="pct"/>
                  <w:vMerge w:val="continue"/>
                  <w:tcBorders>
                    <w:top w:val="nil"/>
                    <w:left w:val="single" w:color="auto" w:sz="4" w:space="0"/>
                    <w:bottom w:val="single" w:color="auto" w:sz="4" w:space="0"/>
                    <w:right w:val="single" w:color="auto" w:sz="4" w:space="0"/>
                  </w:tcBorders>
                  <w:noWrap w:val="0"/>
                  <w:vAlign w:val="center"/>
                </w:tcPr>
                <w:p>
                  <w:pPr>
                    <w:jc w:val="center"/>
                    <w:rPr>
                      <w:rFonts w:hint="default" w:ascii="Times New Roman" w:hAnsi="Times New Roman" w:eastAsia="宋体" w:cs="Times New Roman"/>
                      <w:i w:val="0"/>
                      <w:iCs w:val="0"/>
                      <w:color w:val="auto"/>
                      <w:sz w:val="18"/>
                      <w:szCs w:val="18"/>
                      <w:u w:val="none"/>
                    </w:rPr>
                  </w:pPr>
                </w:p>
              </w:tc>
              <w:tc>
                <w:tcPr>
                  <w:tcW w:w="738" w:type="pct"/>
                  <w:vMerge w:val="continue"/>
                  <w:tcBorders>
                    <w:top w:val="nil"/>
                    <w:left w:val="single" w:color="auto" w:sz="4" w:space="0"/>
                    <w:bottom w:val="single" w:color="auto" w:sz="4" w:space="0"/>
                    <w:right w:val="single" w:color="auto" w:sz="4" w:space="0"/>
                  </w:tcBorders>
                  <w:noWrap w:val="0"/>
                  <w:vAlign w:val="center"/>
                </w:tcPr>
                <w:p>
                  <w:pPr>
                    <w:jc w:val="center"/>
                    <w:rPr>
                      <w:rFonts w:hint="default" w:ascii="Times New Roman" w:hAnsi="Times New Roman" w:eastAsia="宋体" w:cs="Times New Roman"/>
                      <w:i w:val="0"/>
                      <w:iCs w:val="0"/>
                      <w:color w:val="auto"/>
                      <w:sz w:val="18"/>
                      <w:szCs w:val="18"/>
                      <w:u w:val="none"/>
                    </w:rPr>
                  </w:pPr>
                </w:p>
              </w:tc>
              <w:tc>
                <w:tcPr>
                  <w:tcW w:w="738" w:type="pct"/>
                  <w:tcBorders>
                    <w:top w:val="nil"/>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SS</w:t>
                  </w:r>
                </w:p>
              </w:tc>
              <w:tc>
                <w:tcPr>
                  <w:tcW w:w="1116" w:type="pct"/>
                  <w:tcBorders>
                    <w:top w:val="nil"/>
                    <w:left w:val="nil"/>
                    <w:bottom w:val="single" w:color="auto" w:sz="4" w:space="0"/>
                    <w:right w:val="single" w:color="auto" w:sz="4" w:space="0"/>
                  </w:tcBorders>
                  <w:noWrap w:val="0"/>
                  <w:vAlign w:val="center"/>
                </w:tcPr>
                <w:p>
                  <w:pPr>
                    <w:widowControl/>
                    <w:adjustRightInd w:val="0"/>
                    <w:snapToGrid w:val="0"/>
                    <w:jc w:val="center"/>
                    <w:textAlignment w:val="center"/>
                    <w:rPr>
                      <w:rFonts w:hint="default" w:ascii="Times New Roman" w:hAnsi="Times New Roman" w:eastAsia="宋体" w:cs="Times New Roman"/>
                      <w:color w:val="auto"/>
                      <w:kern w:val="2"/>
                      <w:sz w:val="18"/>
                      <w:szCs w:val="18"/>
                      <w:lang w:val="en-US" w:eastAsia="zh-CN" w:bidi="ar-SA"/>
                    </w:rPr>
                  </w:pPr>
                  <w:r>
                    <w:rPr>
                      <w:rFonts w:ascii="Times New Roman" w:hAnsi="Times New Roman" w:eastAsia="宋体" w:cs="Times New Roman"/>
                      <w:color w:val="auto"/>
                      <w:kern w:val="0"/>
                      <w:sz w:val="18"/>
                      <w:szCs w:val="18"/>
                    </w:rPr>
                    <w:t>150</w:t>
                  </w:r>
                </w:p>
              </w:tc>
              <w:tc>
                <w:tcPr>
                  <w:tcW w:w="1572" w:type="dxa"/>
                  <w:tcBorders>
                    <w:top w:val="nil"/>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 xml:space="preserve">0.0003 </w:t>
                  </w:r>
                </w:p>
              </w:tc>
              <w:tc>
                <w:tcPr>
                  <w:tcW w:w="1010" w:type="pct"/>
                  <w:tcBorders>
                    <w:top w:val="nil"/>
                    <w:left w:val="nil"/>
                    <w:bottom w:val="single" w:color="auto" w:sz="4" w:space="0"/>
                    <w:right w:val="single" w:color="auto" w:sz="4" w:space="0"/>
                  </w:tcBorders>
                  <w:noWrap w:val="0"/>
                  <w:vAlign w:val="center"/>
                </w:tcPr>
                <w:p>
                  <w:pPr>
                    <w:widowControl/>
                    <w:jc w:val="center"/>
                    <w:textAlignment w:val="center"/>
                    <w:rPr>
                      <w:rFonts w:hint="default" w:ascii="Times New Roman" w:hAnsi="Times New Roman" w:eastAsia="宋体" w:cs="Times New Roman"/>
                      <w:i w:val="0"/>
                      <w:iCs w:val="0"/>
                      <w:color w:val="auto"/>
                      <w:sz w:val="18"/>
                      <w:szCs w:val="18"/>
                      <w:u w:val="none"/>
                    </w:rPr>
                  </w:pPr>
                  <w:r>
                    <w:rPr>
                      <w:rFonts w:ascii="Times New Roman" w:hAnsi="Times New Roman" w:eastAsia="宋体" w:cs="Times New Roman"/>
                      <w:color w:val="auto"/>
                      <w:kern w:val="0"/>
                      <w:sz w:val="18"/>
                      <w:szCs w:val="18"/>
                    </w:rPr>
                    <w:t>0.081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0" w:hRule="atLeast"/>
              </w:trPr>
              <w:tc>
                <w:tcPr>
                  <w:tcW w:w="380" w:type="pct"/>
                  <w:vMerge w:val="continue"/>
                  <w:tcBorders>
                    <w:top w:val="nil"/>
                    <w:left w:val="single" w:color="auto" w:sz="4" w:space="0"/>
                    <w:bottom w:val="single" w:color="auto" w:sz="4" w:space="0"/>
                    <w:right w:val="single" w:color="auto" w:sz="4" w:space="0"/>
                  </w:tcBorders>
                  <w:noWrap w:val="0"/>
                  <w:vAlign w:val="center"/>
                </w:tcPr>
                <w:p>
                  <w:pPr>
                    <w:jc w:val="center"/>
                    <w:rPr>
                      <w:rFonts w:hint="default" w:ascii="Times New Roman" w:hAnsi="Times New Roman" w:eastAsia="宋体" w:cs="Times New Roman"/>
                      <w:i w:val="0"/>
                      <w:iCs w:val="0"/>
                      <w:color w:val="auto"/>
                      <w:sz w:val="18"/>
                      <w:szCs w:val="18"/>
                      <w:u w:val="none"/>
                    </w:rPr>
                  </w:pPr>
                </w:p>
              </w:tc>
              <w:tc>
                <w:tcPr>
                  <w:tcW w:w="738" w:type="pct"/>
                  <w:vMerge w:val="continue"/>
                  <w:tcBorders>
                    <w:top w:val="nil"/>
                    <w:left w:val="single" w:color="auto" w:sz="4" w:space="0"/>
                    <w:bottom w:val="single" w:color="auto" w:sz="4" w:space="0"/>
                    <w:right w:val="single" w:color="auto" w:sz="4" w:space="0"/>
                  </w:tcBorders>
                  <w:noWrap w:val="0"/>
                  <w:vAlign w:val="center"/>
                </w:tcPr>
                <w:p>
                  <w:pPr>
                    <w:jc w:val="center"/>
                    <w:rPr>
                      <w:rFonts w:hint="default" w:ascii="Times New Roman" w:hAnsi="Times New Roman" w:eastAsia="宋体" w:cs="Times New Roman"/>
                      <w:i w:val="0"/>
                      <w:iCs w:val="0"/>
                      <w:color w:val="auto"/>
                      <w:sz w:val="18"/>
                      <w:szCs w:val="18"/>
                      <w:u w:val="none"/>
                    </w:rPr>
                  </w:pPr>
                </w:p>
              </w:tc>
              <w:tc>
                <w:tcPr>
                  <w:tcW w:w="738" w:type="pct"/>
                  <w:tcBorders>
                    <w:top w:val="nil"/>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NH</w:t>
                  </w:r>
                  <w:r>
                    <w:rPr>
                      <w:rFonts w:hint="default" w:ascii="Times New Roman" w:hAnsi="Times New Roman" w:eastAsia="宋体" w:cs="Times New Roman"/>
                      <w:i w:val="0"/>
                      <w:iCs w:val="0"/>
                      <w:color w:val="auto"/>
                      <w:kern w:val="0"/>
                      <w:sz w:val="18"/>
                      <w:szCs w:val="18"/>
                      <w:u w:val="none"/>
                      <w:vertAlign w:val="subscript"/>
                      <w:lang w:val="en-US" w:eastAsia="zh-CN" w:bidi="ar"/>
                    </w:rPr>
                    <w:t>3</w:t>
                  </w:r>
                  <w:r>
                    <w:rPr>
                      <w:rFonts w:hint="default" w:ascii="Times New Roman" w:hAnsi="Times New Roman" w:eastAsia="宋体" w:cs="Times New Roman"/>
                      <w:i w:val="0"/>
                      <w:iCs w:val="0"/>
                      <w:color w:val="auto"/>
                      <w:kern w:val="0"/>
                      <w:sz w:val="18"/>
                      <w:szCs w:val="18"/>
                      <w:u w:val="none"/>
                      <w:lang w:val="en-US" w:eastAsia="zh-CN" w:bidi="ar"/>
                    </w:rPr>
                    <w:t>-N</w:t>
                  </w:r>
                </w:p>
              </w:tc>
              <w:tc>
                <w:tcPr>
                  <w:tcW w:w="1116" w:type="pct"/>
                  <w:tcBorders>
                    <w:top w:val="nil"/>
                    <w:left w:val="nil"/>
                    <w:bottom w:val="single" w:color="auto" w:sz="4" w:space="0"/>
                    <w:right w:val="single" w:color="auto" w:sz="4" w:space="0"/>
                  </w:tcBorders>
                  <w:noWrap w:val="0"/>
                  <w:vAlign w:val="center"/>
                </w:tcPr>
                <w:p>
                  <w:pPr>
                    <w:widowControl/>
                    <w:adjustRightInd w:val="0"/>
                    <w:snapToGrid w:val="0"/>
                    <w:jc w:val="center"/>
                    <w:textAlignment w:val="center"/>
                    <w:rPr>
                      <w:rFonts w:hint="default" w:ascii="Times New Roman" w:hAnsi="Times New Roman" w:eastAsia="宋体" w:cs="Times New Roman"/>
                      <w:color w:val="auto"/>
                      <w:kern w:val="2"/>
                      <w:sz w:val="18"/>
                      <w:szCs w:val="18"/>
                      <w:lang w:val="en-US" w:eastAsia="zh-CN" w:bidi="ar-SA"/>
                    </w:rPr>
                  </w:pPr>
                  <w:r>
                    <w:rPr>
                      <w:rFonts w:ascii="Times New Roman" w:hAnsi="Times New Roman" w:eastAsia="宋体" w:cs="Times New Roman"/>
                      <w:color w:val="auto"/>
                      <w:kern w:val="0"/>
                      <w:sz w:val="18"/>
                      <w:szCs w:val="18"/>
                    </w:rPr>
                    <w:t>25</w:t>
                  </w:r>
                </w:p>
              </w:tc>
              <w:tc>
                <w:tcPr>
                  <w:tcW w:w="1572" w:type="dxa"/>
                  <w:tcBorders>
                    <w:top w:val="nil"/>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 xml:space="preserve">0.00005 </w:t>
                  </w:r>
                </w:p>
              </w:tc>
              <w:tc>
                <w:tcPr>
                  <w:tcW w:w="1010" w:type="pct"/>
                  <w:tcBorders>
                    <w:top w:val="nil"/>
                    <w:left w:val="nil"/>
                    <w:bottom w:val="single" w:color="auto" w:sz="4" w:space="0"/>
                    <w:right w:val="single" w:color="auto" w:sz="4" w:space="0"/>
                  </w:tcBorders>
                  <w:noWrap w:val="0"/>
                  <w:vAlign w:val="center"/>
                </w:tcPr>
                <w:p>
                  <w:pPr>
                    <w:widowControl/>
                    <w:jc w:val="center"/>
                    <w:textAlignment w:val="center"/>
                    <w:rPr>
                      <w:rFonts w:hint="eastAsia" w:ascii="Times New Roman" w:hAnsi="Times New Roman" w:eastAsia="宋体" w:cs="Times New Roman"/>
                      <w:i w:val="0"/>
                      <w:iCs w:val="0"/>
                      <w:color w:val="auto"/>
                      <w:sz w:val="18"/>
                      <w:szCs w:val="18"/>
                      <w:u w:val="none"/>
                      <w:lang w:val="en-US" w:eastAsia="zh-CN"/>
                    </w:rPr>
                  </w:pPr>
                  <w:r>
                    <w:rPr>
                      <w:rFonts w:ascii="Times New Roman" w:hAnsi="Times New Roman" w:eastAsia="宋体" w:cs="Times New Roman"/>
                      <w:color w:val="auto"/>
                      <w:kern w:val="0"/>
                      <w:sz w:val="18"/>
                      <w:szCs w:val="18"/>
                    </w:rPr>
                    <w:t>0.01</w:t>
                  </w:r>
                  <w:r>
                    <w:rPr>
                      <w:rFonts w:hint="eastAsia" w:ascii="Times New Roman" w:hAnsi="Times New Roman" w:eastAsia="宋体" w:cs="Times New Roman"/>
                      <w:color w:val="auto"/>
                      <w:kern w:val="0"/>
                      <w:sz w:val="18"/>
                      <w:szCs w:val="18"/>
                      <w:lang w:val="en-US" w:eastAsia="zh-CN"/>
                    </w:rPr>
                    <w:t>4</w:t>
                  </w:r>
                </w:p>
              </w:tc>
            </w:tr>
          </w:tbl>
          <w:p>
            <w:pPr>
              <w:spacing w:line="360" w:lineRule="auto"/>
              <w:ind w:firstLine="482" w:firstLineChars="200"/>
              <w:rPr>
                <w:rFonts w:hint="default" w:ascii="Times New Roman" w:hAnsi="Times New Roman" w:cs="Times New Roman"/>
                <w:b/>
                <w:color w:val="auto"/>
                <w:kern w:val="0"/>
                <w:sz w:val="24"/>
              </w:rPr>
            </w:pPr>
            <w:r>
              <w:rPr>
                <w:rFonts w:hint="default" w:ascii="Times New Roman" w:hAnsi="Times New Roman" w:cs="Times New Roman"/>
                <w:b/>
                <w:color w:val="auto"/>
                <w:kern w:val="0"/>
                <w:sz w:val="24"/>
                <w:lang w:val="en-US" w:eastAsia="zh-CN"/>
              </w:rPr>
              <w:t>3、</w:t>
            </w:r>
            <w:r>
              <w:rPr>
                <w:rFonts w:hint="default" w:ascii="Times New Roman" w:hAnsi="Times New Roman" w:cs="Times New Roman"/>
                <w:b/>
                <w:color w:val="auto"/>
                <w:kern w:val="0"/>
                <w:sz w:val="24"/>
              </w:rPr>
              <w:t>废水污染物自行监测计划</w:t>
            </w:r>
          </w:p>
          <w:p>
            <w:pPr>
              <w:pStyle w:val="25"/>
              <w:adjustRightInd/>
              <w:spacing w:line="360" w:lineRule="auto"/>
              <w:ind w:firstLine="480" w:firstLineChars="200"/>
              <w:rPr>
                <w:rFonts w:ascii="Times New Roman" w:cs="Times New Roman"/>
                <w:color w:val="auto"/>
              </w:rPr>
            </w:pPr>
            <w:r>
              <w:rPr>
                <w:rFonts w:hint="default" w:ascii="Times New Roman" w:hAnsi="Times New Roman" w:eastAsia="宋体" w:cs="Times New Roman"/>
                <w:color w:val="auto"/>
                <w:kern w:val="0"/>
                <w:sz w:val="24"/>
                <w:lang w:eastAsia="zh-CN"/>
              </w:rPr>
              <w:t>本项目仅有生活</w:t>
            </w:r>
            <w:r>
              <w:rPr>
                <w:rFonts w:hint="default" w:ascii="Times New Roman" w:hAnsi="Times New Roman" w:cs="Times New Roman"/>
                <w:color w:val="auto"/>
                <w:kern w:val="0"/>
                <w:sz w:val="24"/>
                <w:lang w:eastAsia="zh-CN"/>
              </w:rPr>
              <w:t>污水，</w:t>
            </w:r>
            <w:r>
              <w:rPr>
                <w:rFonts w:hint="eastAsia" w:ascii="Times New Roman" w:hAnsi="Times New Roman" w:cs="Times New Roman"/>
                <w:color w:val="auto"/>
                <w:kern w:val="0"/>
                <w:sz w:val="24"/>
                <w:lang w:eastAsia="zh-CN"/>
              </w:rPr>
              <w:t>属于间接排放，</w:t>
            </w:r>
            <w:r>
              <w:rPr>
                <w:rFonts w:hint="default" w:ascii="Times New Roman" w:hAnsi="Times New Roman" w:cs="Times New Roman"/>
                <w:color w:val="auto"/>
                <w:kern w:val="0"/>
                <w:sz w:val="24"/>
                <w:lang w:eastAsia="zh-CN"/>
              </w:rPr>
              <w:t>可不进行监测。</w:t>
            </w:r>
          </w:p>
          <w:bookmarkEnd w:id="3"/>
          <w:bookmarkEnd w:id="4"/>
          <w:p>
            <w:pPr>
              <w:spacing w:line="360" w:lineRule="auto"/>
              <w:jc w:val="left"/>
              <w:rPr>
                <w:rFonts w:ascii="Times New Roman" w:hAnsi="Times New Roman" w:eastAsia="宋体" w:cs="Times New Roman"/>
                <w:b/>
                <w:bCs/>
                <w:color w:val="auto"/>
                <w:sz w:val="24"/>
                <w:szCs w:val="24"/>
              </w:rPr>
            </w:pPr>
            <w:r>
              <w:rPr>
                <w:rFonts w:ascii="Times New Roman" w:hAnsi="Times New Roman" w:eastAsia="宋体" w:cs="Times New Roman"/>
                <w:b/>
                <w:bCs/>
                <w:color w:val="auto"/>
                <w:sz w:val="24"/>
                <w:szCs w:val="24"/>
              </w:rPr>
              <w:t>二、运营期大气污染物环境影响和保护措施</w:t>
            </w:r>
          </w:p>
          <w:p>
            <w:pPr>
              <w:spacing w:line="360" w:lineRule="auto"/>
              <w:ind w:firstLine="482" w:firstLineChars="200"/>
              <w:jc w:val="left"/>
              <w:rPr>
                <w:rFonts w:ascii="Times New Roman" w:hAnsi="Times New Roman" w:eastAsia="宋体" w:cs="Times New Roman"/>
                <w:b/>
                <w:bCs/>
                <w:color w:val="auto"/>
                <w:sz w:val="24"/>
                <w:szCs w:val="24"/>
              </w:rPr>
            </w:pPr>
            <w:r>
              <w:rPr>
                <w:rFonts w:ascii="Times New Roman" w:hAnsi="Times New Roman" w:eastAsia="宋体" w:cs="Times New Roman"/>
                <w:b/>
                <w:bCs/>
                <w:color w:val="auto"/>
                <w:sz w:val="24"/>
                <w:szCs w:val="24"/>
              </w:rPr>
              <w:t>1、运营期大气污染物环境影响分析</w:t>
            </w:r>
          </w:p>
          <w:p>
            <w:pPr>
              <w:spacing w:line="358" w:lineRule="auto"/>
              <w:ind w:firstLine="480" w:firstLineChars="200"/>
              <w:rPr>
                <w:rFonts w:ascii="Times New Roman" w:hAnsi="Times New Roman" w:eastAsia="宋体" w:cs="Times New Roman"/>
                <w:bCs/>
                <w:color w:val="auto"/>
                <w:sz w:val="24"/>
                <w:szCs w:val="24"/>
              </w:rPr>
            </w:pPr>
            <w:r>
              <w:rPr>
                <w:rFonts w:ascii="Times New Roman" w:hAnsi="Times New Roman" w:eastAsia="宋体" w:cs="Times New Roman"/>
                <w:bCs/>
                <w:color w:val="auto"/>
                <w:sz w:val="24"/>
                <w:szCs w:val="24"/>
              </w:rPr>
              <w:t>根据工程分析可知，本项目产生的废气为切割粉尘G1、焊接烟尘G2、喷塑粉尘G3和固化废气G4。</w:t>
            </w:r>
          </w:p>
          <w:p>
            <w:pPr>
              <w:spacing w:line="360" w:lineRule="auto"/>
              <w:ind w:firstLine="482" w:firstLineChars="200"/>
              <w:rPr>
                <w:rFonts w:ascii="Times New Roman" w:hAnsi="Times New Roman" w:eastAsia="宋体" w:cs="Times New Roman"/>
                <w:b/>
                <w:color w:val="auto"/>
                <w:sz w:val="24"/>
                <w:szCs w:val="24"/>
              </w:rPr>
            </w:pPr>
            <w:r>
              <w:rPr>
                <w:rFonts w:ascii="Times New Roman" w:hAnsi="Times New Roman" w:eastAsia="宋体" w:cs="Times New Roman"/>
                <w:b/>
                <w:color w:val="auto"/>
                <w:sz w:val="24"/>
                <w:szCs w:val="24"/>
              </w:rPr>
              <w:t>（1）</w:t>
            </w:r>
            <w:r>
              <w:rPr>
                <w:rFonts w:ascii="Times New Roman" w:hAnsi="Times New Roman" w:eastAsia="宋体" w:cs="Times New Roman"/>
                <w:bCs/>
                <w:color w:val="auto"/>
                <w:sz w:val="24"/>
                <w:szCs w:val="24"/>
              </w:rPr>
              <w:t>切割粉尘G1</w:t>
            </w:r>
          </w:p>
          <w:p>
            <w:pPr>
              <w:pStyle w:val="78"/>
              <w:adjustRightInd w:val="0"/>
              <w:snapToGrid w:val="0"/>
              <w:spacing w:line="360" w:lineRule="auto"/>
              <w:ind w:firstLine="480"/>
              <w:rPr>
                <w:rFonts w:ascii="Times New Roman" w:hAnsi="Times New Roman" w:eastAsia="宋体" w:cs="Times New Roman"/>
                <w:bCs/>
                <w:color w:val="auto"/>
                <w:sz w:val="24"/>
                <w:szCs w:val="24"/>
              </w:rPr>
            </w:pPr>
            <w:r>
              <w:rPr>
                <w:rFonts w:ascii="Times New Roman" w:hAnsi="Times New Roman" w:eastAsia="宋体" w:cs="Times New Roman"/>
                <w:bCs/>
                <w:color w:val="auto"/>
                <w:sz w:val="24"/>
                <w:szCs w:val="24"/>
              </w:rPr>
              <w:t>本项目切割过程中会产生切割烟尘，参照</w:t>
            </w:r>
            <w:r>
              <w:rPr>
                <w:rFonts w:ascii="Times New Roman" w:hAnsi="Times New Roman" w:eastAsia="宋体" w:cs="Times New Roman"/>
                <w:bCs/>
                <w:color w:val="auto"/>
                <w:kern w:val="0"/>
                <w:sz w:val="24"/>
                <w:szCs w:val="24"/>
              </w:rPr>
              <w:t>《</w:t>
            </w:r>
            <w:r>
              <w:rPr>
                <w:rFonts w:ascii="Times New Roman" w:hAnsi="Times New Roman" w:eastAsia="宋体" w:cs="Times New Roman"/>
                <w:bCs/>
                <w:color w:val="auto"/>
                <w:sz w:val="24"/>
                <w:szCs w:val="24"/>
              </w:rPr>
              <w:t>排污源统计调查产污核算方法和系数手册</w:t>
            </w:r>
            <w:r>
              <w:rPr>
                <w:rFonts w:ascii="Times New Roman" w:hAnsi="Times New Roman" w:eastAsia="宋体" w:cs="Times New Roman"/>
                <w:bCs/>
                <w:color w:val="auto"/>
                <w:kern w:val="0"/>
                <w:sz w:val="24"/>
                <w:szCs w:val="24"/>
              </w:rPr>
              <w:t>》“33 金属制品业、34 通用设备制造业、35 专用设备制造业、36 汽车制造业、37 铁路、船舶、航空航天和其他运输 设备制造业、431 金属制品修理、432 通用设备修理、433 专用设备修理、434 铁路、船舶、航空航天等运输设备 修理（不包括电镀工艺）行业系数表</w:t>
            </w:r>
            <w:r>
              <w:rPr>
                <w:rFonts w:ascii="Times New Roman" w:hAnsi="Times New Roman" w:eastAsia="宋体" w:cs="Times New Roman"/>
                <w:color w:val="auto"/>
                <w:sz w:val="24"/>
                <w:szCs w:val="24"/>
              </w:rPr>
              <w:t>”中</w:t>
            </w:r>
            <w:r>
              <w:rPr>
                <w:rFonts w:ascii="Times New Roman" w:hAnsi="Times New Roman" w:eastAsia="宋体" w:cs="Times New Roman"/>
                <w:bCs/>
                <w:color w:val="auto"/>
                <w:sz w:val="24"/>
                <w:szCs w:val="24"/>
              </w:rPr>
              <w:t>，切割的颗粒物产污系数为1.1kg/吨-原料，由原辅材料消耗表可知，本项目钢材的用量为1000t/a，则颗粒物产生量为1.1t/a。</w:t>
            </w:r>
          </w:p>
          <w:p>
            <w:pPr>
              <w:pStyle w:val="78"/>
              <w:adjustRightInd w:val="0"/>
              <w:snapToGrid w:val="0"/>
              <w:spacing w:line="360" w:lineRule="auto"/>
              <w:ind w:firstLine="474"/>
              <w:rPr>
                <w:rFonts w:ascii="Times New Roman" w:hAnsi="Times New Roman" w:eastAsia="宋体" w:cs="Times New Roman"/>
                <w:b/>
                <w:color w:val="auto"/>
                <w:spacing w:val="-2"/>
                <w:sz w:val="24"/>
              </w:rPr>
            </w:pPr>
            <w:r>
              <w:rPr>
                <w:rFonts w:ascii="Times New Roman" w:hAnsi="Times New Roman" w:eastAsia="宋体" w:cs="Times New Roman"/>
                <w:b/>
                <w:color w:val="auto"/>
                <w:spacing w:val="-2"/>
                <w:sz w:val="24"/>
              </w:rPr>
              <w:t>（2）</w:t>
            </w:r>
            <w:r>
              <w:rPr>
                <w:rFonts w:ascii="Times New Roman" w:hAnsi="Times New Roman" w:eastAsia="宋体" w:cs="Times New Roman"/>
                <w:bCs/>
                <w:color w:val="auto"/>
                <w:sz w:val="24"/>
                <w:szCs w:val="24"/>
              </w:rPr>
              <w:t>焊接烟尘G2</w:t>
            </w:r>
          </w:p>
          <w:p>
            <w:pPr>
              <w:pStyle w:val="78"/>
              <w:adjustRightInd w:val="0"/>
              <w:snapToGrid w:val="0"/>
              <w:spacing w:line="360" w:lineRule="auto"/>
              <w:ind w:firstLine="480"/>
              <w:rPr>
                <w:rFonts w:ascii="Times New Roman" w:hAnsi="Times New Roman" w:eastAsia="宋体" w:cs="Times New Roman"/>
                <w:bCs/>
                <w:color w:val="auto"/>
                <w:sz w:val="24"/>
                <w:szCs w:val="24"/>
              </w:rPr>
            </w:pPr>
            <w:r>
              <w:rPr>
                <w:rFonts w:ascii="Times New Roman" w:hAnsi="Times New Roman" w:eastAsia="宋体" w:cs="Times New Roman"/>
                <w:bCs/>
                <w:color w:val="auto"/>
                <w:sz w:val="24"/>
                <w:szCs w:val="24"/>
              </w:rPr>
              <w:t>本项目焊接工序会产生焊接烟尘（G1），参照</w:t>
            </w:r>
            <w:r>
              <w:rPr>
                <w:rFonts w:ascii="Times New Roman" w:hAnsi="Times New Roman" w:eastAsia="宋体" w:cs="Times New Roman"/>
                <w:bCs/>
                <w:color w:val="auto"/>
                <w:kern w:val="0"/>
                <w:sz w:val="24"/>
                <w:szCs w:val="24"/>
              </w:rPr>
              <w:t>《</w:t>
            </w:r>
            <w:r>
              <w:rPr>
                <w:rFonts w:ascii="Times New Roman" w:hAnsi="Times New Roman" w:eastAsia="宋体" w:cs="Times New Roman"/>
                <w:bCs/>
                <w:color w:val="auto"/>
                <w:sz w:val="24"/>
                <w:szCs w:val="24"/>
              </w:rPr>
              <w:t>排污源统计调查产污核算方法和系数手册</w:t>
            </w:r>
            <w:r>
              <w:rPr>
                <w:rFonts w:ascii="Times New Roman" w:hAnsi="Times New Roman" w:eastAsia="宋体" w:cs="Times New Roman"/>
                <w:bCs/>
                <w:color w:val="auto"/>
                <w:kern w:val="0"/>
                <w:sz w:val="24"/>
                <w:szCs w:val="24"/>
              </w:rPr>
              <w:t>》“33 金属制品业、34 通用设备制造业、35 专用设备制造业、36 汽车制造业、37 铁路、船舶、航空航天和其他运输 设备制造业、431 金属制品修理、432 通用设备修理、433 专用设备修理、434 铁路、船舶、航空航天等运输设备 修理（不包括电镀工艺）行业系数表</w:t>
            </w:r>
            <w:r>
              <w:rPr>
                <w:rFonts w:ascii="Times New Roman" w:hAnsi="Times New Roman" w:eastAsia="宋体" w:cs="Times New Roman"/>
                <w:color w:val="auto"/>
                <w:sz w:val="24"/>
                <w:szCs w:val="24"/>
              </w:rPr>
              <w:t>”中</w:t>
            </w:r>
            <w:r>
              <w:rPr>
                <w:rFonts w:ascii="Times New Roman" w:hAnsi="Times New Roman" w:eastAsia="宋体" w:cs="Times New Roman"/>
                <w:bCs/>
                <w:color w:val="auto"/>
                <w:sz w:val="24"/>
                <w:szCs w:val="24"/>
              </w:rPr>
              <w:t>，</w:t>
            </w:r>
            <w:r>
              <w:rPr>
                <w:rFonts w:ascii="Times New Roman" w:hAnsi="Times New Roman" w:eastAsia="宋体" w:cs="Times New Roman"/>
                <w:color w:val="auto"/>
                <w:sz w:val="24"/>
                <w:szCs w:val="20"/>
              </w:rPr>
              <w:t>焊接颗粒物产生量为20.5kg/吨-原料</w:t>
            </w:r>
            <w:r>
              <w:rPr>
                <w:rFonts w:ascii="Times New Roman" w:hAnsi="Times New Roman" w:eastAsia="宋体" w:cs="Times New Roman"/>
                <w:bCs/>
                <w:color w:val="auto"/>
                <w:sz w:val="24"/>
                <w:szCs w:val="24"/>
              </w:rPr>
              <w:t>，由原辅材料消耗表可知，本项目焊丝的用量为1t/a，则颗粒物产生量为0.</w:t>
            </w:r>
            <w:r>
              <w:rPr>
                <w:rFonts w:hint="eastAsia" w:ascii="Times New Roman" w:hAnsi="Times New Roman" w:eastAsia="宋体" w:cs="Times New Roman"/>
                <w:bCs/>
                <w:color w:val="auto"/>
                <w:sz w:val="24"/>
                <w:szCs w:val="24"/>
                <w:lang w:val="en-US" w:eastAsia="zh-CN"/>
              </w:rPr>
              <w:t>0</w:t>
            </w:r>
            <w:r>
              <w:rPr>
                <w:rFonts w:ascii="Times New Roman" w:hAnsi="Times New Roman" w:eastAsia="宋体" w:cs="Times New Roman"/>
                <w:bCs/>
                <w:color w:val="auto"/>
                <w:sz w:val="24"/>
                <w:szCs w:val="24"/>
              </w:rPr>
              <w:t>205t/a。</w:t>
            </w:r>
          </w:p>
          <w:p>
            <w:pPr>
              <w:pStyle w:val="78"/>
              <w:adjustRightInd w:val="0"/>
              <w:snapToGrid w:val="0"/>
              <w:spacing w:line="360" w:lineRule="auto"/>
              <w:ind w:firstLine="480"/>
              <w:rPr>
                <w:rFonts w:ascii="Times New Roman" w:hAnsi="Times New Roman" w:eastAsia="宋体" w:cs="Times New Roman"/>
                <w:bCs/>
                <w:color w:val="auto"/>
                <w:sz w:val="24"/>
                <w:szCs w:val="24"/>
              </w:rPr>
            </w:pPr>
            <w:r>
              <w:rPr>
                <w:rFonts w:ascii="Times New Roman" w:hAnsi="Times New Roman" w:eastAsia="宋体" w:cs="Times New Roman"/>
                <w:bCs/>
                <w:color w:val="auto"/>
                <w:sz w:val="24"/>
                <w:szCs w:val="24"/>
              </w:rPr>
              <w:t>上述切割粉尘G1和焊接烟尘G2通过集气装置收集后经1套袋式除尘器净化处理，经15m高1#排气筒（DA001）排放。废气收集效率按90%计，布袋除尘器处理效率按99%计，风机总风量为10000m</w:t>
            </w:r>
            <w:r>
              <w:rPr>
                <w:rFonts w:ascii="Times New Roman" w:hAnsi="Times New Roman" w:eastAsia="宋体" w:cs="Times New Roman"/>
                <w:bCs/>
                <w:color w:val="auto"/>
                <w:sz w:val="24"/>
                <w:szCs w:val="24"/>
                <w:vertAlign w:val="superscript"/>
              </w:rPr>
              <w:t>3</w:t>
            </w:r>
            <w:r>
              <w:rPr>
                <w:rFonts w:ascii="Times New Roman" w:hAnsi="Times New Roman" w:eastAsia="宋体" w:cs="Times New Roman"/>
                <w:bCs/>
                <w:color w:val="auto"/>
                <w:sz w:val="24"/>
                <w:szCs w:val="24"/>
              </w:rPr>
              <w:t>/h，操作时间平均为2400h/a。</w:t>
            </w:r>
          </w:p>
          <w:p>
            <w:pPr>
              <w:pStyle w:val="78"/>
              <w:adjustRightInd w:val="0"/>
              <w:snapToGrid w:val="0"/>
              <w:spacing w:line="360" w:lineRule="auto"/>
              <w:ind w:firstLine="480"/>
              <w:rPr>
                <w:rFonts w:ascii="Times New Roman" w:hAnsi="Times New Roman" w:eastAsia="宋体" w:cs="Times New Roman"/>
                <w:color w:val="auto"/>
                <w:sz w:val="24"/>
                <w:szCs w:val="20"/>
              </w:rPr>
            </w:pPr>
            <w:r>
              <w:rPr>
                <w:rFonts w:ascii="Times New Roman" w:hAnsi="Times New Roman" w:eastAsia="宋体" w:cs="Times New Roman"/>
                <w:color w:val="auto"/>
                <w:sz w:val="24"/>
                <w:szCs w:val="20"/>
              </w:rPr>
              <w:t>（3）喷塑粉尘G3</w:t>
            </w:r>
          </w:p>
          <w:p>
            <w:pPr>
              <w:pStyle w:val="78"/>
              <w:adjustRightInd w:val="0"/>
              <w:snapToGrid w:val="0"/>
              <w:spacing w:line="360" w:lineRule="auto"/>
              <w:ind w:firstLine="480"/>
              <w:rPr>
                <w:rFonts w:ascii="Times New Roman" w:hAnsi="Times New Roman" w:eastAsia="宋体" w:cs="Times New Roman"/>
                <w:color w:val="auto"/>
                <w:sz w:val="24"/>
                <w:szCs w:val="20"/>
              </w:rPr>
            </w:pPr>
            <w:r>
              <w:rPr>
                <w:rFonts w:ascii="Times New Roman" w:hAnsi="Times New Roman" w:eastAsia="宋体" w:cs="Times New Roman"/>
                <w:color w:val="auto"/>
                <w:sz w:val="24"/>
                <w:szCs w:val="20"/>
              </w:rPr>
              <w:t>项目喷塑工序产生的废气主要为未附着到工件的粉尘。根据</w:t>
            </w:r>
            <w:r>
              <w:rPr>
                <w:rFonts w:ascii="Times New Roman" w:hAnsi="Times New Roman" w:eastAsia="宋体" w:cs="Times New Roman"/>
                <w:bCs/>
                <w:color w:val="auto"/>
                <w:kern w:val="0"/>
                <w:sz w:val="24"/>
                <w:szCs w:val="24"/>
              </w:rPr>
              <w:t>《</w:t>
            </w:r>
            <w:r>
              <w:rPr>
                <w:rFonts w:ascii="Times New Roman" w:hAnsi="Times New Roman" w:eastAsia="宋体" w:cs="Times New Roman"/>
                <w:bCs/>
                <w:color w:val="auto"/>
                <w:sz w:val="24"/>
                <w:szCs w:val="24"/>
              </w:rPr>
              <w:t>排污源统计调查产污核算方法和系数手册</w:t>
            </w:r>
            <w:r>
              <w:rPr>
                <w:rFonts w:ascii="Times New Roman" w:hAnsi="Times New Roman" w:eastAsia="宋体" w:cs="Times New Roman"/>
                <w:bCs/>
                <w:color w:val="auto"/>
                <w:kern w:val="0"/>
                <w:sz w:val="24"/>
                <w:szCs w:val="24"/>
              </w:rPr>
              <w:t>》“33 金属制品业、34 通用设备制造业、35 专用设备制造业、36 汽车制造业、37 铁路、船舶、航空航天和其他运输 设备制造业、431 金属制品修理、432 通用设备修理、433 专用设备修理、434 铁路、船舶、航空航天等运输设备 修理（不包括电镀工艺）行业系数表</w:t>
            </w:r>
            <w:r>
              <w:rPr>
                <w:rFonts w:ascii="Times New Roman" w:hAnsi="Times New Roman" w:eastAsia="宋体" w:cs="Times New Roman"/>
                <w:color w:val="auto"/>
                <w:sz w:val="24"/>
                <w:szCs w:val="24"/>
              </w:rPr>
              <w:t>”中</w:t>
            </w:r>
            <w:r>
              <w:rPr>
                <w:rFonts w:ascii="Times New Roman" w:hAnsi="Times New Roman" w:eastAsia="宋体" w:cs="Times New Roman"/>
                <w:color w:val="auto"/>
                <w:sz w:val="24"/>
                <w:szCs w:val="20"/>
              </w:rPr>
              <w:t>，喷塑工序颗粒物产生量为300kg/吨-原料，由原辅材料消耗表可知，本项目塑粉的用量为100t/a，因此未喷上的粉末产生量约为30t/a。粉末喷涂过程是在喷塑房内进行的，该房体为封闭式，通过风机将房体内没有喷上工件的粉末吸入回收系统，粉尘经收集后通过滤芯粉末回收装置进行回收。未喷上工件的粉末</w:t>
            </w:r>
            <w:r>
              <w:rPr>
                <w:rFonts w:ascii="Times New Roman" w:hAnsi="Times New Roman" w:eastAsia="宋体" w:cs="Times New Roman"/>
                <w:color w:val="auto"/>
                <w:sz w:val="24"/>
              </w:rPr>
              <w:t>通过喷塑间内设置大旋风+滤芯粉末</w:t>
            </w:r>
            <w:r>
              <w:rPr>
                <w:rFonts w:hint="eastAsia" w:ascii="Times New Roman" w:hAnsi="Times New Roman" w:eastAsia="宋体" w:cs="Times New Roman"/>
                <w:color w:val="auto"/>
                <w:sz w:val="24"/>
                <w:lang w:val="en-US" w:eastAsia="zh-CN"/>
              </w:rPr>
              <w:t>回收</w:t>
            </w:r>
            <w:r>
              <w:rPr>
                <w:rFonts w:ascii="Times New Roman" w:hAnsi="Times New Roman" w:eastAsia="宋体" w:cs="Times New Roman"/>
                <w:color w:val="auto"/>
                <w:sz w:val="24"/>
              </w:rPr>
              <w:t>装置</w:t>
            </w:r>
            <w:r>
              <w:rPr>
                <w:rFonts w:hint="eastAsia" w:ascii="Times New Roman" w:hAnsi="Times New Roman" w:eastAsia="宋体" w:cs="Times New Roman"/>
                <w:color w:val="auto"/>
                <w:sz w:val="24"/>
                <w:lang w:val="en-US" w:eastAsia="zh-CN"/>
              </w:rPr>
              <w:t>处理后经15m高2#排气筒（DA002）排放，</w:t>
            </w:r>
            <w:r>
              <w:rPr>
                <w:rFonts w:ascii="Times New Roman" w:hAnsi="Times New Roman" w:eastAsia="宋体" w:cs="Times New Roman"/>
                <w:color w:val="auto"/>
                <w:sz w:val="24"/>
                <w:szCs w:val="20"/>
              </w:rPr>
              <w:t>喷塑粉尘收集效率以99%计，回收效率为</w:t>
            </w:r>
            <w:r>
              <w:rPr>
                <w:rFonts w:hint="eastAsia" w:ascii="Times New Roman" w:hAnsi="Times New Roman" w:eastAsia="宋体" w:cs="Times New Roman"/>
                <w:color w:val="auto"/>
                <w:sz w:val="24"/>
                <w:szCs w:val="20"/>
                <w:lang w:val="en-US" w:eastAsia="zh-CN"/>
              </w:rPr>
              <w:t>90</w:t>
            </w:r>
            <w:r>
              <w:rPr>
                <w:rFonts w:ascii="Times New Roman" w:hAnsi="Times New Roman" w:eastAsia="宋体" w:cs="Times New Roman"/>
                <w:color w:val="auto"/>
                <w:sz w:val="24"/>
                <w:szCs w:val="20"/>
              </w:rPr>
              <w:t>%，喷塑操作时间平均为2400h/a。</w:t>
            </w:r>
          </w:p>
          <w:p>
            <w:pPr>
              <w:pStyle w:val="78"/>
              <w:adjustRightInd w:val="0"/>
              <w:snapToGrid w:val="0"/>
              <w:spacing w:line="360" w:lineRule="auto"/>
              <w:ind w:firstLine="480"/>
              <w:rPr>
                <w:rFonts w:ascii="Times New Roman" w:hAnsi="Times New Roman" w:eastAsia="宋体" w:cs="Times New Roman"/>
                <w:bCs/>
                <w:color w:val="auto"/>
                <w:kern w:val="0"/>
                <w:sz w:val="24"/>
                <w:szCs w:val="24"/>
              </w:rPr>
            </w:pPr>
            <w:r>
              <w:rPr>
                <w:rFonts w:ascii="Times New Roman" w:hAnsi="Times New Roman" w:eastAsia="宋体" w:cs="Times New Roman"/>
                <w:bCs/>
                <w:color w:val="auto"/>
                <w:kern w:val="0"/>
                <w:sz w:val="24"/>
                <w:szCs w:val="24"/>
              </w:rPr>
              <w:t>（4）固化废气G4</w:t>
            </w:r>
          </w:p>
          <w:p>
            <w:pPr>
              <w:pStyle w:val="78"/>
              <w:adjustRightInd w:val="0"/>
              <w:snapToGrid w:val="0"/>
              <w:spacing w:line="360" w:lineRule="auto"/>
              <w:ind w:firstLine="480"/>
              <w:rPr>
                <w:rFonts w:ascii="Times New Roman" w:hAnsi="Times New Roman" w:eastAsia="宋体" w:cs="Times New Roman"/>
                <w:bCs/>
                <w:color w:val="auto"/>
                <w:kern w:val="0"/>
                <w:sz w:val="24"/>
                <w:szCs w:val="24"/>
              </w:rPr>
            </w:pPr>
            <w:r>
              <w:rPr>
                <w:rFonts w:ascii="Times New Roman" w:hAnsi="Times New Roman" w:eastAsia="宋体" w:cs="Times New Roman"/>
                <w:bCs/>
                <w:color w:val="auto"/>
                <w:kern w:val="0"/>
                <w:sz w:val="24"/>
                <w:szCs w:val="24"/>
              </w:rPr>
              <w:t>项目喷塑的塑粉为热固性树脂粉末在180℃条件下固化会产生有机废气，根据《排污源统计调查产污核算方法和系数手册》“33 金属制品业、34 通用设备制造业、35 专用设备制造业、36 汽车制造业、37 铁路、船舶、航空航天和其他运输 设备制造业、431 金属制品修理、432 通用设备修理、433 专用设备修理、434 铁路、船舶、航空航天等运输设备 修理（不包括电镀工艺）行业系数表”中，喷塑后烘干工序挥发性有机物产生量为1.2kg/吨-原料，</w:t>
            </w:r>
            <w:r>
              <w:rPr>
                <w:rFonts w:ascii="Times New Roman" w:hAnsi="Times New Roman" w:eastAsia="宋体" w:cs="Times New Roman"/>
                <w:bCs/>
                <w:color w:val="auto"/>
                <w:kern w:val="0"/>
                <w:sz w:val="24"/>
                <w:szCs w:val="24"/>
                <w:lang w:val="en-GB"/>
              </w:rPr>
              <w:t>由原辅材料消耗表可知，本项目塑粉的用量为</w:t>
            </w:r>
            <w:r>
              <w:rPr>
                <w:rFonts w:ascii="Times New Roman" w:hAnsi="Times New Roman" w:eastAsia="宋体" w:cs="Times New Roman"/>
                <w:bCs/>
                <w:color w:val="auto"/>
                <w:kern w:val="0"/>
                <w:sz w:val="24"/>
                <w:szCs w:val="24"/>
              </w:rPr>
              <w:t>100</w:t>
            </w:r>
            <w:r>
              <w:rPr>
                <w:rFonts w:ascii="Times New Roman" w:hAnsi="Times New Roman" w:eastAsia="宋体" w:cs="Times New Roman"/>
                <w:bCs/>
                <w:color w:val="auto"/>
                <w:kern w:val="0"/>
                <w:sz w:val="24"/>
                <w:szCs w:val="24"/>
                <w:lang w:val="en-GB"/>
              </w:rPr>
              <w:t>t/a</w:t>
            </w:r>
            <w:r>
              <w:rPr>
                <w:rFonts w:ascii="Times New Roman" w:hAnsi="Times New Roman" w:eastAsia="宋体" w:cs="Times New Roman"/>
                <w:bCs/>
                <w:color w:val="auto"/>
                <w:kern w:val="0"/>
                <w:sz w:val="24"/>
                <w:szCs w:val="24"/>
              </w:rPr>
              <w:t>，因此固化废气（非甲烷总烃）产生量为0.12t/a。本项目固化过程在密闭的固化间内进行，通过</w:t>
            </w:r>
            <w:r>
              <w:rPr>
                <w:rFonts w:hint="eastAsia" w:ascii="Times New Roman" w:hAnsi="Times New Roman" w:eastAsia="宋体" w:cs="Times New Roman"/>
                <w:bCs/>
                <w:color w:val="auto"/>
                <w:kern w:val="0"/>
                <w:sz w:val="24"/>
                <w:szCs w:val="24"/>
                <w:lang w:val="en-US" w:eastAsia="zh-CN"/>
              </w:rPr>
              <w:t>密闭管道</w:t>
            </w:r>
            <w:r>
              <w:rPr>
                <w:rFonts w:ascii="Times New Roman" w:hAnsi="Times New Roman" w:eastAsia="宋体" w:cs="Times New Roman"/>
                <w:bCs/>
                <w:color w:val="auto"/>
                <w:kern w:val="0"/>
                <w:sz w:val="24"/>
                <w:szCs w:val="24"/>
              </w:rPr>
              <w:t>收集后经1套二级活性炭吸附装置处理后，经15m高</w:t>
            </w:r>
            <w:r>
              <w:rPr>
                <w:rFonts w:hint="eastAsia" w:ascii="Times New Roman" w:hAnsi="Times New Roman" w:eastAsia="宋体" w:cs="Times New Roman"/>
                <w:bCs/>
                <w:color w:val="auto"/>
                <w:kern w:val="0"/>
                <w:sz w:val="24"/>
                <w:szCs w:val="24"/>
                <w:lang w:val="en-US" w:eastAsia="zh-CN"/>
              </w:rPr>
              <w:t>3</w:t>
            </w:r>
            <w:r>
              <w:rPr>
                <w:rFonts w:ascii="Times New Roman" w:hAnsi="Times New Roman" w:eastAsia="宋体" w:cs="Times New Roman"/>
                <w:bCs/>
                <w:color w:val="auto"/>
                <w:kern w:val="0"/>
                <w:sz w:val="24"/>
                <w:szCs w:val="24"/>
              </w:rPr>
              <w:t>#排气筒（DA00</w:t>
            </w:r>
            <w:r>
              <w:rPr>
                <w:rFonts w:hint="eastAsia" w:ascii="Times New Roman" w:hAnsi="Times New Roman" w:eastAsia="宋体" w:cs="Times New Roman"/>
                <w:bCs/>
                <w:color w:val="auto"/>
                <w:kern w:val="0"/>
                <w:sz w:val="24"/>
                <w:szCs w:val="24"/>
                <w:lang w:val="en-US" w:eastAsia="zh-CN"/>
              </w:rPr>
              <w:t>3</w:t>
            </w:r>
            <w:r>
              <w:rPr>
                <w:rFonts w:ascii="Times New Roman" w:hAnsi="Times New Roman" w:eastAsia="宋体" w:cs="Times New Roman"/>
                <w:bCs/>
                <w:color w:val="auto"/>
                <w:kern w:val="0"/>
                <w:sz w:val="24"/>
                <w:szCs w:val="24"/>
              </w:rPr>
              <w:t>）排放。固化废气收集效率按99%计，二级活性炭吸附装置总处理效率按90%计，风机总风量为5000m</w:t>
            </w:r>
            <w:r>
              <w:rPr>
                <w:rFonts w:ascii="Times New Roman" w:hAnsi="Times New Roman" w:eastAsia="宋体" w:cs="Times New Roman"/>
                <w:bCs/>
                <w:color w:val="auto"/>
                <w:kern w:val="0"/>
                <w:sz w:val="24"/>
                <w:szCs w:val="24"/>
                <w:vertAlign w:val="superscript"/>
              </w:rPr>
              <w:t>3</w:t>
            </w:r>
            <w:r>
              <w:rPr>
                <w:rFonts w:ascii="Times New Roman" w:hAnsi="Times New Roman" w:eastAsia="宋体" w:cs="Times New Roman"/>
                <w:bCs/>
                <w:color w:val="auto"/>
                <w:kern w:val="0"/>
                <w:sz w:val="24"/>
                <w:szCs w:val="24"/>
              </w:rPr>
              <w:t>/h。</w:t>
            </w:r>
          </w:p>
          <w:p>
            <w:pPr>
              <w:pStyle w:val="78"/>
              <w:adjustRightInd w:val="0"/>
              <w:snapToGrid w:val="0"/>
              <w:spacing w:line="360" w:lineRule="auto"/>
              <w:ind w:firstLine="480"/>
              <w:rPr>
                <w:rFonts w:ascii="Times New Roman" w:hAnsi="Times New Roman" w:eastAsia="宋体" w:cs="Times New Roman"/>
                <w:color w:val="auto"/>
                <w:sz w:val="24"/>
                <w:szCs w:val="20"/>
              </w:rPr>
            </w:pPr>
          </w:p>
          <w:p>
            <w:pPr>
              <w:tabs>
                <w:tab w:val="left" w:pos="2679"/>
              </w:tabs>
              <w:rPr>
                <w:rFonts w:ascii="Times New Roman" w:hAnsi="Times New Roman" w:eastAsia="宋体" w:cs="Times New Roman"/>
                <w:color w:val="auto"/>
                <w:szCs w:val="21"/>
              </w:rPr>
            </w:pPr>
          </w:p>
        </w:tc>
      </w:tr>
    </w:tbl>
    <w:p>
      <w:pPr>
        <w:rPr>
          <w:rFonts w:ascii="Times New Roman" w:hAnsi="Times New Roman" w:eastAsia="宋体" w:cs="Times New Roman"/>
        </w:rPr>
        <w:sectPr>
          <w:pgSz w:w="11906" w:h="16838"/>
          <w:pgMar w:top="1440" w:right="1797" w:bottom="1440" w:left="1797" w:header="851" w:footer="992" w:gutter="0"/>
          <w:pgBorders>
            <w:top w:val="none" w:sz="0" w:space="0"/>
            <w:left w:val="none" w:sz="0" w:space="0"/>
            <w:bottom w:val="none" w:sz="0" w:space="0"/>
            <w:right w:val="none" w:sz="0" w:space="0"/>
          </w:pgBorders>
          <w:cols w:space="425" w:num="1"/>
          <w:docGrid w:type="lines" w:linePitch="312" w:charSpace="0"/>
        </w:sectPr>
      </w:pPr>
    </w:p>
    <w:p>
      <w:pPr>
        <w:rPr>
          <w:rFonts w:ascii="Times New Roman" w:hAnsi="Times New Roman" w:eastAsia="宋体" w:cs="Times New Roman"/>
        </w:rPr>
        <w:sectPr>
          <w:type w:val="continuous"/>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tbl>
      <w:tblPr>
        <w:tblStyle w:val="1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1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0" w:hRule="atLeast"/>
        </w:trPr>
        <w:tc>
          <w:tcPr>
            <w:tcW w:w="14174" w:type="dxa"/>
          </w:tcPr>
          <w:p>
            <w:pPr>
              <w:spacing w:line="360" w:lineRule="auto"/>
              <w:ind w:firstLine="420" w:firstLineChars="200"/>
              <w:rPr>
                <w:rFonts w:ascii="Times New Roman" w:hAnsi="Times New Roman" w:eastAsia="宋体" w:cs="Times New Roman"/>
                <w:bCs/>
                <w:color w:val="auto"/>
                <w:sz w:val="24"/>
                <w:szCs w:val="28"/>
              </w:rPr>
            </w:pPr>
            <w:r>
              <w:rPr>
                <w:rFonts w:ascii="Times New Roman" w:hAnsi="Times New Roman" w:eastAsia="宋体" w:cs="Times New Roman"/>
                <w:color w:val="auto"/>
              </w:rPr>
              <w:tab/>
            </w:r>
            <w:r>
              <w:rPr>
                <w:rFonts w:ascii="Times New Roman" w:hAnsi="Times New Roman" w:eastAsia="宋体" w:cs="Times New Roman"/>
                <w:bCs/>
                <w:color w:val="auto"/>
                <w:sz w:val="24"/>
                <w:szCs w:val="28"/>
              </w:rPr>
              <w:t>本项目有组织废气排放情况见下表：</w:t>
            </w:r>
          </w:p>
          <w:p>
            <w:pPr>
              <w:adjustRightInd w:val="0"/>
              <w:spacing w:line="324" w:lineRule="auto"/>
              <w:jc w:val="center"/>
              <w:rPr>
                <w:rFonts w:ascii="Times New Roman" w:hAnsi="Times New Roman" w:eastAsia="黑体" w:cs="Times New Roman"/>
                <w:color w:val="auto"/>
                <w:sz w:val="24"/>
              </w:rPr>
            </w:pPr>
            <w:r>
              <w:rPr>
                <w:rFonts w:ascii="Times New Roman" w:hAnsi="Times New Roman" w:eastAsia="黑体" w:cs="Times New Roman"/>
                <w:color w:val="auto"/>
                <w:sz w:val="24"/>
              </w:rPr>
              <w:t>表4-</w:t>
            </w:r>
            <w:r>
              <w:rPr>
                <w:rFonts w:hint="eastAsia" w:ascii="Times New Roman" w:hAnsi="Times New Roman" w:eastAsia="黑体" w:cs="Times New Roman"/>
                <w:color w:val="auto"/>
                <w:sz w:val="24"/>
              </w:rPr>
              <w:t>3</w:t>
            </w:r>
            <w:r>
              <w:rPr>
                <w:rFonts w:ascii="Times New Roman" w:hAnsi="Times New Roman" w:eastAsia="黑体" w:cs="Times New Roman"/>
                <w:color w:val="auto"/>
                <w:sz w:val="24"/>
              </w:rPr>
              <w:t xml:space="preserve">  项目有组织废气产生和排放情况表</w:t>
            </w:r>
          </w:p>
          <w:tbl>
            <w:tblPr>
              <w:tblStyle w:val="17"/>
              <w:tblW w:w="5000" w:type="pct"/>
              <w:jc w:val="center"/>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Layout w:type="autofit"/>
              <w:tblCellMar>
                <w:top w:w="0" w:type="dxa"/>
                <w:left w:w="108" w:type="dxa"/>
                <w:bottom w:w="0" w:type="dxa"/>
                <w:right w:w="108" w:type="dxa"/>
              </w:tblCellMar>
            </w:tblPr>
            <w:tblGrid>
              <w:gridCol w:w="1120"/>
              <w:gridCol w:w="653"/>
              <w:gridCol w:w="580"/>
              <w:gridCol w:w="736"/>
              <w:gridCol w:w="736"/>
              <w:gridCol w:w="820"/>
              <w:gridCol w:w="622"/>
              <w:gridCol w:w="397"/>
              <w:gridCol w:w="572"/>
              <w:gridCol w:w="397"/>
              <w:gridCol w:w="546"/>
              <w:gridCol w:w="759"/>
              <w:gridCol w:w="714"/>
              <w:gridCol w:w="739"/>
              <w:gridCol w:w="717"/>
              <w:gridCol w:w="714"/>
              <w:gridCol w:w="558"/>
              <w:gridCol w:w="746"/>
              <w:gridCol w:w="398"/>
              <w:gridCol w:w="442"/>
              <w:gridCol w:w="593"/>
              <w:gridCol w:w="399"/>
            </w:tblGrid>
            <w:tr>
              <w:tblPrEx>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510" w:hRule="atLeast"/>
                <w:jc w:val="center"/>
              </w:trPr>
              <w:tc>
                <w:tcPr>
                  <w:tcW w:w="401" w:type="pct"/>
                  <w:vMerge w:val="restart"/>
                  <w:tcBorders>
                    <w:tl2br w:val="nil"/>
                    <w:tr2bl w:val="nil"/>
                  </w:tcBorders>
                  <w:shd w:val="clear" w:color="auto" w:fill="auto"/>
                  <w:noWrap/>
                  <w:vAlign w:val="center"/>
                </w:tcPr>
                <w:p>
                  <w:pPr>
                    <w:widowControl/>
                    <w:adjustRightInd w:val="0"/>
                    <w:snapToGrid w:val="0"/>
                    <w:jc w:val="center"/>
                    <w:textAlignment w:val="center"/>
                    <w:rPr>
                      <w:rFonts w:ascii="Times New Roman" w:hAnsi="Times New Roman" w:eastAsia="宋体" w:cs="Times New Roman"/>
                      <w:b/>
                      <w:bCs/>
                      <w:color w:val="auto"/>
                      <w:sz w:val="18"/>
                      <w:szCs w:val="18"/>
                    </w:rPr>
                  </w:pPr>
                  <w:r>
                    <w:rPr>
                      <w:rFonts w:ascii="Times New Roman" w:hAnsi="Times New Roman" w:eastAsia="宋体" w:cs="Times New Roman"/>
                      <w:b/>
                      <w:bCs/>
                      <w:color w:val="auto"/>
                      <w:kern w:val="0"/>
                      <w:sz w:val="18"/>
                      <w:szCs w:val="18"/>
                    </w:rPr>
                    <w:t>生产线名称</w:t>
                  </w:r>
                </w:p>
              </w:tc>
              <w:tc>
                <w:tcPr>
                  <w:tcW w:w="234" w:type="pct"/>
                  <w:vMerge w:val="restar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rPr>
                  </w:pPr>
                  <w:r>
                    <w:rPr>
                      <w:rFonts w:ascii="Times New Roman" w:hAnsi="Times New Roman" w:eastAsia="宋体" w:cs="Times New Roman"/>
                      <w:b/>
                      <w:bCs/>
                      <w:color w:val="auto"/>
                      <w:kern w:val="0"/>
                      <w:sz w:val="18"/>
                      <w:szCs w:val="18"/>
                    </w:rPr>
                    <w:t>废气工序</w:t>
                  </w:r>
                </w:p>
              </w:tc>
              <w:tc>
                <w:tcPr>
                  <w:tcW w:w="208" w:type="pct"/>
                  <w:vMerge w:val="restar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rPr>
                  </w:pPr>
                  <w:r>
                    <w:rPr>
                      <w:rFonts w:ascii="Times New Roman" w:hAnsi="Times New Roman" w:eastAsia="宋体" w:cs="Times New Roman"/>
                      <w:b/>
                      <w:bCs/>
                      <w:color w:val="auto"/>
                      <w:kern w:val="0"/>
                      <w:sz w:val="18"/>
                      <w:szCs w:val="18"/>
                    </w:rPr>
                    <w:t>废气编号</w:t>
                  </w:r>
                </w:p>
              </w:tc>
              <w:tc>
                <w:tcPr>
                  <w:tcW w:w="264" w:type="pct"/>
                  <w:vMerge w:val="restar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rPr>
                  </w:pPr>
                  <w:r>
                    <w:rPr>
                      <w:rFonts w:ascii="Times New Roman" w:hAnsi="Times New Roman" w:eastAsia="宋体" w:cs="Times New Roman"/>
                      <w:b/>
                      <w:bCs/>
                      <w:color w:val="auto"/>
                      <w:kern w:val="0"/>
                      <w:sz w:val="18"/>
                      <w:szCs w:val="18"/>
                    </w:rPr>
                    <w:t>污染物</w:t>
                  </w:r>
                </w:p>
              </w:tc>
              <w:tc>
                <w:tcPr>
                  <w:tcW w:w="781" w:type="pct"/>
                  <w:gridSpan w:val="3"/>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rPr>
                  </w:pPr>
                  <w:r>
                    <w:rPr>
                      <w:rFonts w:ascii="Times New Roman" w:hAnsi="Times New Roman" w:eastAsia="宋体" w:cs="Times New Roman"/>
                      <w:b/>
                      <w:bCs/>
                      <w:color w:val="auto"/>
                      <w:kern w:val="0"/>
                      <w:sz w:val="18"/>
                      <w:szCs w:val="18"/>
                    </w:rPr>
                    <w:t>污染物产生</w:t>
                  </w:r>
                </w:p>
              </w:tc>
              <w:tc>
                <w:tcPr>
                  <w:tcW w:w="347" w:type="pct"/>
                  <w:gridSpan w:val="2"/>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rPr>
                  </w:pPr>
                  <w:r>
                    <w:rPr>
                      <w:rFonts w:ascii="Times New Roman" w:hAnsi="Times New Roman" w:eastAsia="宋体" w:cs="Times New Roman"/>
                      <w:b/>
                      <w:bCs/>
                      <w:color w:val="auto"/>
                      <w:kern w:val="0"/>
                      <w:sz w:val="18"/>
                      <w:szCs w:val="18"/>
                    </w:rPr>
                    <w:t>收集</w:t>
                  </w:r>
                </w:p>
              </w:tc>
              <w:tc>
                <w:tcPr>
                  <w:tcW w:w="1386" w:type="pct"/>
                  <w:gridSpan w:val="6"/>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rPr>
                  </w:pPr>
                  <w:r>
                    <w:rPr>
                      <w:rFonts w:ascii="Times New Roman" w:hAnsi="Times New Roman" w:eastAsia="宋体" w:cs="Times New Roman"/>
                      <w:b/>
                      <w:bCs/>
                      <w:color w:val="auto"/>
                      <w:kern w:val="0"/>
                      <w:sz w:val="18"/>
                      <w:szCs w:val="18"/>
                    </w:rPr>
                    <w:t>污染物排放</w:t>
                  </w:r>
                </w:p>
              </w:tc>
              <w:tc>
                <w:tcPr>
                  <w:tcW w:w="455" w:type="pct"/>
                  <w:gridSpan w:val="2"/>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rPr>
                  </w:pPr>
                  <w:r>
                    <w:rPr>
                      <w:rFonts w:ascii="Times New Roman" w:hAnsi="Times New Roman" w:eastAsia="宋体" w:cs="Times New Roman"/>
                      <w:b/>
                      <w:bCs/>
                      <w:color w:val="auto"/>
                      <w:kern w:val="0"/>
                      <w:sz w:val="18"/>
                      <w:szCs w:val="18"/>
                    </w:rPr>
                    <w:t>排放限值</w:t>
                  </w:r>
                </w:p>
              </w:tc>
              <w:tc>
                <w:tcPr>
                  <w:tcW w:w="921" w:type="pct"/>
                  <w:gridSpan w:val="5"/>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rPr>
                  </w:pPr>
                  <w:r>
                    <w:rPr>
                      <w:rFonts w:ascii="Times New Roman" w:hAnsi="Times New Roman" w:eastAsia="宋体" w:cs="Times New Roman"/>
                      <w:b/>
                      <w:bCs/>
                      <w:color w:val="auto"/>
                      <w:kern w:val="0"/>
                      <w:sz w:val="18"/>
                      <w:szCs w:val="18"/>
                    </w:rPr>
                    <w:t>排放特征</w:t>
                  </w:r>
                </w:p>
              </w:tc>
            </w:tr>
            <w:tr>
              <w:tblPrEx>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510" w:hRule="atLeast"/>
                <w:jc w:val="center"/>
              </w:trPr>
              <w:tc>
                <w:tcPr>
                  <w:tcW w:w="401" w:type="pct"/>
                  <w:vMerge w:val="continue"/>
                  <w:tcBorders>
                    <w:tl2br w:val="nil"/>
                    <w:tr2bl w:val="nil"/>
                  </w:tcBorders>
                  <w:shd w:val="clear" w:color="auto" w:fill="auto"/>
                  <w:noWrap/>
                  <w:vAlign w:val="center"/>
                </w:tcPr>
                <w:p>
                  <w:pPr>
                    <w:widowControl/>
                    <w:adjustRightInd w:val="0"/>
                    <w:snapToGrid w:val="0"/>
                    <w:jc w:val="center"/>
                    <w:rPr>
                      <w:rFonts w:ascii="Times New Roman" w:hAnsi="Times New Roman" w:eastAsia="宋体" w:cs="Times New Roman"/>
                      <w:b/>
                      <w:bCs/>
                      <w:color w:val="auto"/>
                      <w:sz w:val="18"/>
                      <w:szCs w:val="18"/>
                    </w:rPr>
                  </w:pPr>
                </w:p>
              </w:tc>
              <w:tc>
                <w:tcPr>
                  <w:tcW w:w="234" w:type="pct"/>
                  <w:vMerge w:val="continue"/>
                  <w:tcBorders>
                    <w:tl2br w:val="nil"/>
                    <w:tr2bl w:val="nil"/>
                  </w:tcBorders>
                  <w:shd w:val="clear" w:color="auto" w:fill="auto"/>
                  <w:vAlign w:val="center"/>
                </w:tcPr>
                <w:p>
                  <w:pPr>
                    <w:widowControl/>
                    <w:adjustRightInd w:val="0"/>
                    <w:snapToGrid w:val="0"/>
                    <w:jc w:val="center"/>
                    <w:rPr>
                      <w:rFonts w:ascii="Times New Roman" w:hAnsi="Times New Roman" w:eastAsia="宋体" w:cs="Times New Roman"/>
                      <w:b/>
                      <w:bCs/>
                      <w:color w:val="auto"/>
                      <w:sz w:val="18"/>
                      <w:szCs w:val="18"/>
                    </w:rPr>
                  </w:pPr>
                </w:p>
              </w:tc>
              <w:tc>
                <w:tcPr>
                  <w:tcW w:w="208" w:type="pct"/>
                  <w:vMerge w:val="continue"/>
                  <w:tcBorders>
                    <w:tl2br w:val="nil"/>
                    <w:tr2bl w:val="nil"/>
                  </w:tcBorders>
                  <w:shd w:val="clear" w:color="auto" w:fill="auto"/>
                  <w:vAlign w:val="center"/>
                </w:tcPr>
                <w:p>
                  <w:pPr>
                    <w:widowControl/>
                    <w:adjustRightInd w:val="0"/>
                    <w:snapToGrid w:val="0"/>
                    <w:jc w:val="center"/>
                    <w:rPr>
                      <w:rFonts w:ascii="Times New Roman" w:hAnsi="Times New Roman" w:eastAsia="宋体" w:cs="Times New Roman"/>
                      <w:b/>
                      <w:bCs/>
                      <w:color w:val="auto"/>
                      <w:sz w:val="18"/>
                      <w:szCs w:val="18"/>
                    </w:rPr>
                  </w:pPr>
                </w:p>
              </w:tc>
              <w:tc>
                <w:tcPr>
                  <w:tcW w:w="264" w:type="pct"/>
                  <w:vMerge w:val="continue"/>
                  <w:tcBorders>
                    <w:tl2br w:val="nil"/>
                    <w:tr2bl w:val="nil"/>
                  </w:tcBorders>
                  <w:shd w:val="clear" w:color="auto" w:fill="auto"/>
                  <w:vAlign w:val="center"/>
                </w:tcPr>
                <w:p>
                  <w:pPr>
                    <w:widowControl/>
                    <w:adjustRightInd w:val="0"/>
                    <w:snapToGrid w:val="0"/>
                    <w:jc w:val="center"/>
                    <w:rPr>
                      <w:rFonts w:ascii="Times New Roman" w:hAnsi="Times New Roman" w:eastAsia="宋体" w:cs="Times New Roman"/>
                      <w:b/>
                      <w:bCs/>
                      <w:color w:val="auto"/>
                      <w:sz w:val="18"/>
                      <w:szCs w:val="18"/>
                    </w:rPr>
                  </w:pPr>
                </w:p>
              </w:tc>
              <w:tc>
                <w:tcPr>
                  <w:tcW w:w="264"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rPr>
                  </w:pPr>
                  <w:r>
                    <w:rPr>
                      <w:rFonts w:ascii="Times New Roman" w:hAnsi="Times New Roman" w:eastAsia="宋体" w:cs="Times New Roman"/>
                      <w:b/>
                      <w:bCs/>
                      <w:color w:val="auto"/>
                      <w:kern w:val="0"/>
                      <w:sz w:val="18"/>
                      <w:szCs w:val="18"/>
                    </w:rPr>
                    <w:t>产生浓度mg/m</w:t>
                  </w:r>
                  <w:r>
                    <w:rPr>
                      <w:rFonts w:ascii="Times New Roman" w:hAnsi="Times New Roman" w:eastAsia="宋体" w:cs="Times New Roman"/>
                      <w:b/>
                      <w:bCs/>
                      <w:color w:val="auto"/>
                      <w:kern w:val="0"/>
                      <w:sz w:val="18"/>
                      <w:szCs w:val="18"/>
                      <w:vertAlign w:val="superscript"/>
                    </w:rPr>
                    <w:t>3</w:t>
                  </w:r>
                </w:p>
              </w:tc>
              <w:tc>
                <w:tcPr>
                  <w:tcW w:w="294"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rPr>
                  </w:pPr>
                  <w:r>
                    <w:rPr>
                      <w:rFonts w:ascii="Times New Roman" w:hAnsi="Times New Roman" w:eastAsia="宋体" w:cs="Times New Roman"/>
                      <w:b/>
                      <w:bCs/>
                      <w:color w:val="auto"/>
                      <w:kern w:val="0"/>
                      <w:sz w:val="18"/>
                      <w:szCs w:val="18"/>
                    </w:rPr>
                    <w:t>产生速率kg/h</w:t>
                  </w:r>
                </w:p>
              </w:tc>
              <w:tc>
                <w:tcPr>
                  <w:tcW w:w="222"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rPr>
                  </w:pPr>
                  <w:r>
                    <w:rPr>
                      <w:rFonts w:ascii="Times New Roman" w:hAnsi="Times New Roman" w:eastAsia="宋体" w:cs="Times New Roman"/>
                      <w:b/>
                      <w:bCs/>
                      <w:color w:val="auto"/>
                      <w:kern w:val="0"/>
                      <w:sz w:val="18"/>
                      <w:szCs w:val="18"/>
                    </w:rPr>
                    <w:t>产生量t/a</w:t>
                  </w:r>
                </w:p>
              </w:tc>
              <w:tc>
                <w:tcPr>
                  <w:tcW w:w="142"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rPr>
                  </w:pPr>
                  <w:r>
                    <w:rPr>
                      <w:rFonts w:ascii="Times New Roman" w:hAnsi="Times New Roman" w:eastAsia="宋体" w:cs="Times New Roman"/>
                      <w:b/>
                      <w:bCs/>
                      <w:color w:val="auto"/>
                      <w:kern w:val="0"/>
                      <w:sz w:val="18"/>
                      <w:szCs w:val="18"/>
                    </w:rPr>
                    <w:t>收集方式</w:t>
                  </w:r>
                </w:p>
              </w:tc>
              <w:tc>
                <w:tcPr>
                  <w:tcW w:w="204"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rPr>
                  </w:pPr>
                  <w:r>
                    <w:rPr>
                      <w:rFonts w:ascii="Times New Roman" w:hAnsi="Times New Roman" w:eastAsia="宋体" w:cs="Times New Roman"/>
                      <w:b/>
                      <w:bCs/>
                      <w:color w:val="auto"/>
                      <w:kern w:val="0"/>
                      <w:sz w:val="18"/>
                      <w:szCs w:val="18"/>
                    </w:rPr>
                    <w:t>收集效率</w:t>
                  </w:r>
                </w:p>
              </w:tc>
              <w:tc>
                <w:tcPr>
                  <w:tcW w:w="142"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rPr>
                  </w:pPr>
                  <w:r>
                    <w:rPr>
                      <w:rFonts w:ascii="Times New Roman" w:hAnsi="Times New Roman" w:eastAsia="宋体" w:cs="Times New Roman"/>
                      <w:b/>
                      <w:bCs/>
                      <w:color w:val="auto"/>
                      <w:kern w:val="0"/>
                      <w:sz w:val="18"/>
                      <w:szCs w:val="18"/>
                    </w:rPr>
                    <w:t>治理措施</w:t>
                  </w:r>
                </w:p>
              </w:tc>
              <w:tc>
                <w:tcPr>
                  <w:tcW w:w="195"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rPr>
                  </w:pPr>
                  <w:r>
                    <w:rPr>
                      <w:rFonts w:ascii="Times New Roman" w:hAnsi="Times New Roman" w:eastAsia="宋体" w:cs="Times New Roman"/>
                      <w:b/>
                      <w:bCs/>
                      <w:color w:val="auto"/>
                      <w:kern w:val="0"/>
                      <w:sz w:val="18"/>
                      <w:szCs w:val="18"/>
                    </w:rPr>
                    <w:t>处理效率</w:t>
                  </w:r>
                </w:p>
              </w:tc>
              <w:tc>
                <w:tcPr>
                  <w:tcW w:w="272"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rPr>
                  </w:pPr>
                  <w:r>
                    <w:rPr>
                      <w:rFonts w:ascii="Times New Roman" w:hAnsi="Times New Roman" w:eastAsia="宋体" w:cs="Times New Roman"/>
                      <w:b/>
                      <w:bCs/>
                      <w:color w:val="auto"/>
                      <w:kern w:val="0"/>
                      <w:sz w:val="18"/>
                      <w:szCs w:val="18"/>
                    </w:rPr>
                    <w:t>排放废气量m</w:t>
                  </w:r>
                  <w:r>
                    <w:rPr>
                      <w:rFonts w:ascii="Times New Roman" w:hAnsi="Times New Roman" w:eastAsia="宋体" w:cs="Times New Roman"/>
                      <w:b/>
                      <w:bCs/>
                      <w:color w:val="auto"/>
                      <w:kern w:val="0"/>
                      <w:sz w:val="18"/>
                      <w:szCs w:val="18"/>
                      <w:vertAlign w:val="superscript"/>
                    </w:rPr>
                    <w:t>3</w:t>
                  </w:r>
                  <w:r>
                    <w:rPr>
                      <w:rFonts w:ascii="Times New Roman" w:hAnsi="Times New Roman" w:eastAsia="宋体" w:cs="Times New Roman"/>
                      <w:b/>
                      <w:bCs/>
                      <w:color w:val="auto"/>
                      <w:kern w:val="0"/>
                      <w:sz w:val="18"/>
                      <w:szCs w:val="18"/>
                    </w:rPr>
                    <w:t>/h</w:t>
                  </w:r>
                </w:p>
              </w:tc>
              <w:tc>
                <w:tcPr>
                  <w:tcW w:w="255"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rPr>
                  </w:pPr>
                  <w:r>
                    <w:rPr>
                      <w:rFonts w:ascii="Times New Roman" w:hAnsi="Times New Roman" w:eastAsia="宋体" w:cs="Times New Roman"/>
                      <w:b/>
                      <w:bCs/>
                      <w:color w:val="auto"/>
                      <w:kern w:val="0"/>
                      <w:sz w:val="18"/>
                      <w:szCs w:val="18"/>
                    </w:rPr>
                    <w:t>排放浓度mg/m</w:t>
                  </w:r>
                  <w:r>
                    <w:rPr>
                      <w:rFonts w:ascii="Times New Roman" w:hAnsi="Times New Roman" w:eastAsia="宋体" w:cs="Times New Roman"/>
                      <w:b/>
                      <w:bCs/>
                      <w:color w:val="auto"/>
                      <w:kern w:val="0"/>
                      <w:sz w:val="18"/>
                      <w:szCs w:val="18"/>
                      <w:vertAlign w:val="superscript"/>
                    </w:rPr>
                    <w:t>3</w:t>
                  </w:r>
                </w:p>
              </w:tc>
              <w:tc>
                <w:tcPr>
                  <w:tcW w:w="265"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rPr>
                  </w:pPr>
                  <w:r>
                    <w:rPr>
                      <w:rFonts w:ascii="Times New Roman" w:hAnsi="Times New Roman" w:eastAsia="宋体" w:cs="Times New Roman"/>
                      <w:b/>
                      <w:bCs/>
                      <w:color w:val="auto"/>
                      <w:kern w:val="0"/>
                      <w:sz w:val="18"/>
                      <w:szCs w:val="18"/>
                    </w:rPr>
                    <w:t>排放速率kg/h</w:t>
                  </w:r>
                </w:p>
              </w:tc>
              <w:tc>
                <w:tcPr>
                  <w:tcW w:w="254"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rPr>
                  </w:pPr>
                  <w:r>
                    <w:rPr>
                      <w:rFonts w:ascii="Times New Roman" w:hAnsi="Times New Roman" w:eastAsia="宋体" w:cs="Times New Roman"/>
                      <w:b/>
                      <w:bCs/>
                      <w:color w:val="auto"/>
                      <w:kern w:val="0"/>
                      <w:sz w:val="18"/>
                      <w:szCs w:val="18"/>
                    </w:rPr>
                    <w:t>排放量t/a</w:t>
                  </w:r>
                </w:p>
              </w:tc>
              <w:tc>
                <w:tcPr>
                  <w:tcW w:w="255"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rPr>
                  </w:pPr>
                  <w:r>
                    <w:rPr>
                      <w:rFonts w:ascii="Times New Roman" w:hAnsi="Times New Roman" w:eastAsia="宋体" w:cs="Times New Roman"/>
                      <w:b/>
                      <w:bCs/>
                      <w:color w:val="auto"/>
                      <w:kern w:val="0"/>
                      <w:sz w:val="18"/>
                      <w:szCs w:val="18"/>
                    </w:rPr>
                    <w:t>浓度限值mg/m</w:t>
                  </w:r>
                  <w:r>
                    <w:rPr>
                      <w:rFonts w:ascii="Times New Roman" w:hAnsi="Times New Roman" w:eastAsia="宋体" w:cs="Times New Roman"/>
                      <w:b/>
                      <w:bCs/>
                      <w:color w:val="auto"/>
                      <w:kern w:val="0"/>
                      <w:sz w:val="18"/>
                      <w:szCs w:val="18"/>
                      <w:vertAlign w:val="superscript"/>
                    </w:rPr>
                    <w:t>3</w:t>
                  </w:r>
                </w:p>
              </w:tc>
              <w:tc>
                <w:tcPr>
                  <w:tcW w:w="199"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rPr>
                  </w:pPr>
                  <w:r>
                    <w:rPr>
                      <w:rFonts w:ascii="Times New Roman" w:hAnsi="Times New Roman" w:eastAsia="宋体" w:cs="Times New Roman"/>
                      <w:b/>
                      <w:bCs/>
                      <w:color w:val="auto"/>
                      <w:kern w:val="0"/>
                      <w:sz w:val="18"/>
                      <w:szCs w:val="18"/>
                    </w:rPr>
                    <w:t>速率kg/h</w:t>
                  </w:r>
                </w:p>
              </w:tc>
              <w:tc>
                <w:tcPr>
                  <w:tcW w:w="267"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rPr>
                  </w:pPr>
                  <w:r>
                    <w:rPr>
                      <w:rFonts w:ascii="Times New Roman" w:hAnsi="Times New Roman" w:eastAsia="宋体" w:cs="Times New Roman"/>
                      <w:b/>
                      <w:bCs/>
                      <w:color w:val="auto"/>
                      <w:kern w:val="0"/>
                      <w:sz w:val="18"/>
                      <w:szCs w:val="18"/>
                    </w:rPr>
                    <w:t>排气筒编号</w:t>
                  </w:r>
                </w:p>
              </w:tc>
              <w:tc>
                <w:tcPr>
                  <w:tcW w:w="142"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rPr>
                  </w:pPr>
                  <w:r>
                    <w:rPr>
                      <w:rFonts w:ascii="Times New Roman" w:hAnsi="Times New Roman" w:eastAsia="宋体" w:cs="Times New Roman"/>
                      <w:b/>
                      <w:bCs/>
                      <w:color w:val="auto"/>
                      <w:kern w:val="0"/>
                      <w:sz w:val="18"/>
                      <w:szCs w:val="18"/>
                    </w:rPr>
                    <w:t>高度m</w:t>
                  </w:r>
                </w:p>
              </w:tc>
              <w:tc>
                <w:tcPr>
                  <w:tcW w:w="157"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rPr>
                  </w:pPr>
                  <w:r>
                    <w:rPr>
                      <w:rFonts w:ascii="Times New Roman" w:hAnsi="Times New Roman" w:eastAsia="宋体" w:cs="Times New Roman"/>
                      <w:b/>
                      <w:bCs/>
                      <w:color w:val="auto"/>
                      <w:kern w:val="0"/>
                      <w:sz w:val="18"/>
                      <w:szCs w:val="18"/>
                    </w:rPr>
                    <w:t>直径m</w:t>
                  </w:r>
                </w:p>
              </w:tc>
              <w:tc>
                <w:tcPr>
                  <w:tcW w:w="212"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rPr>
                  </w:pPr>
                  <w:r>
                    <w:rPr>
                      <w:rFonts w:ascii="Times New Roman" w:hAnsi="Times New Roman" w:eastAsia="宋体" w:cs="Times New Roman"/>
                      <w:b/>
                      <w:bCs/>
                      <w:color w:val="auto"/>
                      <w:kern w:val="0"/>
                      <w:sz w:val="18"/>
                      <w:szCs w:val="18"/>
                    </w:rPr>
                    <w:t>温度℃</w:t>
                  </w:r>
                </w:p>
              </w:tc>
              <w:tc>
                <w:tcPr>
                  <w:tcW w:w="142"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rPr>
                  </w:pPr>
                  <w:r>
                    <w:rPr>
                      <w:rFonts w:ascii="Times New Roman" w:hAnsi="Times New Roman" w:eastAsia="宋体" w:cs="Times New Roman"/>
                      <w:b/>
                      <w:bCs/>
                      <w:color w:val="auto"/>
                      <w:kern w:val="0"/>
                      <w:sz w:val="18"/>
                      <w:szCs w:val="18"/>
                    </w:rPr>
                    <w:t>排放方式</w:t>
                  </w:r>
                </w:p>
              </w:tc>
            </w:tr>
            <w:tr>
              <w:tblPrEx>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510" w:hRule="atLeast"/>
                <w:jc w:val="center"/>
              </w:trPr>
              <w:tc>
                <w:tcPr>
                  <w:tcW w:w="401" w:type="pct"/>
                  <w:vMerge w:val="restar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sz w:val="18"/>
                      <w:szCs w:val="18"/>
                    </w:rPr>
                    <w:t>自动售货机及智能垃圾分类箱生产线</w:t>
                  </w:r>
                </w:p>
              </w:tc>
              <w:tc>
                <w:tcPr>
                  <w:tcW w:w="234" w:type="pct"/>
                  <w:tcBorders>
                    <w:tl2br w:val="nil"/>
                    <w:tr2bl w:val="nil"/>
                  </w:tcBorders>
                  <w:shd w:val="clear" w:color="auto" w:fill="auto"/>
                  <w:vAlign w:val="center"/>
                </w:tcPr>
                <w:p>
                  <w:pPr>
                    <w:widowControl/>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切割</w:t>
                  </w:r>
                </w:p>
              </w:tc>
              <w:tc>
                <w:tcPr>
                  <w:tcW w:w="208" w:type="pct"/>
                  <w:tcBorders>
                    <w:tl2br w:val="nil"/>
                    <w:tr2bl w:val="nil"/>
                  </w:tcBorders>
                  <w:shd w:val="clear" w:color="auto" w:fill="auto"/>
                  <w:vAlign w:val="center"/>
                </w:tcPr>
                <w:p>
                  <w:pPr>
                    <w:widowControl/>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G1</w:t>
                  </w:r>
                </w:p>
              </w:tc>
              <w:tc>
                <w:tcPr>
                  <w:tcW w:w="264" w:type="pct"/>
                  <w:tcBorders>
                    <w:tl2br w:val="nil"/>
                    <w:tr2bl w:val="nil"/>
                  </w:tcBorders>
                  <w:shd w:val="clear" w:color="auto" w:fill="auto"/>
                  <w:vAlign w:val="center"/>
                </w:tcPr>
                <w:p>
                  <w:pPr>
                    <w:widowControl/>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颗粒物</w:t>
                  </w:r>
                </w:p>
              </w:tc>
              <w:tc>
                <w:tcPr>
                  <w:tcW w:w="264" w:type="pct"/>
                  <w:tcBorders>
                    <w:tl2br w:val="nil"/>
                    <w:tr2bl w:val="nil"/>
                  </w:tcBorders>
                  <w:shd w:val="clear" w:color="auto" w:fill="auto"/>
                  <w:noWrap/>
                  <w:vAlign w:val="center"/>
                </w:tcPr>
                <w:p>
                  <w:pPr>
                    <w:widowControl/>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 xml:space="preserve">45.833 </w:t>
                  </w:r>
                </w:p>
              </w:tc>
              <w:tc>
                <w:tcPr>
                  <w:tcW w:w="294" w:type="pct"/>
                  <w:tcBorders>
                    <w:tl2br w:val="nil"/>
                    <w:tr2bl w:val="nil"/>
                  </w:tcBorders>
                  <w:shd w:val="clear" w:color="auto" w:fill="auto"/>
                  <w:vAlign w:val="center"/>
                </w:tcPr>
                <w:p>
                  <w:pPr>
                    <w:widowControl/>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 xml:space="preserve">0.458 </w:t>
                  </w:r>
                </w:p>
              </w:tc>
              <w:tc>
                <w:tcPr>
                  <w:tcW w:w="222" w:type="pct"/>
                  <w:tcBorders>
                    <w:tl2br w:val="nil"/>
                    <w:tr2bl w:val="nil"/>
                  </w:tcBorders>
                  <w:shd w:val="clear" w:color="auto" w:fill="auto"/>
                  <w:vAlign w:val="center"/>
                </w:tcPr>
                <w:p>
                  <w:pPr>
                    <w:widowControl/>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1.1</w:t>
                  </w:r>
                </w:p>
              </w:tc>
              <w:tc>
                <w:tcPr>
                  <w:tcW w:w="142"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集气罩</w:t>
                  </w:r>
                </w:p>
              </w:tc>
              <w:tc>
                <w:tcPr>
                  <w:tcW w:w="204"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90%</w:t>
                  </w:r>
                </w:p>
              </w:tc>
              <w:tc>
                <w:tcPr>
                  <w:tcW w:w="142" w:type="pct"/>
                  <w:vMerge w:val="restar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kern w:val="0"/>
                      <w:sz w:val="18"/>
                      <w:szCs w:val="18"/>
                    </w:rPr>
                  </w:pPr>
                  <w:r>
                    <w:rPr>
                      <w:rFonts w:ascii="Times New Roman" w:hAnsi="Times New Roman" w:eastAsia="宋体" w:cs="Times New Roman"/>
                      <w:color w:val="auto"/>
                      <w:kern w:val="0"/>
                      <w:sz w:val="18"/>
                      <w:szCs w:val="18"/>
                    </w:rPr>
                    <w:t>袋式除尘</w:t>
                  </w:r>
                </w:p>
                <w:p>
                  <w:pPr>
                    <w:widowControl/>
                    <w:adjustRightInd w:val="0"/>
                    <w:snapToGrid w:val="0"/>
                    <w:jc w:val="center"/>
                    <w:textAlignment w:val="center"/>
                    <w:rPr>
                      <w:rFonts w:ascii="Times New Roman" w:hAnsi="Times New Roman" w:eastAsia="宋体" w:cs="Times New Roman"/>
                      <w:color w:val="auto"/>
                      <w:sz w:val="18"/>
                      <w:szCs w:val="18"/>
                    </w:rPr>
                  </w:pPr>
                </w:p>
              </w:tc>
              <w:tc>
                <w:tcPr>
                  <w:tcW w:w="195" w:type="pct"/>
                  <w:vMerge w:val="restar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99%</w:t>
                  </w:r>
                </w:p>
              </w:tc>
              <w:tc>
                <w:tcPr>
                  <w:tcW w:w="272" w:type="pct"/>
                  <w:vMerge w:val="restar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sz w:val="18"/>
                      <w:szCs w:val="18"/>
                    </w:rPr>
                    <w:t>10000</w:t>
                  </w:r>
                  <w:r>
                    <w:rPr>
                      <w:rFonts w:hint="eastAsia" w:ascii="宋体" w:hAnsi="宋体" w:eastAsia="宋体" w:cs="宋体"/>
                      <w:color w:val="auto"/>
                      <w:sz w:val="18"/>
                      <w:szCs w:val="18"/>
                      <w:vertAlign w:val="superscript"/>
                    </w:rPr>
                    <w:t>①</w:t>
                  </w:r>
                </w:p>
              </w:tc>
              <w:tc>
                <w:tcPr>
                  <w:tcW w:w="255" w:type="pct"/>
                  <w:vMerge w:val="restart"/>
                  <w:tcBorders>
                    <w:tl2br w:val="nil"/>
                    <w:tr2bl w:val="nil"/>
                  </w:tcBorders>
                  <w:shd w:val="clear" w:color="auto" w:fill="auto"/>
                  <w:vAlign w:val="center"/>
                </w:tcPr>
                <w:p>
                  <w:pPr>
                    <w:widowControl/>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 xml:space="preserve">0.489 </w:t>
                  </w:r>
                </w:p>
              </w:tc>
              <w:tc>
                <w:tcPr>
                  <w:tcW w:w="265" w:type="pct"/>
                  <w:vMerge w:val="restart"/>
                  <w:tcBorders>
                    <w:tl2br w:val="nil"/>
                    <w:tr2bl w:val="nil"/>
                  </w:tcBorders>
                  <w:shd w:val="clear" w:color="auto" w:fill="auto"/>
                  <w:vAlign w:val="center"/>
                </w:tcPr>
                <w:p>
                  <w:pPr>
                    <w:widowControl/>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 xml:space="preserve">0.005 </w:t>
                  </w:r>
                </w:p>
              </w:tc>
              <w:tc>
                <w:tcPr>
                  <w:tcW w:w="254" w:type="pct"/>
                  <w:vMerge w:val="restart"/>
                  <w:tcBorders>
                    <w:tl2br w:val="nil"/>
                    <w:tr2bl w:val="nil"/>
                  </w:tcBorders>
                  <w:shd w:val="clear" w:color="auto" w:fill="auto"/>
                  <w:vAlign w:val="center"/>
                </w:tcPr>
                <w:p>
                  <w:pPr>
                    <w:widowControl/>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 xml:space="preserve">0.012 </w:t>
                  </w:r>
                </w:p>
              </w:tc>
              <w:tc>
                <w:tcPr>
                  <w:tcW w:w="255" w:type="pct"/>
                  <w:vMerge w:val="restar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 xml:space="preserve">10 </w:t>
                  </w:r>
                </w:p>
              </w:tc>
              <w:tc>
                <w:tcPr>
                  <w:tcW w:w="199" w:type="pct"/>
                  <w:vMerge w:val="restar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w:t>
                  </w:r>
                </w:p>
              </w:tc>
              <w:tc>
                <w:tcPr>
                  <w:tcW w:w="267" w:type="pct"/>
                  <w:vMerge w:val="restar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DA001</w:t>
                  </w:r>
                </w:p>
              </w:tc>
              <w:tc>
                <w:tcPr>
                  <w:tcW w:w="142" w:type="pct"/>
                  <w:vMerge w:val="restar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15</w:t>
                  </w:r>
                </w:p>
              </w:tc>
              <w:tc>
                <w:tcPr>
                  <w:tcW w:w="157" w:type="pct"/>
                  <w:vMerge w:val="restart"/>
                  <w:tcBorders>
                    <w:tl2br w:val="nil"/>
                    <w:tr2bl w:val="nil"/>
                  </w:tcBorders>
                  <w:shd w:val="clear" w:color="auto" w:fill="auto"/>
                  <w:vAlign w:val="center"/>
                </w:tcPr>
                <w:p>
                  <w:pPr>
                    <w:widowControl/>
                    <w:adjustRightInd w:val="0"/>
                    <w:snapToGrid w:val="0"/>
                    <w:jc w:val="center"/>
                    <w:textAlignment w:val="center"/>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kern w:val="0"/>
                      <w:sz w:val="18"/>
                      <w:szCs w:val="18"/>
                      <w:lang w:val="en-US" w:eastAsia="zh-CN"/>
                    </w:rPr>
                    <w:t>0.5</w:t>
                  </w:r>
                </w:p>
              </w:tc>
              <w:tc>
                <w:tcPr>
                  <w:tcW w:w="212" w:type="pct"/>
                  <w:vMerge w:val="restar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25</w:t>
                  </w:r>
                </w:p>
              </w:tc>
              <w:tc>
                <w:tcPr>
                  <w:tcW w:w="142" w:type="pct"/>
                  <w:vMerge w:val="restar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连续</w:t>
                  </w:r>
                </w:p>
              </w:tc>
            </w:tr>
            <w:tr>
              <w:tblPrEx>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510" w:hRule="atLeast"/>
                <w:jc w:val="center"/>
              </w:trPr>
              <w:tc>
                <w:tcPr>
                  <w:tcW w:w="401" w:type="pct"/>
                  <w:vMerge w:val="continue"/>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p>
              </w:tc>
              <w:tc>
                <w:tcPr>
                  <w:tcW w:w="234" w:type="pct"/>
                  <w:tcBorders>
                    <w:tl2br w:val="nil"/>
                    <w:tr2bl w:val="nil"/>
                  </w:tcBorders>
                  <w:shd w:val="clear" w:color="auto" w:fill="auto"/>
                  <w:vAlign w:val="center"/>
                </w:tcPr>
                <w:p>
                  <w:pPr>
                    <w:widowControl/>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焊接</w:t>
                  </w:r>
                </w:p>
              </w:tc>
              <w:tc>
                <w:tcPr>
                  <w:tcW w:w="208" w:type="pct"/>
                  <w:tcBorders>
                    <w:tl2br w:val="nil"/>
                    <w:tr2bl w:val="nil"/>
                  </w:tcBorders>
                  <w:shd w:val="clear" w:color="auto" w:fill="auto"/>
                  <w:vAlign w:val="center"/>
                </w:tcPr>
                <w:p>
                  <w:pPr>
                    <w:widowControl/>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G2</w:t>
                  </w:r>
                </w:p>
              </w:tc>
              <w:tc>
                <w:tcPr>
                  <w:tcW w:w="264" w:type="pct"/>
                  <w:tcBorders>
                    <w:tl2br w:val="nil"/>
                    <w:tr2bl w:val="nil"/>
                  </w:tcBorders>
                  <w:shd w:val="clear" w:color="auto" w:fill="auto"/>
                  <w:vAlign w:val="center"/>
                </w:tcPr>
                <w:p>
                  <w:pPr>
                    <w:widowControl/>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颗粒物</w:t>
                  </w:r>
                </w:p>
              </w:tc>
              <w:tc>
                <w:tcPr>
                  <w:tcW w:w="264" w:type="pct"/>
                  <w:tcBorders>
                    <w:tl2br w:val="nil"/>
                    <w:tr2bl w:val="nil"/>
                  </w:tcBorders>
                  <w:shd w:val="clear" w:color="auto" w:fill="auto"/>
                  <w:noWrap/>
                  <w:vAlign w:val="center"/>
                </w:tcPr>
                <w:p>
                  <w:pPr>
                    <w:widowControl/>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 xml:space="preserve">8.542 </w:t>
                  </w:r>
                </w:p>
              </w:tc>
              <w:tc>
                <w:tcPr>
                  <w:tcW w:w="294" w:type="pct"/>
                  <w:tcBorders>
                    <w:tl2br w:val="nil"/>
                    <w:tr2bl w:val="nil"/>
                  </w:tcBorders>
                  <w:shd w:val="clear" w:color="auto" w:fill="auto"/>
                  <w:vAlign w:val="center"/>
                </w:tcPr>
                <w:p>
                  <w:pPr>
                    <w:widowControl/>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 xml:space="preserve">0.085 </w:t>
                  </w:r>
                </w:p>
              </w:tc>
              <w:tc>
                <w:tcPr>
                  <w:tcW w:w="222" w:type="pct"/>
                  <w:tcBorders>
                    <w:tl2br w:val="nil"/>
                    <w:tr2bl w:val="nil"/>
                  </w:tcBorders>
                  <w:shd w:val="clear" w:color="auto" w:fill="auto"/>
                  <w:vAlign w:val="center"/>
                </w:tcPr>
                <w:p>
                  <w:pPr>
                    <w:widowControl/>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 xml:space="preserve">0.205 </w:t>
                  </w:r>
                </w:p>
              </w:tc>
              <w:tc>
                <w:tcPr>
                  <w:tcW w:w="142"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集气罩</w:t>
                  </w:r>
                </w:p>
              </w:tc>
              <w:tc>
                <w:tcPr>
                  <w:tcW w:w="204"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90%</w:t>
                  </w:r>
                </w:p>
              </w:tc>
              <w:tc>
                <w:tcPr>
                  <w:tcW w:w="142" w:type="pct"/>
                  <w:vMerge w:val="continue"/>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p>
              </w:tc>
              <w:tc>
                <w:tcPr>
                  <w:tcW w:w="195" w:type="pct"/>
                  <w:vMerge w:val="continue"/>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p>
              </w:tc>
              <w:tc>
                <w:tcPr>
                  <w:tcW w:w="272" w:type="pct"/>
                  <w:vMerge w:val="continue"/>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p>
              </w:tc>
              <w:tc>
                <w:tcPr>
                  <w:tcW w:w="255" w:type="pct"/>
                  <w:vMerge w:val="continue"/>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p>
              </w:tc>
              <w:tc>
                <w:tcPr>
                  <w:tcW w:w="265" w:type="pct"/>
                  <w:vMerge w:val="continue"/>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p>
              </w:tc>
              <w:tc>
                <w:tcPr>
                  <w:tcW w:w="254" w:type="pct"/>
                  <w:vMerge w:val="continue"/>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p>
              </w:tc>
              <w:tc>
                <w:tcPr>
                  <w:tcW w:w="255" w:type="pct"/>
                  <w:vMerge w:val="continue"/>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p>
              </w:tc>
              <w:tc>
                <w:tcPr>
                  <w:tcW w:w="199" w:type="pct"/>
                  <w:vMerge w:val="continue"/>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p>
              </w:tc>
              <w:tc>
                <w:tcPr>
                  <w:tcW w:w="267" w:type="pct"/>
                  <w:vMerge w:val="continue"/>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p>
              </w:tc>
              <w:tc>
                <w:tcPr>
                  <w:tcW w:w="142" w:type="pct"/>
                  <w:vMerge w:val="continue"/>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p>
              </w:tc>
              <w:tc>
                <w:tcPr>
                  <w:tcW w:w="157" w:type="pct"/>
                  <w:vMerge w:val="continue"/>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p>
              </w:tc>
              <w:tc>
                <w:tcPr>
                  <w:tcW w:w="212" w:type="pct"/>
                  <w:vMerge w:val="continue"/>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p>
              </w:tc>
              <w:tc>
                <w:tcPr>
                  <w:tcW w:w="142" w:type="pct"/>
                  <w:vMerge w:val="continue"/>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p>
              </w:tc>
            </w:tr>
            <w:tr>
              <w:tblPrEx>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510" w:hRule="atLeast"/>
                <w:jc w:val="center"/>
              </w:trPr>
              <w:tc>
                <w:tcPr>
                  <w:tcW w:w="401" w:type="pct"/>
                  <w:vMerge w:val="continue"/>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p>
              </w:tc>
              <w:tc>
                <w:tcPr>
                  <w:tcW w:w="234" w:type="pct"/>
                  <w:tcBorders>
                    <w:tl2br w:val="nil"/>
                    <w:tr2bl w:val="nil"/>
                  </w:tcBorders>
                  <w:shd w:val="clear" w:color="auto" w:fill="auto"/>
                  <w:vAlign w:val="center"/>
                </w:tcPr>
                <w:p>
                  <w:pPr>
                    <w:widowControl/>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固化</w:t>
                  </w:r>
                </w:p>
              </w:tc>
              <w:tc>
                <w:tcPr>
                  <w:tcW w:w="208" w:type="pct"/>
                  <w:tcBorders>
                    <w:tl2br w:val="nil"/>
                    <w:tr2bl w:val="nil"/>
                  </w:tcBorders>
                  <w:shd w:val="clear" w:color="auto" w:fill="auto"/>
                  <w:vAlign w:val="center"/>
                </w:tcPr>
                <w:p>
                  <w:pPr>
                    <w:widowControl/>
                    <w:jc w:val="center"/>
                    <w:textAlignment w:val="center"/>
                    <w:rPr>
                      <w:rFonts w:hint="eastAsia" w:ascii="Times New Roman" w:hAnsi="Times New Roman" w:eastAsia="宋体" w:cs="Times New Roman"/>
                      <w:color w:val="auto"/>
                      <w:sz w:val="18"/>
                      <w:szCs w:val="18"/>
                      <w:lang w:eastAsia="zh-CN"/>
                    </w:rPr>
                  </w:pPr>
                  <w:r>
                    <w:rPr>
                      <w:rFonts w:ascii="Times New Roman" w:hAnsi="Times New Roman" w:eastAsia="宋体" w:cs="Times New Roman"/>
                      <w:color w:val="auto"/>
                      <w:kern w:val="0"/>
                      <w:sz w:val="18"/>
                      <w:szCs w:val="18"/>
                    </w:rPr>
                    <w:t>G</w:t>
                  </w:r>
                  <w:r>
                    <w:rPr>
                      <w:rFonts w:hint="eastAsia" w:ascii="Times New Roman" w:hAnsi="Times New Roman" w:eastAsia="宋体" w:cs="Times New Roman"/>
                      <w:color w:val="auto"/>
                      <w:kern w:val="0"/>
                      <w:sz w:val="18"/>
                      <w:szCs w:val="18"/>
                      <w:lang w:val="en-US" w:eastAsia="zh-CN"/>
                    </w:rPr>
                    <w:t>3</w:t>
                  </w:r>
                </w:p>
              </w:tc>
              <w:tc>
                <w:tcPr>
                  <w:tcW w:w="264" w:type="pct"/>
                  <w:tcBorders>
                    <w:tl2br w:val="nil"/>
                    <w:tr2bl w:val="nil"/>
                  </w:tcBorders>
                  <w:shd w:val="clear" w:color="auto" w:fill="auto"/>
                  <w:vAlign w:val="center"/>
                </w:tcPr>
                <w:p>
                  <w:pPr>
                    <w:widowControl/>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非甲烷总烃</w:t>
                  </w:r>
                </w:p>
              </w:tc>
              <w:tc>
                <w:tcPr>
                  <w:tcW w:w="264" w:type="pct"/>
                  <w:tcBorders>
                    <w:tl2br w:val="nil"/>
                    <w:tr2bl w:val="nil"/>
                  </w:tcBorders>
                  <w:shd w:val="clear" w:color="auto" w:fill="auto"/>
                  <w:noWrap/>
                  <w:vAlign w:val="center"/>
                </w:tcPr>
                <w:p>
                  <w:pPr>
                    <w:widowControl/>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5</w:t>
                  </w:r>
                </w:p>
              </w:tc>
              <w:tc>
                <w:tcPr>
                  <w:tcW w:w="294" w:type="pct"/>
                  <w:tcBorders>
                    <w:tl2br w:val="nil"/>
                    <w:tr2bl w:val="nil"/>
                  </w:tcBorders>
                  <w:shd w:val="clear" w:color="auto" w:fill="auto"/>
                  <w:vAlign w:val="center"/>
                </w:tcPr>
                <w:p>
                  <w:pPr>
                    <w:widowControl/>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0.05</w:t>
                  </w:r>
                </w:p>
              </w:tc>
              <w:tc>
                <w:tcPr>
                  <w:tcW w:w="222" w:type="pct"/>
                  <w:tcBorders>
                    <w:tl2br w:val="nil"/>
                    <w:tr2bl w:val="nil"/>
                  </w:tcBorders>
                  <w:shd w:val="clear" w:color="auto" w:fill="auto"/>
                  <w:vAlign w:val="center"/>
                </w:tcPr>
                <w:p>
                  <w:pPr>
                    <w:widowControl/>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0.12</w:t>
                  </w:r>
                </w:p>
              </w:tc>
              <w:tc>
                <w:tcPr>
                  <w:tcW w:w="142"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密闭管道</w:t>
                  </w:r>
                </w:p>
              </w:tc>
              <w:tc>
                <w:tcPr>
                  <w:tcW w:w="204"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r>
                    <w:rPr>
                      <w:rFonts w:hint="eastAsia" w:ascii="Times New Roman" w:hAnsi="Times New Roman" w:eastAsia="宋体" w:cs="Times New Roman"/>
                      <w:color w:val="auto"/>
                      <w:kern w:val="0"/>
                      <w:sz w:val="18"/>
                      <w:szCs w:val="18"/>
                      <w:lang w:val="en-US" w:eastAsia="zh-CN"/>
                    </w:rPr>
                    <w:t>99</w:t>
                  </w:r>
                  <w:r>
                    <w:rPr>
                      <w:rFonts w:ascii="Times New Roman" w:hAnsi="Times New Roman" w:eastAsia="宋体" w:cs="Times New Roman"/>
                      <w:color w:val="auto"/>
                      <w:kern w:val="0"/>
                      <w:sz w:val="18"/>
                      <w:szCs w:val="18"/>
                    </w:rPr>
                    <w:t>%</w:t>
                  </w:r>
                </w:p>
              </w:tc>
              <w:tc>
                <w:tcPr>
                  <w:tcW w:w="142"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二级活性炭吸附</w:t>
                  </w:r>
                </w:p>
              </w:tc>
              <w:tc>
                <w:tcPr>
                  <w:tcW w:w="195"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99%</w:t>
                  </w:r>
                </w:p>
              </w:tc>
              <w:tc>
                <w:tcPr>
                  <w:tcW w:w="272"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5000</w:t>
                  </w:r>
                  <w:r>
                    <w:rPr>
                      <w:rFonts w:hint="eastAsia" w:ascii="宋体" w:hAnsi="宋体" w:eastAsia="宋体" w:cs="宋体"/>
                      <w:color w:val="auto"/>
                      <w:sz w:val="18"/>
                      <w:szCs w:val="18"/>
                      <w:vertAlign w:val="superscript"/>
                    </w:rPr>
                    <w:t>②</w:t>
                  </w:r>
                </w:p>
              </w:tc>
              <w:tc>
                <w:tcPr>
                  <w:tcW w:w="255" w:type="pct"/>
                  <w:tcBorders>
                    <w:tl2br w:val="nil"/>
                    <w:tr2bl w:val="nil"/>
                  </w:tcBorders>
                  <w:shd w:val="clear" w:color="auto" w:fill="auto"/>
                  <w:vAlign w:val="center"/>
                </w:tcPr>
                <w:p>
                  <w:pPr>
                    <w:widowControl/>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 xml:space="preserve">0.1 </w:t>
                  </w:r>
                </w:p>
              </w:tc>
              <w:tc>
                <w:tcPr>
                  <w:tcW w:w="265" w:type="pct"/>
                  <w:tcBorders>
                    <w:tl2br w:val="nil"/>
                    <w:tr2bl w:val="nil"/>
                  </w:tcBorders>
                  <w:shd w:val="clear" w:color="auto" w:fill="auto"/>
                  <w:vAlign w:val="center"/>
                </w:tcPr>
                <w:p>
                  <w:pPr>
                    <w:widowControl/>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 xml:space="preserve">0.0005 </w:t>
                  </w:r>
                </w:p>
              </w:tc>
              <w:tc>
                <w:tcPr>
                  <w:tcW w:w="254" w:type="pct"/>
                  <w:tcBorders>
                    <w:tl2br w:val="nil"/>
                    <w:tr2bl w:val="nil"/>
                  </w:tcBorders>
                  <w:shd w:val="clear" w:color="auto" w:fill="auto"/>
                  <w:vAlign w:val="center"/>
                </w:tcPr>
                <w:p>
                  <w:pPr>
                    <w:widowControl/>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 xml:space="preserve">0.0012 </w:t>
                  </w:r>
                </w:p>
              </w:tc>
              <w:tc>
                <w:tcPr>
                  <w:tcW w:w="255"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 xml:space="preserve">10 </w:t>
                  </w:r>
                </w:p>
              </w:tc>
              <w:tc>
                <w:tcPr>
                  <w:tcW w:w="199"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w:t>
                  </w:r>
                </w:p>
              </w:tc>
              <w:tc>
                <w:tcPr>
                  <w:tcW w:w="267"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DA002</w:t>
                  </w:r>
                </w:p>
              </w:tc>
              <w:tc>
                <w:tcPr>
                  <w:tcW w:w="142"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15</w:t>
                  </w:r>
                </w:p>
              </w:tc>
              <w:tc>
                <w:tcPr>
                  <w:tcW w:w="157"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0.</w:t>
                  </w:r>
                  <w:r>
                    <w:rPr>
                      <w:rFonts w:hint="eastAsia" w:ascii="Times New Roman" w:hAnsi="Times New Roman" w:eastAsia="宋体" w:cs="Times New Roman"/>
                      <w:color w:val="auto"/>
                      <w:kern w:val="0"/>
                      <w:sz w:val="18"/>
                      <w:szCs w:val="18"/>
                      <w:lang w:val="en-US" w:eastAsia="zh-CN"/>
                    </w:rPr>
                    <w:t>4</w:t>
                  </w:r>
                  <w:r>
                    <w:rPr>
                      <w:rFonts w:ascii="Times New Roman" w:hAnsi="Times New Roman" w:eastAsia="宋体" w:cs="Times New Roman"/>
                      <w:color w:val="auto"/>
                      <w:kern w:val="0"/>
                      <w:sz w:val="18"/>
                      <w:szCs w:val="18"/>
                    </w:rPr>
                    <w:t xml:space="preserve"> </w:t>
                  </w:r>
                </w:p>
              </w:tc>
              <w:tc>
                <w:tcPr>
                  <w:tcW w:w="212"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25</w:t>
                  </w:r>
                </w:p>
              </w:tc>
              <w:tc>
                <w:tcPr>
                  <w:tcW w:w="142"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rPr>
                  </w:pPr>
                  <w:r>
                    <w:rPr>
                      <w:rFonts w:ascii="Times New Roman" w:hAnsi="Times New Roman" w:eastAsia="宋体" w:cs="Times New Roman"/>
                      <w:color w:val="auto"/>
                      <w:kern w:val="0"/>
                      <w:sz w:val="18"/>
                      <w:szCs w:val="18"/>
                    </w:rPr>
                    <w:t>连续</w:t>
                  </w:r>
                </w:p>
              </w:tc>
            </w:tr>
          </w:tbl>
          <w:p>
            <w:pPr>
              <w:snapToGrid w:val="0"/>
              <w:spacing w:line="276" w:lineRule="auto"/>
              <w:ind w:firstLine="360" w:firstLineChars="200"/>
              <w:rPr>
                <w:rFonts w:ascii="Times New Roman" w:hAnsi="Times New Roman" w:eastAsia="宋体" w:cs="Times New Roman"/>
                <w:color w:val="auto"/>
                <w:sz w:val="18"/>
                <w:szCs w:val="18"/>
              </w:rPr>
            </w:pPr>
            <w:r>
              <w:rPr>
                <w:rFonts w:ascii="Times New Roman" w:hAnsi="Times New Roman" w:eastAsia="宋体" w:cs="Times New Roman"/>
                <w:color w:val="auto"/>
                <w:sz w:val="18"/>
                <w:szCs w:val="18"/>
              </w:rPr>
              <w:t>注：</w:t>
            </w:r>
            <w:r>
              <w:rPr>
                <w:rFonts w:hint="eastAsia" w:ascii="宋体" w:hAnsi="宋体" w:eastAsia="宋体" w:cs="宋体"/>
                <w:color w:val="auto"/>
                <w:sz w:val="18"/>
                <w:szCs w:val="18"/>
              </w:rPr>
              <w:t>①</w:t>
            </w:r>
            <w:r>
              <w:rPr>
                <w:rFonts w:ascii="Times New Roman" w:hAnsi="Times New Roman" w:eastAsia="宋体" w:cs="Times New Roman"/>
                <w:color w:val="auto"/>
                <w:sz w:val="18"/>
                <w:szCs w:val="18"/>
              </w:rPr>
              <w:t>根据设计单位提供资料，切割和焊接工位控制风速Vx=1m/s，切割上方1个集气罩罩口尺寸为0.3m×0.3m，焊接工位上方5个集气罩每个罩口尺寸为0.25m×0.25m，罩口距离废气出口高度为H= 0.3m，根据集风系统风量估算公式：Q=K（a+b）×h×V</w:t>
            </w:r>
            <w:r>
              <w:rPr>
                <w:rFonts w:ascii="Times New Roman" w:hAnsi="Times New Roman" w:eastAsia="宋体" w:cs="Times New Roman"/>
                <w:color w:val="auto"/>
                <w:sz w:val="18"/>
                <w:szCs w:val="18"/>
                <w:vertAlign w:val="subscript"/>
              </w:rPr>
              <w:t>0</w:t>
            </w:r>
            <w:r>
              <w:rPr>
                <w:rFonts w:ascii="Times New Roman" w:hAnsi="Times New Roman" w:eastAsia="宋体" w:cs="Times New Roman"/>
                <w:color w:val="auto"/>
                <w:sz w:val="18"/>
                <w:szCs w:val="18"/>
              </w:rPr>
              <w:t>×3600，其中：K：为安全系数，取1.4；（a+b）：为集气罩周长，单位为m；H：为罩口至污染源的距离，单位为m；V</w:t>
            </w:r>
            <w:r>
              <w:rPr>
                <w:rFonts w:ascii="Times New Roman" w:hAnsi="Times New Roman" w:eastAsia="宋体" w:cs="Times New Roman"/>
                <w:color w:val="auto"/>
                <w:sz w:val="18"/>
                <w:szCs w:val="18"/>
                <w:vertAlign w:val="subscript"/>
              </w:rPr>
              <w:t>O</w:t>
            </w:r>
            <w:r>
              <w:rPr>
                <w:rFonts w:ascii="Times New Roman" w:hAnsi="Times New Roman" w:eastAsia="宋体" w:cs="Times New Roman"/>
                <w:color w:val="auto"/>
                <w:sz w:val="18"/>
                <w:szCs w:val="18"/>
              </w:rPr>
              <w:t>：为污染源气体流速，本项目取1。</w:t>
            </w:r>
          </w:p>
          <w:p>
            <w:pPr>
              <w:snapToGrid w:val="0"/>
              <w:spacing w:line="276" w:lineRule="auto"/>
              <w:ind w:firstLine="360" w:firstLineChars="200"/>
              <w:rPr>
                <w:rFonts w:ascii="Times New Roman" w:hAnsi="Times New Roman" w:eastAsia="宋体" w:cs="Times New Roman"/>
                <w:color w:val="auto"/>
                <w:sz w:val="18"/>
                <w:szCs w:val="18"/>
              </w:rPr>
            </w:pPr>
            <w:r>
              <w:rPr>
                <w:rFonts w:ascii="Times New Roman" w:hAnsi="Times New Roman" w:eastAsia="宋体" w:cs="Times New Roman"/>
                <w:color w:val="auto"/>
                <w:sz w:val="18"/>
                <w:szCs w:val="18"/>
              </w:rPr>
              <w:t>计算得顶吸风风量约为9374.4m</w:t>
            </w:r>
            <w:r>
              <w:rPr>
                <w:rFonts w:ascii="Times New Roman" w:hAnsi="Times New Roman" w:eastAsia="宋体" w:cs="Times New Roman"/>
                <w:color w:val="auto"/>
                <w:sz w:val="18"/>
                <w:szCs w:val="18"/>
                <w:vertAlign w:val="superscript"/>
              </w:rPr>
              <w:t>3</w:t>
            </w:r>
            <w:r>
              <w:rPr>
                <w:rFonts w:ascii="Times New Roman" w:hAnsi="Times New Roman" w:eastAsia="宋体" w:cs="Times New Roman"/>
                <w:color w:val="auto"/>
                <w:sz w:val="18"/>
                <w:szCs w:val="18"/>
              </w:rPr>
              <w:t>/h，本项目1#排气筒风量为10000m³/h。</w:t>
            </w:r>
          </w:p>
          <w:p>
            <w:pPr>
              <w:snapToGrid w:val="0"/>
              <w:spacing w:line="276" w:lineRule="auto"/>
              <w:ind w:firstLine="360" w:firstLineChars="200"/>
              <w:rPr>
                <w:rFonts w:ascii="Times New Roman" w:hAnsi="Times New Roman" w:eastAsia="宋体" w:cs="Times New Roman"/>
                <w:color w:val="auto"/>
                <w:sz w:val="18"/>
                <w:szCs w:val="18"/>
              </w:rPr>
            </w:pPr>
            <w:r>
              <w:rPr>
                <w:rFonts w:hint="eastAsia" w:ascii="宋体" w:hAnsi="宋体" w:eastAsia="宋体" w:cs="宋体"/>
                <w:color w:val="auto"/>
                <w:sz w:val="18"/>
                <w:szCs w:val="18"/>
              </w:rPr>
              <w:t>②</w:t>
            </w:r>
            <w:r>
              <w:rPr>
                <w:rFonts w:ascii="Times New Roman" w:hAnsi="Times New Roman" w:eastAsia="宋体" w:cs="Times New Roman"/>
                <w:color w:val="auto"/>
                <w:sz w:val="18"/>
                <w:szCs w:val="18"/>
              </w:rPr>
              <w:t>根据设计单位提供资料</w:t>
            </w:r>
          </w:p>
          <w:p>
            <w:pPr>
              <w:spacing w:line="460" w:lineRule="exact"/>
              <w:jc w:val="center"/>
              <w:rPr>
                <w:rFonts w:hint="eastAsia" w:eastAsia="黑体"/>
                <w:color w:val="auto"/>
                <w:szCs w:val="21"/>
              </w:rPr>
            </w:pPr>
            <w:r>
              <w:rPr>
                <w:rFonts w:hint="eastAsia" w:eastAsia="黑体"/>
                <w:color w:val="auto"/>
                <w:szCs w:val="21"/>
              </w:rPr>
              <w:t>表4-</w:t>
            </w:r>
            <w:r>
              <w:rPr>
                <w:rFonts w:hint="eastAsia" w:eastAsia="黑体"/>
                <w:color w:val="auto"/>
                <w:szCs w:val="21"/>
                <w:lang w:val="en-US" w:eastAsia="zh-CN"/>
              </w:rPr>
              <w:t>4</w:t>
            </w:r>
            <w:r>
              <w:rPr>
                <w:rFonts w:hint="eastAsia" w:eastAsia="黑体"/>
                <w:color w:val="auto"/>
                <w:szCs w:val="21"/>
              </w:rPr>
              <w:t xml:space="preserve">  项目有组织废气排放口一览表</w:t>
            </w:r>
          </w:p>
          <w:tbl>
            <w:tblPr>
              <w:tblStyle w:val="17"/>
              <w:tblW w:w="4959"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139"/>
              <w:gridCol w:w="1360"/>
              <w:gridCol w:w="1039"/>
              <w:gridCol w:w="1189"/>
              <w:gridCol w:w="1089"/>
              <w:gridCol w:w="1147"/>
              <w:gridCol w:w="2133"/>
              <w:gridCol w:w="834"/>
              <w:gridCol w:w="834"/>
              <w:gridCol w:w="895"/>
              <w:gridCol w:w="947"/>
              <w:gridCol w:w="123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9" w:hRule="atLeast"/>
              </w:trPr>
              <w:tc>
                <w:tcPr>
                  <w:tcW w:w="411" w:type="pct"/>
                  <w:vMerge w:val="restart"/>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u w:val="none"/>
                    </w:rPr>
                  </w:pPr>
                  <w:r>
                    <w:rPr>
                      <w:rFonts w:hint="eastAsia" w:ascii="宋体" w:hAnsi="宋体" w:eastAsia="宋体" w:cs="宋体"/>
                      <w:i w:val="0"/>
                      <w:iCs w:val="0"/>
                      <w:color w:val="auto"/>
                      <w:kern w:val="0"/>
                      <w:sz w:val="18"/>
                      <w:szCs w:val="18"/>
                      <w:u w:val="none"/>
                      <w:lang w:val="en-US" w:eastAsia="zh-CN" w:bidi="ar"/>
                    </w:rPr>
                    <w:t>排放口编号</w:t>
                  </w:r>
                </w:p>
              </w:tc>
              <w:tc>
                <w:tcPr>
                  <w:tcW w:w="491" w:type="pct"/>
                  <w:vMerge w:val="restart"/>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u w:val="none"/>
                    </w:rPr>
                  </w:pPr>
                  <w:r>
                    <w:rPr>
                      <w:rFonts w:hint="eastAsia" w:ascii="宋体" w:hAnsi="宋体" w:eastAsia="宋体" w:cs="宋体"/>
                      <w:i w:val="0"/>
                      <w:iCs w:val="0"/>
                      <w:color w:val="auto"/>
                      <w:kern w:val="0"/>
                      <w:sz w:val="18"/>
                      <w:szCs w:val="18"/>
                      <w:u w:val="none"/>
                      <w:lang w:val="en-US" w:eastAsia="zh-CN" w:bidi="ar"/>
                    </w:rPr>
                    <w:t>排放口名称</w:t>
                  </w:r>
                </w:p>
              </w:tc>
              <w:tc>
                <w:tcPr>
                  <w:tcW w:w="375" w:type="pct"/>
                  <w:vMerge w:val="restart"/>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u w:val="none"/>
                    </w:rPr>
                  </w:pPr>
                  <w:r>
                    <w:rPr>
                      <w:rFonts w:hint="eastAsia" w:ascii="宋体" w:hAnsi="宋体" w:eastAsia="宋体" w:cs="宋体"/>
                      <w:i w:val="0"/>
                      <w:iCs w:val="0"/>
                      <w:color w:val="auto"/>
                      <w:kern w:val="0"/>
                      <w:sz w:val="18"/>
                      <w:szCs w:val="18"/>
                      <w:u w:val="none"/>
                      <w:lang w:val="en-US" w:eastAsia="zh-CN" w:bidi="ar"/>
                    </w:rPr>
                    <w:t>废气类型</w:t>
                  </w:r>
                </w:p>
              </w:tc>
              <w:tc>
                <w:tcPr>
                  <w:tcW w:w="822" w:type="pct"/>
                  <w:gridSpan w:val="2"/>
                  <w:tcBorders>
                    <w:top w:val="single" w:color="auto" w:sz="4" w:space="0"/>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u w:val="none"/>
                    </w:rPr>
                  </w:pPr>
                  <w:r>
                    <w:rPr>
                      <w:rFonts w:hint="eastAsia" w:ascii="宋体" w:hAnsi="宋体" w:eastAsia="宋体" w:cs="宋体"/>
                      <w:i w:val="0"/>
                      <w:iCs w:val="0"/>
                      <w:color w:val="auto"/>
                      <w:kern w:val="0"/>
                      <w:sz w:val="18"/>
                      <w:szCs w:val="18"/>
                      <w:u w:val="none"/>
                      <w:lang w:val="en-US" w:eastAsia="zh-CN" w:bidi="ar"/>
                    </w:rPr>
                    <w:t>地理坐标</w:t>
                  </w:r>
                </w:p>
              </w:tc>
              <w:tc>
                <w:tcPr>
                  <w:tcW w:w="414" w:type="pct"/>
                  <w:vMerge w:val="restart"/>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u w:val="none"/>
                    </w:rPr>
                  </w:pPr>
                  <w:r>
                    <w:rPr>
                      <w:rFonts w:hint="eastAsia" w:ascii="宋体" w:hAnsi="宋体" w:eastAsia="宋体" w:cs="宋体"/>
                      <w:i w:val="0"/>
                      <w:iCs w:val="0"/>
                      <w:color w:val="auto"/>
                      <w:kern w:val="0"/>
                      <w:sz w:val="18"/>
                      <w:szCs w:val="18"/>
                      <w:u w:val="none"/>
                      <w:lang w:val="en-US" w:eastAsia="zh-CN" w:bidi="ar"/>
                    </w:rPr>
                    <w:t>污染物</w:t>
                  </w:r>
                </w:p>
              </w:tc>
              <w:tc>
                <w:tcPr>
                  <w:tcW w:w="770" w:type="pct"/>
                  <w:tcBorders>
                    <w:top w:val="single" w:color="auto" w:sz="4" w:space="0"/>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u w:val="none"/>
                    </w:rPr>
                  </w:pPr>
                  <w:r>
                    <w:rPr>
                      <w:rFonts w:hint="eastAsia" w:ascii="宋体" w:hAnsi="宋体" w:eastAsia="宋体" w:cs="宋体"/>
                      <w:i w:val="0"/>
                      <w:iCs w:val="0"/>
                      <w:color w:val="auto"/>
                      <w:kern w:val="0"/>
                      <w:sz w:val="18"/>
                      <w:szCs w:val="18"/>
                      <w:u w:val="none"/>
                      <w:lang w:val="en-US" w:eastAsia="zh-CN" w:bidi="ar"/>
                    </w:rPr>
                    <w:t>排放标准</w:t>
                  </w:r>
                </w:p>
              </w:tc>
              <w:tc>
                <w:tcPr>
                  <w:tcW w:w="925" w:type="pct"/>
                  <w:gridSpan w:val="3"/>
                  <w:tcBorders>
                    <w:top w:val="single" w:color="auto" w:sz="4" w:space="0"/>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u w:val="none"/>
                    </w:rPr>
                  </w:pPr>
                  <w:r>
                    <w:rPr>
                      <w:rFonts w:hint="eastAsia" w:ascii="宋体" w:hAnsi="宋体" w:eastAsia="宋体" w:cs="宋体"/>
                      <w:i w:val="0"/>
                      <w:iCs w:val="0"/>
                      <w:color w:val="auto"/>
                      <w:kern w:val="0"/>
                      <w:sz w:val="18"/>
                      <w:szCs w:val="18"/>
                      <w:u w:val="none"/>
                      <w:lang w:val="en-US" w:eastAsia="zh-CN" w:bidi="ar"/>
                    </w:rPr>
                    <w:t>排气筒参数</w:t>
                  </w:r>
                </w:p>
              </w:tc>
              <w:tc>
                <w:tcPr>
                  <w:tcW w:w="342" w:type="pct"/>
                  <w:vMerge w:val="restart"/>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u w:val="none"/>
                    </w:rPr>
                  </w:pPr>
                  <w:r>
                    <w:rPr>
                      <w:rFonts w:hint="eastAsia" w:ascii="宋体" w:hAnsi="宋体" w:eastAsia="宋体" w:cs="宋体"/>
                      <w:i w:val="0"/>
                      <w:iCs w:val="0"/>
                      <w:color w:val="auto"/>
                      <w:kern w:val="0"/>
                      <w:sz w:val="18"/>
                      <w:szCs w:val="18"/>
                      <w:u w:val="none"/>
                      <w:lang w:val="en-US" w:eastAsia="zh-CN" w:bidi="ar"/>
                    </w:rPr>
                    <w:t>达标情况</w:t>
                  </w:r>
                </w:p>
              </w:tc>
              <w:tc>
                <w:tcPr>
                  <w:tcW w:w="447" w:type="pct"/>
                  <w:vMerge w:val="restart"/>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u w:val="none"/>
                    </w:rPr>
                  </w:pPr>
                  <w:r>
                    <w:rPr>
                      <w:rFonts w:hint="eastAsia" w:ascii="宋体" w:hAnsi="宋体" w:eastAsia="宋体" w:cs="宋体"/>
                      <w:i w:val="0"/>
                      <w:iCs w:val="0"/>
                      <w:color w:val="auto"/>
                      <w:kern w:val="0"/>
                      <w:sz w:val="18"/>
                      <w:szCs w:val="18"/>
                      <w:u w:val="none"/>
                      <w:lang w:val="en-US" w:eastAsia="zh-CN" w:bidi="ar"/>
                    </w:rPr>
                    <w:t>排放口类型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67" w:hRule="atLeast"/>
              </w:trPr>
              <w:tc>
                <w:tcPr>
                  <w:tcW w:w="411" w:type="pct"/>
                  <w:vMerge w:val="continue"/>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eastAsia="宋体" w:cs="宋体"/>
                      <w:i w:val="0"/>
                      <w:iCs w:val="0"/>
                      <w:color w:val="auto"/>
                      <w:sz w:val="18"/>
                      <w:szCs w:val="18"/>
                      <w:u w:val="none"/>
                    </w:rPr>
                  </w:pPr>
                </w:p>
              </w:tc>
              <w:tc>
                <w:tcPr>
                  <w:tcW w:w="491" w:type="pct"/>
                  <w:vMerge w:val="continue"/>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eastAsia="宋体" w:cs="宋体"/>
                      <w:i w:val="0"/>
                      <w:iCs w:val="0"/>
                      <w:color w:val="auto"/>
                      <w:sz w:val="18"/>
                      <w:szCs w:val="18"/>
                      <w:u w:val="none"/>
                    </w:rPr>
                  </w:pPr>
                </w:p>
              </w:tc>
              <w:tc>
                <w:tcPr>
                  <w:tcW w:w="375" w:type="pct"/>
                  <w:vMerge w:val="continue"/>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eastAsia="宋体" w:cs="宋体"/>
                      <w:i w:val="0"/>
                      <w:iCs w:val="0"/>
                      <w:color w:val="auto"/>
                      <w:sz w:val="18"/>
                      <w:szCs w:val="18"/>
                      <w:u w:val="none"/>
                    </w:rPr>
                  </w:pPr>
                </w:p>
              </w:tc>
              <w:tc>
                <w:tcPr>
                  <w:tcW w:w="429" w:type="pct"/>
                  <w:tcBorders>
                    <w:top w:val="nil"/>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u w:val="none"/>
                    </w:rPr>
                  </w:pPr>
                  <w:r>
                    <w:rPr>
                      <w:rFonts w:hint="eastAsia" w:ascii="宋体" w:hAnsi="宋体" w:eastAsia="宋体" w:cs="宋体"/>
                      <w:i w:val="0"/>
                      <w:iCs w:val="0"/>
                      <w:color w:val="auto"/>
                      <w:kern w:val="0"/>
                      <w:sz w:val="18"/>
                      <w:szCs w:val="18"/>
                      <w:u w:val="none"/>
                      <w:lang w:val="en-US" w:eastAsia="zh-CN" w:bidi="ar"/>
                    </w:rPr>
                    <w:t>经度</w:t>
                  </w:r>
                </w:p>
              </w:tc>
              <w:tc>
                <w:tcPr>
                  <w:tcW w:w="393" w:type="pct"/>
                  <w:tcBorders>
                    <w:top w:val="nil"/>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u w:val="none"/>
                    </w:rPr>
                  </w:pPr>
                  <w:r>
                    <w:rPr>
                      <w:rFonts w:hint="eastAsia" w:ascii="宋体" w:hAnsi="宋体" w:eastAsia="宋体" w:cs="宋体"/>
                      <w:i w:val="0"/>
                      <w:iCs w:val="0"/>
                      <w:color w:val="auto"/>
                      <w:kern w:val="0"/>
                      <w:sz w:val="18"/>
                      <w:szCs w:val="18"/>
                      <w:u w:val="none"/>
                      <w:lang w:val="en-US" w:eastAsia="zh-CN" w:bidi="ar"/>
                    </w:rPr>
                    <w:t>纬度</w:t>
                  </w:r>
                </w:p>
              </w:tc>
              <w:tc>
                <w:tcPr>
                  <w:tcW w:w="414" w:type="pct"/>
                  <w:vMerge w:val="continue"/>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eastAsia="宋体" w:cs="宋体"/>
                      <w:i w:val="0"/>
                      <w:iCs w:val="0"/>
                      <w:color w:val="auto"/>
                      <w:sz w:val="18"/>
                      <w:szCs w:val="18"/>
                      <w:u w:val="none"/>
                    </w:rPr>
                  </w:pPr>
                </w:p>
              </w:tc>
              <w:tc>
                <w:tcPr>
                  <w:tcW w:w="770" w:type="pct"/>
                  <w:tcBorders>
                    <w:top w:val="nil"/>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u w:val="none"/>
                    </w:rPr>
                  </w:pPr>
                  <w:r>
                    <w:rPr>
                      <w:rFonts w:hint="eastAsia" w:ascii="宋体" w:hAnsi="宋体" w:eastAsia="宋体" w:cs="宋体"/>
                      <w:i w:val="0"/>
                      <w:iCs w:val="0"/>
                      <w:color w:val="auto"/>
                      <w:kern w:val="0"/>
                      <w:sz w:val="18"/>
                      <w:szCs w:val="18"/>
                      <w:u w:val="none"/>
                      <w:lang w:val="en-US" w:eastAsia="zh-CN" w:bidi="ar"/>
                    </w:rPr>
                    <w:t>最高允许排放浓度</w:t>
                  </w:r>
                  <w:r>
                    <w:rPr>
                      <w:rFonts w:hint="default" w:ascii="Times New Roman" w:hAnsi="Times New Roman" w:eastAsia="宋体" w:cs="Times New Roman"/>
                      <w:i w:val="0"/>
                      <w:iCs w:val="0"/>
                      <w:color w:val="auto"/>
                      <w:kern w:val="0"/>
                      <w:sz w:val="18"/>
                      <w:szCs w:val="18"/>
                      <w:u w:val="none"/>
                      <w:lang w:val="en-US" w:eastAsia="zh-CN" w:bidi="ar"/>
                    </w:rPr>
                    <w:t>(mg/m</w:t>
                  </w:r>
                  <w:r>
                    <w:rPr>
                      <w:rFonts w:hint="default" w:ascii="Times New Roman" w:hAnsi="Times New Roman" w:eastAsia="宋体" w:cs="Times New Roman"/>
                      <w:i w:val="0"/>
                      <w:iCs w:val="0"/>
                      <w:color w:val="auto"/>
                      <w:kern w:val="0"/>
                      <w:sz w:val="18"/>
                      <w:szCs w:val="18"/>
                      <w:u w:val="none"/>
                      <w:vertAlign w:val="superscript"/>
                      <w:lang w:val="en-US" w:eastAsia="zh-CN" w:bidi="ar"/>
                    </w:rPr>
                    <w:t>3</w:t>
                  </w:r>
                  <w:r>
                    <w:rPr>
                      <w:rFonts w:hint="default" w:ascii="Times New Roman" w:hAnsi="Times New Roman" w:eastAsia="宋体" w:cs="Times New Roman"/>
                      <w:i w:val="0"/>
                      <w:iCs w:val="0"/>
                      <w:color w:val="auto"/>
                      <w:kern w:val="0"/>
                      <w:sz w:val="18"/>
                      <w:szCs w:val="18"/>
                      <w:u w:val="none"/>
                      <w:lang w:val="en-US" w:eastAsia="zh-CN" w:bidi="ar"/>
                    </w:rPr>
                    <w:t>)</w:t>
                  </w:r>
                </w:p>
              </w:tc>
              <w:tc>
                <w:tcPr>
                  <w:tcW w:w="301" w:type="pct"/>
                  <w:tcBorders>
                    <w:top w:val="nil"/>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u w:val="none"/>
                    </w:rPr>
                  </w:pPr>
                  <w:r>
                    <w:rPr>
                      <w:rFonts w:hint="eastAsia" w:ascii="宋体" w:hAnsi="宋体" w:eastAsia="宋体" w:cs="宋体"/>
                      <w:i w:val="0"/>
                      <w:iCs w:val="0"/>
                      <w:color w:val="auto"/>
                      <w:kern w:val="0"/>
                      <w:sz w:val="18"/>
                      <w:szCs w:val="18"/>
                      <w:u w:val="none"/>
                      <w:lang w:val="en-US" w:eastAsia="zh-CN" w:bidi="ar"/>
                    </w:rPr>
                    <w:t>高度</w:t>
                  </w:r>
                  <w:r>
                    <w:rPr>
                      <w:rFonts w:hint="default" w:ascii="Times New Roman" w:hAnsi="Times New Roman" w:eastAsia="宋体" w:cs="Times New Roman"/>
                      <w:i w:val="0"/>
                      <w:iCs w:val="0"/>
                      <w:color w:val="auto"/>
                      <w:kern w:val="0"/>
                      <w:sz w:val="18"/>
                      <w:szCs w:val="18"/>
                      <w:u w:val="none"/>
                      <w:lang w:val="en-US" w:eastAsia="zh-CN" w:bidi="ar"/>
                    </w:rPr>
                    <w:t>(m)</w:t>
                  </w:r>
                </w:p>
              </w:tc>
              <w:tc>
                <w:tcPr>
                  <w:tcW w:w="301" w:type="pct"/>
                  <w:tcBorders>
                    <w:top w:val="nil"/>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u w:val="none"/>
                    </w:rPr>
                  </w:pPr>
                  <w:r>
                    <w:rPr>
                      <w:rFonts w:hint="eastAsia" w:ascii="宋体" w:hAnsi="宋体" w:eastAsia="宋体" w:cs="宋体"/>
                      <w:i w:val="0"/>
                      <w:iCs w:val="0"/>
                      <w:color w:val="auto"/>
                      <w:kern w:val="0"/>
                      <w:sz w:val="18"/>
                      <w:szCs w:val="18"/>
                      <w:u w:val="none"/>
                      <w:lang w:val="en-US" w:eastAsia="zh-CN" w:bidi="ar"/>
                    </w:rPr>
                    <w:t>内径</w:t>
                  </w:r>
                  <w:r>
                    <w:rPr>
                      <w:rFonts w:hint="default" w:ascii="Times New Roman" w:hAnsi="Times New Roman" w:eastAsia="宋体" w:cs="Times New Roman"/>
                      <w:i w:val="0"/>
                      <w:iCs w:val="0"/>
                      <w:color w:val="auto"/>
                      <w:kern w:val="0"/>
                      <w:sz w:val="18"/>
                      <w:szCs w:val="18"/>
                      <w:u w:val="none"/>
                      <w:lang w:val="en-US" w:eastAsia="zh-CN" w:bidi="ar"/>
                    </w:rPr>
                    <w:t>(m)</w:t>
                  </w:r>
                </w:p>
              </w:tc>
              <w:tc>
                <w:tcPr>
                  <w:tcW w:w="322" w:type="pct"/>
                  <w:tcBorders>
                    <w:top w:val="nil"/>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u w:val="none"/>
                    </w:rPr>
                  </w:pPr>
                  <w:r>
                    <w:rPr>
                      <w:rFonts w:hint="eastAsia" w:ascii="宋体" w:hAnsi="宋体" w:eastAsia="宋体" w:cs="宋体"/>
                      <w:i w:val="0"/>
                      <w:iCs w:val="0"/>
                      <w:color w:val="auto"/>
                      <w:kern w:val="0"/>
                      <w:sz w:val="18"/>
                      <w:szCs w:val="18"/>
                      <w:u w:val="none"/>
                      <w:lang w:val="en-US" w:eastAsia="zh-CN" w:bidi="ar"/>
                    </w:rPr>
                    <w:t>温度</w:t>
                  </w:r>
                  <w:r>
                    <w:rPr>
                      <w:rFonts w:hint="default" w:ascii="Times New Roman" w:hAnsi="Times New Roman" w:eastAsia="宋体" w:cs="Times New Roman"/>
                      <w:i w:val="0"/>
                      <w:iCs w:val="0"/>
                      <w:color w:val="auto"/>
                      <w:kern w:val="0"/>
                      <w:sz w:val="18"/>
                      <w:szCs w:val="18"/>
                      <w:u w:val="none"/>
                      <w:lang w:val="en-US" w:eastAsia="zh-CN" w:bidi="ar"/>
                    </w:rPr>
                    <w:t>(℃)</w:t>
                  </w:r>
                </w:p>
              </w:tc>
              <w:tc>
                <w:tcPr>
                  <w:tcW w:w="342" w:type="pct"/>
                  <w:vMerge w:val="continue"/>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eastAsia="宋体" w:cs="宋体"/>
                      <w:i w:val="0"/>
                      <w:iCs w:val="0"/>
                      <w:color w:val="auto"/>
                      <w:sz w:val="18"/>
                      <w:szCs w:val="18"/>
                      <w:u w:val="none"/>
                    </w:rPr>
                  </w:pPr>
                </w:p>
              </w:tc>
              <w:tc>
                <w:tcPr>
                  <w:tcW w:w="447" w:type="pct"/>
                  <w:vMerge w:val="continue"/>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eastAsia="宋体" w:cs="宋体"/>
                      <w:i w:val="0"/>
                      <w:iCs w:val="0"/>
                      <w:color w:val="auto"/>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8" w:hRule="atLeast"/>
              </w:trPr>
              <w:tc>
                <w:tcPr>
                  <w:tcW w:w="411" w:type="pct"/>
                  <w:tcBorders>
                    <w:top w:val="nil"/>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auto"/>
                      <w:sz w:val="18"/>
                      <w:szCs w:val="18"/>
                      <w:u w:val="none"/>
                    </w:rPr>
                  </w:pPr>
                  <w:r>
                    <w:rPr>
                      <w:rFonts w:hint="default" w:ascii="Times New Roman" w:hAnsi="Times New Roman" w:eastAsia="等线" w:cs="Times New Roman"/>
                      <w:i w:val="0"/>
                      <w:iCs w:val="0"/>
                      <w:color w:val="auto"/>
                      <w:kern w:val="0"/>
                      <w:sz w:val="18"/>
                      <w:szCs w:val="18"/>
                      <w:u w:val="none"/>
                      <w:lang w:val="en-US" w:eastAsia="zh-CN" w:bidi="ar"/>
                    </w:rPr>
                    <w:t>DA001</w:t>
                  </w:r>
                </w:p>
              </w:tc>
              <w:tc>
                <w:tcPr>
                  <w:tcW w:w="491" w:type="pct"/>
                  <w:tcBorders>
                    <w:top w:val="nil"/>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u w:val="none"/>
                    </w:rPr>
                  </w:pPr>
                  <w:r>
                    <w:rPr>
                      <w:rFonts w:hint="eastAsia" w:ascii="宋体" w:hAnsi="宋体" w:eastAsia="宋体" w:cs="宋体"/>
                      <w:i w:val="0"/>
                      <w:iCs w:val="0"/>
                      <w:color w:val="auto"/>
                      <w:kern w:val="0"/>
                      <w:sz w:val="18"/>
                      <w:szCs w:val="18"/>
                      <w:u w:val="none"/>
                      <w:lang w:val="en-US" w:eastAsia="zh-CN" w:bidi="ar"/>
                    </w:rPr>
                    <w:t>粉尘排放口</w:t>
                  </w:r>
                </w:p>
              </w:tc>
              <w:tc>
                <w:tcPr>
                  <w:tcW w:w="375" w:type="pct"/>
                  <w:tcBorders>
                    <w:top w:val="nil"/>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u w:val="none"/>
                    </w:rPr>
                  </w:pPr>
                  <w:r>
                    <w:rPr>
                      <w:rFonts w:hint="eastAsia" w:ascii="宋体" w:hAnsi="宋体" w:eastAsia="宋体" w:cs="宋体"/>
                      <w:i w:val="0"/>
                      <w:iCs w:val="0"/>
                      <w:color w:val="auto"/>
                      <w:kern w:val="0"/>
                      <w:sz w:val="18"/>
                      <w:szCs w:val="18"/>
                      <w:u w:val="none"/>
                      <w:lang w:val="en-US" w:eastAsia="zh-CN" w:bidi="ar"/>
                    </w:rPr>
                    <w:t>粉尘废气</w:t>
                  </w:r>
                </w:p>
              </w:tc>
              <w:tc>
                <w:tcPr>
                  <w:tcW w:w="429" w:type="pct"/>
                  <w:tcBorders>
                    <w:top w:val="nil"/>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auto"/>
                      <w:sz w:val="18"/>
                      <w:szCs w:val="18"/>
                      <w:u w:val="none"/>
                    </w:rPr>
                  </w:pPr>
                  <w:r>
                    <w:rPr>
                      <w:rFonts w:hint="default" w:ascii="Times New Roman" w:hAnsi="Times New Roman" w:eastAsia="等线" w:cs="Times New Roman"/>
                      <w:i w:val="0"/>
                      <w:iCs w:val="0"/>
                      <w:color w:val="auto"/>
                      <w:kern w:val="0"/>
                      <w:sz w:val="18"/>
                      <w:szCs w:val="18"/>
                      <w:u w:val="none"/>
                      <w:lang w:val="en-US" w:eastAsia="zh-CN" w:bidi="ar"/>
                    </w:rPr>
                    <w:t>116.603356</w:t>
                  </w:r>
                </w:p>
              </w:tc>
              <w:tc>
                <w:tcPr>
                  <w:tcW w:w="393" w:type="pct"/>
                  <w:tcBorders>
                    <w:top w:val="nil"/>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auto"/>
                      <w:sz w:val="18"/>
                      <w:szCs w:val="18"/>
                      <w:u w:val="none"/>
                    </w:rPr>
                  </w:pPr>
                  <w:r>
                    <w:rPr>
                      <w:rFonts w:hint="default" w:ascii="Times New Roman" w:hAnsi="Times New Roman" w:eastAsia="等线" w:cs="Times New Roman"/>
                      <w:i w:val="0"/>
                      <w:iCs w:val="0"/>
                      <w:color w:val="auto"/>
                      <w:kern w:val="0"/>
                      <w:sz w:val="18"/>
                      <w:szCs w:val="18"/>
                      <w:u w:val="none"/>
                      <w:lang w:val="en-US" w:eastAsia="zh-CN" w:bidi="ar"/>
                    </w:rPr>
                    <w:t>32.655809</w:t>
                  </w:r>
                </w:p>
              </w:tc>
              <w:tc>
                <w:tcPr>
                  <w:tcW w:w="414" w:type="pct"/>
                  <w:tcBorders>
                    <w:top w:val="nil"/>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u w:val="none"/>
                    </w:rPr>
                  </w:pPr>
                  <w:r>
                    <w:rPr>
                      <w:rFonts w:hint="eastAsia" w:ascii="宋体" w:hAnsi="宋体" w:eastAsia="宋体" w:cs="宋体"/>
                      <w:i w:val="0"/>
                      <w:iCs w:val="0"/>
                      <w:color w:val="auto"/>
                      <w:kern w:val="0"/>
                      <w:sz w:val="18"/>
                      <w:szCs w:val="18"/>
                      <w:u w:val="none"/>
                      <w:lang w:val="en-US" w:eastAsia="zh-CN" w:bidi="ar"/>
                    </w:rPr>
                    <w:t>颗粒物</w:t>
                  </w:r>
                </w:p>
              </w:tc>
              <w:tc>
                <w:tcPr>
                  <w:tcW w:w="770" w:type="pct"/>
                  <w:tcBorders>
                    <w:top w:val="nil"/>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auto"/>
                      <w:sz w:val="18"/>
                      <w:szCs w:val="18"/>
                      <w:u w:val="none"/>
                      <w:lang w:val="en-US"/>
                    </w:rPr>
                  </w:pPr>
                  <w:r>
                    <w:rPr>
                      <w:rFonts w:hint="eastAsia" w:ascii="Times New Roman" w:hAnsi="Times New Roman" w:eastAsia="等线" w:cs="Times New Roman"/>
                      <w:i w:val="0"/>
                      <w:iCs w:val="0"/>
                      <w:color w:val="auto"/>
                      <w:kern w:val="0"/>
                      <w:sz w:val="18"/>
                      <w:szCs w:val="18"/>
                      <w:u w:val="none"/>
                      <w:lang w:val="en-US" w:eastAsia="zh-CN" w:bidi="ar"/>
                    </w:rPr>
                    <w:t>120</w:t>
                  </w:r>
                </w:p>
              </w:tc>
              <w:tc>
                <w:tcPr>
                  <w:tcW w:w="301" w:type="pct"/>
                  <w:tcBorders>
                    <w:top w:val="nil"/>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auto"/>
                      <w:sz w:val="18"/>
                      <w:szCs w:val="18"/>
                      <w:u w:val="none"/>
                      <w:lang w:val="en-US"/>
                    </w:rPr>
                  </w:pPr>
                  <w:r>
                    <w:rPr>
                      <w:rFonts w:hint="eastAsia" w:ascii="Times New Roman" w:hAnsi="Times New Roman" w:eastAsia="等线" w:cs="Times New Roman"/>
                      <w:i w:val="0"/>
                      <w:iCs w:val="0"/>
                      <w:color w:val="auto"/>
                      <w:kern w:val="0"/>
                      <w:sz w:val="18"/>
                      <w:szCs w:val="18"/>
                      <w:u w:val="none"/>
                      <w:lang w:val="en-US" w:eastAsia="zh-CN" w:bidi="ar"/>
                    </w:rPr>
                    <w:t>15</w:t>
                  </w:r>
                </w:p>
              </w:tc>
              <w:tc>
                <w:tcPr>
                  <w:tcW w:w="301" w:type="pct"/>
                  <w:tcBorders>
                    <w:top w:val="nil"/>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auto"/>
                      <w:sz w:val="18"/>
                      <w:szCs w:val="18"/>
                      <w:u w:val="none"/>
                    </w:rPr>
                  </w:pPr>
                  <w:r>
                    <w:rPr>
                      <w:rFonts w:hint="default" w:ascii="Times New Roman" w:hAnsi="Times New Roman" w:eastAsia="等线" w:cs="Times New Roman"/>
                      <w:i w:val="0"/>
                      <w:iCs w:val="0"/>
                      <w:color w:val="auto"/>
                      <w:kern w:val="0"/>
                      <w:sz w:val="18"/>
                      <w:szCs w:val="18"/>
                      <w:u w:val="none"/>
                      <w:lang w:val="en-US" w:eastAsia="zh-CN" w:bidi="ar"/>
                    </w:rPr>
                    <w:t>0.5</w:t>
                  </w:r>
                </w:p>
              </w:tc>
              <w:tc>
                <w:tcPr>
                  <w:tcW w:w="322" w:type="pct"/>
                  <w:tcBorders>
                    <w:top w:val="nil"/>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auto"/>
                      <w:sz w:val="18"/>
                      <w:szCs w:val="18"/>
                      <w:u w:val="none"/>
                    </w:rPr>
                  </w:pPr>
                  <w:r>
                    <w:rPr>
                      <w:rFonts w:hint="default" w:ascii="Times New Roman" w:hAnsi="Times New Roman" w:eastAsia="等线" w:cs="Times New Roman"/>
                      <w:i w:val="0"/>
                      <w:iCs w:val="0"/>
                      <w:color w:val="auto"/>
                      <w:kern w:val="0"/>
                      <w:sz w:val="18"/>
                      <w:szCs w:val="18"/>
                      <w:u w:val="none"/>
                      <w:lang w:val="en-US" w:eastAsia="zh-CN" w:bidi="ar"/>
                    </w:rPr>
                    <w:t>25</w:t>
                  </w:r>
                </w:p>
              </w:tc>
              <w:tc>
                <w:tcPr>
                  <w:tcW w:w="342" w:type="pct"/>
                  <w:tcBorders>
                    <w:top w:val="nil"/>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u w:val="none"/>
                    </w:rPr>
                  </w:pPr>
                  <w:r>
                    <w:rPr>
                      <w:rFonts w:hint="eastAsia" w:ascii="宋体" w:hAnsi="宋体" w:eastAsia="宋体" w:cs="宋体"/>
                      <w:i w:val="0"/>
                      <w:iCs w:val="0"/>
                      <w:color w:val="auto"/>
                      <w:kern w:val="0"/>
                      <w:sz w:val="18"/>
                      <w:szCs w:val="18"/>
                      <w:u w:val="none"/>
                      <w:lang w:val="en-US" w:eastAsia="zh-CN" w:bidi="ar"/>
                    </w:rPr>
                    <w:t>达标</w:t>
                  </w:r>
                </w:p>
              </w:tc>
              <w:tc>
                <w:tcPr>
                  <w:tcW w:w="447" w:type="pct"/>
                  <w:tcBorders>
                    <w:top w:val="nil"/>
                    <w:left w:val="nil"/>
                    <w:bottom w:val="single" w:color="auto" w:sz="4" w:space="0"/>
                    <w:right w:val="single" w:color="auto"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u w:val="none"/>
                    </w:rPr>
                  </w:pPr>
                  <w:r>
                    <w:rPr>
                      <w:rFonts w:hint="eastAsia" w:ascii="宋体" w:hAnsi="宋体" w:eastAsia="宋体" w:cs="宋体"/>
                      <w:i w:val="0"/>
                      <w:iCs w:val="0"/>
                      <w:color w:val="auto"/>
                      <w:kern w:val="0"/>
                      <w:sz w:val="18"/>
                      <w:szCs w:val="18"/>
                      <w:u w:val="none"/>
                      <w:lang w:val="en-US" w:eastAsia="zh-CN" w:bidi="ar"/>
                    </w:rPr>
                    <w:t>一般排放口</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9" w:hRule="atLeast"/>
              </w:trPr>
              <w:tc>
                <w:tcPr>
                  <w:tcW w:w="411" w:type="pct"/>
                  <w:tcBorders>
                    <w:top w:val="nil"/>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auto"/>
                      <w:sz w:val="18"/>
                      <w:szCs w:val="18"/>
                      <w:u w:val="none"/>
                    </w:rPr>
                  </w:pPr>
                  <w:r>
                    <w:rPr>
                      <w:rFonts w:hint="default" w:ascii="Times New Roman" w:hAnsi="Times New Roman" w:eastAsia="等线" w:cs="Times New Roman"/>
                      <w:i w:val="0"/>
                      <w:iCs w:val="0"/>
                      <w:color w:val="auto"/>
                      <w:kern w:val="0"/>
                      <w:sz w:val="18"/>
                      <w:szCs w:val="18"/>
                      <w:u w:val="none"/>
                      <w:lang w:val="en-US" w:eastAsia="zh-CN" w:bidi="ar"/>
                    </w:rPr>
                    <w:t>DA002</w:t>
                  </w:r>
                </w:p>
              </w:tc>
              <w:tc>
                <w:tcPr>
                  <w:tcW w:w="491" w:type="pct"/>
                  <w:tcBorders>
                    <w:top w:val="nil"/>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u w:val="none"/>
                    </w:rPr>
                  </w:pPr>
                  <w:r>
                    <w:rPr>
                      <w:rFonts w:hint="eastAsia" w:ascii="宋体" w:hAnsi="宋体" w:eastAsia="宋体" w:cs="宋体"/>
                      <w:i w:val="0"/>
                      <w:iCs w:val="0"/>
                      <w:color w:val="auto"/>
                      <w:kern w:val="0"/>
                      <w:sz w:val="18"/>
                      <w:szCs w:val="18"/>
                      <w:u w:val="none"/>
                      <w:lang w:val="en-US" w:eastAsia="zh-CN" w:bidi="ar"/>
                    </w:rPr>
                    <w:t>有机废气排放口</w:t>
                  </w:r>
                </w:p>
              </w:tc>
              <w:tc>
                <w:tcPr>
                  <w:tcW w:w="375" w:type="pct"/>
                  <w:tcBorders>
                    <w:top w:val="nil"/>
                    <w:left w:val="nil"/>
                    <w:bottom w:val="single" w:color="auto" w:sz="4" w:space="0"/>
                    <w:right w:val="single" w:color="auto"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u w:val="none"/>
                    </w:rPr>
                  </w:pPr>
                  <w:r>
                    <w:rPr>
                      <w:rFonts w:hint="eastAsia" w:ascii="宋体" w:hAnsi="宋体" w:eastAsia="宋体" w:cs="宋体"/>
                      <w:i w:val="0"/>
                      <w:iCs w:val="0"/>
                      <w:color w:val="auto"/>
                      <w:kern w:val="0"/>
                      <w:sz w:val="18"/>
                      <w:szCs w:val="18"/>
                      <w:u w:val="none"/>
                      <w:lang w:val="en-US" w:eastAsia="zh-CN" w:bidi="ar"/>
                    </w:rPr>
                    <w:t>有机废气</w:t>
                  </w:r>
                </w:p>
              </w:tc>
              <w:tc>
                <w:tcPr>
                  <w:tcW w:w="429" w:type="pct"/>
                  <w:tcBorders>
                    <w:top w:val="nil"/>
                    <w:left w:val="nil"/>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auto"/>
                      <w:sz w:val="18"/>
                      <w:szCs w:val="18"/>
                      <w:u w:val="none"/>
                    </w:rPr>
                  </w:pPr>
                  <w:r>
                    <w:rPr>
                      <w:rFonts w:hint="default" w:ascii="Times New Roman" w:hAnsi="Times New Roman" w:eastAsia="等线" w:cs="Times New Roman"/>
                      <w:i w:val="0"/>
                      <w:iCs w:val="0"/>
                      <w:color w:val="auto"/>
                      <w:kern w:val="0"/>
                      <w:sz w:val="18"/>
                      <w:szCs w:val="18"/>
                      <w:u w:val="none"/>
                      <w:lang w:val="en-US" w:eastAsia="zh-CN" w:bidi="ar"/>
                    </w:rPr>
                    <w:t>116.603415</w:t>
                  </w:r>
                </w:p>
              </w:tc>
              <w:tc>
                <w:tcPr>
                  <w:tcW w:w="393" w:type="pct"/>
                  <w:tcBorders>
                    <w:top w:val="nil"/>
                    <w:left w:val="nil"/>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auto"/>
                      <w:sz w:val="18"/>
                      <w:szCs w:val="18"/>
                      <w:u w:val="none"/>
                    </w:rPr>
                  </w:pPr>
                  <w:r>
                    <w:rPr>
                      <w:rFonts w:hint="default" w:ascii="Times New Roman" w:hAnsi="Times New Roman" w:eastAsia="等线" w:cs="Times New Roman"/>
                      <w:i w:val="0"/>
                      <w:iCs w:val="0"/>
                      <w:color w:val="auto"/>
                      <w:kern w:val="0"/>
                      <w:sz w:val="18"/>
                      <w:szCs w:val="18"/>
                      <w:u w:val="none"/>
                      <w:lang w:val="en-US" w:eastAsia="zh-CN" w:bidi="ar"/>
                    </w:rPr>
                    <w:t>32.65568</w:t>
                  </w:r>
                </w:p>
              </w:tc>
              <w:tc>
                <w:tcPr>
                  <w:tcW w:w="414" w:type="pct"/>
                  <w:tcBorders>
                    <w:top w:val="nil"/>
                    <w:left w:val="nil"/>
                    <w:bottom w:val="single" w:color="auto" w:sz="4" w:space="0"/>
                    <w:right w:val="single" w:color="auto"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u w:val="none"/>
                    </w:rPr>
                  </w:pPr>
                  <w:r>
                    <w:rPr>
                      <w:rFonts w:hint="eastAsia" w:ascii="宋体" w:hAnsi="宋体" w:eastAsia="宋体" w:cs="宋体"/>
                      <w:i w:val="0"/>
                      <w:iCs w:val="0"/>
                      <w:color w:val="auto"/>
                      <w:kern w:val="0"/>
                      <w:sz w:val="18"/>
                      <w:szCs w:val="18"/>
                      <w:u w:val="none"/>
                      <w:lang w:val="en-US" w:eastAsia="zh-CN" w:bidi="ar"/>
                    </w:rPr>
                    <w:t>非甲烷总烃</w:t>
                  </w:r>
                </w:p>
              </w:tc>
              <w:tc>
                <w:tcPr>
                  <w:tcW w:w="770" w:type="pct"/>
                  <w:tcBorders>
                    <w:top w:val="nil"/>
                    <w:left w:val="nil"/>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auto"/>
                      <w:sz w:val="18"/>
                      <w:szCs w:val="18"/>
                      <w:u w:val="none"/>
                    </w:rPr>
                  </w:pPr>
                  <w:r>
                    <w:rPr>
                      <w:rFonts w:hint="eastAsia" w:ascii="Times New Roman" w:hAnsi="Times New Roman" w:eastAsia="等线" w:cs="Times New Roman"/>
                      <w:i w:val="0"/>
                      <w:iCs w:val="0"/>
                      <w:color w:val="auto"/>
                      <w:kern w:val="0"/>
                      <w:sz w:val="18"/>
                      <w:szCs w:val="18"/>
                      <w:u w:val="none"/>
                      <w:lang w:val="en-US" w:eastAsia="zh-CN" w:bidi="ar"/>
                    </w:rPr>
                    <w:t>1</w:t>
                  </w:r>
                  <w:r>
                    <w:rPr>
                      <w:rFonts w:hint="default" w:ascii="Times New Roman" w:hAnsi="Times New Roman" w:eastAsia="等线" w:cs="Times New Roman"/>
                      <w:i w:val="0"/>
                      <w:iCs w:val="0"/>
                      <w:color w:val="auto"/>
                      <w:kern w:val="0"/>
                      <w:sz w:val="18"/>
                      <w:szCs w:val="18"/>
                      <w:u w:val="none"/>
                      <w:lang w:val="en-US" w:eastAsia="zh-CN" w:bidi="ar"/>
                    </w:rPr>
                    <w:t>20</w:t>
                  </w:r>
                </w:p>
              </w:tc>
              <w:tc>
                <w:tcPr>
                  <w:tcW w:w="301" w:type="pct"/>
                  <w:tcBorders>
                    <w:top w:val="nil"/>
                    <w:left w:val="nil"/>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auto"/>
                      <w:sz w:val="18"/>
                      <w:szCs w:val="18"/>
                      <w:u w:val="none"/>
                    </w:rPr>
                  </w:pPr>
                  <w:r>
                    <w:rPr>
                      <w:rFonts w:hint="eastAsia" w:ascii="Times New Roman" w:hAnsi="Times New Roman" w:eastAsia="等线" w:cs="Times New Roman"/>
                      <w:i w:val="0"/>
                      <w:iCs w:val="0"/>
                      <w:color w:val="auto"/>
                      <w:kern w:val="0"/>
                      <w:sz w:val="18"/>
                      <w:szCs w:val="18"/>
                      <w:u w:val="none"/>
                      <w:lang w:val="en-US" w:eastAsia="zh-CN" w:bidi="ar"/>
                    </w:rPr>
                    <w:t>15</w:t>
                  </w:r>
                </w:p>
              </w:tc>
              <w:tc>
                <w:tcPr>
                  <w:tcW w:w="301" w:type="pct"/>
                  <w:tcBorders>
                    <w:top w:val="nil"/>
                    <w:left w:val="nil"/>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auto"/>
                      <w:sz w:val="18"/>
                      <w:szCs w:val="18"/>
                      <w:u w:val="none"/>
                    </w:rPr>
                  </w:pPr>
                  <w:r>
                    <w:rPr>
                      <w:rFonts w:hint="default" w:ascii="Times New Roman" w:hAnsi="Times New Roman" w:eastAsia="等线" w:cs="Times New Roman"/>
                      <w:i w:val="0"/>
                      <w:iCs w:val="0"/>
                      <w:color w:val="auto"/>
                      <w:kern w:val="0"/>
                      <w:sz w:val="18"/>
                      <w:szCs w:val="18"/>
                      <w:u w:val="none"/>
                      <w:lang w:val="en-US" w:eastAsia="zh-CN" w:bidi="ar"/>
                    </w:rPr>
                    <w:t>0.</w:t>
                  </w:r>
                  <w:r>
                    <w:rPr>
                      <w:rFonts w:hint="eastAsia" w:ascii="Times New Roman" w:hAnsi="Times New Roman" w:eastAsia="等线" w:cs="Times New Roman"/>
                      <w:i w:val="0"/>
                      <w:iCs w:val="0"/>
                      <w:color w:val="auto"/>
                      <w:kern w:val="0"/>
                      <w:sz w:val="18"/>
                      <w:szCs w:val="18"/>
                      <w:u w:val="none"/>
                      <w:lang w:val="en-US" w:eastAsia="zh-CN" w:bidi="ar"/>
                    </w:rPr>
                    <w:t>4</w:t>
                  </w:r>
                </w:p>
              </w:tc>
              <w:tc>
                <w:tcPr>
                  <w:tcW w:w="322" w:type="pct"/>
                  <w:tcBorders>
                    <w:top w:val="nil"/>
                    <w:left w:val="nil"/>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auto"/>
                      <w:sz w:val="18"/>
                      <w:szCs w:val="18"/>
                      <w:u w:val="none"/>
                    </w:rPr>
                  </w:pPr>
                  <w:r>
                    <w:rPr>
                      <w:rFonts w:hint="default" w:ascii="Times New Roman" w:hAnsi="Times New Roman" w:eastAsia="等线" w:cs="Times New Roman"/>
                      <w:i w:val="0"/>
                      <w:iCs w:val="0"/>
                      <w:color w:val="auto"/>
                      <w:kern w:val="0"/>
                      <w:sz w:val="18"/>
                      <w:szCs w:val="18"/>
                      <w:u w:val="none"/>
                      <w:lang w:val="en-US" w:eastAsia="zh-CN" w:bidi="ar"/>
                    </w:rPr>
                    <w:t>25</w:t>
                  </w:r>
                </w:p>
              </w:tc>
              <w:tc>
                <w:tcPr>
                  <w:tcW w:w="342" w:type="pct"/>
                  <w:tcBorders>
                    <w:top w:val="nil"/>
                    <w:left w:val="nil"/>
                    <w:bottom w:val="single" w:color="auto" w:sz="4" w:space="0"/>
                    <w:right w:val="single" w:color="auto"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u w:val="none"/>
                    </w:rPr>
                  </w:pPr>
                  <w:r>
                    <w:rPr>
                      <w:rFonts w:hint="eastAsia" w:ascii="宋体" w:hAnsi="宋体" w:eastAsia="宋体" w:cs="宋体"/>
                      <w:i w:val="0"/>
                      <w:iCs w:val="0"/>
                      <w:color w:val="auto"/>
                      <w:kern w:val="0"/>
                      <w:sz w:val="18"/>
                      <w:szCs w:val="18"/>
                      <w:u w:val="none"/>
                      <w:lang w:val="en-US" w:eastAsia="zh-CN" w:bidi="ar"/>
                    </w:rPr>
                    <w:t>达标</w:t>
                  </w:r>
                </w:p>
              </w:tc>
              <w:tc>
                <w:tcPr>
                  <w:tcW w:w="447" w:type="pct"/>
                  <w:tcBorders>
                    <w:top w:val="nil"/>
                    <w:left w:val="nil"/>
                    <w:bottom w:val="single" w:color="auto" w:sz="4" w:space="0"/>
                    <w:right w:val="single" w:color="auto"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u w:val="none"/>
                    </w:rPr>
                  </w:pPr>
                  <w:r>
                    <w:rPr>
                      <w:rFonts w:hint="eastAsia" w:ascii="宋体" w:hAnsi="宋体" w:eastAsia="宋体" w:cs="宋体"/>
                      <w:i w:val="0"/>
                      <w:iCs w:val="0"/>
                      <w:color w:val="auto"/>
                      <w:kern w:val="0"/>
                      <w:sz w:val="18"/>
                      <w:szCs w:val="18"/>
                      <w:u w:val="none"/>
                      <w:lang w:val="en-US" w:eastAsia="zh-CN" w:bidi="ar"/>
                    </w:rPr>
                    <w:t>一般排放口</w:t>
                  </w:r>
                </w:p>
              </w:tc>
            </w:tr>
          </w:tbl>
          <w:p>
            <w:pPr>
              <w:pStyle w:val="84"/>
              <w:rPr>
                <w:color w:val="auto"/>
              </w:rPr>
            </w:pPr>
            <w:r>
              <w:rPr>
                <w:color w:val="auto"/>
                <w:szCs w:val="21"/>
              </w:rPr>
              <w:t>注：</w:t>
            </w:r>
            <w:r>
              <w:rPr>
                <w:rFonts w:hint="eastAsia"/>
                <w:color w:val="auto"/>
                <w:szCs w:val="21"/>
              </w:rPr>
              <w:t>依据</w:t>
            </w:r>
            <w:r>
              <w:rPr>
                <w:color w:val="auto"/>
                <w:szCs w:val="21"/>
              </w:rPr>
              <w:t>《排污单位自行监测技术指南 总则》（HJ819-2017）</w:t>
            </w:r>
            <w:r>
              <w:rPr>
                <w:rFonts w:hint="eastAsia"/>
                <w:color w:val="auto"/>
                <w:szCs w:val="21"/>
              </w:rPr>
              <w:t>判定</w:t>
            </w:r>
            <w:r>
              <w:rPr>
                <w:color w:val="auto"/>
                <w:szCs w:val="21"/>
              </w:rPr>
              <w:t>本项目排口</w:t>
            </w:r>
            <w:r>
              <w:rPr>
                <w:rFonts w:hint="eastAsia"/>
                <w:color w:val="auto"/>
                <w:szCs w:val="21"/>
                <w:lang w:val="en-US" w:eastAsia="zh-CN"/>
              </w:rPr>
              <w:t>均</w:t>
            </w:r>
            <w:r>
              <w:rPr>
                <w:color w:val="auto"/>
                <w:szCs w:val="21"/>
              </w:rPr>
              <w:t>为</w:t>
            </w:r>
            <w:r>
              <w:rPr>
                <w:rFonts w:hint="eastAsia"/>
                <w:color w:val="auto"/>
                <w:szCs w:val="21"/>
                <w:lang w:val="en-US" w:eastAsia="zh-CN"/>
              </w:rPr>
              <w:t>一般</w:t>
            </w:r>
            <w:r>
              <w:rPr>
                <w:color w:val="auto"/>
                <w:szCs w:val="21"/>
              </w:rPr>
              <w:t>排放口。</w:t>
            </w:r>
          </w:p>
        </w:tc>
      </w:tr>
    </w:tbl>
    <w:p>
      <w:pPr>
        <w:spacing w:line="360" w:lineRule="auto"/>
        <w:ind w:firstLine="420" w:firstLineChars="200"/>
        <w:rPr>
          <w:rFonts w:ascii="Times New Roman" w:hAnsi="Times New Roman" w:eastAsia="宋体" w:cs="Times New Roman"/>
        </w:rPr>
        <w:sectPr>
          <w:pgSz w:w="16838" w:h="11906" w:orient="landscape"/>
          <w:pgMar w:top="1800" w:right="1440" w:bottom="1800" w:left="1440" w:header="851" w:footer="992" w:gutter="0"/>
          <w:pgBorders>
            <w:top w:val="none" w:sz="0" w:space="0"/>
            <w:left w:val="none" w:sz="0" w:space="0"/>
            <w:bottom w:val="none" w:sz="0" w:space="0"/>
            <w:right w:val="none" w:sz="0" w:space="0"/>
          </w:pgBorders>
          <w:cols w:space="425" w:num="1"/>
          <w:docGrid w:type="lines" w:linePitch="312" w:charSpace="0"/>
        </w:sectPr>
      </w:pPr>
    </w:p>
    <w:tbl>
      <w:tblPr>
        <w:tblStyle w:val="17"/>
        <w:tblW w:w="8442"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320"/>
        <w:gridCol w:w="8122"/>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8200" w:hRule="atLeast"/>
          <w:jc w:val="center"/>
        </w:trPr>
        <w:tc>
          <w:tcPr>
            <w:tcW w:w="338" w:type="dxa"/>
            <w:tcMar>
              <w:left w:w="28" w:type="dxa"/>
              <w:right w:w="28" w:type="dxa"/>
            </w:tcMar>
            <w:vAlign w:val="center"/>
          </w:tcPr>
          <w:p>
            <w:pPr>
              <w:jc w:val="center"/>
              <w:rPr>
                <w:rFonts w:ascii="Times New Roman" w:hAnsi="Times New Roman" w:eastAsia="宋体" w:cs="Times New Roman"/>
                <w:bCs/>
                <w:color w:val="auto"/>
                <w:sz w:val="24"/>
                <w:szCs w:val="24"/>
                <w:highlight w:val="none"/>
              </w:rPr>
            </w:pPr>
            <w:r>
              <w:rPr>
                <w:rFonts w:ascii="Times New Roman" w:hAnsi="Times New Roman" w:eastAsia="宋体" w:cs="Times New Roman"/>
                <w:bCs/>
                <w:color w:val="auto"/>
                <w:sz w:val="24"/>
                <w:szCs w:val="24"/>
                <w:highlight w:val="none"/>
              </w:rPr>
              <w:t>运营期环境影响和保护措施</w:t>
            </w:r>
          </w:p>
        </w:tc>
        <w:tc>
          <w:tcPr>
            <w:tcW w:w="8104" w:type="dxa"/>
          </w:tcPr>
          <w:p>
            <w:pPr>
              <w:spacing w:line="360" w:lineRule="auto"/>
              <w:ind w:firstLine="480" w:firstLineChars="200"/>
              <w:rPr>
                <w:rFonts w:ascii="Times New Roman" w:hAnsi="Times New Roman" w:eastAsia="宋体" w:cs="Times New Roman"/>
                <w:bCs/>
                <w:color w:val="auto"/>
                <w:sz w:val="24"/>
                <w:szCs w:val="28"/>
                <w:highlight w:val="none"/>
              </w:rPr>
            </w:pPr>
            <w:r>
              <w:rPr>
                <w:rFonts w:ascii="Times New Roman" w:hAnsi="Times New Roman" w:eastAsia="宋体" w:cs="Times New Roman"/>
                <w:bCs/>
                <w:color w:val="auto"/>
                <w:sz w:val="24"/>
                <w:szCs w:val="28"/>
                <w:highlight w:val="none"/>
              </w:rPr>
              <w:t>本项目无组织排放废气包括未被回收的喷塑粉尘和未被集气罩收集的废气，根据核算，本项目无组织废气排放情况见下表：</w:t>
            </w:r>
          </w:p>
          <w:p>
            <w:pPr>
              <w:adjustRightInd w:val="0"/>
              <w:spacing w:line="324" w:lineRule="auto"/>
              <w:jc w:val="center"/>
              <w:rPr>
                <w:rFonts w:ascii="Times New Roman" w:hAnsi="Times New Roman" w:eastAsia="黑体" w:cs="Times New Roman"/>
                <w:color w:val="auto"/>
                <w:sz w:val="24"/>
                <w:highlight w:val="none"/>
              </w:rPr>
            </w:pPr>
            <w:r>
              <w:rPr>
                <w:rFonts w:ascii="Times New Roman" w:hAnsi="Times New Roman" w:eastAsia="黑体" w:cs="Times New Roman"/>
                <w:color w:val="auto"/>
                <w:sz w:val="24"/>
                <w:highlight w:val="none"/>
              </w:rPr>
              <w:t>表4-</w:t>
            </w:r>
            <w:r>
              <w:rPr>
                <w:rFonts w:hint="eastAsia" w:ascii="Times New Roman" w:hAnsi="Times New Roman" w:eastAsia="黑体" w:cs="Times New Roman"/>
                <w:color w:val="auto"/>
                <w:sz w:val="24"/>
                <w:highlight w:val="none"/>
              </w:rPr>
              <w:t>4</w:t>
            </w:r>
            <w:r>
              <w:rPr>
                <w:rFonts w:ascii="Times New Roman" w:hAnsi="Times New Roman" w:eastAsia="黑体" w:cs="Times New Roman"/>
                <w:color w:val="auto"/>
                <w:sz w:val="24"/>
                <w:highlight w:val="none"/>
              </w:rPr>
              <w:t xml:space="preserve"> </w:t>
            </w:r>
            <w:r>
              <w:rPr>
                <w:rFonts w:hint="eastAsia" w:ascii="Times New Roman" w:hAnsi="Times New Roman" w:eastAsia="黑体" w:cs="Times New Roman"/>
                <w:color w:val="auto"/>
                <w:sz w:val="24"/>
                <w:highlight w:val="none"/>
              </w:rPr>
              <w:t xml:space="preserve"> </w:t>
            </w:r>
            <w:r>
              <w:rPr>
                <w:rFonts w:ascii="Times New Roman" w:hAnsi="Times New Roman" w:eastAsia="黑体" w:cs="Times New Roman"/>
                <w:color w:val="auto"/>
                <w:sz w:val="24"/>
                <w:highlight w:val="none"/>
              </w:rPr>
              <w:t>项目无组织废气产生和排放情况表</w:t>
            </w:r>
          </w:p>
          <w:tbl>
            <w:tblPr>
              <w:tblStyle w:val="17"/>
              <w:tblW w:w="4996"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101"/>
              <w:gridCol w:w="1274"/>
              <w:gridCol w:w="1167"/>
              <w:gridCol w:w="1467"/>
              <w:gridCol w:w="1167"/>
              <w:gridCol w:w="642"/>
              <w:gridCol w:w="1082"/>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96" w:type="pct"/>
                  <w:tcBorders>
                    <w:top w:val="single" w:color="auto" w:sz="8" w:space="0"/>
                  </w:tcBorders>
                  <w:vAlign w:val="center"/>
                </w:tcPr>
                <w:p>
                  <w:pPr>
                    <w:snapToGrid w:val="0"/>
                    <w:spacing w:line="276" w:lineRule="auto"/>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污染源</w:t>
                  </w:r>
                </w:p>
              </w:tc>
              <w:tc>
                <w:tcPr>
                  <w:tcW w:w="806" w:type="pct"/>
                  <w:tcBorders>
                    <w:top w:val="single" w:color="auto" w:sz="8" w:space="0"/>
                  </w:tcBorders>
                  <w:vAlign w:val="center"/>
                </w:tcPr>
                <w:p>
                  <w:pPr>
                    <w:snapToGrid w:val="0"/>
                    <w:spacing w:line="276" w:lineRule="auto"/>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污染物种类</w:t>
                  </w:r>
                </w:p>
              </w:tc>
              <w:tc>
                <w:tcPr>
                  <w:tcW w:w="738" w:type="pct"/>
                  <w:tcBorders>
                    <w:top w:val="single" w:color="auto" w:sz="8" w:space="0"/>
                  </w:tcBorders>
                  <w:vAlign w:val="center"/>
                </w:tcPr>
                <w:p>
                  <w:pPr>
                    <w:snapToGrid w:val="0"/>
                    <w:spacing w:line="276" w:lineRule="auto"/>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产生量</w:t>
                  </w:r>
                </w:p>
              </w:tc>
              <w:tc>
                <w:tcPr>
                  <w:tcW w:w="928" w:type="pct"/>
                  <w:tcBorders>
                    <w:top w:val="single" w:color="auto" w:sz="8" w:space="0"/>
                  </w:tcBorders>
                  <w:vAlign w:val="center"/>
                </w:tcPr>
                <w:p>
                  <w:pPr>
                    <w:snapToGrid w:val="0"/>
                    <w:spacing w:line="276" w:lineRule="auto"/>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收集治理工艺</w:t>
                  </w:r>
                </w:p>
              </w:tc>
              <w:tc>
                <w:tcPr>
                  <w:tcW w:w="738" w:type="pct"/>
                  <w:tcBorders>
                    <w:top w:val="single" w:color="auto" w:sz="8" w:space="0"/>
                  </w:tcBorders>
                  <w:vAlign w:val="center"/>
                </w:tcPr>
                <w:p>
                  <w:pPr>
                    <w:snapToGrid w:val="0"/>
                    <w:spacing w:line="276" w:lineRule="auto"/>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面源面积</w:t>
                  </w:r>
                </w:p>
              </w:tc>
              <w:tc>
                <w:tcPr>
                  <w:tcW w:w="406" w:type="pct"/>
                  <w:tcBorders>
                    <w:top w:val="single" w:color="auto" w:sz="8" w:space="0"/>
                  </w:tcBorders>
                  <w:vAlign w:val="center"/>
                </w:tcPr>
                <w:p>
                  <w:pPr>
                    <w:snapToGrid w:val="0"/>
                    <w:spacing w:line="276" w:lineRule="auto"/>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高度</w:t>
                  </w:r>
                </w:p>
              </w:tc>
              <w:tc>
                <w:tcPr>
                  <w:tcW w:w="684" w:type="pct"/>
                  <w:tcBorders>
                    <w:top w:val="single" w:color="auto" w:sz="8" w:space="0"/>
                  </w:tcBorders>
                  <w:vAlign w:val="center"/>
                </w:tcPr>
                <w:p>
                  <w:pPr>
                    <w:snapToGrid w:val="0"/>
                    <w:spacing w:line="276" w:lineRule="auto"/>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污染物排放量</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96" w:type="pct"/>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生产车间</w:t>
                  </w:r>
                </w:p>
              </w:tc>
              <w:tc>
                <w:tcPr>
                  <w:tcW w:w="806" w:type="pct"/>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颗粒物</w:t>
                  </w:r>
                </w:p>
              </w:tc>
              <w:tc>
                <w:tcPr>
                  <w:tcW w:w="738" w:type="pct"/>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color w:val="auto"/>
                      <w:sz w:val="18"/>
                      <w:szCs w:val="18"/>
                      <w:highlight w:val="none"/>
                    </w:rPr>
                    <w:t>0.4305t/a</w:t>
                  </w:r>
                </w:p>
              </w:tc>
              <w:tc>
                <w:tcPr>
                  <w:tcW w:w="928" w:type="pct"/>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加强车间通风</w:t>
                  </w:r>
                </w:p>
              </w:tc>
              <w:tc>
                <w:tcPr>
                  <w:tcW w:w="738" w:type="pct"/>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8390m</w:t>
                  </w:r>
                  <w:r>
                    <w:rPr>
                      <w:rFonts w:ascii="Times New Roman" w:hAnsi="Times New Roman" w:eastAsia="宋体" w:cs="Times New Roman"/>
                      <w:color w:val="auto"/>
                      <w:sz w:val="18"/>
                      <w:szCs w:val="18"/>
                      <w:highlight w:val="none"/>
                      <w:vertAlign w:val="superscript"/>
                    </w:rPr>
                    <w:t>2</w:t>
                  </w:r>
                </w:p>
              </w:tc>
              <w:tc>
                <w:tcPr>
                  <w:tcW w:w="406" w:type="pct"/>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10m</w:t>
                  </w:r>
                </w:p>
              </w:tc>
              <w:tc>
                <w:tcPr>
                  <w:tcW w:w="684" w:type="pct"/>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color w:val="auto"/>
                      <w:sz w:val="18"/>
                      <w:szCs w:val="18"/>
                      <w:highlight w:val="none"/>
                    </w:rPr>
                    <w:t>0.4305t/a</w:t>
                  </w:r>
                </w:p>
              </w:tc>
            </w:tr>
          </w:tbl>
          <w:p>
            <w:pPr>
              <w:spacing w:line="360" w:lineRule="auto"/>
              <w:ind w:firstLine="482" w:firstLineChars="200"/>
              <w:jc w:val="left"/>
              <w:rPr>
                <w:rFonts w:ascii="Times New Roman" w:hAnsi="Times New Roman" w:eastAsia="宋体" w:cs="Times New Roman"/>
                <w:b/>
                <w:bCs/>
                <w:color w:val="auto"/>
                <w:sz w:val="24"/>
                <w:szCs w:val="24"/>
                <w:highlight w:val="none"/>
              </w:rPr>
            </w:pPr>
            <w:r>
              <w:rPr>
                <w:rFonts w:ascii="Times New Roman" w:hAnsi="Times New Roman" w:eastAsia="宋体" w:cs="Times New Roman"/>
                <w:b/>
                <w:bCs/>
                <w:color w:val="auto"/>
                <w:sz w:val="24"/>
                <w:szCs w:val="24"/>
                <w:highlight w:val="none"/>
              </w:rPr>
              <w:t>②非正常工况</w:t>
            </w:r>
          </w:p>
          <w:p>
            <w:pPr>
              <w:spacing w:line="360" w:lineRule="auto"/>
              <w:ind w:firstLine="480" w:firstLineChars="200"/>
              <w:rPr>
                <w:rFonts w:ascii="Times New Roman" w:hAnsi="Times New Roman" w:eastAsia="宋体" w:cs="Times New Roman"/>
                <w:bCs/>
                <w:color w:val="auto"/>
                <w:sz w:val="24"/>
                <w:szCs w:val="24"/>
                <w:highlight w:val="none"/>
              </w:rPr>
            </w:pPr>
            <w:r>
              <w:rPr>
                <w:rFonts w:ascii="Times New Roman" w:hAnsi="Times New Roman" w:eastAsia="宋体" w:cs="Times New Roman"/>
                <w:bCs/>
                <w:color w:val="auto"/>
                <w:sz w:val="24"/>
                <w:szCs w:val="24"/>
                <w:highlight w:val="none"/>
              </w:rPr>
              <w:t>该项目非正常排放考虑袋式除尘和二级活性炭装置达不到应有的收集处理效率从而发生非正常排放，一般事故的非正常排放效率约每年1-3次，为小概率事件。本次评价取1次/年，每次持续时间30分钟。根据污染源核算中的污染物产生情况，本项目非正常排放源强见下表所示：</w:t>
            </w:r>
          </w:p>
          <w:p>
            <w:pPr>
              <w:adjustRightInd w:val="0"/>
              <w:spacing w:line="324" w:lineRule="auto"/>
              <w:jc w:val="center"/>
              <w:rPr>
                <w:rFonts w:ascii="Times New Roman" w:hAnsi="Times New Roman" w:eastAsia="黑体" w:cs="Times New Roman"/>
                <w:color w:val="auto"/>
                <w:sz w:val="24"/>
                <w:highlight w:val="none"/>
              </w:rPr>
            </w:pPr>
            <w:r>
              <w:rPr>
                <w:rFonts w:ascii="Times New Roman" w:hAnsi="Times New Roman" w:eastAsia="黑体" w:cs="Times New Roman"/>
                <w:color w:val="auto"/>
                <w:sz w:val="24"/>
                <w:highlight w:val="none"/>
              </w:rPr>
              <w:t>表4-</w:t>
            </w:r>
            <w:r>
              <w:rPr>
                <w:rFonts w:hint="eastAsia" w:ascii="Times New Roman" w:hAnsi="Times New Roman" w:eastAsia="黑体" w:cs="Times New Roman"/>
                <w:color w:val="auto"/>
                <w:sz w:val="24"/>
                <w:highlight w:val="none"/>
              </w:rPr>
              <w:t xml:space="preserve">5  </w:t>
            </w:r>
            <w:r>
              <w:rPr>
                <w:rFonts w:ascii="Times New Roman" w:hAnsi="Times New Roman" w:eastAsia="黑体" w:cs="Times New Roman"/>
                <w:color w:val="auto"/>
                <w:sz w:val="24"/>
                <w:highlight w:val="none"/>
              </w:rPr>
              <w:t>项目非正常工况排放参数表</w:t>
            </w:r>
          </w:p>
          <w:tbl>
            <w:tblPr>
              <w:tblStyle w:val="18"/>
              <w:tblW w:w="4996"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160"/>
              <w:gridCol w:w="1296"/>
              <w:gridCol w:w="1094"/>
              <w:gridCol w:w="1505"/>
              <w:gridCol w:w="1638"/>
              <w:gridCol w:w="1207"/>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734" w:type="pct"/>
                  <w:tcBorders>
                    <w:top w:val="single" w:color="auto" w:sz="8" w:space="0"/>
                  </w:tcBorders>
                  <w:vAlign w:val="center"/>
                </w:tcPr>
                <w:p>
                  <w:pPr>
                    <w:widowControl/>
                    <w:snapToGrid w:val="0"/>
                    <w:spacing w:line="276" w:lineRule="auto"/>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非正常</w:t>
                  </w:r>
                </w:p>
                <w:p>
                  <w:pPr>
                    <w:widowControl/>
                    <w:snapToGrid w:val="0"/>
                    <w:spacing w:line="276" w:lineRule="auto"/>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排放源</w:t>
                  </w:r>
                </w:p>
              </w:tc>
              <w:tc>
                <w:tcPr>
                  <w:tcW w:w="820" w:type="pct"/>
                  <w:tcBorders>
                    <w:top w:val="single" w:color="auto" w:sz="8" w:space="0"/>
                  </w:tcBorders>
                  <w:vAlign w:val="center"/>
                </w:tcPr>
                <w:p>
                  <w:pPr>
                    <w:widowControl/>
                    <w:snapToGrid w:val="0"/>
                    <w:spacing w:line="276" w:lineRule="auto"/>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非正常排放原因</w:t>
                  </w:r>
                </w:p>
              </w:tc>
              <w:tc>
                <w:tcPr>
                  <w:tcW w:w="692" w:type="pct"/>
                  <w:tcBorders>
                    <w:top w:val="single" w:color="auto" w:sz="8" w:space="0"/>
                  </w:tcBorders>
                  <w:vAlign w:val="center"/>
                </w:tcPr>
                <w:p>
                  <w:pPr>
                    <w:widowControl/>
                    <w:snapToGrid w:val="0"/>
                    <w:spacing w:line="276" w:lineRule="auto"/>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污染物</w:t>
                  </w:r>
                </w:p>
              </w:tc>
              <w:tc>
                <w:tcPr>
                  <w:tcW w:w="952" w:type="pct"/>
                  <w:tcBorders>
                    <w:top w:val="single" w:color="auto" w:sz="8" w:space="0"/>
                  </w:tcBorders>
                  <w:vAlign w:val="center"/>
                </w:tcPr>
                <w:p>
                  <w:pPr>
                    <w:widowControl/>
                    <w:snapToGrid w:val="0"/>
                    <w:spacing w:line="276" w:lineRule="auto"/>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单次持续时间（h）</w:t>
                  </w:r>
                </w:p>
              </w:tc>
              <w:tc>
                <w:tcPr>
                  <w:tcW w:w="1036" w:type="pct"/>
                  <w:tcBorders>
                    <w:top w:val="single" w:color="auto" w:sz="8" w:space="0"/>
                  </w:tcBorders>
                  <w:vAlign w:val="center"/>
                </w:tcPr>
                <w:p>
                  <w:pPr>
                    <w:widowControl/>
                    <w:snapToGrid w:val="0"/>
                    <w:spacing w:line="276" w:lineRule="auto"/>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非正常排放量（t/a）</w:t>
                  </w:r>
                </w:p>
              </w:tc>
              <w:tc>
                <w:tcPr>
                  <w:tcW w:w="763" w:type="pct"/>
                  <w:tcBorders>
                    <w:top w:val="single" w:color="auto" w:sz="8" w:space="0"/>
                  </w:tcBorders>
                  <w:vAlign w:val="center"/>
                </w:tcPr>
                <w:p>
                  <w:pPr>
                    <w:widowControl/>
                    <w:snapToGrid w:val="0"/>
                    <w:spacing w:line="276" w:lineRule="auto"/>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年发生频次（次）</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734" w:type="pct"/>
                  <w:vAlign w:val="center"/>
                </w:tcPr>
                <w:p>
                  <w:pPr>
                    <w:widowControl/>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生产工艺</w:t>
                  </w:r>
                </w:p>
                <w:p>
                  <w:pPr>
                    <w:widowControl/>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废气</w:t>
                  </w:r>
                </w:p>
              </w:tc>
              <w:tc>
                <w:tcPr>
                  <w:tcW w:w="820" w:type="pct"/>
                  <w:vAlign w:val="center"/>
                </w:tcPr>
                <w:p>
                  <w:pPr>
                    <w:widowControl/>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废气治理</w:t>
                  </w:r>
                </w:p>
                <w:p>
                  <w:pPr>
                    <w:widowControl/>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设施故障</w:t>
                  </w:r>
                </w:p>
              </w:tc>
              <w:tc>
                <w:tcPr>
                  <w:tcW w:w="692" w:type="pct"/>
                  <w:vAlign w:val="center"/>
                </w:tcPr>
                <w:p>
                  <w:pPr>
                    <w:widowControl/>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颗粒物</w:t>
                  </w:r>
                </w:p>
              </w:tc>
              <w:tc>
                <w:tcPr>
                  <w:tcW w:w="952" w:type="pct"/>
                  <w:vAlign w:val="center"/>
                </w:tcPr>
                <w:p>
                  <w:pPr>
                    <w:widowControl/>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0.5</w:t>
                  </w:r>
                </w:p>
              </w:tc>
              <w:tc>
                <w:tcPr>
                  <w:tcW w:w="1036" w:type="pct"/>
                  <w:vAlign w:val="center"/>
                </w:tcPr>
                <w:p>
                  <w:pPr>
                    <w:widowControl/>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1.305</w:t>
                  </w:r>
                </w:p>
              </w:tc>
              <w:tc>
                <w:tcPr>
                  <w:tcW w:w="763" w:type="pct"/>
                  <w:vAlign w:val="center"/>
                </w:tcPr>
                <w:p>
                  <w:pPr>
                    <w:widowControl/>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1</w:t>
                  </w:r>
                </w:p>
              </w:tc>
            </w:tr>
          </w:tbl>
          <w:p>
            <w:pPr>
              <w:spacing w:line="360" w:lineRule="auto"/>
              <w:ind w:firstLine="480" w:firstLineChars="200"/>
              <w:rPr>
                <w:rFonts w:ascii="Times New Roman" w:hAnsi="Times New Roman" w:eastAsia="宋体" w:cs="Times New Roman"/>
                <w:bCs/>
                <w:color w:val="auto"/>
                <w:sz w:val="24"/>
                <w:szCs w:val="24"/>
                <w:highlight w:val="none"/>
              </w:rPr>
            </w:pPr>
            <w:r>
              <w:rPr>
                <w:rFonts w:ascii="Times New Roman" w:hAnsi="Times New Roman" w:eastAsia="宋体" w:cs="Times New Roman"/>
                <w:bCs/>
                <w:color w:val="auto"/>
                <w:sz w:val="24"/>
                <w:szCs w:val="24"/>
                <w:highlight w:val="none"/>
              </w:rPr>
              <w:t>由上表可知，本项目在污染治理设施非正常运行时，短时间内污染物排放浓度较大，但由于持续时间较短，污染物的排放量不会明显增加。此外，为保证废气治理设施处理效率，企业应定期对废气处理系统等环保设施进行维护和保养，一旦发现设施运行异常，应立即停止生产，迅速抢修或更换，待废气处理设施运行正常后恢复生产。对员工进行岗位培训。做好值班记录，实行岗位责任制。</w:t>
            </w:r>
          </w:p>
          <w:p>
            <w:pPr>
              <w:spacing w:line="360" w:lineRule="auto"/>
              <w:ind w:firstLine="482" w:firstLineChars="200"/>
              <w:jc w:val="left"/>
              <w:rPr>
                <w:rFonts w:ascii="Times New Roman" w:hAnsi="Times New Roman" w:eastAsia="宋体" w:cs="Times New Roman"/>
                <w:b/>
                <w:bCs/>
                <w:color w:val="auto"/>
                <w:sz w:val="24"/>
                <w:szCs w:val="24"/>
                <w:highlight w:val="none"/>
              </w:rPr>
            </w:pPr>
            <w:r>
              <w:rPr>
                <w:rFonts w:ascii="Times New Roman" w:hAnsi="Times New Roman" w:eastAsia="宋体" w:cs="Times New Roman"/>
                <w:b/>
                <w:bCs/>
                <w:color w:val="auto"/>
                <w:sz w:val="24"/>
                <w:szCs w:val="24"/>
                <w:highlight w:val="none"/>
              </w:rPr>
              <w:t>2、运营期大气环境保护措施</w:t>
            </w:r>
          </w:p>
          <w:p>
            <w:pPr>
              <w:spacing w:line="360" w:lineRule="auto"/>
              <w:ind w:firstLine="480" w:firstLineChars="200"/>
              <w:rPr>
                <w:rFonts w:ascii="Times New Roman" w:hAnsi="Times New Roman" w:eastAsia="宋体" w:cs="Times New Roman"/>
                <w:color w:val="auto"/>
                <w:sz w:val="24"/>
                <w:szCs w:val="24"/>
                <w:highlight w:val="none"/>
              </w:rPr>
            </w:pPr>
            <w:r>
              <w:rPr>
                <w:rFonts w:ascii="Times New Roman" w:hAnsi="Times New Roman" w:eastAsia="宋体" w:cs="Times New Roman"/>
                <w:color w:val="auto"/>
                <w:sz w:val="24"/>
                <w:szCs w:val="24"/>
                <w:highlight w:val="none"/>
              </w:rPr>
              <w:t>参考《排污许可证申请与核发技术规范 铁路、船舶、航空航天和其他运输设备制造业》（HJ1031-2019）中附录 C“表C.4 其他运输设备 制造排污单位废气污染防治推荐可行技术”，详见下表：</w:t>
            </w:r>
          </w:p>
          <w:p>
            <w:pPr>
              <w:adjustRightInd w:val="0"/>
              <w:spacing w:line="324" w:lineRule="auto"/>
              <w:jc w:val="center"/>
              <w:rPr>
                <w:rFonts w:ascii="Times New Roman" w:hAnsi="Times New Roman" w:eastAsia="黑体" w:cs="Times New Roman"/>
                <w:color w:val="auto"/>
                <w:sz w:val="24"/>
                <w:highlight w:val="none"/>
              </w:rPr>
            </w:pPr>
            <w:r>
              <w:rPr>
                <w:rFonts w:ascii="Times New Roman" w:hAnsi="Times New Roman" w:eastAsia="黑体" w:cs="Times New Roman"/>
                <w:color w:val="auto"/>
                <w:sz w:val="24"/>
                <w:highlight w:val="none"/>
              </w:rPr>
              <w:t>表4-</w:t>
            </w:r>
            <w:r>
              <w:rPr>
                <w:rFonts w:hint="eastAsia" w:ascii="Times New Roman" w:hAnsi="Times New Roman" w:eastAsia="黑体" w:cs="Times New Roman"/>
                <w:color w:val="auto"/>
                <w:sz w:val="24"/>
                <w:highlight w:val="none"/>
              </w:rPr>
              <w:t>6</w:t>
            </w:r>
            <w:r>
              <w:rPr>
                <w:rFonts w:ascii="Times New Roman" w:hAnsi="Times New Roman" w:eastAsia="黑体" w:cs="Times New Roman"/>
                <w:color w:val="auto"/>
                <w:sz w:val="24"/>
                <w:highlight w:val="none"/>
              </w:rPr>
              <w:t xml:space="preserve"> 推荐可行技术一览表</w:t>
            </w:r>
          </w:p>
          <w:tbl>
            <w:tblPr>
              <w:tblStyle w:val="18"/>
              <w:tblW w:w="4994"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68"/>
              <w:gridCol w:w="1973"/>
              <w:gridCol w:w="1973"/>
              <w:gridCol w:w="19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248" w:type="pct"/>
                  <w:tcBorders>
                    <w:top w:val="single" w:color="auto" w:sz="8" w:space="0"/>
                  </w:tcBorders>
                  <w:vAlign w:val="center"/>
                </w:tcPr>
                <w:p>
                  <w:pPr>
                    <w:snapToGrid w:val="0"/>
                    <w:jc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sz w:val="18"/>
                      <w:szCs w:val="18"/>
                      <w:highlight w:val="none"/>
                    </w:rPr>
                    <w:t>生产单元</w:t>
                  </w:r>
                </w:p>
              </w:tc>
              <w:tc>
                <w:tcPr>
                  <w:tcW w:w="1250" w:type="pct"/>
                  <w:tcBorders>
                    <w:top w:val="single" w:color="auto" w:sz="8" w:space="0"/>
                  </w:tcBorders>
                  <w:vAlign w:val="center"/>
                </w:tcPr>
                <w:p>
                  <w:pPr>
                    <w:snapToGrid w:val="0"/>
                    <w:jc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sz w:val="18"/>
                      <w:szCs w:val="18"/>
                      <w:highlight w:val="none"/>
                    </w:rPr>
                    <w:t>主要生产设施名称</w:t>
                  </w:r>
                </w:p>
              </w:tc>
              <w:tc>
                <w:tcPr>
                  <w:tcW w:w="1250" w:type="pct"/>
                  <w:tcBorders>
                    <w:top w:val="single" w:color="auto" w:sz="8" w:space="0"/>
                  </w:tcBorders>
                  <w:vAlign w:val="center"/>
                </w:tcPr>
                <w:p>
                  <w:pPr>
                    <w:snapToGrid w:val="0"/>
                    <w:jc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sz w:val="18"/>
                      <w:szCs w:val="18"/>
                      <w:highlight w:val="none"/>
                    </w:rPr>
                    <w:t>大气污染物</w:t>
                  </w:r>
                </w:p>
              </w:tc>
              <w:tc>
                <w:tcPr>
                  <w:tcW w:w="1250" w:type="pct"/>
                  <w:tcBorders>
                    <w:top w:val="single" w:color="auto" w:sz="8" w:space="0"/>
                    <w:right w:val="nil"/>
                  </w:tcBorders>
                  <w:vAlign w:val="center"/>
                </w:tcPr>
                <w:p>
                  <w:pPr>
                    <w:snapToGrid w:val="0"/>
                    <w:jc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sz w:val="18"/>
                      <w:szCs w:val="18"/>
                      <w:highlight w:val="none"/>
                    </w:rPr>
                    <w:t>推荐可行技术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248" w:type="pct"/>
                  <w:tcBorders>
                    <w:left w:val="nil"/>
                  </w:tcBorders>
                  <w:vAlign w:val="center"/>
                </w:tcPr>
                <w:p>
                  <w:pPr>
                    <w:snapToGrid w:val="0"/>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下料</w:t>
                  </w:r>
                </w:p>
              </w:tc>
              <w:tc>
                <w:tcPr>
                  <w:tcW w:w="1250" w:type="pct"/>
                  <w:vAlign w:val="center"/>
                </w:tcPr>
                <w:p>
                  <w:pPr>
                    <w:snapToGrid w:val="0"/>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各种切割设备</w:t>
                  </w:r>
                </w:p>
              </w:tc>
              <w:tc>
                <w:tcPr>
                  <w:tcW w:w="1250" w:type="pct"/>
                  <w:vAlign w:val="center"/>
                </w:tcPr>
                <w:p>
                  <w:pPr>
                    <w:snapToGrid w:val="0"/>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颗粒物</w:t>
                  </w:r>
                </w:p>
              </w:tc>
              <w:tc>
                <w:tcPr>
                  <w:tcW w:w="1250" w:type="pct"/>
                  <w:tcBorders>
                    <w:right w:val="nil"/>
                  </w:tcBorders>
                  <w:vAlign w:val="center"/>
                </w:tcPr>
                <w:p>
                  <w:pPr>
                    <w:snapToGrid w:val="0"/>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袋式除尘、静电除尘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248" w:type="pct"/>
                  <w:tcBorders>
                    <w:left w:val="nil"/>
                  </w:tcBorders>
                  <w:vAlign w:val="center"/>
                </w:tcPr>
                <w:p>
                  <w:pPr>
                    <w:snapToGrid w:val="0"/>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焊接</w:t>
                  </w:r>
                </w:p>
              </w:tc>
              <w:tc>
                <w:tcPr>
                  <w:tcW w:w="1250" w:type="pct"/>
                  <w:vAlign w:val="center"/>
                </w:tcPr>
                <w:p>
                  <w:pPr>
                    <w:snapToGrid w:val="0"/>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弧焊机、气焊机、钎焊机、激光焊机、等离子焊机等</w:t>
                  </w:r>
                </w:p>
              </w:tc>
              <w:tc>
                <w:tcPr>
                  <w:tcW w:w="1250" w:type="pct"/>
                  <w:vAlign w:val="center"/>
                </w:tcPr>
                <w:p>
                  <w:pPr>
                    <w:snapToGrid w:val="0"/>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颗粒物</w:t>
                  </w:r>
                </w:p>
              </w:tc>
              <w:tc>
                <w:tcPr>
                  <w:tcW w:w="1250" w:type="pct"/>
                  <w:tcBorders>
                    <w:right w:val="nil"/>
                  </w:tcBorders>
                  <w:vAlign w:val="center"/>
                </w:tcPr>
                <w:p>
                  <w:pPr>
                    <w:snapToGrid w:val="0"/>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袋式除尘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248" w:type="pct"/>
                  <w:vMerge w:val="restart"/>
                  <w:tcBorders>
                    <w:left w:val="nil"/>
                  </w:tcBorders>
                  <w:vAlign w:val="center"/>
                </w:tcPr>
                <w:p>
                  <w:pPr>
                    <w:snapToGrid w:val="0"/>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涂装</w:t>
                  </w:r>
                </w:p>
              </w:tc>
              <w:tc>
                <w:tcPr>
                  <w:tcW w:w="1250" w:type="pct"/>
                  <w:vAlign w:val="center"/>
                </w:tcPr>
                <w:p>
                  <w:pPr>
                    <w:snapToGrid w:val="0"/>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粉末喷涂室</w:t>
                  </w:r>
                </w:p>
              </w:tc>
              <w:tc>
                <w:tcPr>
                  <w:tcW w:w="1250" w:type="pct"/>
                  <w:vAlign w:val="center"/>
                </w:tcPr>
                <w:p>
                  <w:pPr>
                    <w:snapToGrid w:val="0"/>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颗粒物</w:t>
                  </w:r>
                </w:p>
              </w:tc>
              <w:tc>
                <w:tcPr>
                  <w:tcW w:w="1250" w:type="pct"/>
                  <w:tcBorders>
                    <w:right w:val="nil"/>
                  </w:tcBorders>
                  <w:vAlign w:val="center"/>
                </w:tcPr>
                <w:p>
                  <w:pPr>
                    <w:snapToGrid w:val="0"/>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袋式除尘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248" w:type="pct"/>
                  <w:vMerge w:val="continue"/>
                  <w:tcBorders>
                    <w:left w:val="nil"/>
                    <w:bottom w:val="single" w:color="auto" w:sz="8" w:space="0"/>
                  </w:tcBorders>
                  <w:vAlign w:val="center"/>
                </w:tcPr>
                <w:p>
                  <w:pPr>
                    <w:snapToGrid w:val="0"/>
                    <w:jc w:val="center"/>
                    <w:rPr>
                      <w:rFonts w:ascii="Times New Roman" w:hAnsi="Times New Roman" w:eastAsia="宋体" w:cs="Times New Roman"/>
                      <w:color w:val="auto"/>
                      <w:sz w:val="18"/>
                      <w:szCs w:val="18"/>
                      <w:highlight w:val="none"/>
                    </w:rPr>
                  </w:pPr>
                </w:p>
              </w:tc>
              <w:tc>
                <w:tcPr>
                  <w:tcW w:w="1250" w:type="pct"/>
                  <w:tcBorders>
                    <w:bottom w:val="single" w:color="auto" w:sz="8" w:space="0"/>
                  </w:tcBorders>
                  <w:vAlign w:val="center"/>
                </w:tcPr>
                <w:p>
                  <w:pPr>
                    <w:snapToGrid w:val="0"/>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烘干室（段）</w:t>
                  </w:r>
                </w:p>
              </w:tc>
              <w:tc>
                <w:tcPr>
                  <w:tcW w:w="1250" w:type="pct"/>
                  <w:tcBorders>
                    <w:bottom w:val="single" w:color="auto" w:sz="8" w:space="0"/>
                  </w:tcBorders>
                  <w:vAlign w:val="center"/>
                </w:tcPr>
                <w:p>
                  <w:pPr>
                    <w:snapToGrid w:val="0"/>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挥发性有机物</w:t>
                  </w:r>
                </w:p>
              </w:tc>
              <w:tc>
                <w:tcPr>
                  <w:tcW w:w="1250" w:type="pct"/>
                  <w:tcBorders>
                    <w:bottom w:val="single" w:color="auto" w:sz="8" w:space="0"/>
                    <w:right w:val="nil"/>
                  </w:tcBorders>
                  <w:vAlign w:val="center"/>
                </w:tcPr>
                <w:p>
                  <w:pPr>
                    <w:snapToGrid w:val="0"/>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活性炭吸附、吸附/浓缩+热力燃烧/催化氧化</w:t>
                  </w:r>
                </w:p>
              </w:tc>
            </w:tr>
          </w:tbl>
          <w:p>
            <w:pPr>
              <w:spacing w:line="360" w:lineRule="auto"/>
              <w:ind w:firstLine="480" w:firstLineChars="200"/>
              <w:rPr>
                <w:rFonts w:ascii="Times New Roman" w:hAnsi="Times New Roman" w:eastAsia="宋体" w:cs="Times New Roman"/>
                <w:color w:val="auto"/>
                <w:sz w:val="24"/>
                <w:szCs w:val="24"/>
                <w:highlight w:val="none"/>
              </w:rPr>
            </w:pPr>
            <w:r>
              <w:rPr>
                <w:rFonts w:ascii="Times New Roman" w:hAnsi="Times New Roman" w:eastAsia="宋体" w:cs="Times New Roman"/>
                <w:color w:val="auto"/>
                <w:sz w:val="24"/>
                <w:szCs w:val="24"/>
                <w:highlight w:val="none"/>
              </w:rPr>
              <w:t>对照上表，本项目切割粉尘和焊接烟尘经集气罩收集，通过袋式除尘器处理后，由15m高1#排气筒排放为可行技术；固化烘干过程中产生的固化废气经二级活性炭吸附后，由15m高2#排气筒排放为可行技术。</w:t>
            </w:r>
          </w:p>
          <w:p>
            <w:pPr>
              <w:spacing w:line="360" w:lineRule="auto"/>
              <w:ind w:firstLine="480" w:firstLineChars="200"/>
              <w:rPr>
                <w:rFonts w:ascii="Times New Roman" w:hAnsi="Times New Roman" w:eastAsia="宋体" w:cs="Times New Roman"/>
                <w:color w:val="auto"/>
                <w:sz w:val="24"/>
                <w:szCs w:val="20"/>
                <w:highlight w:val="none"/>
              </w:rPr>
            </w:pPr>
            <w:r>
              <w:rPr>
                <w:rFonts w:ascii="Times New Roman" w:hAnsi="Times New Roman" w:eastAsia="宋体" w:cs="Times New Roman"/>
                <w:color w:val="auto"/>
                <w:sz w:val="24"/>
                <w:szCs w:val="24"/>
                <w:highlight w:val="none"/>
              </w:rPr>
              <w:t>本项目喷塑过程在密闭式的喷塑间进行，</w:t>
            </w:r>
            <w:r>
              <w:rPr>
                <w:rFonts w:ascii="Times New Roman" w:hAnsi="Times New Roman" w:eastAsia="宋体" w:cs="Times New Roman"/>
                <w:color w:val="auto"/>
                <w:sz w:val="24"/>
                <w:szCs w:val="20"/>
                <w:highlight w:val="none"/>
              </w:rPr>
              <w:t>未喷上工件的粉末</w:t>
            </w:r>
            <w:r>
              <w:rPr>
                <w:rFonts w:ascii="Times New Roman" w:hAnsi="Times New Roman" w:eastAsia="宋体" w:cs="Times New Roman"/>
                <w:color w:val="auto"/>
                <w:sz w:val="24"/>
                <w:highlight w:val="none"/>
              </w:rPr>
              <w:t>通过喷塑间内设置大旋风+滤芯粉末回收装置</w:t>
            </w:r>
            <w:r>
              <w:rPr>
                <w:rFonts w:ascii="Times New Roman" w:hAnsi="Times New Roman" w:eastAsia="宋体" w:cs="Times New Roman"/>
                <w:color w:val="auto"/>
                <w:sz w:val="24"/>
                <w:szCs w:val="20"/>
                <w:highlight w:val="none"/>
              </w:rPr>
              <w:t>回收后全部回用。</w:t>
            </w:r>
          </w:p>
          <w:p>
            <w:pPr>
              <w:spacing w:line="360" w:lineRule="auto"/>
              <w:ind w:firstLine="480" w:firstLineChars="200"/>
              <w:rPr>
                <w:rFonts w:ascii="Times New Roman" w:hAnsi="Times New Roman" w:eastAsia="宋体" w:cs="Times New Roman"/>
                <w:bCs/>
                <w:color w:val="auto"/>
                <w:sz w:val="24"/>
                <w:szCs w:val="24"/>
                <w:highlight w:val="none"/>
              </w:rPr>
            </w:pPr>
            <w:r>
              <w:rPr>
                <w:rFonts w:ascii="Times New Roman" w:hAnsi="Times New Roman" w:eastAsia="宋体" w:cs="Times New Roman"/>
                <w:color w:val="auto"/>
                <w:sz w:val="24"/>
                <w:szCs w:val="24"/>
                <w:highlight w:val="none"/>
              </w:rPr>
              <w:t>综上可知，本项目废气污染治理措施可行，可以实现长期稳定达标排放，对大气影响可接受。</w:t>
            </w:r>
          </w:p>
          <w:p>
            <w:pPr>
              <w:spacing w:line="360" w:lineRule="auto"/>
              <w:ind w:firstLine="482" w:firstLineChars="200"/>
              <w:rPr>
                <w:rFonts w:ascii="Times New Roman" w:hAnsi="Times New Roman" w:eastAsia="宋体" w:cs="Times New Roman"/>
                <w:b/>
                <w:color w:val="auto"/>
                <w:sz w:val="24"/>
                <w:highlight w:val="none"/>
              </w:rPr>
            </w:pPr>
            <w:r>
              <w:rPr>
                <w:rFonts w:ascii="Times New Roman" w:hAnsi="Times New Roman" w:eastAsia="宋体" w:cs="Times New Roman"/>
                <w:b/>
                <w:color w:val="auto"/>
                <w:sz w:val="24"/>
                <w:highlight w:val="none"/>
              </w:rPr>
              <w:t>（3）监测计划</w:t>
            </w:r>
          </w:p>
          <w:p>
            <w:pPr>
              <w:spacing w:line="360" w:lineRule="auto"/>
              <w:ind w:firstLine="480" w:firstLineChars="200"/>
              <w:rPr>
                <w:rFonts w:ascii="Times New Roman" w:hAnsi="Times New Roman" w:eastAsia="宋体" w:cs="Times New Roman"/>
                <w:color w:val="auto"/>
                <w:sz w:val="24"/>
                <w:highlight w:val="none"/>
              </w:rPr>
            </w:pPr>
            <w:r>
              <w:rPr>
                <w:rFonts w:hint="eastAsia" w:ascii="Times New Roman" w:hAnsi="Times New Roman" w:eastAsia="宋体" w:cs="Times New Roman"/>
                <w:color w:val="auto"/>
                <w:sz w:val="24"/>
                <w:highlight w:val="none"/>
              </w:rPr>
              <w:t>本项目的国民经济行业类别为某某行业，根据《固定污染源排污许可分类管理名录》（2019年版）规定，企业属于登记管理，无需申领排污许可证，故亦无需开展自行监测；鉴于企业运营期有污染物外排，建议企业运营期开展污染物排放监测，其监测内容如下表所示：</w:t>
            </w:r>
          </w:p>
          <w:p>
            <w:pPr>
              <w:adjustRightInd w:val="0"/>
              <w:spacing w:line="324" w:lineRule="auto"/>
              <w:jc w:val="center"/>
              <w:rPr>
                <w:rFonts w:ascii="Times New Roman" w:hAnsi="Times New Roman" w:eastAsia="黑体" w:cs="Times New Roman"/>
                <w:color w:val="auto"/>
                <w:sz w:val="24"/>
                <w:highlight w:val="none"/>
              </w:rPr>
            </w:pPr>
            <w:r>
              <w:rPr>
                <w:rFonts w:ascii="Times New Roman" w:hAnsi="Times New Roman" w:eastAsia="黑体" w:cs="Times New Roman"/>
                <w:color w:val="auto"/>
                <w:sz w:val="24"/>
                <w:highlight w:val="none"/>
              </w:rPr>
              <w:t>表4-7  废气监测计划一览表</w:t>
            </w:r>
          </w:p>
          <w:tbl>
            <w:tblPr>
              <w:tblStyle w:val="17"/>
              <w:tblW w:w="4998" w:type="pct"/>
              <w:jc w:val="center"/>
              <w:tblBorders>
                <w:top w:val="single" w:color="auto" w:sz="8" w:space="0"/>
                <w:left w:val="none" w:color="auto" w:sz="0" w:space="0"/>
                <w:bottom w:val="single" w:color="auto" w:sz="8"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689"/>
              <w:gridCol w:w="1923"/>
              <w:gridCol w:w="1199"/>
              <w:gridCol w:w="1460"/>
              <w:gridCol w:w="2632"/>
            </w:tblGrid>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36" w:type="pct"/>
                  <w:tcBorders>
                    <w:tl2br w:val="nil"/>
                    <w:tr2bl w:val="nil"/>
                  </w:tcBorders>
                  <w:vAlign w:val="center"/>
                </w:tcPr>
                <w:p>
                  <w:pPr>
                    <w:snapToGrid w:val="0"/>
                    <w:spacing w:line="276" w:lineRule="auto"/>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类别</w:t>
                  </w:r>
                </w:p>
              </w:tc>
              <w:tc>
                <w:tcPr>
                  <w:tcW w:w="1216" w:type="pct"/>
                  <w:tcBorders>
                    <w:tl2br w:val="nil"/>
                    <w:tr2bl w:val="nil"/>
                  </w:tcBorders>
                  <w:vAlign w:val="center"/>
                </w:tcPr>
                <w:p>
                  <w:pPr>
                    <w:snapToGrid w:val="0"/>
                    <w:spacing w:line="276" w:lineRule="auto"/>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监测点位</w:t>
                  </w:r>
                </w:p>
              </w:tc>
              <w:tc>
                <w:tcPr>
                  <w:tcW w:w="758" w:type="pct"/>
                  <w:tcBorders>
                    <w:bottom w:val="single" w:color="auto" w:sz="4" w:space="0"/>
                  </w:tcBorders>
                  <w:vAlign w:val="center"/>
                </w:tcPr>
                <w:p>
                  <w:pPr>
                    <w:snapToGrid w:val="0"/>
                    <w:spacing w:line="276" w:lineRule="auto"/>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监测因子</w:t>
                  </w:r>
                </w:p>
              </w:tc>
              <w:tc>
                <w:tcPr>
                  <w:tcW w:w="923" w:type="pct"/>
                  <w:tcBorders>
                    <w:bottom w:val="single" w:color="auto" w:sz="4" w:space="0"/>
                  </w:tcBorders>
                  <w:vAlign w:val="center"/>
                </w:tcPr>
                <w:p>
                  <w:pPr>
                    <w:snapToGrid w:val="0"/>
                    <w:spacing w:line="276" w:lineRule="auto"/>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监测频率</w:t>
                  </w:r>
                </w:p>
              </w:tc>
              <w:tc>
                <w:tcPr>
                  <w:tcW w:w="1664" w:type="pct"/>
                  <w:tcBorders>
                    <w:bottom w:val="single" w:color="auto" w:sz="4" w:space="0"/>
                  </w:tcBorders>
                  <w:vAlign w:val="center"/>
                </w:tcPr>
                <w:p>
                  <w:pPr>
                    <w:snapToGrid w:val="0"/>
                    <w:spacing w:line="276" w:lineRule="auto"/>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执行标准</w:t>
                  </w: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36" w:type="pct"/>
                  <w:vMerge w:val="restart"/>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废气</w:t>
                  </w:r>
                </w:p>
              </w:tc>
              <w:tc>
                <w:tcPr>
                  <w:tcW w:w="1216" w:type="pct"/>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排气筒DA001</w:t>
                  </w:r>
                </w:p>
              </w:tc>
              <w:tc>
                <w:tcPr>
                  <w:tcW w:w="758" w:type="pct"/>
                  <w:tcBorders>
                    <w:top w:val="single" w:color="auto" w:sz="4" w:space="0"/>
                    <w:bottom w:val="single" w:color="auto" w:sz="4" w:space="0"/>
                  </w:tcBorders>
                  <w:vAlign w:val="center"/>
                </w:tcPr>
                <w:p>
                  <w:pPr>
                    <w:snapToGrid w:val="0"/>
                    <w:spacing w:line="276" w:lineRule="auto"/>
                    <w:jc w:val="center"/>
                    <w:rPr>
                      <w:rFonts w:ascii="Times New Roman" w:hAnsi="Times New Roman" w:eastAsia="宋体" w:cs="Times New Roman"/>
                      <w:bCs/>
                      <w:color w:val="auto"/>
                      <w:spacing w:val="8"/>
                      <w:sz w:val="18"/>
                      <w:szCs w:val="18"/>
                      <w:highlight w:val="none"/>
                    </w:rPr>
                  </w:pPr>
                  <w:r>
                    <w:rPr>
                      <w:rFonts w:ascii="Times New Roman" w:hAnsi="Times New Roman" w:eastAsia="宋体" w:cs="Times New Roman"/>
                      <w:bCs/>
                      <w:color w:val="auto"/>
                      <w:spacing w:val="8"/>
                      <w:sz w:val="18"/>
                      <w:szCs w:val="18"/>
                      <w:highlight w:val="none"/>
                    </w:rPr>
                    <w:t>颗粒物</w:t>
                  </w:r>
                </w:p>
              </w:tc>
              <w:tc>
                <w:tcPr>
                  <w:tcW w:w="923" w:type="pct"/>
                  <w:tcBorders>
                    <w:top w:val="single" w:color="auto" w:sz="4" w:space="0"/>
                    <w:bottom w:val="single" w:color="auto" w:sz="4" w:space="0"/>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1次/年</w:t>
                  </w:r>
                </w:p>
              </w:tc>
              <w:tc>
                <w:tcPr>
                  <w:tcW w:w="1664" w:type="pct"/>
                  <w:tcBorders>
                    <w:top w:val="single" w:color="auto" w:sz="4" w:space="0"/>
                    <w:bottom w:val="single" w:color="auto" w:sz="4" w:space="0"/>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《大气污染物综合排放标准》（GB16297-1996）</w:t>
                  </w: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36" w:type="pct"/>
                  <w:vMerge w:val="continue"/>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p>
              </w:tc>
              <w:tc>
                <w:tcPr>
                  <w:tcW w:w="1216" w:type="pct"/>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排气筒DA002</w:t>
                  </w:r>
                </w:p>
              </w:tc>
              <w:tc>
                <w:tcPr>
                  <w:tcW w:w="758" w:type="pct"/>
                  <w:tcBorders>
                    <w:top w:val="single" w:color="auto" w:sz="4" w:space="0"/>
                    <w:bottom w:val="single" w:color="auto" w:sz="4" w:space="0"/>
                  </w:tcBorders>
                  <w:vAlign w:val="center"/>
                </w:tcPr>
                <w:p>
                  <w:pPr>
                    <w:snapToGrid w:val="0"/>
                    <w:spacing w:line="276" w:lineRule="auto"/>
                    <w:jc w:val="center"/>
                    <w:rPr>
                      <w:rFonts w:ascii="Times New Roman" w:hAnsi="Times New Roman" w:eastAsia="宋体" w:cs="Times New Roman"/>
                      <w:bCs/>
                      <w:color w:val="auto"/>
                      <w:spacing w:val="8"/>
                      <w:sz w:val="18"/>
                      <w:szCs w:val="18"/>
                      <w:highlight w:val="none"/>
                    </w:rPr>
                  </w:pPr>
                  <w:r>
                    <w:rPr>
                      <w:rFonts w:ascii="Times New Roman" w:hAnsi="Times New Roman" w:eastAsia="宋体" w:cs="Times New Roman"/>
                      <w:bCs/>
                      <w:color w:val="auto"/>
                      <w:spacing w:val="8"/>
                      <w:sz w:val="18"/>
                      <w:szCs w:val="18"/>
                      <w:highlight w:val="none"/>
                    </w:rPr>
                    <w:t>非甲烷总烃</w:t>
                  </w:r>
                </w:p>
              </w:tc>
              <w:tc>
                <w:tcPr>
                  <w:tcW w:w="923" w:type="pct"/>
                  <w:tcBorders>
                    <w:top w:val="single" w:color="auto" w:sz="4" w:space="0"/>
                    <w:bottom w:val="single" w:color="auto" w:sz="4" w:space="0"/>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1次/年</w:t>
                  </w:r>
                </w:p>
              </w:tc>
              <w:tc>
                <w:tcPr>
                  <w:tcW w:w="1664" w:type="pct"/>
                  <w:tcBorders>
                    <w:top w:val="single" w:color="auto" w:sz="4" w:space="0"/>
                    <w:bottom w:val="single" w:color="auto" w:sz="4" w:space="0"/>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《合成树脂工业污染物排放标准》（GB31572-2015）</w:t>
                  </w: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36" w:type="pct"/>
                  <w:vMerge w:val="continue"/>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p>
              </w:tc>
              <w:tc>
                <w:tcPr>
                  <w:tcW w:w="1216" w:type="pct"/>
                  <w:tcBorders>
                    <w:tl2br w:val="nil"/>
                    <w:tr2bl w:val="nil"/>
                  </w:tcBorders>
                  <w:vAlign w:val="center"/>
                </w:tcPr>
                <w:p>
                  <w:pPr>
                    <w:pStyle w:val="25"/>
                    <w:adjustRightInd/>
                    <w:snapToGrid w:val="0"/>
                    <w:spacing w:line="276" w:lineRule="auto"/>
                    <w:jc w:val="center"/>
                    <w:rPr>
                      <w:rFonts w:ascii="Times New Roman" w:cs="Times New Roman"/>
                      <w:color w:val="auto"/>
                      <w:sz w:val="18"/>
                      <w:szCs w:val="18"/>
                      <w:highlight w:val="none"/>
                    </w:rPr>
                  </w:pPr>
                  <w:r>
                    <w:rPr>
                      <w:rFonts w:ascii="Times New Roman" w:cs="Times New Roman"/>
                      <w:color w:val="auto"/>
                      <w:sz w:val="18"/>
                      <w:szCs w:val="18"/>
                      <w:highlight w:val="none"/>
                    </w:rPr>
                    <w:t>厂界无组织</w:t>
                  </w:r>
                </w:p>
              </w:tc>
              <w:tc>
                <w:tcPr>
                  <w:tcW w:w="758" w:type="pct"/>
                  <w:tcBorders>
                    <w:top w:val="single" w:color="auto" w:sz="4" w:space="0"/>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颗粒物</w:t>
                  </w:r>
                </w:p>
              </w:tc>
              <w:tc>
                <w:tcPr>
                  <w:tcW w:w="923" w:type="pct"/>
                  <w:tcBorders>
                    <w:top w:val="single" w:color="auto" w:sz="4" w:space="0"/>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1次/季度</w:t>
                  </w:r>
                </w:p>
              </w:tc>
              <w:tc>
                <w:tcPr>
                  <w:tcW w:w="1664" w:type="pct"/>
                  <w:tcBorders>
                    <w:top w:val="single" w:color="auto" w:sz="4" w:space="0"/>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《挥发性有机物无组织排放控制标准》（GB 37822-2019）</w:t>
                  </w:r>
                </w:p>
              </w:tc>
            </w:tr>
          </w:tbl>
          <w:p>
            <w:pPr>
              <w:spacing w:line="360" w:lineRule="auto"/>
              <w:rPr>
                <w:rFonts w:ascii="Times New Roman" w:hAnsi="Times New Roman" w:eastAsia="宋体" w:cs="Times New Roman"/>
                <w:b/>
                <w:bCs/>
                <w:color w:val="auto"/>
                <w:sz w:val="24"/>
                <w:szCs w:val="24"/>
                <w:highlight w:val="none"/>
              </w:rPr>
            </w:pPr>
            <w:r>
              <w:rPr>
                <w:rFonts w:ascii="Times New Roman" w:hAnsi="Times New Roman" w:eastAsia="宋体" w:cs="Times New Roman"/>
                <w:b/>
                <w:bCs/>
                <w:color w:val="auto"/>
                <w:sz w:val="24"/>
                <w:szCs w:val="24"/>
                <w:highlight w:val="none"/>
              </w:rPr>
              <w:t>三、运营期声环境影响和保护措施</w:t>
            </w:r>
          </w:p>
          <w:p>
            <w:pPr>
              <w:pStyle w:val="25"/>
              <w:adjustRightInd/>
              <w:spacing w:line="360" w:lineRule="auto"/>
              <w:ind w:firstLine="482" w:firstLineChars="200"/>
              <w:jc w:val="both"/>
              <w:rPr>
                <w:rFonts w:ascii="Times New Roman" w:cs="Times New Roman"/>
                <w:b/>
                <w:bCs/>
                <w:color w:val="auto"/>
                <w:highlight w:val="none"/>
              </w:rPr>
            </w:pPr>
            <w:r>
              <w:rPr>
                <w:rFonts w:ascii="Times New Roman" w:cs="Times New Roman"/>
                <w:b/>
                <w:bCs/>
                <w:color w:val="auto"/>
                <w:highlight w:val="none"/>
              </w:rPr>
              <w:t>1、运营期声环境影响分析</w:t>
            </w:r>
          </w:p>
          <w:p>
            <w:pPr>
              <w:spacing w:line="360" w:lineRule="auto"/>
              <w:ind w:firstLine="540" w:firstLineChars="225"/>
              <w:rPr>
                <w:rFonts w:ascii="Times New Roman" w:hAnsi="Times New Roman" w:eastAsia="宋体" w:cs="Times New Roman"/>
                <w:bCs/>
                <w:color w:val="auto"/>
                <w:sz w:val="24"/>
                <w:highlight w:val="none"/>
              </w:rPr>
            </w:pPr>
            <w:r>
              <w:rPr>
                <w:rFonts w:ascii="Times New Roman" w:hAnsi="Times New Roman" w:eastAsia="宋体" w:cs="Times New Roman"/>
                <w:color w:val="auto"/>
                <w:sz w:val="24"/>
                <w:szCs w:val="24"/>
                <w:highlight w:val="none"/>
              </w:rPr>
              <w:t>本项目噪声污染源主要为各类设备运行噪声，项目采用减振、隔声、消声措施后，能有效减低噪声环境影响。具体设备噪声源强见下表：</w:t>
            </w:r>
          </w:p>
          <w:p>
            <w:pPr>
              <w:adjustRightInd w:val="0"/>
              <w:spacing w:line="324" w:lineRule="auto"/>
              <w:jc w:val="center"/>
              <w:rPr>
                <w:rFonts w:ascii="Times New Roman" w:hAnsi="Times New Roman" w:eastAsia="黑体" w:cs="Times New Roman"/>
                <w:color w:val="auto"/>
                <w:sz w:val="24"/>
                <w:highlight w:val="none"/>
              </w:rPr>
            </w:pPr>
            <w:r>
              <w:rPr>
                <w:rFonts w:ascii="Times New Roman" w:hAnsi="Times New Roman" w:eastAsia="黑体" w:cs="Times New Roman"/>
                <w:color w:val="auto"/>
                <w:sz w:val="24"/>
                <w:highlight w:val="none"/>
              </w:rPr>
              <w:t>表4-8  工业企业噪声源强调查清单（室内声源）</w:t>
            </w:r>
          </w:p>
          <w:tbl>
            <w:tblPr>
              <w:tblStyle w:val="17"/>
              <w:tblW w:w="5000" w:type="pct"/>
              <w:jc w:val="center"/>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Layout w:type="autofit"/>
              <w:tblCellMar>
                <w:top w:w="0" w:type="dxa"/>
                <w:left w:w="108" w:type="dxa"/>
                <w:bottom w:w="0" w:type="dxa"/>
                <w:right w:w="108" w:type="dxa"/>
              </w:tblCellMar>
            </w:tblPr>
            <w:tblGrid>
              <w:gridCol w:w="397"/>
              <w:gridCol w:w="397"/>
              <w:gridCol w:w="397"/>
              <w:gridCol w:w="397"/>
              <w:gridCol w:w="708"/>
              <w:gridCol w:w="576"/>
              <w:gridCol w:w="456"/>
              <w:gridCol w:w="486"/>
              <w:gridCol w:w="441"/>
              <w:gridCol w:w="416"/>
              <w:gridCol w:w="737"/>
              <w:gridCol w:w="627"/>
              <w:gridCol w:w="687"/>
              <w:gridCol w:w="737"/>
              <w:gridCol w:w="447"/>
            </w:tblGrid>
            <w:tr>
              <w:tblPrEx>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251" w:type="pct"/>
                  <w:vMerge w:val="restar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kern w:val="0"/>
                      <w:sz w:val="18"/>
                      <w:szCs w:val="18"/>
                      <w:highlight w:val="none"/>
                    </w:rPr>
                    <w:t>序号</w:t>
                  </w:r>
                </w:p>
              </w:tc>
              <w:tc>
                <w:tcPr>
                  <w:tcW w:w="251" w:type="pct"/>
                  <w:vMerge w:val="restar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kern w:val="0"/>
                      <w:sz w:val="18"/>
                      <w:szCs w:val="18"/>
                      <w:highlight w:val="none"/>
                    </w:rPr>
                    <w:t>建筑物名称</w:t>
                  </w:r>
                </w:p>
              </w:tc>
              <w:tc>
                <w:tcPr>
                  <w:tcW w:w="251" w:type="pct"/>
                  <w:vMerge w:val="restar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kern w:val="0"/>
                      <w:sz w:val="18"/>
                      <w:szCs w:val="18"/>
                      <w:highlight w:val="none"/>
                    </w:rPr>
                    <w:t>声源名称</w:t>
                  </w:r>
                </w:p>
              </w:tc>
              <w:tc>
                <w:tcPr>
                  <w:tcW w:w="251" w:type="pct"/>
                  <w:vMerge w:val="restar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kern w:val="0"/>
                      <w:sz w:val="18"/>
                      <w:szCs w:val="18"/>
                      <w:highlight w:val="none"/>
                    </w:rPr>
                    <w:t>设备数量</w:t>
                  </w:r>
                </w:p>
              </w:tc>
              <w:tc>
                <w:tcPr>
                  <w:tcW w:w="447"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kern w:val="0"/>
                      <w:sz w:val="18"/>
                      <w:szCs w:val="18"/>
                      <w:highlight w:val="none"/>
                    </w:rPr>
                    <w:t>声源源强</w:t>
                  </w:r>
                </w:p>
              </w:tc>
              <w:tc>
                <w:tcPr>
                  <w:tcW w:w="364" w:type="pct"/>
                  <w:vMerge w:val="restar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kern w:val="0"/>
                      <w:sz w:val="18"/>
                      <w:szCs w:val="18"/>
                      <w:highlight w:val="none"/>
                    </w:rPr>
                    <w:t>声源控制措施</w:t>
                  </w:r>
                </w:p>
              </w:tc>
              <w:tc>
                <w:tcPr>
                  <w:tcW w:w="874" w:type="pct"/>
                  <w:gridSpan w:val="3"/>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kern w:val="0"/>
                      <w:sz w:val="18"/>
                      <w:szCs w:val="18"/>
                      <w:highlight w:val="none"/>
                    </w:rPr>
                    <w:t>空间相对位置/m</w:t>
                  </w:r>
                </w:p>
              </w:tc>
              <w:tc>
                <w:tcPr>
                  <w:tcW w:w="263" w:type="pct"/>
                  <w:vMerge w:val="restar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kern w:val="0"/>
                      <w:sz w:val="18"/>
                      <w:szCs w:val="18"/>
                      <w:highlight w:val="none"/>
                    </w:rPr>
                    <w:t>距室内边界距离/m</w:t>
                  </w:r>
                </w:p>
              </w:tc>
              <w:tc>
                <w:tcPr>
                  <w:tcW w:w="466" w:type="pct"/>
                  <w:vMerge w:val="restar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kern w:val="0"/>
                      <w:sz w:val="18"/>
                      <w:szCs w:val="18"/>
                      <w:highlight w:val="none"/>
                    </w:rPr>
                    <w:t>室内边界声级/dB(A)</w:t>
                  </w:r>
                </w:p>
              </w:tc>
              <w:tc>
                <w:tcPr>
                  <w:tcW w:w="396" w:type="pct"/>
                  <w:vMerge w:val="restar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kern w:val="0"/>
                      <w:sz w:val="18"/>
                      <w:szCs w:val="18"/>
                      <w:highlight w:val="none"/>
                    </w:rPr>
                    <w:t>运行时段</w:t>
                  </w:r>
                </w:p>
              </w:tc>
              <w:tc>
                <w:tcPr>
                  <w:tcW w:w="434" w:type="pct"/>
                  <w:vMerge w:val="restar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kern w:val="0"/>
                      <w:sz w:val="18"/>
                      <w:szCs w:val="18"/>
                      <w:highlight w:val="none"/>
                    </w:rPr>
                    <w:t>建筑物插入损失 / dB(A)</w:t>
                  </w:r>
                </w:p>
              </w:tc>
              <w:tc>
                <w:tcPr>
                  <w:tcW w:w="748" w:type="pct"/>
                  <w:gridSpan w:val="2"/>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kern w:val="0"/>
                      <w:sz w:val="18"/>
                      <w:szCs w:val="18"/>
                      <w:highlight w:val="none"/>
                    </w:rPr>
                    <w:t>建筑物外噪声</w:t>
                  </w:r>
                </w:p>
              </w:tc>
            </w:tr>
            <w:tr>
              <w:tblPrEx>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251" w:type="pct"/>
                  <w:vMerge w:val="continue"/>
                  <w:tcBorders>
                    <w:tl2br w:val="nil"/>
                    <w:tr2bl w:val="nil"/>
                  </w:tcBorders>
                  <w:shd w:val="clear" w:color="auto" w:fill="auto"/>
                  <w:vAlign w:val="center"/>
                </w:tcPr>
                <w:p>
                  <w:pPr>
                    <w:widowControl/>
                    <w:adjustRightInd w:val="0"/>
                    <w:snapToGrid w:val="0"/>
                    <w:jc w:val="center"/>
                    <w:rPr>
                      <w:rFonts w:ascii="Times New Roman" w:hAnsi="Times New Roman" w:eastAsia="宋体" w:cs="Times New Roman"/>
                      <w:b/>
                      <w:bCs/>
                      <w:color w:val="auto"/>
                      <w:sz w:val="18"/>
                      <w:szCs w:val="18"/>
                      <w:highlight w:val="none"/>
                    </w:rPr>
                  </w:pPr>
                </w:p>
              </w:tc>
              <w:tc>
                <w:tcPr>
                  <w:tcW w:w="251" w:type="pct"/>
                  <w:vMerge w:val="continue"/>
                  <w:tcBorders>
                    <w:tl2br w:val="nil"/>
                    <w:tr2bl w:val="nil"/>
                  </w:tcBorders>
                  <w:shd w:val="clear" w:color="auto" w:fill="auto"/>
                  <w:vAlign w:val="center"/>
                </w:tcPr>
                <w:p>
                  <w:pPr>
                    <w:widowControl/>
                    <w:adjustRightInd w:val="0"/>
                    <w:snapToGrid w:val="0"/>
                    <w:jc w:val="center"/>
                    <w:rPr>
                      <w:rFonts w:ascii="Times New Roman" w:hAnsi="Times New Roman" w:eastAsia="宋体" w:cs="Times New Roman"/>
                      <w:b/>
                      <w:bCs/>
                      <w:color w:val="auto"/>
                      <w:sz w:val="18"/>
                      <w:szCs w:val="18"/>
                      <w:highlight w:val="none"/>
                    </w:rPr>
                  </w:pPr>
                </w:p>
              </w:tc>
              <w:tc>
                <w:tcPr>
                  <w:tcW w:w="251" w:type="pct"/>
                  <w:vMerge w:val="continue"/>
                  <w:tcBorders>
                    <w:tl2br w:val="nil"/>
                    <w:tr2bl w:val="nil"/>
                  </w:tcBorders>
                  <w:shd w:val="clear" w:color="auto" w:fill="auto"/>
                  <w:vAlign w:val="center"/>
                </w:tcPr>
                <w:p>
                  <w:pPr>
                    <w:widowControl/>
                    <w:adjustRightInd w:val="0"/>
                    <w:snapToGrid w:val="0"/>
                    <w:jc w:val="center"/>
                    <w:rPr>
                      <w:rFonts w:ascii="Times New Roman" w:hAnsi="Times New Roman" w:eastAsia="宋体" w:cs="Times New Roman"/>
                      <w:b/>
                      <w:bCs/>
                      <w:color w:val="auto"/>
                      <w:sz w:val="18"/>
                      <w:szCs w:val="18"/>
                      <w:highlight w:val="none"/>
                    </w:rPr>
                  </w:pPr>
                </w:p>
              </w:tc>
              <w:tc>
                <w:tcPr>
                  <w:tcW w:w="251" w:type="pct"/>
                  <w:vMerge w:val="continue"/>
                  <w:tcBorders>
                    <w:tl2br w:val="nil"/>
                    <w:tr2bl w:val="nil"/>
                  </w:tcBorders>
                  <w:shd w:val="clear" w:color="auto" w:fill="auto"/>
                  <w:vAlign w:val="center"/>
                </w:tcPr>
                <w:p>
                  <w:pPr>
                    <w:widowControl/>
                    <w:adjustRightInd w:val="0"/>
                    <w:snapToGrid w:val="0"/>
                    <w:jc w:val="center"/>
                    <w:rPr>
                      <w:rFonts w:ascii="Times New Roman" w:hAnsi="Times New Roman" w:eastAsia="宋体" w:cs="Times New Roman"/>
                      <w:b/>
                      <w:bCs/>
                      <w:color w:val="auto"/>
                      <w:sz w:val="18"/>
                      <w:szCs w:val="18"/>
                      <w:highlight w:val="none"/>
                    </w:rPr>
                  </w:pPr>
                </w:p>
              </w:tc>
              <w:tc>
                <w:tcPr>
                  <w:tcW w:w="447"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kern w:val="0"/>
                      <w:sz w:val="18"/>
                      <w:szCs w:val="18"/>
                      <w:highlight w:val="none"/>
                    </w:rPr>
                    <w:t>声压级/dB（A）</w:t>
                  </w:r>
                </w:p>
              </w:tc>
              <w:tc>
                <w:tcPr>
                  <w:tcW w:w="364" w:type="pct"/>
                  <w:vMerge w:val="continue"/>
                  <w:tcBorders>
                    <w:tl2br w:val="nil"/>
                    <w:tr2bl w:val="nil"/>
                  </w:tcBorders>
                  <w:shd w:val="clear" w:color="auto" w:fill="auto"/>
                  <w:vAlign w:val="center"/>
                </w:tcPr>
                <w:p>
                  <w:pPr>
                    <w:widowControl/>
                    <w:adjustRightInd w:val="0"/>
                    <w:snapToGrid w:val="0"/>
                    <w:jc w:val="center"/>
                    <w:rPr>
                      <w:rFonts w:ascii="Times New Roman" w:hAnsi="Times New Roman" w:eastAsia="宋体" w:cs="Times New Roman"/>
                      <w:b/>
                      <w:bCs/>
                      <w:color w:val="auto"/>
                      <w:sz w:val="18"/>
                      <w:szCs w:val="18"/>
                      <w:highlight w:val="none"/>
                    </w:rPr>
                  </w:pPr>
                </w:p>
              </w:tc>
              <w:tc>
                <w:tcPr>
                  <w:tcW w:w="288"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kern w:val="0"/>
                      <w:sz w:val="18"/>
                      <w:szCs w:val="18"/>
                      <w:highlight w:val="none"/>
                    </w:rPr>
                    <w:t>X</w:t>
                  </w:r>
                </w:p>
              </w:tc>
              <w:tc>
                <w:tcPr>
                  <w:tcW w:w="307"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kern w:val="0"/>
                      <w:sz w:val="18"/>
                      <w:szCs w:val="18"/>
                      <w:highlight w:val="none"/>
                    </w:rPr>
                    <w:t>Y</w:t>
                  </w:r>
                </w:p>
              </w:tc>
              <w:tc>
                <w:tcPr>
                  <w:tcW w:w="278"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kern w:val="0"/>
                      <w:sz w:val="18"/>
                      <w:szCs w:val="18"/>
                      <w:highlight w:val="none"/>
                    </w:rPr>
                    <w:t>Z</w:t>
                  </w:r>
                </w:p>
              </w:tc>
              <w:tc>
                <w:tcPr>
                  <w:tcW w:w="263" w:type="pct"/>
                  <w:vMerge w:val="continue"/>
                  <w:tcBorders>
                    <w:tl2br w:val="nil"/>
                    <w:tr2bl w:val="nil"/>
                  </w:tcBorders>
                  <w:shd w:val="clear" w:color="auto" w:fill="auto"/>
                  <w:vAlign w:val="center"/>
                </w:tcPr>
                <w:p>
                  <w:pPr>
                    <w:widowControl/>
                    <w:adjustRightInd w:val="0"/>
                    <w:snapToGrid w:val="0"/>
                    <w:jc w:val="center"/>
                    <w:rPr>
                      <w:rFonts w:ascii="Times New Roman" w:hAnsi="Times New Roman" w:eastAsia="宋体" w:cs="Times New Roman"/>
                      <w:b/>
                      <w:bCs/>
                      <w:color w:val="auto"/>
                      <w:sz w:val="18"/>
                      <w:szCs w:val="18"/>
                      <w:highlight w:val="none"/>
                    </w:rPr>
                  </w:pPr>
                </w:p>
              </w:tc>
              <w:tc>
                <w:tcPr>
                  <w:tcW w:w="466" w:type="pct"/>
                  <w:vMerge w:val="continue"/>
                  <w:tcBorders>
                    <w:tl2br w:val="nil"/>
                    <w:tr2bl w:val="nil"/>
                  </w:tcBorders>
                  <w:shd w:val="clear" w:color="auto" w:fill="auto"/>
                  <w:vAlign w:val="center"/>
                </w:tcPr>
                <w:p>
                  <w:pPr>
                    <w:widowControl/>
                    <w:adjustRightInd w:val="0"/>
                    <w:snapToGrid w:val="0"/>
                    <w:jc w:val="center"/>
                    <w:rPr>
                      <w:rFonts w:ascii="Times New Roman" w:hAnsi="Times New Roman" w:eastAsia="宋体" w:cs="Times New Roman"/>
                      <w:b/>
                      <w:bCs/>
                      <w:color w:val="auto"/>
                      <w:sz w:val="18"/>
                      <w:szCs w:val="18"/>
                      <w:highlight w:val="none"/>
                    </w:rPr>
                  </w:pPr>
                </w:p>
              </w:tc>
              <w:tc>
                <w:tcPr>
                  <w:tcW w:w="396" w:type="pct"/>
                  <w:vMerge w:val="continue"/>
                  <w:tcBorders>
                    <w:tl2br w:val="nil"/>
                    <w:tr2bl w:val="nil"/>
                  </w:tcBorders>
                  <w:shd w:val="clear" w:color="auto" w:fill="auto"/>
                  <w:vAlign w:val="center"/>
                </w:tcPr>
                <w:p>
                  <w:pPr>
                    <w:widowControl/>
                    <w:adjustRightInd w:val="0"/>
                    <w:snapToGrid w:val="0"/>
                    <w:jc w:val="center"/>
                    <w:rPr>
                      <w:rFonts w:ascii="Times New Roman" w:hAnsi="Times New Roman" w:eastAsia="宋体" w:cs="Times New Roman"/>
                      <w:b/>
                      <w:bCs/>
                      <w:color w:val="auto"/>
                      <w:sz w:val="18"/>
                      <w:szCs w:val="18"/>
                      <w:highlight w:val="none"/>
                    </w:rPr>
                  </w:pPr>
                </w:p>
              </w:tc>
              <w:tc>
                <w:tcPr>
                  <w:tcW w:w="434" w:type="pct"/>
                  <w:vMerge w:val="continue"/>
                  <w:tcBorders>
                    <w:tl2br w:val="nil"/>
                    <w:tr2bl w:val="nil"/>
                  </w:tcBorders>
                  <w:shd w:val="clear" w:color="auto" w:fill="auto"/>
                  <w:vAlign w:val="center"/>
                </w:tcPr>
                <w:p>
                  <w:pPr>
                    <w:widowControl/>
                    <w:adjustRightInd w:val="0"/>
                    <w:snapToGrid w:val="0"/>
                    <w:jc w:val="center"/>
                    <w:rPr>
                      <w:rFonts w:ascii="Times New Roman" w:hAnsi="Times New Roman" w:eastAsia="宋体" w:cs="Times New Roman"/>
                      <w:b/>
                      <w:bCs/>
                      <w:color w:val="auto"/>
                      <w:sz w:val="18"/>
                      <w:szCs w:val="18"/>
                      <w:highlight w:val="none"/>
                    </w:rPr>
                  </w:pPr>
                </w:p>
              </w:tc>
              <w:tc>
                <w:tcPr>
                  <w:tcW w:w="466"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kern w:val="0"/>
                      <w:sz w:val="18"/>
                      <w:szCs w:val="18"/>
                      <w:highlight w:val="none"/>
                    </w:rPr>
                    <w:t>声压级/dB(A)</w:t>
                  </w:r>
                </w:p>
              </w:tc>
              <w:tc>
                <w:tcPr>
                  <w:tcW w:w="282"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kern w:val="0"/>
                      <w:sz w:val="18"/>
                      <w:szCs w:val="18"/>
                      <w:highlight w:val="none"/>
                    </w:rPr>
                    <w:t>建筑物外距离</w:t>
                  </w:r>
                </w:p>
              </w:tc>
            </w:tr>
            <w:tr>
              <w:tblPrEx>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251"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1</w:t>
                  </w:r>
                </w:p>
              </w:tc>
              <w:tc>
                <w:tcPr>
                  <w:tcW w:w="251" w:type="pct"/>
                  <w:vMerge w:val="restar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1#厂房</w:t>
                  </w:r>
                </w:p>
              </w:tc>
              <w:tc>
                <w:tcPr>
                  <w:tcW w:w="251" w:type="pct"/>
                  <w:tcBorders>
                    <w:tl2br w:val="nil"/>
                    <w:tr2bl w:val="nil"/>
                  </w:tcBorders>
                  <w:shd w:val="clear" w:color="auto" w:fill="auto"/>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激光切割机</w:t>
                  </w:r>
                </w:p>
              </w:tc>
              <w:tc>
                <w:tcPr>
                  <w:tcW w:w="251"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1</w:t>
                  </w:r>
                </w:p>
              </w:tc>
              <w:tc>
                <w:tcPr>
                  <w:tcW w:w="447"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85</w:t>
                  </w:r>
                </w:p>
              </w:tc>
              <w:tc>
                <w:tcPr>
                  <w:tcW w:w="364" w:type="pct"/>
                  <w:vMerge w:val="restar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选用低噪声设备、减振、隔声</w:t>
                  </w:r>
                </w:p>
              </w:tc>
              <w:tc>
                <w:tcPr>
                  <w:tcW w:w="288"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-6</w:t>
                  </w:r>
                </w:p>
              </w:tc>
              <w:tc>
                <w:tcPr>
                  <w:tcW w:w="307"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171</w:t>
                  </w:r>
                </w:p>
              </w:tc>
              <w:tc>
                <w:tcPr>
                  <w:tcW w:w="278"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0.5</w:t>
                  </w:r>
                </w:p>
              </w:tc>
              <w:tc>
                <w:tcPr>
                  <w:tcW w:w="263"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5</w:t>
                  </w:r>
                </w:p>
              </w:tc>
              <w:tc>
                <w:tcPr>
                  <w:tcW w:w="466" w:type="pct"/>
                  <w:tcBorders>
                    <w:tl2br w:val="nil"/>
                    <w:tr2bl w:val="nil"/>
                  </w:tcBorders>
                  <w:shd w:val="clear" w:color="auto" w:fill="auto"/>
                  <w:noWrap/>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71.0</w:t>
                  </w:r>
                </w:p>
              </w:tc>
              <w:tc>
                <w:tcPr>
                  <w:tcW w:w="396" w:type="pct"/>
                  <w:vMerge w:val="restart"/>
                  <w:tcBorders>
                    <w:tl2br w:val="nil"/>
                    <w:tr2bl w:val="nil"/>
                  </w:tcBorders>
                  <w:shd w:val="clear" w:color="auto" w:fill="auto"/>
                  <w:noWrap/>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昼/夜</w:t>
                  </w:r>
                </w:p>
              </w:tc>
              <w:tc>
                <w:tcPr>
                  <w:tcW w:w="434" w:type="pct"/>
                  <w:vMerge w:val="restart"/>
                  <w:tcBorders>
                    <w:tl2br w:val="nil"/>
                    <w:tr2bl w:val="nil"/>
                  </w:tcBorders>
                  <w:shd w:val="clear" w:color="auto" w:fill="auto"/>
                  <w:noWrap/>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20</w:t>
                  </w:r>
                </w:p>
              </w:tc>
              <w:tc>
                <w:tcPr>
                  <w:tcW w:w="466" w:type="pct"/>
                  <w:tcBorders>
                    <w:tl2br w:val="nil"/>
                    <w:tr2bl w:val="nil"/>
                  </w:tcBorders>
                  <w:shd w:val="clear" w:color="auto" w:fill="auto"/>
                  <w:noWrap/>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51.0</w:t>
                  </w:r>
                </w:p>
              </w:tc>
              <w:tc>
                <w:tcPr>
                  <w:tcW w:w="282" w:type="pct"/>
                  <w:vMerge w:val="restart"/>
                  <w:tcBorders>
                    <w:tl2br w:val="nil"/>
                    <w:tr2bl w:val="nil"/>
                  </w:tcBorders>
                  <w:shd w:val="clear" w:color="auto" w:fill="auto"/>
                  <w:noWrap/>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1m</w:t>
                  </w:r>
                </w:p>
              </w:tc>
            </w:tr>
            <w:tr>
              <w:tblPrEx>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251"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2</w:t>
                  </w:r>
                </w:p>
              </w:tc>
              <w:tc>
                <w:tcPr>
                  <w:tcW w:w="251" w:type="pct"/>
                  <w:vMerge w:val="continue"/>
                  <w:tcBorders>
                    <w:tl2br w:val="nil"/>
                    <w:tr2bl w:val="nil"/>
                  </w:tcBorders>
                  <w:shd w:val="clear" w:color="auto" w:fill="auto"/>
                  <w:vAlign w:val="center"/>
                </w:tcPr>
                <w:p>
                  <w:pPr>
                    <w:widowControl/>
                    <w:adjustRightInd w:val="0"/>
                    <w:snapToGrid w:val="0"/>
                    <w:jc w:val="center"/>
                    <w:rPr>
                      <w:rFonts w:ascii="Times New Roman" w:hAnsi="Times New Roman" w:eastAsia="宋体" w:cs="Times New Roman"/>
                      <w:color w:val="auto"/>
                      <w:sz w:val="18"/>
                      <w:szCs w:val="18"/>
                      <w:highlight w:val="none"/>
                    </w:rPr>
                  </w:pPr>
                </w:p>
              </w:tc>
              <w:tc>
                <w:tcPr>
                  <w:tcW w:w="251" w:type="pct"/>
                  <w:tcBorders>
                    <w:tl2br w:val="nil"/>
                    <w:tr2bl w:val="nil"/>
                  </w:tcBorders>
                  <w:shd w:val="clear" w:color="auto" w:fill="auto"/>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数控折弯机</w:t>
                  </w:r>
                </w:p>
              </w:tc>
              <w:tc>
                <w:tcPr>
                  <w:tcW w:w="251"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1</w:t>
                  </w:r>
                </w:p>
              </w:tc>
              <w:tc>
                <w:tcPr>
                  <w:tcW w:w="447"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80</w:t>
                  </w:r>
                </w:p>
              </w:tc>
              <w:tc>
                <w:tcPr>
                  <w:tcW w:w="364" w:type="pct"/>
                  <w:vMerge w:val="continue"/>
                  <w:tcBorders>
                    <w:tl2br w:val="nil"/>
                    <w:tr2bl w:val="nil"/>
                  </w:tcBorders>
                  <w:shd w:val="clear" w:color="auto" w:fill="auto"/>
                  <w:vAlign w:val="center"/>
                </w:tcPr>
                <w:p>
                  <w:pPr>
                    <w:widowControl/>
                    <w:adjustRightInd w:val="0"/>
                    <w:snapToGrid w:val="0"/>
                    <w:jc w:val="center"/>
                    <w:rPr>
                      <w:rFonts w:ascii="Times New Roman" w:hAnsi="Times New Roman" w:eastAsia="宋体" w:cs="Times New Roman"/>
                      <w:color w:val="auto"/>
                      <w:sz w:val="18"/>
                      <w:szCs w:val="18"/>
                      <w:highlight w:val="none"/>
                    </w:rPr>
                  </w:pPr>
                </w:p>
              </w:tc>
              <w:tc>
                <w:tcPr>
                  <w:tcW w:w="288"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0</w:t>
                  </w:r>
                </w:p>
              </w:tc>
              <w:tc>
                <w:tcPr>
                  <w:tcW w:w="307"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160</w:t>
                  </w:r>
                </w:p>
              </w:tc>
              <w:tc>
                <w:tcPr>
                  <w:tcW w:w="278"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0.5</w:t>
                  </w:r>
                </w:p>
              </w:tc>
              <w:tc>
                <w:tcPr>
                  <w:tcW w:w="263"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6</w:t>
                  </w:r>
                </w:p>
              </w:tc>
              <w:tc>
                <w:tcPr>
                  <w:tcW w:w="466" w:type="pct"/>
                  <w:tcBorders>
                    <w:tl2br w:val="nil"/>
                    <w:tr2bl w:val="nil"/>
                  </w:tcBorders>
                  <w:shd w:val="clear" w:color="auto" w:fill="auto"/>
                  <w:noWrap/>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64.4</w:t>
                  </w:r>
                </w:p>
              </w:tc>
              <w:tc>
                <w:tcPr>
                  <w:tcW w:w="396" w:type="pct"/>
                  <w:vMerge w:val="continue"/>
                  <w:tcBorders>
                    <w:tl2br w:val="nil"/>
                    <w:tr2bl w:val="nil"/>
                  </w:tcBorders>
                  <w:shd w:val="clear" w:color="auto" w:fill="auto"/>
                  <w:noWrap/>
                  <w:vAlign w:val="center"/>
                </w:tcPr>
                <w:p>
                  <w:pPr>
                    <w:widowControl/>
                    <w:adjustRightInd w:val="0"/>
                    <w:snapToGrid w:val="0"/>
                    <w:jc w:val="center"/>
                    <w:rPr>
                      <w:rFonts w:ascii="Times New Roman" w:hAnsi="Times New Roman" w:eastAsia="宋体" w:cs="Times New Roman"/>
                      <w:color w:val="auto"/>
                      <w:sz w:val="18"/>
                      <w:szCs w:val="18"/>
                      <w:highlight w:val="none"/>
                    </w:rPr>
                  </w:pPr>
                </w:p>
              </w:tc>
              <w:tc>
                <w:tcPr>
                  <w:tcW w:w="434" w:type="pct"/>
                  <w:vMerge w:val="continue"/>
                  <w:tcBorders>
                    <w:tl2br w:val="nil"/>
                    <w:tr2bl w:val="nil"/>
                  </w:tcBorders>
                  <w:shd w:val="clear" w:color="auto" w:fill="auto"/>
                  <w:noWrap/>
                  <w:vAlign w:val="center"/>
                </w:tcPr>
                <w:p>
                  <w:pPr>
                    <w:widowControl/>
                    <w:adjustRightInd w:val="0"/>
                    <w:snapToGrid w:val="0"/>
                    <w:jc w:val="center"/>
                    <w:rPr>
                      <w:rFonts w:ascii="Times New Roman" w:hAnsi="Times New Roman" w:eastAsia="宋体" w:cs="Times New Roman"/>
                      <w:color w:val="auto"/>
                      <w:sz w:val="18"/>
                      <w:szCs w:val="18"/>
                      <w:highlight w:val="none"/>
                    </w:rPr>
                  </w:pPr>
                </w:p>
              </w:tc>
              <w:tc>
                <w:tcPr>
                  <w:tcW w:w="466" w:type="pct"/>
                  <w:tcBorders>
                    <w:tl2br w:val="nil"/>
                    <w:tr2bl w:val="nil"/>
                  </w:tcBorders>
                  <w:shd w:val="clear" w:color="auto" w:fill="auto"/>
                  <w:noWrap/>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44.4</w:t>
                  </w:r>
                </w:p>
              </w:tc>
              <w:tc>
                <w:tcPr>
                  <w:tcW w:w="282" w:type="pct"/>
                  <w:vMerge w:val="continue"/>
                  <w:tcBorders>
                    <w:tl2br w:val="nil"/>
                    <w:tr2bl w:val="nil"/>
                  </w:tcBorders>
                  <w:shd w:val="clear" w:color="auto" w:fill="auto"/>
                  <w:noWrap/>
                  <w:vAlign w:val="center"/>
                </w:tcPr>
                <w:p>
                  <w:pPr>
                    <w:widowControl/>
                    <w:adjustRightInd w:val="0"/>
                    <w:snapToGrid w:val="0"/>
                    <w:jc w:val="center"/>
                    <w:rPr>
                      <w:rFonts w:ascii="Times New Roman" w:hAnsi="Times New Roman" w:eastAsia="宋体" w:cs="Times New Roman"/>
                      <w:color w:val="auto"/>
                      <w:sz w:val="18"/>
                      <w:szCs w:val="18"/>
                      <w:highlight w:val="none"/>
                    </w:rPr>
                  </w:pPr>
                </w:p>
              </w:tc>
            </w:tr>
            <w:tr>
              <w:tblPrEx>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251"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3</w:t>
                  </w:r>
                </w:p>
              </w:tc>
              <w:tc>
                <w:tcPr>
                  <w:tcW w:w="251" w:type="pct"/>
                  <w:vMerge w:val="continue"/>
                  <w:tcBorders>
                    <w:tl2br w:val="nil"/>
                    <w:tr2bl w:val="nil"/>
                  </w:tcBorders>
                  <w:shd w:val="clear" w:color="auto" w:fill="auto"/>
                  <w:vAlign w:val="center"/>
                </w:tcPr>
                <w:p>
                  <w:pPr>
                    <w:widowControl/>
                    <w:adjustRightInd w:val="0"/>
                    <w:snapToGrid w:val="0"/>
                    <w:jc w:val="center"/>
                    <w:rPr>
                      <w:rFonts w:ascii="Times New Roman" w:hAnsi="Times New Roman" w:eastAsia="宋体" w:cs="Times New Roman"/>
                      <w:color w:val="auto"/>
                      <w:sz w:val="18"/>
                      <w:szCs w:val="18"/>
                      <w:highlight w:val="none"/>
                    </w:rPr>
                  </w:pPr>
                </w:p>
              </w:tc>
              <w:tc>
                <w:tcPr>
                  <w:tcW w:w="251" w:type="pct"/>
                  <w:tcBorders>
                    <w:tl2br w:val="nil"/>
                    <w:tr2bl w:val="nil"/>
                  </w:tcBorders>
                  <w:shd w:val="clear" w:color="auto" w:fill="auto"/>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氩弧焊机</w:t>
                  </w:r>
                </w:p>
              </w:tc>
              <w:tc>
                <w:tcPr>
                  <w:tcW w:w="251"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2</w:t>
                  </w:r>
                </w:p>
              </w:tc>
              <w:tc>
                <w:tcPr>
                  <w:tcW w:w="447"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80</w:t>
                  </w:r>
                </w:p>
              </w:tc>
              <w:tc>
                <w:tcPr>
                  <w:tcW w:w="364" w:type="pct"/>
                  <w:vMerge w:val="continue"/>
                  <w:tcBorders>
                    <w:tl2br w:val="nil"/>
                    <w:tr2bl w:val="nil"/>
                  </w:tcBorders>
                  <w:shd w:val="clear" w:color="auto" w:fill="auto"/>
                  <w:vAlign w:val="center"/>
                </w:tcPr>
                <w:p>
                  <w:pPr>
                    <w:widowControl/>
                    <w:adjustRightInd w:val="0"/>
                    <w:snapToGrid w:val="0"/>
                    <w:jc w:val="center"/>
                    <w:rPr>
                      <w:rFonts w:ascii="Times New Roman" w:hAnsi="Times New Roman" w:eastAsia="宋体" w:cs="Times New Roman"/>
                      <w:color w:val="auto"/>
                      <w:sz w:val="18"/>
                      <w:szCs w:val="18"/>
                      <w:highlight w:val="none"/>
                    </w:rPr>
                  </w:pPr>
                </w:p>
              </w:tc>
              <w:tc>
                <w:tcPr>
                  <w:tcW w:w="288"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-18</w:t>
                  </w:r>
                </w:p>
              </w:tc>
              <w:tc>
                <w:tcPr>
                  <w:tcW w:w="307"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140</w:t>
                  </w:r>
                </w:p>
              </w:tc>
              <w:tc>
                <w:tcPr>
                  <w:tcW w:w="278"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0.5</w:t>
                  </w:r>
                </w:p>
              </w:tc>
              <w:tc>
                <w:tcPr>
                  <w:tcW w:w="263"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6</w:t>
                  </w:r>
                </w:p>
              </w:tc>
              <w:tc>
                <w:tcPr>
                  <w:tcW w:w="466" w:type="pct"/>
                  <w:tcBorders>
                    <w:tl2br w:val="nil"/>
                    <w:tr2bl w:val="nil"/>
                  </w:tcBorders>
                  <w:shd w:val="clear" w:color="auto" w:fill="auto"/>
                  <w:noWrap/>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64.4</w:t>
                  </w:r>
                </w:p>
              </w:tc>
              <w:tc>
                <w:tcPr>
                  <w:tcW w:w="396" w:type="pct"/>
                  <w:vMerge w:val="continue"/>
                  <w:tcBorders>
                    <w:tl2br w:val="nil"/>
                    <w:tr2bl w:val="nil"/>
                  </w:tcBorders>
                  <w:shd w:val="clear" w:color="auto" w:fill="auto"/>
                  <w:noWrap/>
                  <w:vAlign w:val="center"/>
                </w:tcPr>
                <w:p>
                  <w:pPr>
                    <w:widowControl/>
                    <w:adjustRightInd w:val="0"/>
                    <w:snapToGrid w:val="0"/>
                    <w:jc w:val="center"/>
                    <w:rPr>
                      <w:rFonts w:ascii="Times New Roman" w:hAnsi="Times New Roman" w:eastAsia="宋体" w:cs="Times New Roman"/>
                      <w:color w:val="auto"/>
                      <w:sz w:val="18"/>
                      <w:szCs w:val="18"/>
                      <w:highlight w:val="none"/>
                    </w:rPr>
                  </w:pPr>
                </w:p>
              </w:tc>
              <w:tc>
                <w:tcPr>
                  <w:tcW w:w="434" w:type="pct"/>
                  <w:vMerge w:val="continue"/>
                  <w:tcBorders>
                    <w:tl2br w:val="nil"/>
                    <w:tr2bl w:val="nil"/>
                  </w:tcBorders>
                  <w:shd w:val="clear" w:color="auto" w:fill="auto"/>
                  <w:noWrap/>
                  <w:vAlign w:val="center"/>
                </w:tcPr>
                <w:p>
                  <w:pPr>
                    <w:widowControl/>
                    <w:adjustRightInd w:val="0"/>
                    <w:snapToGrid w:val="0"/>
                    <w:jc w:val="center"/>
                    <w:rPr>
                      <w:rFonts w:ascii="Times New Roman" w:hAnsi="Times New Roman" w:eastAsia="宋体" w:cs="Times New Roman"/>
                      <w:color w:val="auto"/>
                      <w:sz w:val="18"/>
                      <w:szCs w:val="18"/>
                      <w:highlight w:val="none"/>
                    </w:rPr>
                  </w:pPr>
                </w:p>
              </w:tc>
              <w:tc>
                <w:tcPr>
                  <w:tcW w:w="466" w:type="pct"/>
                  <w:tcBorders>
                    <w:tl2br w:val="nil"/>
                    <w:tr2bl w:val="nil"/>
                  </w:tcBorders>
                  <w:shd w:val="clear" w:color="auto" w:fill="auto"/>
                  <w:noWrap/>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44.4</w:t>
                  </w:r>
                </w:p>
              </w:tc>
              <w:tc>
                <w:tcPr>
                  <w:tcW w:w="282" w:type="pct"/>
                  <w:vMerge w:val="continue"/>
                  <w:tcBorders>
                    <w:tl2br w:val="nil"/>
                    <w:tr2bl w:val="nil"/>
                  </w:tcBorders>
                  <w:shd w:val="clear" w:color="auto" w:fill="auto"/>
                  <w:noWrap/>
                  <w:vAlign w:val="center"/>
                </w:tcPr>
                <w:p>
                  <w:pPr>
                    <w:widowControl/>
                    <w:adjustRightInd w:val="0"/>
                    <w:snapToGrid w:val="0"/>
                    <w:jc w:val="center"/>
                    <w:rPr>
                      <w:rFonts w:ascii="Times New Roman" w:hAnsi="Times New Roman" w:eastAsia="宋体" w:cs="Times New Roman"/>
                      <w:color w:val="auto"/>
                      <w:sz w:val="18"/>
                      <w:szCs w:val="18"/>
                      <w:highlight w:val="none"/>
                    </w:rPr>
                  </w:pPr>
                </w:p>
              </w:tc>
            </w:tr>
            <w:tr>
              <w:tblPrEx>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251"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4</w:t>
                  </w:r>
                </w:p>
              </w:tc>
              <w:tc>
                <w:tcPr>
                  <w:tcW w:w="251" w:type="pct"/>
                  <w:vMerge w:val="continue"/>
                  <w:tcBorders>
                    <w:tl2br w:val="nil"/>
                    <w:tr2bl w:val="nil"/>
                  </w:tcBorders>
                  <w:shd w:val="clear" w:color="auto" w:fill="auto"/>
                  <w:vAlign w:val="center"/>
                </w:tcPr>
                <w:p>
                  <w:pPr>
                    <w:widowControl/>
                    <w:adjustRightInd w:val="0"/>
                    <w:snapToGrid w:val="0"/>
                    <w:jc w:val="center"/>
                    <w:rPr>
                      <w:rFonts w:ascii="Times New Roman" w:hAnsi="Times New Roman" w:eastAsia="宋体" w:cs="Times New Roman"/>
                      <w:color w:val="auto"/>
                      <w:sz w:val="18"/>
                      <w:szCs w:val="18"/>
                      <w:highlight w:val="none"/>
                    </w:rPr>
                  </w:pPr>
                </w:p>
              </w:tc>
              <w:tc>
                <w:tcPr>
                  <w:tcW w:w="251" w:type="pct"/>
                  <w:tcBorders>
                    <w:tl2br w:val="nil"/>
                    <w:tr2bl w:val="nil"/>
                  </w:tcBorders>
                  <w:shd w:val="clear" w:color="auto" w:fill="auto"/>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气保焊机</w:t>
                  </w:r>
                </w:p>
              </w:tc>
              <w:tc>
                <w:tcPr>
                  <w:tcW w:w="251"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2</w:t>
                  </w:r>
                </w:p>
              </w:tc>
              <w:tc>
                <w:tcPr>
                  <w:tcW w:w="447"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80</w:t>
                  </w:r>
                </w:p>
              </w:tc>
              <w:tc>
                <w:tcPr>
                  <w:tcW w:w="364" w:type="pct"/>
                  <w:vMerge w:val="continue"/>
                  <w:tcBorders>
                    <w:tl2br w:val="nil"/>
                    <w:tr2bl w:val="nil"/>
                  </w:tcBorders>
                  <w:shd w:val="clear" w:color="auto" w:fill="auto"/>
                  <w:vAlign w:val="center"/>
                </w:tcPr>
                <w:p>
                  <w:pPr>
                    <w:widowControl/>
                    <w:adjustRightInd w:val="0"/>
                    <w:snapToGrid w:val="0"/>
                    <w:jc w:val="center"/>
                    <w:rPr>
                      <w:rFonts w:ascii="Times New Roman" w:hAnsi="Times New Roman" w:eastAsia="宋体" w:cs="Times New Roman"/>
                      <w:color w:val="auto"/>
                      <w:sz w:val="18"/>
                      <w:szCs w:val="18"/>
                      <w:highlight w:val="none"/>
                    </w:rPr>
                  </w:pPr>
                </w:p>
              </w:tc>
              <w:tc>
                <w:tcPr>
                  <w:tcW w:w="288"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-15</w:t>
                  </w:r>
                </w:p>
              </w:tc>
              <w:tc>
                <w:tcPr>
                  <w:tcW w:w="307"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135</w:t>
                  </w:r>
                </w:p>
              </w:tc>
              <w:tc>
                <w:tcPr>
                  <w:tcW w:w="278"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0.5</w:t>
                  </w:r>
                </w:p>
              </w:tc>
              <w:tc>
                <w:tcPr>
                  <w:tcW w:w="263"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14</w:t>
                  </w:r>
                </w:p>
              </w:tc>
              <w:tc>
                <w:tcPr>
                  <w:tcW w:w="466" w:type="pct"/>
                  <w:tcBorders>
                    <w:tl2br w:val="nil"/>
                    <w:tr2bl w:val="nil"/>
                  </w:tcBorders>
                  <w:shd w:val="clear" w:color="auto" w:fill="auto"/>
                  <w:noWrap/>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57.1</w:t>
                  </w:r>
                </w:p>
              </w:tc>
              <w:tc>
                <w:tcPr>
                  <w:tcW w:w="396" w:type="pct"/>
                  <w:vMerge w:val="continue"/>
                  <w:tcBorders>
                    <w:tl2br w:val="nil"/>
                    <w:tr2bl w:val="nil"/>
                  </w:tcBorders>
                  <w:shd w:val="clear" w:color="auto" w:fill="auto"/>
                  <w:noWrap/>
                  <w:vAlign w:val="center"/>
                </w:tcPr>
                <w:p>
                  <w:pPr>
                    <w:widowControl/>
                    <w:adjustRightInd w:val="0"/>
                    <w:snapToGrid w:val="0"/>
                    <w:jc w:val="center"/>
                    <w:rPr>
                      <w:rFonts w:ascii="Times New Roman" w:hAnsi="Times New Roman" w:eastAsia="宋体" w:cs="Times New Roman"/>
                      <w:color w:val="auto"/>
                      <w:sz w:val="18"/>
                      <w:szCs w:val="18"/>
                      <w:highlight w:val="none"/>
                    </w:rPr>
                  </w:pPr>
                </w:p>
              </w:tc>
              <w:tc>
                <w:tcPr>
                  <w:tcW w:w="434" w:type="pct"/>
                  <w:vMerge w:val="continue"/>
                  <w:tcBorders>
                    <w:tl2br w:val="nil"/>
                    <w:tr2bl w:val="nil"/>
                  </w:tcBorders>
                  <w:shd w:val="clear" w:color="auto" w:fill="auto"/>
                  <w:noWrap/>
                  <w:vAlign w:val="center"/>
                </w:tcPr>
                <w:p>
                  <w:pPr>
                    <w:widowControl/>
                    <w:adjustRightInd w:val="0"/>
                    <w:snapToGrid w:val="0"/>
                    <w:jc w:val="center"/>
                    <w:rPr>
                      <w:rFonts w:ascii="Times New Roman" w:hAnsi="Times New Roman" w:eastAsia="宋体" w:cs="Times New Roman"/>
                      <w:color w:val="auto"/>
                      <w:sz w:val="18"/>
                      <w:szCs w:val="18"/>
                      <w:highlight w:val="none"/>
                    </w:rPr>
                  </w:pPr>
                </w:p>
              </w:tc>
              <w:tc>
                <w:tcPr>
                  <w:tcW w:w="466" w:type="pct"/>
                  <w:tcBorders>
                    <w:tl2br w:val="nil"/>
                    <w:tr2bl w:val="nil"/>
                  </w:tcBorders>
                  <w:shd w:val="clear" w:color="auto" w:fill="auto"/>
                  <w:noWrap/>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37.1</w:t>
                  </w:r>
                </w:p>
              </w:tc>
              <w:tc>
                <w:tcPr>
                  <w:tcW w:w="282" w:type="pct"/>
                  <w:vMerge w:val="continue"/>
                  <w:tcBorders>
                    <w:tl2br w:val="nil"/>
                    <w:tr2bl w:val="nil"/>
                  </w:tcBorders>
                  <w:shd w:val="clear" w:color="auto" w:fill="auto"/>
                  <w:noWrap/>
                  <w:vAlign w:val="center"/>
                </w:tcPr>
                <w:p>
                  <w:pPr>
                    <w:widowControl/>
                    <w:adjustRightInd w:val="0"/>
                    <w:snapToGrid w:val="0"/>
                    <w:jc w:val="center"/>
                    <w:rPr>
                      <w:rFonts w:ascii="Times New Roman" w:hAnsi="Times New Roman" w:eastAsia="宋体" w:cs="Times New Roman"/>
                      <w:color w:val="auto"/>
                      <w:sz w:val="18"/>
                      <w:szCs w:val="18"/>
                      <w:highlight w:val="none"/>
                    </w:rPr>
                  </w:pPr>
                </w:p>
              </w:tc>
            </w:tr>
            <w:tr>
              <w:tblPrEx>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251"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5</w:t>
                  </w:r>
                </w:p>
              </w:tc>
              <w:tc>
                <w:tcPr>
                  <w:tcW w:w="251" w:type="pct"/>
                  <w:vMerge w:val="continue"/>
                  <w:tcBorders>
                    <w:tl2br w:val="nil"/>
                    <w:tr2bl w:val="nil"/>
                  </w:tcBorders>
                  <w:shd w:val="clear" w:color="auto" w:fill="auto"/>
                  <w:vAlign w:val="center"/>
                </w:tcPr>
                <w:p>
                  <w:pPr>
                    <w:widowControl/>
                    <w:adjustRightInd w:val="0"/>
                    <w:snapToGrid w:val="0"/>
                    <w:jc w:val="center"/>
                    <w:rPr>
                      <w:rFonts w:ascii="Times New Roman" w:hAnsi="Times New Roman" w:eastAsia="宋体" w:cs="Times New Roman"/>
                      <w:color w:val="auto"/>
                      <w:sz w:val="18"/>
                      <w:szCs w:val="18"/>
                      <w:highlight w:val="none"/>
                    </w:rPr>
                  </w:pPr>
                </w:p>
              </w:tc>
              <w:tc>
                <w:tcPr>
                  <w:tcW w:w="251" w:type="pct"/>
                  <w:tcBorders>
                    <w:tl2br w:val="nil"/>
                    <w:tr2bl w:val="nil"/>
                  </w:tcBorders>
                  <w:shd w:val="clear" w:color="auto" w:fill="auto"/>
                  <w:vAlign w:val="center"/>
                </w:tcPr>
                <w:p>
                  <w:pPr>
                    <w:widowControl/>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喷塑间</w:t>
                  </w:r>
                </w:p>
              </w:tc>
              <w:tc>
                <w:tcPr>
                  <w:tcW w:w="251"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9</w:t>
                  </w:r>
                </w:p>
              </w:tc>
              <w:tc>
                <w:tcPr>
                  <w:tcW w:w="447"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80</w:t>
                  </w:r>
                </w:p>
              </w:tc>
              <w:tc>
                <w:tcPr>
                  <w:tcW w:w="364" w:type="pct"/>
                  <w:vMerge w:val="continue"/>
                  <w:tcBorders>
                    <w:tl2br w:val="nil"/>
                    <w:tr2bl w:val="nil"/>
                  </w:tcBorders>
                  <w:shd w:val="clear" w:color="auto" w:fill="auto"/>
                  <w:vAlign w:val="center"/>
                </w:tcPr>
                <w:p>
                  <w:pPr>
                    <w:widowControl/>
                    <w:adjustRightInd w:val="0"/>
                    <w:snapToGrid w:val="0"/>
                    <w:jc w:val="center"/>
                    <w:rPr>
                      <w:rFonts w:ascii="Times New Roman" w:hAnsi="Times New Roman" w:eastAsia="宋体" w:cs="Times New Roman"/>
                      <w:color w:val="auto"/>
                      <w:sz w:val="18"/>
                      <w:szCs w:val="18"/>
                      <w:highlight w:val="none"/>
                    </w:rPr>
                  </w:pPr>
                </w:p>
              </w:tc>
              <w:tc>
                <w:tcPr>
                  <w:tcW w:w="288"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22</w:t>
                  </w:r>
                </w:p>
              </w:tc>
              <w:tc>
                <w:tcPr>
                  <w:tcW w:w="307"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39</w:t>
                  </w:r>
                </w:p>
              </w:tc>
              <w:tc>
                <w:tcPr>
                  <w:tcW w:w="278"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1.5</w:t>
                  </w:r>
                </w:p>
              </w:tc>
              <w:tc>
                <w:tcPr>
                  <w:tcW w:w="263" w:type="pct"/>
                  <w:tcBorders>
                    <w:tl2br w:val="nil"/>
                    <w:tr2bl w:val="nil"/>
                  </w:tcBorders>
                  <w:shd w:val="clear" w:color="auto" w:fill="auto"/>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10</w:t>
                  </w:r>
                </w:p>
              </w:tc>
              <w:tc>
                <w:tcPr>
                  <w:tcW w:w="466" w:type="pct"/>
                  <w:tcBorders>
                    <w:tl2br w:val="nil"/>
                    <w:tr2bl w:val="nil"/>
                  </w:tcBorders>
                  <w:shd w:val="clear" w:color="auto" w:fill="auto"/>
                  <w:noWrap/>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60.0</w:t>
                  </w:r>
                </w:p>
              </w:tc>
              <w:tc>
                <w:tcPr>
                  <w:tcW w:w="396" w:type="pct"/>
                  <w:vMerge w:val="continue"/>
                  <w:tcBorders>
                    <w:tl2br w:val="nil"/>
                    <w:tr2bl w:val="nil"/>
                  </w:tcBorders>
                  <w:shd w:val="clear" w:color="auto" w:fill="auto"/>
                  <w:noWrap/>
                  <w:vAlign w:val="center"/>
                </w:tcPr>
                <w:p>
                  <w:pPr>
                    <w:widowControl/>
                    <w:adjustRightInd w:val="0"/>
                    <w:snapToGrid w:val="0"/>
                    <w:jc w:val="center"/>
                    <w:rPr>
                      <w:rFonts w:ascii="Times New Roman" w:hAnsi="Times New Roman" w:eastAsia="宋体" w:cs="Times New Roman"/>
                      <w:color w:val="auto"/>
                      <w:sz w:val="18"/>
                      <w:szCs w:val="18"/>
                      <w:highlight w:val="none"/>
                    </w:rPr>
                  </w:pPr>
                </w:p>
              </w:tc>
              <w:tc>
                <w:tcPr>
                  <w:tcW w:w="434" w:type="pct"/>
                  <w:vMerge w:val="continue"/>
                  <w:tcBorders>
                    <w:tl2br w:val="nil"/>
                    <w:tr2bl w:val="nil"/>
                  </w:tcBorders>
                  <w:shd w:val="clear" w:color="auto" w:fill="auto"/>
                  <w:noWrap/>
                  <w:vAlign w:val="center"/>
                </w:tcPr>
                <w:p>
                  <w:pPr>
                    <w:widowControl/>
                    <w:adjustRightInd w:val="0"/>
                    <w:snapToGrid w:val="0"/>
                    <w:jc w:val="center"/>
                    <w:rPr>
                      <w:rFonts w:ascii="Times New Roman" w:hAnsi="Times New Roman" w:eastAsia="宋体" w:cs="Times New Roman"/>
                      <w:color w:val="auto"/>
                      <w:sz w:val="18"/>
                      <w:szCs w:val="18"/>
                      <w:highlight w:val="none"/>
                    </w:rPr>
                  </w:pPr>
                </w:p>
              </w:tc>
              <w:tc>
                <w:tcPr>
                  <w:tcW w:w="466" w:type="pct"/>
                  <w:tcBorders>
                    <w:tl2br w:val="nil"/>
                    <w:tr2bl w:val="nil"/>
                  </w:tcBorders>
                  <w:shd w:val="clear" w:color="auto" w:fill="auto"/>
                  <w:noWrap/>
                  <w:vAlign w:val="center"/>
                </w:tcPr>
                <w:p>
                  <w:pPr>
                    <w:widowControl/>
                    <w:adjustRightInd w:val="0"/>
                    <w:snapToGrid w:val="0"/>
                    <w:jc w:val="center"/>
                    <w:textAlignment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40.0</w:t>
                  </w:r>
                </w:p>
              </w:tc>
              <w:tc>
                <w:tcPr>
                  <w:tcW w:w="282" w:type="pct"/>
                  <w:vMerge w:val="continue"/>
                  <w:tcBorders>
                    <w:tl2br w:val="nil"/>
                    <w:tr2bl w:val="nil"/>
                  </w:tcBorders>
                  <w:shd w:val="clear" w:color="auto" w:fill="auto"/>
                  <w:noWrap/>
                  <w:vAlign w:val="center"/>
                </w:tcPr>
                <w:p>
                  <w:pPr>
                    <w:widowControl/>
                    <w:adjustRightInd w:val="0"/>
                    <w:snapToGrid w:val="0"/>
                    <w:jc w:val="center"/>
                    <w:rPr>
                      <w:rFonts w:ascii="Times New Roman" w:hAnsi="Times New Roman" w:eastAsia="宋体" w:cs="Times New Roman"/>
                      <w:color w:val="auto"/>
                      <w:sz w:val="18"/>
                      <w:szCs w:val="18"/>
                      <w:highlight w:val="none"/>
                    </w:rPr>
                  </w:pPr>
                </w:p>
              </w:tc>
            </w:tr>
          </w:tbl>
          <w:p>
            <w:pPr>
              <w:pStyle w:val="41"/>
              <w:adjustRightInd/>
              <w:snapToGrid w:val="0"/>
              <w:spacing w:line="240" w:lineRule="auto"/>
              <w:ind w:firstLine="360" w:firstLineChars="200"/>
              <w:jc w:val="both"/>
              <w:rPr>
                <w:rFonts w:ascii="Times New Roman" w:hAnsi="Times New Roman" w:cs="Times New Roman"/>
                <w:color w:val="auto"/>
                <w:sz w:val="18"/>
                <w:szCs w:val="18"/>
                <w:highlight w:val="none"/>
              </w:rPr>
            </w:pPr>
            <w:r>
              <w:rPr>
                <w:rFonts w:ascii="Times New Roman" w:hAnsi="Times New Roman" w:cs="Times New Roman"/>
                <w:color w:val="auto"/>
                <w:sz w:val="18"/>
                <w:szCs w:val="18"/>
                <w:highlight w:val="none"/>
              </w:rPr>
              <w:t>注：以厂区西南角为原点。</w:t>
            </w:r>
          </w:p>
          <w:p>
            <w:pPr>
              <w:spacing w:line="360" w:lineRule="auto"/>
              <w:ind w:firstLine="540" w:firstLineChars="225"/>
              <w:rPr>
                <w:rFonts w:ascii="Times New Roman" w:hAnsi="Times New Roman" w:eastAsia="宋体" w:cs="Times New Roman"/>
                <w:color w:val="auto"/>
                <w:sz w:val="24"/>
                <w:szCs w:val="24"/>
                <w:highlight w:val="none"/>
              </w:rPr>
            </w:pPr>
            <w:r>
              <w:rPr>
                <w:rFonts w:hint="eastAsia" w:ascii="Times New Roman" w:hAnsi="Times New Roman" w:eastAsia="宋体" w:cs="Times New Roman"/>
                <w:color w:val="auto"/>
                <w:sz w:val="24"/>
                <w:szCs w:val="24"/>
                <w:highlight w:val="none"/>
                <w:lang w:val="en-US" w:eastAsia="zh-CN"/>
              </w:rPr>
              <w:t>经调查本项目无室外声源，针对室内声源，</w:t>
            </w:r>
            <w:r>
              <w:rPr>
                <w:rFonts w:ascii="Times New Roman" w:hAnsi="Times New Roman" w:eastAsia="宋体" w:cs="Times New Roman"/>
                <w:color w:val="auto"/>
                <w:sz w:val="24"/>
                <w:szCs w:val="24"/>
                <w:highlight w:val="none"/>
              </w:rPr>
              <w:t>通过加强对产噪设备的管理，采用设备基础安装减振垫，厂房隔声等措施以减轻噪声对周围环境噪声的影响。采取以上噪声治理措施后，可降低对外环境的影响。</w:t>
            </w:r>
          </w:p>
          <w:p>
            <w:pPr>
              <w:spacing w:line="360" w:lineRule="auto"/>
              <w:ind w:firstLine="540" w:firstLineChars="225"/>
              <w:rPr>
                <w:rFonts w:ascii="Times New Roman" w:hAnsi="Times New Roman" w:eastAsia="宋体" w:cs="Times New Roman"/>
                <w:color w:val="auto"/>
                <w:sz w:val="24"/>
                <w:szCs w:val="24"/>
                <w:highlight w:val="none"/>
              </w:rPr>
            </w:pPr>
            <w:r>
              <w:rPr>
                <w:rFonts w:ascii="Times New Roman" w:hAnsi="Times New Roman" w:eastAsia="宋体" w:cs="Times New Roman"/>
                <w:color w:val="auto"/>
                <w:sz w:val="24"/>
                <w:szCs w:val="24"/>
                <w:highlight w:val="none"/>
              </w:rPr>
              <w:t>（1）预测点位设置</w:t>
            </w:r>
          </w:p>
          <w:p>
            <w:pPr>
              <w:spacing w:line="360" w:lineRule="auto"/>
              <w:ind w:firstLine="540" w:firstLineChars="225"/>
              <w:rPr>
                <w:rFonts w:ascii="Times New Roman" w:hAnsi="Times New Roman" w:eastAsia="宋体" w:cs="Times New Roman"/>
                <w:color w:val="auto"/>
                <w:sz w:val="24"/>
                <w:szCs w:val="24"/>
                <w:highlight w:val="none"/>
              </w:rPr>
            </w:pPr>
            <w:r>
              <w:rPr>
                <w:rFonts w:ascii="Times New Roman" w:hAnsi="Times New Roman" w:eastAsia="宋体" w:cs="Times New Roman"/>
                <w:color w:val="auto"/>
                <w:sz w:val="24"/>
                <w:szCs w:val="24"/>
                <w:highlight w:val="none"/>
              </w:rPr>
              <w:t>本项目分别在厂区东、南、西、北边界</w:t>
            </w:r>
            <w:r>
              <w:rPr>
                <w:rFonts w:hint="eastAsia" w:ascii="Times New Roman" w:hAnsi="Times New Roman" w:eastAsia="宋体" w:cs="Times New Roman"/>
                <w:color w:val="auto"/>
                <w:sz w:val="24"/>
                <w:szCs w:val="24"/>
                <w:highlight w:val="none"/>
                <w:lang w:val="en-US" w:eastAsia="zh-CN"/>
              </w:rPr>
              <w:t>以及声坏境保护目标处，共</w:t>
            </w:r>
            <w:r>
              <w:rPr>
                <w:rFonts w:ascii="Times New Roman" w:hAnsi="Times New Roman" w:eastAsia="宋体" w:cs="Times New Roman"/>
                <w:color w:val="auto"/>
                <w:sz w:val="24"/>
                <w:szCs w:val="24"/>
                <w:highlight w:val="none"/>
              </w:rPr>
              <w:t>设置</w:t>
            </w:r>
            <w:r>
              <w:rPr>
                <w:rFonts w:hint="eastAsia" w:ascii="Times New Roman" w:hAnsi="Times New Roman" w:eastAsia="宋体" w:cs="Times New Roman"/>
                <w:color w:val="auto"/>
                <w:sz w:val="24"/>
                <w:szCs w:val="24"/>
                <w:highlight w:val="none"/>
                <w:lang w:val="en-US" w:eastAsia="zh-CN"/>
              </w:rPr>
              <w:t>五</w:t>
            </w:r>
            <w:r>
              <w:rPr>
                <w:rFonts w:ascii="Times New Roman" w:hAnsi="Times New Roman" w:eastAsia="宋体" w:cs="Times New Roman"/>
                <w:color w:val="auto"/>
                <w:sz w:val="24"/>
                <w:szCs w:val="24"/>
                <w:highlight w:val="none"/>
              </w:rPr>
              <w:t>个声环境预测点。</w:t>
            </w:r>
          </w:p>
          <w:p>
            <w:pPr>
              <w:spacing w:line="360" w:lineRule="auto"/>
              <w:ind w:firstLine="540" w:firstLineChars="225"/>
              <w:rPr>
                <w:rFonts w:ascii="Times New Roman" w:hAnsi="Times New Roman" w:eastAsia="宋体" w:cs="Times New Roman"/>
                <w:color w:val="auto"/>
                <w:sz w:val="24"/>
                <w:szCs w:val="24"/>
                <w:highlight w:val="none"/>
              </w:rPr>
            </w:pPr>
            <w:r>
              <w:rPr>
                <w:rFonts w:ascii="Times New Roman" w:hAnsi="Times New Roman" w:eastAsia="宋体" w:cs="Times New Roman"/>
                <w:color w:val="auto"/>
                <w:sz w:val="24"/>
                <w:szCs w:val="24"/>
                <w:highlight w:val="none"/>
              </w:rPr>
              <w:t>（2）预测模式</w:t>
            </w:r>
          </w:p>
          <w:p>
            <w:pPr>
              <w:spacing w:line="360" w:lineRule="auto"/>
              <w:ind w:firstLine="540" w:firstLineChars="225"/>
              <w:rPr>
                <w:rFonts w:ascii="Times New Roman" w:hAnsi="Times New Roman" w:eastAsia="宋体" w:cs="Times New Roman"/>
                <w:color w:val="auto"/>
                <w:sz w:val="24"/>
                <w:szCs w:val="24"/>
                <w:highlight w:val="none"/>
              </w:rPr>
            </w:pPr>
            <w:r>
              <w:rPr>
                <w:rFonts w:ascii="Times New Roman" w:hAnsi="Times New Roman" w:eastAsia="宋体" w:cs="Times New Roman"/>
                <w:color w:val="auto"/>
                <w:sz w:val="24"/>
                <w:szCs w:val="24"/>
                <w:highlight w:val="none"/>
              </w:rPr>
              <w:t>本评价采用《环境影响评价技术导则——声环境》（HJ2.4-2021）中推荐的工业噪声预测计算模式，对项目运行后的厂界噪声变化情况进行分析。本项目主要声源均布置在厂房内，采取室内声源等效室外声源声功率级计算方法。</w:t>
            </w:r>
          </w:p>
          <w:p>
            <w:pPr>
              <w:adjustRightInd w:val="0"/>
              <w:snapToGrid w:val="0"/>
              <w:spacing w:line="360" w:lineRule="auto"/>
              <w:ind w:firstLine="420" w:firstLineChars="200"/>
              <w:jc w:val="center"/>
              <w:rPr>
                <w:rFonts w:ascii="Times New Roman" w:hAnsi="Times New Roman" w:eastAsia="宋体" w:cs="Times New Roman"/>
                <w:color w:val="auto"/>
                <w:szCs w:val="21"/>
                <w:highlight w:val="none"/>
              </w:rPr>
            </w:pPr>
            <w:r>
              <w:rPr>
                <w:rFonts w:ascii="Times New Roman" w:hAnsi="Times New Roman" w:eastAsia="宋体" w:cs="Times New Roman"/>
                <w:color w:val="auto"/>
                <w:kern w:val="0"/>
                <w:szCs w:val="21"/>
                <w:highlight w:val="none"/>
              </w:rPr>
              <w:drawing>
                <wp:inline distT="0" distB="0" distL="114300" distR="114300">
                  <wp:extent cx="2425065" cy="1339850"/>
                  <wp:effectExtent l="0" t="0" r="3810" b="3175"/>
                  <wp:docPr id="3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0"/>
                          <pic:cNvPicPr>
                            <a:picLocks noChangeAspect="1"/>
                          </pic:cNvPicPr>
                        </pic:nvPicPr>
                        <pic:blipFill>
                          <a:blip r:embed="rId15" cstate="print"/>
                          <a:stretch>
                            <a:fillRect/>
                          </a:stretch>
                        </pic:blipFill>
                        <pic:spPr>
                          <a:xfrm>
                            <a:off x="0" y="0"/>
                            <a:ext cx="2425065" cy="1339850"/>
                          </a:xfrm>
                          <a:prstGeom prst="rect">
                            <a:avLst/>
                          </a:prstGeom>
                          <a:noFill/>
                          <a:ln>
                            <a:noFill/>
                          </a:ln>
                        </pic:spPr>
                      </pic:pic>
                    </a:graphicData>
                  </a:graphic>
                </wp:inline>
              </w:drawing>
            </w:r>
          </w:p>
          <w:p>
            <w:pPr>
              <w:widowControl/>
              <w:spacing w:line="360" w:lineRule="auto"/>
              <w:ind w:firstLine="480" w:firstLineChars="200"/>
              <w:jc w:val="left"/>
              <w:rPr>
                <w:rFonts w:ascii="Times New Roman" w:hAnsi="Times New Roman" w:eastAsia="宋体" w:cs="Times New Roman"/>
                <w:bCs/>
                <w:color w:val="auto"/>
                <w:kern w:val="0"/>
                <w:position w:val="-14"/>
                <w:sz w:val="24"/>
                <w:szCs w:val="24"/>
                <w:highlight w:val="none"/>
              </w:rPr>
            </w:pPr>
            <w:r>
              <w:rPr>
                <w:rFonts w:ascii="Times New Roman" w:hAnsi="Times New Roman" w:eastAsia="宋体" w:cs="Times New Roman"/>
                <w:bCs/>
                <w:color w:val="auto"/>
                <w:kern w:val="0"/>
                <w:position w:val="-14"/>
                <w:sz w:val="24"/>
                <w:szCs w:val="24"/>
                <w:highlight w:val="none"/>
              </w:rPr>
              <w:t>①首先计算出某个室内靠近围护结构处的倍频带声压级：</w:t>
            </w:r>
          </w:p>
          <w:p>
            <w:pPr>
              <w:widowControl/>
              <w:spacing w:line="360" w:lineRule="auto"/>
              <w:ind w:firstLine="480" w:firstLineChars="200"/>
              <w:jc w:val="center"/>
              <w:rPr>
                <w:rFonts w:ascii="Times New Roman" w:hAnsi="Times New Roman" w:eastAsia="宋体" w:cs="Times New Roman"/>
                <w:bCs/>
                <w:color w:val="auto"/>
                <w:kern w:val="0"/>
                <w:position w:val="-14"/>
                <w:sz w:val="24"/>
                <w:szCs w:val="24"/>
                <w:highlight w:val="none"/>
              </w:rPr>
            </w:pPr>
            <w:r>
              <w:rPr>
                <w:rFonts w:ascii="Times New Roman" w:hAnsi="Times New Roman" w:eastAsia="宋体" w:cs="Times New Roman"/>
                <w:color w:val="auto"/>
                <w:kern w:val="0"/>
                <w:position w:val="-36"/>
                <w:sz w:val="24"/>
                <w:szCs w:val="24"/>
                <w:highlight w:val="none"/>
              </w:rPr>
              <w:drawing>
                <wp:inline distT="0" distB="0" distL="114300" distR="114300">
                  <wp:extent cx="1990090" cy="533400"/>
                  <wp:effectExtent l="0" t="0" r="0" b="0"/>
                  <wp:docPr id="2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1"/>
                          <pic:cNvPicPr>
                            <a:picLocks noChangeAspect="1"/>
                          </pic:cNvPicPr>
                        </pic:nvPicPr>
                        <pic:blipFill>
                          <a:blip r:embed="rId16" cstate="print"/>
                          <a:stretch>
                            <a:fillRect/>
                          </a:stretch>
                        </pic:blipFill>
                        <pic:spPr>
                          <a:xfrm>
                            <a:off x="0" y="0"/>
                            <a:ext cx="1990090" cy="533400"/>
                          </a:xfrm>
                          <a:prstGeom prst="rect">
                            <a:avLst/>
                          </a:prstGeom>
                          <a:noFill/>
                          <a:ln>
                            <a:noFill/>
                          </a:ln>
                        </pic:spPr>
                      </pic:pic>
                    </a:graphicData>
                  </a:graphic>
                </wp:inline>
              </w:drawing>
            </w:r>
          </w:p>
          <w:p>
            <w:pPr>
              <w:widowControl/>
              <w:spacing w:line="360" w:lineRule="auto"/>
              <w:ind w:firstLine="480" w:firstLineChars="200"/>
              <w:jc w:val="left"/>
              <w:rPr>
                <w:rFonts w:ascii="Times New Roman" w:hAnsi="Times New Roman" w:eastAsia="宋体" w:cs="Times New Roman"/>
                <w:bCs/>
                <w:color w:val="auto"/>
                <w:kern w:val="0"/>
                <w:position w:val="-14"/>
                <w:sz w:val="24"/>
                <w:szCs w:val="24"/>
                <w:highlight w:val="none"/>
              </w:rPr>
            </w:pPr>
            <w:r>
              <w:rPr>
                <w:rFonts w:ascii="Times New Roman" w:hAnsi="Times New Roman" w:eastAsia="宋体" w:cs="Times New Roman"/>
                <w:bCs/>
                <w:color w:val="auto"/>
                <w:kern w:val="0"/>
                <w:position w:val="-14"/>
                <w:sz w:val="24"/>
                <w:szCs w:val="24"/>
                <w:highlight w:val="none"/>
              </w:rPr>
              <w:t>式中：</w:t>
            </w:r>
            <w:r>
              <w:rPr>
                <w:rFonts w:ascii="Times New Roman" w:hAnsi="Times New Roman" w:eastAsia="宋体" w:cs="Times New Roman"/>
                <w:color w:val="auto"/>
                <w:kern w:val="0"/>
                <w:position w:val="-10"/>
                <w:sz w:val="24"/>
                <w:szCs w:val="24"/>
                <w:highlight w:val="none"/>
              </w:rPr>
              <w:drawing>
                <wp:inline distT="0" distB="0" distL="114300" distR="114300">
                  <wp:extent cx="228600" cy="228600"/>
                  <wp:effectExtent l="0" t="0" r="0" b="0"/>
                  <wp:docPr id="2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2"/>
                          <pic:cNvPicPr>
                            <a:picLocks noChangeAspect="1"/>
                          </pic:cNvPicPr>
                        </pic:nvPicPr>
                        <pic:blipFill>
                          <a:blip r:embed="rId17" cstate="print"/>
                          <a:stretch>
                            <a:fillRect/>
                          </a:stretch>
                        </pic:blipFill>
                        <pic:spPr>
                          <a:xfrm>
                            <a:off x="0" y="0"/>
                            <a:ext cx="228600" cy="228600"/>
                          </a:xfrm>
                          <a:prstGeom prst="rect">
                            <a:avLst/>
                          </a:prstGeom>
                          <a:noFill/>
                          <a:ln>
                            <a:noFill/>
                          </a:ln>
                        </pic:spPr>
                      </pic:pic>
                    </a:graphicData>
                  </a:graphic>
                </wp:inline>
              </w:drawing>
            </w:r>
            <w:r>
              <w:rPr>
                <w:rFonts w:ascii="Times New Roman" w:hAnsi="Times New Roman" w:eastAsia="宋体" w:cs="Times New Roman"/>
                <w:bCs/>
                <w:color w:val="auto"/>
                <w:kern w:val="0"/>
                <w:position w:val="-14"/>
                <w:sz w:val="24"/>
                <w:szCs w:val="24"/>
                <w:highlight w:val="none"/>
              </w:rPr>
              <w:t>——靠近开口处（或窗户）室内某倍频带的声压级或A声级，dB；</w:t>
            </w:r>
          </w:p>
          <w:p>
            <w:pPr>
              <w:widowControl/>
              <w:spacing w:line="360" w:lineRule="auto"/>
              <w:ind w:firstLine="480" w:firstLineChars="200"/>
              <w:jc w:val="left"/>
              <w:rPr>
                <w:rFonts w:ascii="Times New Roman" w:hAnsi="Times New Roman" w:eastAsia="宋体" w:cs="Times New Roman"/>
                <w:bCs/>
                <w:color w:val="auto"/>
                <w:kern w:val="0"/>
                <w:position w:val="-14"/>
                <w:sz w:val="24"/>
                <w:szCs w:val="24"/>
                <w:highlight w:val="none"/>
              </w:rPr>
            </w:pPr>
            <w:r>
              <w:rPr>
                <w:rFonts w:ascii="Times New Roman" w:hAnsi="Times New Roman" w:eastAsia="宋体" w:cs="Times New Roman"/>
                <w:color w:val="auto"/>
                <w:kern w:val="0"/>
                <w:position w:val="-4"/>
                <w:sz w:val="24"/>
                <w:szCs w:val="24"/>
                <w:highlight w:val="none"/>
              </w:rPr>
              <w:drawing>
                <wp:inline distT="0" distB="0" distL="114300" distR="114300">
                  <wp:extent cx="209550" cy="161925"/>
                  <wp:effectExtent l="0" t="0" r="0" b="0"/>
                  <wp:docPr id="32"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3"/>
                          <pic:cNvPicPr>
                            <a:picLocks noChangeAspect="1"/>
                          </pic:cNvPicPr>
                        </pic:nvPicPr>
                        <pic:blipFill>
                          <a:blip r:embed="rId18" cstate="print"/>
                          <a:stretch>
                            <a:fillRect/>
                          </a:stretch>
                        </pic:blipFill>
                        <pic:spPr>
                          <a:xfrm>
                            <a:off x="0" y="0"/>
                            <a:ext cx="209550" cy="161925"/>
                          </a:xfrm>
                          <a:prstGeom prst="rect">
                            <a:avLst/>
                          </a:prstGeom>
                          <a:noFill/>
                          <a:ln>
                            <a:noFill/>
                          </a:ln>
                        </pic:spPr>
                      </pic:pic>
                    </a:graphicData>
                  </a:graphic>
                </wp:inline>
              </w:drawing>
            </w:r>
            <w:r>
              <w:rPr>
                <w:rFonts w:ascii="Times New Roman" w:hAnsi="Times New Roman" w:eastAsia="宋体" w:cs="Times New Roman"/>
                <w:bCs/>
                <w:color w:val="auto"/>
                <w:kern w:val="0"/>
                <w:position w:val="-14"/>
                <w:sz w:val="24"/>
                <w:szCs w:val="24"/>
                <w:highlight w:val="none"/>
              </w:rPr>
              <w:t>——点声源声功率级（A 计权或倍频带），dB；</w:t>
            </w:r>
          </w:p>
          <w:p>
            <w:pPr>
              <w:widowControl/>
              <w:spacing w:line="360" w:lineRule="auto"/>
              <w:ind w:firstLine="480" w:firstLineChars="200"/>
              <w:jc w:val="left"/>
              <w:rPr>
                <w:rFonts w:ascii="Times New Roman" w:hAnsi="Times New Roman" w:eastAsia="宋体" w:cs="Times New Roman"/>
                <w:bCs/>
                <w:color w:val="auto"/>
                <w:kern w:val="0"/>
                <w:position w:val="-14"/>
                <w:sz w:val="24"/>
                <w:szCs w:val="24"/>
                <w:highlight w:val="none"/>
              </w:rPr>
            </w:pPr>
            <w:r>
              <w:rPr>
                <w:rFonts w:ascii="Times New Roman" w:hAnsi="Times New Roman" w:eastAsia="宋体" w:cs="Times New Roman"/>
                <w:bCs/>
                <w:i/>
                <w:color w:val="auto"/>
                <w:kern w:val="0"/>
                <w:position w:val="-14"/>
                <w:sz w:val="24"/>
                <w:szCs w:val="24"/>
                <w:highlight w:val="none"/>
              </w:rPr>
              <w:t>r</w:t>
            </w:r>
            <w:r>
              <w:rPr>
                <w:rFonts w:ascii="Times New Roman" w:hAnsi="Times New Roman" w:eastAsia="宋体" w:cs="Times New Roman"/>
                <w:bCs/>
                <w:color w:val="auto"/>
                <w:kern w:val="0"/>
                <w:position w:val="-14"/>
                <w:sz w:val="24"/>
                <w:szCs w:val="24"/>
                <w:highlight w:val="none"/>
              </w:rPr>
              <w:t>——室内某个声源与靠近围护结构处的距离；</w:t>
            </w:r>
          </w:p>
          <w:p>
            <w:pPr>
              <w:widowControl/>
              <w:spacing w:line="360" w:lineRule="auto"/>
              <w:ind w:firstLine="480" w:firstLineChars="200"/>
              <w:jc w:val="left"/>
              <w:rPr>
                <w:rFonts w:ascii="Times New Roman" w:hAnsi="Times New Roman" w:eastAsia="宋体" w:cs="Times New Roman"/>
                <w:bCs/>
                <w:color w:val="auto"/>
                <w:kern w:val="0"/>
                <w:position w:val="-14"/>
                <w:sz w:val="24"/>
                <w:szCs w:val="24"/>
                <w:highlight w:val="none"/>
              </w:rPr>
            </w:pPr>
            <w:r>
              <w:rPr>
                <w:rFonts w:ascii="Times New Roman" w:hAnsi="Times New Roman" w:eastAsia="宋体" w:cs="Times New Roman"/>
                <w:bCs/>
                <w:i/>
                <w:color w:val="auto"/>
                <w:kern w:val="0"/>
                <w:position w:val="-14"/>
                <w:sz w:val="24"/>
                <w:szCs w:val="24"/>
                <w:highlight w:val="none"/>
              </w:rPr>
              <w:t>R</w:t>
            </w:r>
            <w:r>
              <w:rPr>
                <w:rFonts w:ascii="Times New Roman" w:hAnsi="Times New Roman" w:eastAsia="宋体" w:cs="Times New Roman"/>
                <w:bCs/>
                <w:color w:val="auto"/>
                <w:kern w:val="0"/>
                <w:position w:val="-14"/>
                <w:sz w:val="24"/>
                <w:szCs w:val="24"/>
                <w:highlight w:val="none"/>
              </w:rPr>
              <w:t>——房间常数；R= Sα /(1 −α) ，S为房间内表面面积，m</w:t>
            </w:r>
            <w:r>
              <w:rPr>
                <w:rFonts w:ascii="Times New Roman" w:hAnsi="Times New Roman" w:eastAsia="宋体" w:cs="Times New Roman"/>
                <w:bCs/>
                <w:color w:val="auto"/>
                <w:kern w:val="0"/>
                <w:position w:val="-14"/>
                <w:sz w:val="24"/>
                <w:szCs w:val="24"/>
                <w:highlight w:val="none"/>
                <w:vertAlign w:val="superscript"/>
              </w:rPr>
              <w:t>2</w:t>
            </w:r>
            <w:r>
              <w:rPr>
                <w:rFonts w:ascii="Times New Roman" w:hAnsi="Times New Roman" w:eastAsia="宋体" w:cs="Times New Roman"/>
                <w:bCs/>
                <w:color w:val="auto"/>
                <w:kern w:val="0"/>
                <w:position w:val="-14"/>
                <w:sz w:val="24"/>
                <w:szCs w:val="24"/>
                <w:highlight w:val="none"/>
              </w:rPr>
              <w:t>；α为平均吸声系数，本次评价取0.5。</w:t>
            </w:r>
          </w:p>
          <w:p>
            <w:pPr>
              <w:widowControl/>
              <w:spacing w:line="360" w:lineRule="auto"/>
              <w:ind w:firstLine="480" w:firstLineChars="200"/>
              <w:jc w:val="left"/>
              <w:rPr>
                <w:rFonts w:ascii="Times New Roman" w:hAnsi="Times New Roman" w:eastAsia="宋体" w:cs="Times New Roman"/>
                <w:bCs/>
                <w:color w:val="auto"/>
                <w:kern w:val="0"/>
                <w:position w:val="-14"/>
                <w:sz w:val="24"/>
                <w:szCs w:val="24"/>
                <w:highlight w:val="none"/>
              </w:rPr>
            </w:pPr>
            <w:r>
              <w:rPr>
                <w:rFonts w:ascii="Times New Roman" w:hAnsi="Times New Roman" w:eastAsia="宋体" w:cs="Times New Roman"/>
                <w:bCs/>
                <w:i/>
                <w:color w:val="auto"/>
                <w:kern w:val="0"/>
                <w:position w:val="-14"/>
                <w:sz w:val="24"/>
                <w:szCs w:val="24"/>
                <w:highlight w:val="none"/>
              </w:rPr>
              <w:t>Q</w:t>
            </w:r>
            <w:r>
              <w:rPr>
                <w:rFonts w:ascii="Times New Roman" w:hAnsi="Times New Roman" w:eastAsia="宋体" w:cs="Times New Roman"/>
                <w:bCs/>
                <w:color w:val="auto"/>
                <w:kern w:val="0"/>
                <w:position w:val="-14"/>
                <w:sz w:val="24"/>
                <w:szCs w:val="24"/>
                <w:highlight w:val="none"/>
              </w:rPr>
              <w:t>——方向性因子，通常对无指向性声源，当声源放在房间中心时，Q=1；当放在一面墙的中心时，Q=2；当放在两面墙夹角处时，Q=4；当放在三面墙夹角处时，Q=8。本次评价Q=2。</w:t>
            </w:r>
          </w:p>
          <w:p>
            <w:pPr>
              <w:widowControl/>
              <w:spacing w:line="360" w:lineRule="auto"/>
              <w:ind w:firstLine="480" w:firstLineChars="200"/>
              <w:jc w:val="left"/>
              <w:rPr>
                <w:rFonts w:ascii="Times New Roman" w:hAnsi="Times New Roman" w:eastAsia="宋体" w:cs="Times New Roman"/>
                <w:bCs/>
                <w:color w:val="auto"/>
                <w:kern w:val="0"/>
                <w:position w:val="-14"/>
                <w:sz w:val="24"/>
                <w:szCs w:val="24"/>
                <w:highlight w:val="none"/>
              </w:rPr>
            </w:pPr>
            <w:r>
              <w:rPr>
                <w:rFonts w:ascii="Times New Roman" w:hAnsi="Times New Roman" w:eastAsia="宋体" w:cs="Times New Roman"/>
                <w:bCs/>
                <w:color w:val="auto"/>
                <w:kern w:val="0"/>
                <w:position w:val="-14"/>
                <w:sz w:val="24"/>
                <w:szCs w:val="24"/>
                <w:highlight w:val="none"/>
              </w:rPr>
              <w:t>②计算出所有室内声源在靠近围护结构处产生的总倍频带声压级：</w:t>
            </w:r>
          </w:p>
          <w:p>
            <w:pPr>
              <w:widowControl/>
              <w:spacing w:line="360" w:lineRule="auto"/>
              <w:jc w:val="center"/>
              <w:rPr>
                <w:rFonts w:ascii="Times New Roman" w:hAnsi="Times New Roman" w:eastAsia="宋体" w:cs="Times New Roman"/>
                <w:bCs/>
                <w:color w:val="auto"/>
                <w:kern w:val="0"/>
                <w:position w:val="-14"/>
                <w:sz w:val="24"/>
                <w:szCs w:val="24"/>
                <w:highlight w:val="none"/>
              </w:rPr>
            </w:pPr>
            <w:r>
              <w:rPr>
                <w:rFonts w:ascii="Times New Roman" w:hAnsi="Times New Roman" w:eastAsia="宋体" w:cs="Times New Roman"/>
                <w:color w:val="auto"/>
                <w:kern w:val="0"/>
                <w:position w:val="-14"/>
                <w:sz w:val="24"/>
                <w:szCs w:val="24"/>
                <w:highlight w:val="none"/>
              </w:rPr>
              <w:drawing>
                <wp:inline distT="0" distB="0" distL="114300" distR="114300">
                  <wp:extent cx="1905000" cy="590550"/>
                  <wp:effectExtent l="0" t="0" r="0" b="0"/>
                  <wp:docPr id="27" name="图片 14" descr="111111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4" descr="111111111"/>
                          <pic:cNvPicPr>
                            <a:picLocks noChangeAspect="1"/>
                          </pic:cNvPicPr>
                        </pic:nvPicPr>
                        <pic:blipFill>
                          <a:blip r:embed="rId19" cstate="print"/>
                          <a:stretch>
                            <a:fillRect/>
                          </a:stretch>
                        </pic:blipFill>
                        <pic:spPr>
                          <a:xfrm>
                            <a:off x="0" y="0"/>
                            <a:ext cx="1905000" cy="590550"/>
                          </a:xfrm>
                          <a:prstGeom prst="rect">
                            <a:avLst/>
                          </a:prstGeom>
                          <a:noFill/>
                          <a:ln>
                            <a:noFill/>
                          </a:ln>
                        </pic:spPr>
                      </pic:pic>
                    </a:graphicData>
                  </a:graphic>
                </wp:inline>
              </w:drawing>
            </w:r>
          </w:p>
          <w:p>
            <w:pPr>
              <w:widowControl/>
              <w:spacing w:line="360" w:lineRule="auto"/>
              <w:ind w:firstLine="480" w:firstLineChars="200"/>
              <w:jc w:val="left"/>
              <w:rPr>
                <w:rFonts w:ascii="Times New Roman" w:hAnsi="Times New Roman" w:eastAsia="宋体" w:cs="Times New Roman"/>
                <w:bCs/>
                <w:color w:val="auto"/>
                <w:kern w:val="0"/>
                <w:position w:val="-14"/>
                <w:sz w:val="24"/>
                <w:szCs w:val="24"/>
                <w:highlight w:val="none"/>
              </w:rPr>
            </w:pPr>
            <w:r>
              <w:rPr>
                <w:rFonts w:ascii="Times New Roman" w:hAnsi="Times New Roman" w:eastAsia="宋体" w:cs="Times New Roman"/>
                <w:bCs/>
                <w:color w:val="auto"/>
                <w:kern w:val="0"/>
                <w:position w:val="-14"/>
                <w:sz w:val="24"/>
                <w:szCs w:val="24"/>
                <w:highlight w:val="none"/>
              </w:rPr>
              <w:t>③计算出室外靠近围护结构的声压级：</w:t>
            </w:r>
          </w:p>
          <w:p>
            <w:pPr>
              <w:widowControl/>
              <w:spacing w:line="360" w:lineRule="auto"/>
              <w:jc w:val="center"/>
              <w:rPr>
                <w:rFonts w:ascii="Times New Roman" w:hAnsi="Times New Roman" w:eastAsia="宋体" w:cs="Times New Roman"/>
                <w:bCs/>
                <w:color w:val="auto"/>
                <w:kern w:val="0"/>
                <w:position w:val="-14"/>
                <w:sz w:val="24"/>
                <w:szCs w:val="24"/>
                <w:highlight w:val="none"/>
              </w:rPr>
            </w:pPr>
            <w:r>
              <w:rPr>
                <w:rFonts w:ascii="Times New Roman" w:hAnsi="Times New Roman" w:eastAsia="宋体" w:cs="Times New Roman"/>
                <w:color w:val="auto"/>
                <w:kern w:val="0"/>
                <w:sz w:val="24"/>
                <w:szCs w:val="24"/>
                <w:highlight w:val="none"/>
              </w:rPr>
              <w:drawing>
                <wp:inline distT="0" distB="0" distL="114300" distR="114300">
                  <wp:extent cx="1924050" cy="323850"/>
                  <wp:effectExtent l="0" t="0" r="0" b="0"/>
                  <wp:docPr id="33"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5"/>
                          <pic:cNvPicPr>
                            <a:picLocks noChangeAspect="1"/>
                          </pic:cNvPicPr>
                        </pic:nvPicPr>
                        <pic:blipFill>
                          <a:blip r:embed="rId20" cstate="print"/>
                          <a:stretch>
                            <a:fillRect/>
                          </a:stretch>
                        </pic:blipFill>
                        <pic:spPr>
                          <a:xfrm>
                            <a:off x="0" y="0"/>
                            <a:ext cx="1924050" cy="323850"/>
                          </a:xfrm>
                          <a:prstGeom prst="rect">
                            <a:avLst/>
                          </a:prstGeom>
                          <a:noFill/>
                          <a:ln>
                            <a:noFill/>
                          </a:ln>
                        </pic:spPr>
                      </pic:pic>
                    </a:graphicData>
                  </a:graphic>
                </wp:inline>
              </w:drawing>
            </w:r>
          </w:p>
          <w:p>
            <w:pPr>
              <w:widowControl/>
              <w:spacing w:line="360" w:lineRule="auto"/>
              <w:jc w:val="left"/>
              <w:rPr>
                <w:rFonts w:ascii="Times New Roman" w:hAnsi="Times New Roman" w:eastAsia="宋体" w:cs="Times New Roman"/>
                <w:bCs/>
                <w:color w:val="auto"/>
                <w:kern w:val="0"/>
                <w:position w:val="-14"/>
                <w:sz w:val="24"/>
                <w:szCs w:val="24"/>
                <w:highlight w:val="none"/>
              </w:rPr>
            </w:pPr>
            <w:r>
              <w:rPr>
                <w:rFonts w:ascii="Times New Roman" w:hAnsi="Times New Roman" w:eastAsia="宋体" w:cs="Times New Roman"/>
                <w:bCs/>
                <w:color w:val="auto"/>
                <w:kern w:val="0"/>
                <w:position w:val="-14"/>
                <w:sz w:val="24"/>
                <w:szCs w:val="24"/>
                <w:highlight w:val="none"/>
              </w:rPr>
              <w:t>式中： L</w:t>
            </w:r>
            <w:r>
              <w:rPr>
                <w:rFonts w:ascii="Times New Roman" w:hAnsi="Times New Roman" w:eastAsia="宋体" w:cs="Times New Roman"/>
                <w:bCs/>
                <w:color w:val="auto"/>
                <w:spacing w:val="-20"/>
                <w:kern w:val="28"/>
                <w:position w:val="-14"/>
                <w:sz w:val="24"/>
                <w:szCs w:val="24"/>
                <w:highlight w:val="none"/>
                <w:vertAlign w:val="subscript"/>
              </w:rPr>
              <w:t>p 2 i</w:t>
            </w:r>
            <w:r>
              <w:rPr>
                <w:rFonts w:ascii="Times New Roman" w:hAnsi="Times New Roman" w:eastAsia="宋体" w:cs="Times New Roman"/>
                <w:bCs/>
                <w:color w:val="auto"/>
                <w:kern w:val="0"/>
                <w:position w:val="-14"/>
                <w:sz w:val="24"/>
                <w:szCs w:val="24"/>
                <w:highlight w:val="none"/>
              </w:rPr>
              <w:t>(T )——靠近围护结构处室外N个声源i倍频带的叠加声压级，dB；</w:t>
            </w:r>
          </w:p>
          <w:p>
            <w:pPr>
              <w:widowControl/>
              <w:spacing w:line="360" w:lineRule="auto"/>
              <w:ind w:firstLine="840" w:firstLineChars="350"/>
              <w:jc w:val="left"/>
              <w:rPr>
                <w:rFonts w:ascii="Times New Roman" w:hAnsi="Times New Roman" w:eastAsia="宋体" w:cs="Times New Roman"/>
                <w:b/>
                <w:bCs/>
                <w:color w:val="auto"/>
                <w:kern w:val="0"/>
                <w:position w:val="-14"/>
                <w:sz w:val="24"/>
                <w:szCs w:val="24"/>
                <w:highlight w:val="none"/>
              </w:rPr>
            </w:pPr>
            <w:r>
              <w:rPr>
                <w:rFonts w:ascii="Times New Roman" w:hAnsi="Times New Roman" w:eastAsia="宋体" w:cs="Times New Roman"/>
                <w:bCs/>
                <w:color w:val="auto"/>
                <w:kern w:val="0"/>
                <w:position w:val="-14"/>
                <w:sz w:val="24"/>
                <w:szCs w:val="24"/>
                <w:highlight w:val="none"/>
              </w:rPr>
              <w:t>TL</w:t>
            </w:r>
            <w:r>
              <w:rPr>
                <w:rFonts w:ascii="Times New Roman" w:hAnsi="Times New Roman" w:eastAsia="宋体" w:cs="Times New Roman"/>
                <w:bCs/>
                <w:color w:val="auto"/>
                <w:kern w:val="0"/>
                <w:position w:val="-14"/>
                <w:sz w:val="24"/>
                <w:szCs w:val="24"/>
                <w:highlight w:val="none"/>
                <w:vertAlign w:val="subscript"/>
              </w:rPr>
              <w:t>i</w:t>
            </w:r>
            <w:r>
              <w:rPr>
                <w:rFonts w:ascii="Times New Roman" w:hAnsi="Times New Roman" w:eastAsia="宋体" w:cs="Times New Roman"/>
                <w:bCs/>
                <w:color w:val="auto"/>
                <w:kern w:val="0"/>
                <w:position w:val="-14"/>
                <w:sz w:val="24"/>
                <w:szCs w:val="24"/>
                <w:highlight w:val="none"/>
              </w:rPr>
              <w:t>——围护结构i倍频带的隔声量，dB，本次评价TL=20dB。</w:t>
            </w:r>
          </w:p>
          <w:p>
            <w:pPr>
              <w:widowControl/>
              <w:spacing w:line="360" w:lineRule="auto"/>
              <w:ind w:firstLine="480" w:firstLineChars="200"/>
              <w:jc w:val="left"/>
              <w:rPr>
                <w:rFonts w:ascii="Times New Roman" w:hAnsi="Times New Roman" w:eastAsia="宋体" w:cs="Times New Roman"/>
                <w:bCs/>
                <w:color w:val="auto"/>
                <w:kern w:val="0"/>
                <w:position w:val="-14"/>
                <w:sz w:val="24"/>
                <w:szCs w:val="24"/>
                <w:highlight w:val="none"/>
              </w:rPr>
            </w:pPr>
            <w:r>
              <w:rPr>
                <w:rFonts w:ascii="Times New Roman" w:hAnsi="Times New Roman" w:eastAsia="宋体" w:cs="Times New Roman"/>
                <w:bCs/>
                <w:color w:val="auto"/>
                <w:kern w:val="0"/>
                <w:position w:val="-14"/>
                <w:sz w:val="24"/>
                <w:szCs w:val="24"/>
                <w:highlight w:val="none"/>
              </w:rPr>
              <w:t>④将室外声级和透声面积换算成等效的室外声源，计算出等效声源第</w:t>
            </w:r>
            <w:r>
              <w:rPr>
                <w:rFonts w:ascii="Times New Roman" w:hAnsi="Times New Roman" w:eastAsia="宋体" w:cs="Times New Roman"/>
                <w:bCs/>
                <w:i/>
                <w:color w:val="auto"/>
                <w:kern w:val="0"/>
                <w:position w:val="-14"/>
                <w:sz w:val="24"/>
                <w:szCs w:val="24"/>
                <w:highlight w:val="none"/>
              </w:rPr>
              <w:t>i</w:t>
            </w:r>
            <w:r>
              <w:rPr>
                <w:rFonts w:ascii="Times New Roman" w:hAnsi="Times New Roman" w:eastAsia="宋体" w:cs="Times New Roman"/>
                <w:bCs/>
                <w:color w:val="auto"/>
                <w:kern w:val="0"/>
                <w:position w:val="-14"/>
                <w:sz w:val="24"/>
                <w:szCs w:val="24"/>
                <w:highlight w:val="none"/>
              </w:rPr>
              <w:t>个倍频带的声功率级L</w:t>
            </w:r>
            <w:r>
              <w:rPr>
                <w:rFonts w:ascii="Times New Roman" w:hAnsi="Times New Roman" w:eastAsia="宋体" w:cs="Times New Roman"/>
                <w:bCs/>
                <w:color w:val="auto"/>
                <w:kern w:val="0"/>
                <w:position w:val="-14"/>
                <w:sz w:val="24"/>
                <w:szCs w:val="24"/>
                <w:highlight w:val="none"/>
                <w:vertAlign w:val="subscript"/>
              </w:rPr>
              <w:t>w</w:t>
            </w:r>
            <w:r>
              <w:rPr>
                <w:rFonts w:ascii="Times New Roman" w:hAnsi="Times New Roman" w:eastAsia="宋体" w:cs="Times New Roman"/>
                <w:bCs/>
                <w:color w:val="auto"/>
                <w:kern w:val="0"/>
                <w:position w:val="-14"/>
                <w:sz w:val="24"/>
                <w:szCs w:val="24"/>
                <w:highlight w:val="none"/>
              </w:rPr>
              <w:t>：</w:t>
            </w:r>
          </w:p>
          <w:p>
            <w:pPr>
              <w:widowControl/>
              <w:spacing w:line="360" w:lineRule="auto"/>
              <w:jc w:val="center"/>
              <w:rPr>
                <w:rFonts w:ascii="Times New Roman" w:hAnsi="Times New Roman" w:eastAsia="宋体" w:cs="Times New Roman"/>
                <w:bCs/>
                <w:color w:val="auto"/>
                <w:kern w:val="0"/>
                <w:position w:val="-14"/>
                <w:sz w:val="24"/>
                <w:szCs w:val="24"/>
                <w:highlight w:val="none"/>
              </w:rPr>
            </w:pPr>
            <w:r>
              <w:rPr>
                <w:rFonts w:ascii="Times New Roman" w:hAnsi="Times New Roman" w:eastAsia="宋体" w:cs="Times New Roman"/>
                <w:bCs/>
                <w:color w:val="auto"/>
                <w:kern w:val="0"/>
                <w:position w:val="-14"/>
                <w:sz w:val="24"/>
                <w:szCs w:val="24"/>
                <w:highlight w:val="none"/>
              </w:rPr>
              <w:t>L</w:t>
            </w:r>
            <w:r>
              <w:rPr>
                <w:rFonts w:ascii="Times New Roman" w:hAnsi="Times New Roman" w:eastAsia="宋体" w:cs="Times New Roman"/>
                <w:bCs/>
                <w:color w:val="auto"/>
                <w:kern w:val="0"/>
                <w:position w:val="-14"/>
                <w:sz w:val="24"/>
                <w:szCs w:val="24"/>
                <w:highlight w:val="none"/>
                <w:vertAlign w:val="subscript"/>
              </w:rPr>
              <w:t>W</w:t>
            </w:r>
            <w:r>
              <w:rPr>
                <w:rFonts w:ascii="Times New Roman" w:hAnsi="Times New Roman" w:eastAsia="宋体" w:cs="Times New Roman"/>
                <w:bCs/>
                <w:color w:val="auto"/>
                <w:kern w:val="0"/>
                <w:position w:val="-14"/>
                <w:sz w:val="24"/>
                <w:szCs w:val="24"/>
                <w:highlight w:val="none"/>
              </w:rPr>
              <w:t>=L</w:t>
            </w:r>
            <w:r>
              <w:rPr>
                <w:rFonts w:ascii="Times New Roman" w:hAnsi="Times New Roman" w:eastAsia="宋体" w:cs="Times New Roman"/>
                <w:bCs/>
                <w:color w:val="auto"/>
                <w:kern w:val="0"/>
                <w:position w:val="-14"/>
                <w:sz w:val="24"/>
                <w:szCs w:val="24"/>
                <w:highlight w:val="none"/>
                <w:vertAlign w:val="subscript"/>
              </w:rPr>
              <w:t>p2</w:t>
            </w:r>
            <w:r>
              <w:rPr>
                <w:rFonts w:ascii="Times New Roman" w:hAnsi="Times New Roman" w:eastAsia="宋体" w:cs="Times New Roman"/>
                <w:bCs/>
                <w:color w:val="auto"/>
                <w:kern w:val="0"/>
                <w:position w:val="-14"/>
                <w:sz w:val="24"/>
                <w:szCs w:val="24"/>
                <w:highlight w:val="none"/>
              </w:rPr>
              <w:t>(T)+10lgS</w:t>
            </w:r>
          </w:p>
          <w:p>
            <w:pPr>
              <w:widowControl/>
              <w:spacing w:line="360" w:lineRule="auto"/>
              <w:ind w:firstLine="480" w:firstLineChars="200"/>
              <w:jc w:val="left"/>
              <w:rPr>
                <w:rFonts w:ascii="Times New Roman" w:hAnsi="Times New Roman" w:eastAsia="宋体" w:cs="Times New Roman"/>
                <w:bCs/>
                <w:color w:val="auto"/>
                <w:kern w:val="0"/>
                <w:position w:val="-14"/>
                <w:sz w:val="24"/>
                <w:szCs w:val="24"/>
                <w:highlight w:val="none"/>
              </w:rPr>
            </w:pPr>
            <w:r>
              <w:rPr>
                <w:rFonts w:ascii="Times New Roman" w:hAnsi="Times New Roman" w:eastAsia="宋体" w:cs="Times New Roman"/>
                <w:bCs/>
                <w:color w:val="auto"/>
                <w:kern w:val="0"/>
                <w:position w:val="-14"/>
                <w:sz w:val="24"/>
                <w:szCs w:val="24"/>
                <w:highlight w:val="none"/>
              </w:rPr>
              <w:t>式中：</w:t>
            </w:r>
            <w:r>
              <w:rPr>
                <w:rFonts w:ascii="Times New Roman" w:hAnsi="Times New Roman" w:eastAsia="宋体" w:cs="Times New Roman"/>
                <w:bCs/>
                <w:i/>
                <w:color w:val="auto"/>
                <w:kern w:val="0"/>
                <w:position w:val="-14"/>
                <w:sz w:val="24"/>
                <w:szCs w:val="24"/>
                <w:highlight w:val="none"/>
              </w:rPr>
              <w:t>S</w:t>
            </w:r>
            <w:r>
              <w:rPr>
                <w:rFonts w:ascii="Times New Roman" w:hAnsi="Times New Roman" w:eastAsia="宋体" w:cs="Times New Roman"/>
                <w:bCs/>
                <w:color w:val="auto"/>
                <w:kern w:val="0"/>
                <w:position w:val="-14"/>
                <w:sz w:val="24"/>
                <w:szCs w:val="24"/>
                <w:highlight w:val="none"/>
              </w:rPr>
              <w:t>——透声面积，m</w:t>
            </w:r>
            <w:r>
              <w:rPr>
                <w:rFonts w:ascii="Times New Roman" w:hAnsi="Times New Roman" w:eastAsia="宋体" w:cs="Times New Roman"/>
                <w:bCs/>
                <w:color w:val="auto"/>
                <w:kern w:val="0"/>
                <w:position w:val="-14"/>
                <w:sz w:val="24"/>
                <w:szCs w:val="24"/>
                <w:highlight w:val="none"/>
                <w:vertAlign w:val="superscript"/>
              </w:rPr>
              <w:t>2</w:t>
            </w:r>
            <w:r>
              <w:rPr>
                <w:rFonts w:ascii="Times New Roman" w:hAnsi="Times New Roman" w:eastAsia="宋体" w:cs="Times New Roman"/>
                <w:bCs/>
                <w:color w:val="auto"/>
                <w:kern w:val="0"/>
                <w:position w:val="-14"/>
                <w:sz w:val="24"/>
                <w:szCs w:val="24"/>
                <w:highlight w:val="none"/>
              </w:rPr>
              <w:t>，本次评价S取100m</w:t>
            </w:r>
            <w:r>
              <w:rPr>
                <w:rFonts w:ascii="Times New Roman" w:hAnsi="Times New Roman" w:eastAsia="宋体" w:cs="Times New Roman"/>
                <w:bCs/>
                <w:color w:val="auto"/>
                <w:kern w:val="0"/>
                <w:position w:val="-14"/>
                <w:sz w:val="24"/>
                <w:szCs w:val="24"/>
                <w:highlight w:val="none"/>
                <w:vertAlign w:val="superscript"/>
              </w:rPr>
              <w:t>2</w:t>
            </w:r>
            <w:r>
              <w:rPr>
                <w:rFonts w:ascii="Times New Roman" w:hAnsi="Times New Roman" w:eastAsia="宋体" w:cs="Times New Roman"/>
                <w:bCs/>
                <w:color w:val="auto"/>
                <w:kern w:val="0"/>
                <w:position w:val="-14"/>
                <w:sz w:val="24"/>
                <w:szCs w:val="24"/>
                <w:highlight w:val="none"/>
              </w:rPr>
              <w:t>。</w:t>
            </w:r>
          </w:p>
          <w:p>
            <w:pPr>
              <w:widowControl/>
              <w:spacing w:line="360" w:lineRule="auto"/>
              <w:ind w:firstLine="480" w:firstLineChars="200"/>
              <w:jc w:val="left"/>
              <w:rPr>
                <w:rFonts w:ascii="Times New Roman" w:hAnsi="Times New Roman" w:eastAsia="宋体" w:cs="Times New Roman"/>
                <w:bCs/>
                <w:color w:val="auto"/>
                <w:kern w:val="0"/>
                <w:position w:val="-14"/>
                <w:sz w:val="24"/>
                <w:szCs w:val="24"/>
                <w:highlight w:val="none"/>
              </w:rPr>
            </w:pPr>
            <w:r>
              <w:rPr>
                <w:rFonts w:ascii="Times New Roman" w:hAnsi="Times New Roman" w:eastAsia="宋体" w:cs="Times New Roman"/>
                <w:bCs/>
                <w:color w:val="auto"/>
                <w:kern w:val="0"/>
                <w:position w:val="-14"/>
                <w:sz w:val="24"/>
                <w:szCs w:val="24"/>
                <w:highlight w:val="none"/>
              </w:rPr>
              <w:fldChar w:fldCharType="begin"/>
            </w:r>
            <w:r>
              <w:rPr>
                <w:rFonts w:ascii="Times New Roman" w:hAnsi="Times New Roman" w:eastAsia="宋体" w:cs="Times New Roman"/>
                <w:bCs/>
                <w:color w:val="auto"/>
                <w:kern w:val="0"/>
                <w:position w:val="-14"/>
                <w:sz w:val="24"/>
                <w:szCs w:val="24"/>
                <w:highlight w:val="none"/>
              </w:rPr>
              <w:instrText xml:space="preserve">= 5 \* GB3</w:instrText>
            </w:r>
            <w:r>
              <w:rPr>
                <w:rFonts w:ascii="Times New Roman" w:hAnsi="Times New Roman" w:eastAsia="宋体" w:cs="Times New Roman"/>
                <w:bCs/>
                <w:color w:val="auto"/>
                <w:kern w:val="0"/>
                <w:position w:val="-14"/>
                <w:sz w:val="24"/>
                <w:szCs w:val="24"/>
                <w:highlight w:val="none"/>
              </w:rPr>
              <w:fldChar w:fldCharType="separate"/>
            </w:r>
            <w:r>
              <w:rPr>
                <w:rFonts w:ascii="Times New Roman" w:hAnsi="Times New Roman" w:eastAsia="宋体" w:cs="Times New Roman"/>
                <w:bCs/>
                <w:color w:val="auto"/>
                <w:kern w:val="0"/>
                <w:position w:val="-14"/>
                <w:sz w:val="24"/>
                <w:szCs w:val="24"/>
                <w:highlight w:val="none"/>
              </w:rPr>
              <w:t>⑤</w:t>
            </w:r>
            <w:r>
              <w:rPr>
                <w:rFonts w:ascii="Times New Roman" w:hAnsi="Times New Roman" w:eastAsia="宋体" w:cs="Times New Roman"/>
                <w:bCs/>
                <w:color w:val="auto"/>
                <w:kern w:val="0"/>
                <w:position w:val="-14"/>
                <w:sz w:val="24"/>
                <w:szCs w:val="24"/>
                <w:highlight w:val="none"/>
              </w:rPr>
              <w:fldChar w:fldCharType="end"/>
            </w:r>
            <w:r>
              <w:rPr>
                <w:rFonts w:ascii="Times New Roman" w:hAnsi="Times New Roman" w:eastAsia="宋体" w:cs="Times New Roman"/>
                <w:bCs/>
                <w:color w:val="auto"/>
                <w:kern w:val="0"/>
                <w:position w:val="-14"/>
                <w:sz w:val="24"/>
                <w:szCs w:val="24"/>
                <w:highlight w:val="none"/>
              </w:rPr>
              <w:t>按室外声源预测方法计算预测点处的A声级。室外声源处于半自由声场情况下，且声源可看作是位于地面上的，则：</w:t>
            </w:r>
          </w:p>
          <w:p>
            <w:pPr>
              <w:widowControl/>
              <w:spacing w:line="360" w:lineRule="auto"/>
              <w:ind w:firstLine="480" w:firstLineChars="200"/>
              <w:jc w:val="center"/>
              <w:rPr>
                <w:rFonts w:ascii="Times New Roman" w:hAnsi="Times New Roman" w:eastAsia="宋体" w:cs="Times New Roman"/>
                <w:bCs/>
                <w:color w:val="auto"/>
                <w:kern w:val="0"/>
                <w:position w:val="-14"/>
                <w:sz w:val="24"/>
                <w:szCs w:val="24"/>
                <w:highlight w:val="none"/>
              </w:rPr>
            </w:pPr>
            <w:r>
              <w:rPr>
                <w:rFonts w:ascii="Times New Roman" w:hAnsi="Times New Roman" w:eastAsia="宋体" w:cs="Times New Roman"/>
                <w:bCs/>
                <w:color w:val="auto"/>
                <w:kern w:val="0"/>
                <w:position w:val="-14"/>
                <w:sz w:val="24"/>
                <w:szCs w:val="24"/>
                <w:highlight w:val="none"/>
              </w:rPr>
              <w:t>L</w:t>
            </w:r>
            <w:r>
              <w:rPr>
                <w:rFonts w:ascii="Times New Roman" w:hAnsi="Times New Roman" w:eastAsia="宋体" w:cs="Times New Roman"/>
                <w:bCs/>
                <w:color w:val="auto"/>
                <w:kern w:val="0"/>
                <w:position w:val="-14"/>
                <w:sz w:val="24"/>
                <w:szCs w:val="24"/>
                <w:highlight w:val="none"/>
                <w:vertAlign w:val="subscript"/>
              </w:rPr>
              <w:t>p</w:t>
            </w:r>
            <w:r>
              <w:rPr>
                <w:rFonts w:ascii="Times New Roman" w:hAnsi="Times New Roman" w:eastAsia="宋体" w:cs="Times New Roman"/>
                <w:bCs/>
                <w:color w:val="auto"/>
                <w:kern w:val="0"/>
                <w:position w:val="-14"/>
                <w:sz w:val="24"/>
                <w:szCs w:val="24"/>
                <w:highlight w:val="none"/>
              </w:rPr>
              <w:t>(r)=L</w:t>
            </w:r>
            <w:r>
              <w:rPr>
                <w:rFonts w:ascii="Times New Roman" w:hAnsi="Times New Roman" w:eastAsia="宋体" w:cs="Times New Roman"/>
                <w:bCs/>
                <w:color w:val="auto"/>
                <w:kern w:val="0"/>
                <w:position w:val="-14"/>
                <w:sz w:val="24"/>
                <w:szCs w:val="24"/>
                <w:highlight w:val="none"/>
                <w:vertAlign w:val="subscript"/>
              </w:rPr>
              <w:t>W</w:t>
            </w:r>
            <w:r>
              <w:rPr>
                <w:rFonts w:ascii="Times New Roman" w:hAnsi="Times New Roman" w:eastAsia="宋体" w:cs="Times New Roman"/>
                <w:bCs/>
                <w:color w:val="auto"/>
                <w:kern w:val="0"/>
                <w:position w:val="-14"/>
                <w:sz w:val="24"/>
                <w:szCs w:val="24"/>
                <w:highlight w:val="none"/>
              </w:rPr>
              <w:t>-20lg(r)-8</w:t>
            </w:r>
          </w:p>
          <w:p>
            <w:pPr>
              <w:widowControl/>
              <w:spacing w:line="360" w:lineRule="auto"/>
              <w:ind w:firstLine="480" w:firstLineChars="200"/>
              <w:jc w:val="left"/>
              <w:rPr>
                <w:rFonts w:ascii="Times New Roman" w:hAnsi="Times New Roman" w:eastAsia="宋体" w:cs="Times New Roman"/>
                <w:bCs/>
                <w:color w:val="auto"/>
                <w:kern w:val="0"/>
                <w:position w:val="-14"/>
                <w:sz w:val="24"/>
                <w:szCs w:val="24"/>
                <w:highlight w:val="none"/>
              </w:rPr>
            </w:pPr>
            <w:r>
              <w:rPr>
                <w:rFonts w:ascii="Times New Roman" w:hAnsi="Times New Roman" w:eastAsia="宋体" w:cs="Times New Roman"/>
                <w:bCs/>
                <w:color w:val="auto"/>
                <w:kern w:val="0"/>
                <w:position w:val="-14"/>
                <w:sz w:val="24"/>
                <w:szCs w:val="24"/>
                <w:highlight w:val="none"/>
              </w:rPr>
              <w:t>式中：r——点声源到受声点的距离，m。</w:t>
            </w:r>
          </w:p>
          <w:p>
            <w:pPr>
              <w:widowControl/>
              <w:spacing w:line="360" w:lineRule="auto"/>
              <w:ind w:firstLine="480" w:firstLineChars="200"/>
              <w:jc w:val="left"/>
              <w:rPr>
                <w:rFonts w:ascii="Times New Roman" w:hAnsi="Times New Roman" w:eastAsia="宋体" w:cs="Times New Roman"/>
                <w:bCs/>
                <w:color w:val="auto"/>
                <w:kern w:val="0"/>
                <w:position w:val="-14"/>
                <w:sz w:val="24"/>
                <w:szCs w:val="24"/>
                <w:highlight w:val="none"/>
              </w:rPr>
            </w:pPr>
            <w:r>
              <w:rPr>
                <w:rFonts w:ascii="Times New Roman" w:hAnsi="Times New Roman" w:eastAsia="宋体" w:cs="Times New Roman"/>
                <w:bCs/>
                <w:color w:val="auto"/>
                <w:kern w:val="0"/>
                <w:position w:val="-14"/>
                <w:sz w:val="24"/>
                <w:szCs w:val="24"/>
                <w:highlight w:val="none"/>
              </w:rPr>
              <w:fldChar w:fldCharType="begin"/>
            </w:r>
            <w:r>
              <w:rPr>
                <w:rFonts w:ascii="Times New Roman" w:hAnsi="Times New Roman" w:eastAsia="宋体" w:cs="Times New Roman"/>
                <w:bCs/>
                <w:color w:val="auto"/>
                <w:kern w:val="0"/>
                <w:position w:val="-14"/>
                <w:sz w:val="24"/>
                <w:szCs w:val="24"/>
                <w:highlight w:val="none"/>
              </w:rPr>
              <w:instrText xml:space="preserve">= 6 \* GB3</w:instrText>
            </w:r>
            <w:r>
              <w:rPr>
                <w:rFonts w:ascii="Times New Roman" w:hAnsi="Times New Roman" w:eastAsia="宋体" w:cs="Times New Roman"/>
                <w:bCs/>
                <w:color w:val="auto"/>
                <w:kern w:val="0"/>
                <w:position w:val="-14"/>
                <w:sz w:val="24"/>
                <w:szCs w:val="24"/>
                <w:highlight w:val="none"/>
              </w:rPr>
              <w:fldChar w:fldCharType="separate"/>
            </w:r>
            <w:r>
              <w:rPr>
                <w:rFonts w:ascii="Times New Roman" w:hAnsi="Times New Roman" w:eastAsia="宋体" w:cs="Times New Roman"/>
                <w:bCs/>
                <w:color w:val="auto"/>
                <w:kern w:val="0"/>
                <w:position w:val="-14"/>
                <w:sz w:val="24"/>
                <w:szCs w:val="24"/>
                <w:highlight w:val="none"/>
              </w:rPr>
              <w:t>⑥</w:t>
            </w:r>
            <w:r>
              <w:rPr>
                <w:rFonts w:ascii="Times New Roman" w:hAnsi="Times New Roman" w:eastAsia="宋体" w:cs="Times New Roman"/>
                <w:bCs/>
                <w:color w:val="auto"/>
                <w:kern w:val="0"/>
                <w:position w:val="-14"/>
                <w:sz w:val="24"/>
                <w:szCs w:val="24"/>
                <w:highlight w:val="none"/>
              </w:rPr>
              <w:fldChar w:fldCharType="end"/>
            </w:r>
            <w:r>
              <w:rPr>
                <w:rFonts w:ascii="Times New Roman" w:hAnsi="Times New Roman" w:eastAsia="宋体" w:cs="Times New Roman"/>
                <w:bCs/>
                <w:color w:val="auto"/>
                <w:kern w:val="0"/>
                <w:position w:val="-14"/>
                <w:sz w:val="24"/>
                <w:szCs w:val="24"/>
                <w:highlight w:val="none"/>
              </w:rPr>
              <w:t>倍频带声压级和A声级转换</w:t>
            </w:r>
          </w:p>
          <w:p>
            <w:pPr>
              <w:widowControl/>
              <w:spacing w:line="360" w:lineRule="auto"/>
              <w:jc w:val="center"/>
              <w:rPr>
                <w:rFonts w:ascii="Times New Roman" w:hAnsi="Times New Roman" w:eastAsia="宋体" w:cs="Times New Roman"/>
                <w:bCs/>
                <w:color w:val="auto"/>
                <w:kern w:val="0"/>
                <w:position w:val="-14"/>
                <w:sz w:val="24"/>
                <w:szCs w:val="24"/>
                <w:highlight w:val="none"/>
              </w:rPr>
            </w:pPr>
            <w:r>
              <w:rPr>
                <w:rFonts w:ascii="Times New Roman" w:hAnsi="Times New Roman" w:eastAsia="宋体" w:cs="Times New Roman"/>
                <w:color w:val="auto"/>
                <w:kern w:val="0"/>
                <w:position w:val="-14"/>
                <w:sz w:val="24"/>
                <w:szCs w:val="24"/>
                <w:highlight w:val="none"/>
              </w:rPr>
              <w:drawing>
                <wp:inline distT="0" distB="0" distL="114300" distR="114300">
                  <wp:extent cx="1791335" cy="476250"/>
                  <wp:effectExtent l="0" t="0" r="8890" b="0"/>
                  <wp:docPr id="28"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6"/>
                          <pic:cNvPicPr>
                            <a:picLocks noChangeAspect="1"/>
                          </pic:cNvPicPr>
                        </pic:nvPicPr>
                        <pic:blipFill>
                          <a:blip r:embed="rId21" cstate="print"/>
                          <a:stretch>
                            <a:fillRect/>
                          </a:stretch>
                        </pic:blipFill>
                        <pic:spPr>
                          <a:xfrm>
                            <a:off x="0" y="0"/>
                            <a:ext cx="1791335" cy="476250"/>
                          </a:xfrm>
                          <a:prstGeom prst="rect">
                            <a:avLst/>
                          </a:prstGeom>
                          <a:noFill/>
                          <a:ln>
                            <a:noFill/>
                          </a:ln>
                        </pic:spPr>
                      </pic:pic>
                    </a:graphicData>
                  </a:graphic>
                </wp:inline>
              </w:drawing>
            </w:r>
          </w:p>
          <w:p>
            <w:pPr>
              <w:widowControl/>
              <w:spacing w:line="360" w:lineRule="auto"/>
              <w:ind w:firstLine="480" w:firstLineChars="200"/>
              <w:jc w:val="left"/>
              <w:rPr>
                <w:rFonts w:ascii="Times New Roman" w:hAnsi="Times New Roman" w:eastAsia="宋体" w:cs="Times New Roman"/>
                <w:bCs/>
                <w:color w:val="auto"/>
                <w:kern w:val="0"/>
                <w:position w:val="-14"/>
                <w:sz w:val="24"/>
                <w:szCs w:val="24"/>
                <w:highlight w:val="none"/>
              </w:rPr>
            </w:pPr>
            <w:r>
              <w:rPr>
                <w:rFonts w:ascii="Times New Roman" w:hAnsi="Times New Roman" w:eastAsia="宋体" w:cs="Times New Roman"/>
                <w:bCs/>
                <w:color w:val="auto"/>
                <w:kern w:val="0"/>
                <w:position w:val="-14"/>
                <w:sz w:val="24"/>
                <w:szCs w:val="24"/>
                <w:highlight w:val="none"/>
              </w:rPr>
              <w:fldChar w:fldCharType="begin"/>
            </w:r>
            <w:r>
              <w:rPr>
                <w:rFonts w:ascii="Times New Roman" w:hAnsi="Times New Roman" w:eastAsia="宋体" w:cs="Times New Roman"/>
                <w:bCs/>
                <w:color w:val="auto"/>
                <w:kern w:val="0"/>
                <w:position w:val="-14"/>
                <w:sz w:val="24"/>
                <w:szCs w:val="24"/>
                <w:highlight w:val="none"/>
              </w:rPr>
              <w:instrText xml:space="preserve">= 7 \* GB3</w:instrText>
            </w:r>
            <w:r>
              <w:rPr>
                <w:rFonts w:ascii="Times New Roman" w:hAnsi="Times New Roman" w:eastAsia="宋体" w:cs="Times New Roman"/>
                <w:bCs/>
                <w:color w:val="auto"/>
                <w:kern w:val="0"/>
                <w:position w:val="-14"/>
                <w:sz w:val="24"/>
                <w:szCs w:val="24"/>
                <w:highlight w:val="none"/>
              </w:rPr>
              <w:fldChar w:fldCharType="separate"/>
            </w:r>
            <w:r>
              <w:rPr>
                <w:rFonts w:ascii="Times New Roman" w:hAnsi="Times New Roman" w:eastAsia="宋体" w:cs="Times New Roman"/>
                <w:bCs/>
                <w:color w:val="auto"/>
                <w:kern w:val="0"/>
                <w:position w:val="-14"/>
                <w:sz w:val="24"/>
                <w:szCs w:val="24"/>
                <w:highlight w:val="none"/>
              </w:rPr>
              <w:t>⑦</w:t>
            </w:r>
            <w:r>
              <w:rPr>
                <w:rFonts w:ascii="Times New Roman" w:hAnsi="Times New Roman" w:eastAsia="宋体" w:cs="Times New Roman"/>
                <w:bCs/>
                <w:color w:val="auto"/>
                <w:kern w:val="0"/>
                <w:position w:val="-14"/>
                <w:sz w:val="24"/>
                <w:szCs w:val="24"/>
                <w:highlight w:val="none"/>
              </w:rPr>
              <w:fldChar w:fldCharType="end"/>
            </w:r>
            <w:r>
              <w:rPr>
                <w:rFonts w:ascii="Times New Roman" w:hAnsi="Times New Roman" w:eastAsia="宋体" w:cs="Times New Roman"/>
                <w:bCs/>
                <w:color w:val="auto"/>
                <w:kern w:val="0"/>
                <w:position w:val="-14"/>
                <w:sz w:val="24"/>
                <w:szCs w:val="24"/>
                <w:highlight w:val="none"/>
              </w:rPr>
              <w:t>运行设备到厂界噪声叠加按照下式计算：</w:t>
            </w:r>
          </w:p>
          <w:p>
            <w:pPr>
              <w:widowControl/>
              <w:spacing w:line="360" w:lineRule="auto"/>
              <w:jc w:val="center"/>
              <w:rPr>
                <w:rFonts w:ascii="Times New Roman" w:hAnsi="Times New Roman" w:eastAsia="宋体" w:cs="Times New Roman"/>
                <w:bCs/>
                <w:color w:val="auto"/>
                <w:kern w:val="0"/>
                <w:sz w:val="24"/>
                <w:szCs w:val="24"/>
                <w:highlight w:val="none"/>
              </w:rPr>
            </w:pPr>
            <w:r>
              <w:rPr>
                <w:rFonts w:ascii="Times New Roman" w:hAnsi="Times New Roman" w:eastAsia="宋体" w:cs="Times New Roman"/>
                <w:color w:val="auto"/>
                <w:kern w:val="0"/>
                <w:sz w:val="24"/>
                <w:szCs w:val="24"/>
                <w:highlight w:val="none"/>
              </w:rPr>
              <w:drawing>
                <wp:inline distT="0" distB="0" distL="114300" distR="114300">
                  <wp:extent cx="3067685" cy="585470"/>
                  <wp:effectExtent l="0" t="0" r="8890" b="5080"/>
                  <wp:docPr id="29"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7"/>
                          <pic:cNvPicPr>
                            <a:picLocks noChangeAspect="1"/>
                          </pic:cNvPicPr>
                        </pic:nvPicPr>
                        <pic:blipFill>
                          <a:blip r:embed="rId22" cstate="print"/>
                          <a:stretch>
                            <a:fillRect/>
                          </a:stretch>
                        </pic:blipFill>
                        <pic:spPr>
                          <a:xfrm>
                            <a:off x="0" y="0"/>
                            <a:ext cx="3067685" cy="585470"/>
                          </a:xfrm>
                          <a:prstGeom prst="rect">
                            <a:avLst/>
                          </a:prstGeom>
                          <a:noFill/>
                          <a:ln>
                            <a:noFill/>
                          </a:ln>
                        </pic:spPr>
                      </pic:pic>
                    </a:graphicData>
                  </a:graphic>
                </wp:inline>
              </w:drawing>
            </w:r>
          </w:p>
          <w:p>
            <w:pPr>
              <w:widowControl/>
              <w:spacing w:line="360" w:lineRule="auto"/>
              <w:ind w:firstLine="480" w:firstLineChars="200"/>
              <w:jc w:val="left"/>
              <w:rPr>
                <w:rFonts w:ascii="Times New Roman" w:hAnsi="Times New Roman" w:eastAsia="宋体" w:cs="Times New Roman"/>
                <w:bCs/>
                <w:color w:val="auto"/>
                <w:kern w:val="0"/>
                <w:sz w:val="24"/>
                <w:szCs w:val="24"/>
                <w:highlight w:val="none"/>
              </w:rPr>
            </w:pPr>
            <w:r>
              <w:rPr>
                <w:rFonts w:ascii="Times New Roman" w:hAnsi="Times New Roman" w:eastAsia="宋体" w:cs="Times New Roman"/>
                <w:bCs/>
                <w:color w:val="auto"/>
                <w:kern w:val="0"/>
                <w:sz w:val="24"/>
                <w:szCs w:val="24"/>
                <w:highlight w:val="none"/>
              </w:rPr>
              <w:t>式中：</w:t>
            </w:r>
            <w:r>
              <w:rPr>
                <w:rFonts w:ascii="Times New Roman" w:hAnsi="Times New Roman" w:eastAsia="宋体" w:cs="Times New Roman"/>
                <w:bCs/>
                <w:i/>
                <w:color w:val="auto"/>
                <w:kern w:val="0"/>
                <w:sz w:val="24"/>
                <w:szCs w:val="24"/>
                <w:highlight w:val="none"/>
              </w:rPr>
              <w:t>L</w:t>
            </w:r>
            <w:r>
              <w:rPr>
                <w:rFonts w:ascii="Times New Roman" w:hAnsi="Times New Roman" w:eastAsia="宋体" w:cs="Times New Roman"/>
                <w:bCs/>
                <w:i/>
                <w:color w:val="auto"/>
                <w:kern w:val="0"/>
                <w:sz w:val="24"/>
                <w:szCs w:val="24"/>
                <w:highlight w:val="none"/>
                <w:vertAlign w:val="subscript"/>
              </w:rPr>
              <w:t>eqg</w:t>
            </w:r>
            <w:r>
              <w:rPr>
                <w:rFonts w:ascii="Times New Roman" w:hAnsi="Times New Roman" w:eastAsia="宋体" w:cs="Times New Roman"/>
                <w:bCs/>
                <w:color w:val="auto"/>
                <w:kern w:val="0"/>
                <w:sz w:val="24"/>
                <w:szCs w:val="24"/>
                <w:highlight w:val="none"/>
              </w:rPr>
              <w:t xml:space="preserve"> ——建设项目声源在预测点的等效声级贡献值，dB(A)；</w:t>
            </w:r>
          </w:p>
          <w:p>
            <w:pPr>
              <w:widowControl/>
              <w:spacing w:line="360" w:lineRule="auto"/>
              <w:ind w:firstLine="1080" w:firstLineChars="450"/>
              <w:jc w:val="left"/>
              <w:rPr>
                <w:rFonts w:ascii="Times New Roman" w:hAnsi="Times New Roman" w:eastAsia="宋体" w:cs="Times New Roman"/>
                <w:bCs/>
                <w:color w:val="auto"/>
                <w:kern w:val="0"/>
                <w:sz w:val="24"/>
                <w:szCs w:val="24"/>
                <w:highlight w:val="none"/>
              </w:rPr>
            </w:pPr>
            <w:r>
              <w:rPr>
                <w:rFonts w:ascii="Times New Roman" w:hAnsi="Times New Roman" w:eastAsia="宋体" w:cs="Times New Roman"/>
                <w:bCs/>
                <w:color w:val="auto"/>
                <w:kern w:val="0"/>
                <w:position w:val="-12"/>
                <w:sz w:val="24"/>
                <w:szCs w:val="24"/>
                <w:highlight w:val="none"/>
              </w:rPr>
              <w:t xml:space="preserve"> </w:t>
            </w:r>
            <w:r>
              <w:rPr>
                <w:rFonts w:ascii="Times New Roman" w:hAnsi="Times New Roman" w:eastAsia="宋体" w:cs="Times New Roman"/>
                <w:color w:val="auto"/>
                <w:kern w:val="0"/>
                <w:position w:val="-12"/>
                <w:sz w:val="24"/>
                <w:szCs w:val="24"/>
                <w:highlight w:val="none"/>
              </w:rPr>
              <w:drawing>
                <wp:inline distT="0" distB="0" distL="114300" distR="114300">
                  <wp:extent cx="323850" cy="200025"/>
                  <wp:effectExtent l="0" t="0" r="0" b="0"/>
                  <wp:docPr id="30"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8"/>
                          <pic:cNvPicPr>
                            <a:picLocks noChangeAspect="1"/>
                          </pic:cNvPicPr>
                        </pic:nvPicPr>
                        <pic:blipFill>
                          <a:blip r:embed="rId23" cstate="print"/>
                          <a:stretch>
                            <a:fillRect/>
                          </a:stretch>
                        </pic:blipFill>
                        <pic:spPr>
                          <a:xfrm>
                            <a:off x="0" y="0"/>
                            <a:ext cx="323850" cy="200025"/>
                          </a:xfrm>
                          <a:prstGeom prst="rect">
                            <a:avLst/>
                          </a:prstGeom>
                          <a:noFill/>
                          <a:ln>
                            <a:noFill/>
                          </a:ln>
                        </pic:spPr>
                      </pic:pic>
                    </a:graphicData>
                  </a:graphic>
                </wp:inline>
              </w:drawing>
            </w:r>
            <w:r>
              <w:rPr>
                <w:rFonts w:ascii="Times New Roman" w:hAnsi="Times New Roman" w:eastAsia="宋体" w:cs="Times New Roman"/>
                <w:bCs/>
                <w:color w:val="auto"/>
                <w:kern w:val="0"/>
                <w:sz w:val="24"/>
                <w:szCs w:val="24"/>
                <w:highlight w:val="none"/>
              </w:rPr>
              <w:t>——室外i声源在预测点产生的A声级，dB(A)；</w:t>
            </w:r>
          </w:p>
          <w:p>
            <w:pPr>
              <w:widowControl/>
              <w:spacing w:line="360" w:lineRule="auto"/>
              <w:ind w:firstLine="1080" w:firstLineChars="450"/>
              <w:jc w:val="left"/>
              <w:rPr>
                <w:rFonts w:ascii="Times New Roman" w:hAnsi="Times New Roman" w:eastAsia="宋体" w:cs="Times New Roman"/>
                <w:bCs/>
                <w:color w:val="auto"/>
                <w:kern w:val="0"/>
                <w:sz w:val="24"/>
                <w:szCs w:val="24"/>
                <w:highlight w:val="none"/>
              </w:rPr>
            </w:pPr>
            <w:r>
              <w:rPr>
                <w:rFonts w:ascii="Times New Roman" w:hAnsi="Times New Roman" w:eastAsia="宋体" w:cs="Times New Roman"/>
                <w:bCs/>
                <w:i/>
                <w:color w:val="auto"/>
                <w:kern w:val="0"/>
                <w:sz w:val="24"/>
                <w:szCs w:val="24"/>
                <w:highlight w:val="none"/>
              </w:rPr>
              <w:t xml:space="preserve"> t</w:t>
            </w:r>
            <w:r>
              <w:rPr>
                <w:rFonts w:ascii="Times New Roman" w:hAnsi="Times New Roman" w:eastAsia="宋体" w:cs="Times New Roman"/>
                <w:bCs/>
                <w:i/>
                <w:color w:val="auto"/>
                <w:kern w:val="0"/>
                <w:sz w:val="24"/>
                <w:szCs w:val="24"/>
                <w:highlight w:val="none"/>
                <w:vertAlign w:val="subscript"/>
              </w:rPr>
              <w:t>j</w:t>
            </w:r>
            <w:r>
              <w:rPr>
                <w:rFonts w:ascii="Times New Roman" w:hAnsi="Times New Roman" w:eastAsia="宋体" w:cs="Times New Roman"/>
                <w:bCs/>
                <w:color w:val="auto"/>
                <w:kern w:val="0"/>
                <w:sz w:val="24"/>
                <w:szCs w:val="24"/>
                <w:highlight w:val="none"/>
              </w:rPr>
              <w:t xml:space="preserve"> ——等效室外声源在T时间内j声源工作时间，s；</w:t>
            </w:r>
          </w:p>
          <w:p>
            <w:pPr>
              <w:widowControl/>
              <w:spacing w:line="360" w:lineRule="auto"/>
              <w:ind w:firstLine="1080" w:firstLineChars="450"/>
              <w:jc w:val="left"/>
              <w:rPr>
                <w:rFonts w:ascii="Times New Roman" w:hAnsi="Times New Roman" w:eastAsia="宋体" w:cs="Times New Roman"/>
                <w:bCs/>
                <w:color w:val="auto"/>
                <w:kern w:val="0"/>
                <w:sz w:val="24"/>
                <w:szCs w:val="24"/>
                <w:highlight w:val="none"/>
              </w:rPr>
            </w:pPr>
            <w:r>
              <w:rPr>
                <w:rFonts w:ascii="Times New Roman" w:hAnsi="Times New Roman" w:eastAsia="宋体" w:cs="Times New Roman"/>
                <w:bCs/>
                <w:i/>
                <w:color w:val="auto"/>
                <w:kern w:val="0"/>
                <w:sz w:val="24"/>
                <w:szCs w:val="24"/>
                <w:highlight w:val="none"/>
              </w:rPr>
              <w:t xml:space="preserve"> t</w:t>
            </w:r>
            <w:r>
              <w:rPr>
                <w:rFonts w:ascii="Times New Roman" w:hAnsi="Times New Roman" w:eastAsia="宋体" w:cs="Times New Roman"/>
                <w:bCs/>
                <w:i/>
                <w:color w:val="auto"/>
                <w:kern w:val="0"/>
                <w:sz w:val="24"/>
                <w:szCs w:val="24"/>
                <w:highlight w:val="none"/>
                <w:vertAlign w:val="subscript"/>
              </w:rPr>
              <w:t>i</w:t>
            </w:r>
            <w:r>
              <w:rPr>
                <w:rFonts w:ascii="Times New Roman" w:hAnsi="Times New Roman" w:eastAsia="宋体" w:cs="Times New Roman"/>
                <w:bCs/>
                <w:color w:val="auto"/>
                <w:kern w:val="0"/>
                <w:sz w:val="24"/>
                <w:szCs w:val="24"/>
                <w:highlight w:val="none"/>
              </w:rPr>
              <w:t xml:space="preserve"> ——室外声源在T时间内i声源工作时间，s； </w:t>
            </w:r>
          </w:p>
          <w:p>
            <w:pPr>
              <w:spacing w:line="360" w:lineRule="auto"/>
              <w:ind w:left="480"/>
              <w:rPr>
                <w:rFonts w:ascii="Times New Roman" w:hAnsi="Times New Roman" w:eastAsia="宋体" w:cs="Times New Roman"/>
                <w:color w:val="auto"/>
                <w:sz w:val="24"/>
                <w:szCs w:val="24"/>
                <w:highlight w:val="none"/>
              </w:rPr>
            </w:pPr>
            <w:r>
              <w:rPr>
                <w:rFonts w:ascii="Times New Roman" w:hAnsi="Times New Roman" w:eastAsia="宋体" w:cs="Times New Roman"/>
                <w:bCs/>
                <w:i/>
                <w:color w:val="auto"/>
                <w:kern w:val="0"/>
                <w:sz w:val="24"/>
                <w:szCs w:val="24"/>
                <w:highlight w:val="none"/>
              </w:rPr>
              <w:t xml:space="preserve">      T</w:t>
            </w:r>
            <w:r>
              <w:rPr>
                <w:rFonts w:ascii="Times New Roman" w:hAnsi="Times New Roman" w:eastAsia="宋体" w:cs="Times New Roman"/>
                <w:bCs/>
                <w:color w:val="auto"/>
                <w:kern w:val="0"/>
                <w:sz w:val="24"/>
                <w:szCs w:val="24"/>
                <w:highlight w:val="none"/>
              </w:rPr>
              <w:t xml:space="preserve"> ——用于计算等效声级的时间，s</w:t>
            </w:r>
            <w:r>
              <w:rPr>
                <w:rFonts w:ascii="Times New Roman" w:hAnsi="Times New Roman" w:eastAsia="宋体" w:cs="Times New Roman"/>
                <w:color w:val="auto"/>
                <w:sz w:val="24"/>
                <w:szCs w:val="24"/>
                <w:highlight w:val="none"/>
              </w:rPr>
              <w:t>。</w:t>
            </w:r>
          </w:p>
          <w:p>
            <w:pPr>
              <w:spacing w:line="360" w:lineRule="auto"/>
              <w:ind w:left="480"/>
              <w:rPr>
                <w:rFonts w:ascii="Times New Roman" w:hAnsi="Times New Roman" w:eastAsia="宋体" w:cs="Times New Roman"/>
                <w:color w:val="auto"/>
                <w:sz w:val="24"/>
                <w:szCs w:val="24"/>
                <w:highlight w:val="none"/>
              </w:rPr>
            </w:pPr>
            <w:r>
              <w:rPr>
                <w:rFonts w:ascii="Times New Roman" w:hAnsi="Times New Roman" w:eastAsia="宋体" w:cs="Times New Roman"/>
                <w:color w:val="auto"/>
                <w:sz w:val="24"/>
                <w:szCs w:val="24"/>
                <w:highlight w:val="none"/>
              </w:rPr>
              <w:t>3.3预测结果</w:t>
            </w:r>
          </w:p>
          <w:p>
            <w:pPr>
              <w:spacing w:line="360" w:lineRule="auto"/>
              <w:ind w:firstLine="480" w:firstLineChars="200"/>
              <w:rPr>
                <w:rFonts w:ascii="Times New Roman" w:hAnsi="Times New Roman" w:eastAsia="宋体" w:cs="Times New Roman"/>
                <w:color w:val="auto"/>
                <w:sz w:val="24"/>
                <w:szCs w:val="24"/>
                <w:highlight w:val="none"/>
              </w:rPr>
            </w:pPr>
            <w:r>
              <w:rPr>
                <w:rFonts w:ascii="Times New Roman" w:hAnsi="Times New Roman" w:eastAsia="宋体" w:cs="Times New Roman"/>
                <w:color w:val="auto"/>
                <w:sz w:val="24"/>
                <w:szCs w:val="24"/>
                <w:highlight w:val="none"/>
              </w:rPr>
              <w:t>经预测，厂界噪声值见下表。</w:t>
            </w:r>
          </w:p>
          <w:p>
            <w:pPr>
              <w:adjustRightInd w:val="0"/>
              <w:spacing w:line="324" w:lineRule="auto"/>
              <w:jc w:val="center"/>
              <w:rPr>
                <w:rFonts w:ascii="Times New Roman" w:hAnsi="Times New Roman" w:eastAsia="黑体" w:cs="Times New Roman"/>
                <w:color w:val="auto"/>
                <w:sz w:val="24"/>
                <w:highlight w:val="none"/>
              </w:rPr>
            </w:pPr>
            <w:r>
              <w:rPr>
                <w:rFonts w:ascii="Times New Roman" w:hAnsi="Times New Roman" w:eastAsia="黑体" w:cs="Times New Roman"/>
                <w:color w:val="auto"/>
                <w:sz w:val="24"/>
                <w:highlight w:val="none"/>
              </w:rPr>
              <w:t>表4-9  各厂界噪声预测结果  单位：dB(A)</w:t>
            </w:r>
          </w:p>
          <w:tbl>
            <w:tblPr>
              <w:tblStyle w:val="17"/>
              <w:tblW w:w="5000" w:type="pct"/>
              <w:tblInd w:w="5" w:type="dxa"/>
              <w:tblBorders>
                <w:top w:val="single" w:color="auto" w:sz="8" w:space="0"/>
                <w:left w:val="none" w:color="auto" w:sz="0" w:space="0"/>
                <w:bottom w:val="single" w:color="auto" w:sz="8"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092"/>
              <w:gridCol w:w="1096"/>
              <w:gridCol w:w="1093"/>
              <w:gridCol w:w="1098"/>
              <w:gridCol w:w="1093"/>
              <w:gridCol w:w="1098"/>
              <w:gridCol w:w="1336"/>
            </w:tblGrid>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383" w:type="pct"/>
                  <w:gridSpan w:val="2"/>
                  <w:vMerge w:val="restart"/>
                  <w:tcBorders>
                    <w:tl2br w:val="nil"/>
                    <w:tr2bl w:val="nil"/>
                  </w:tcBorders>
                  <w:vAlign w:val="center"/>
                </w:tcPr>
                <w:p>
                  <w:pPr>
                    <w:jc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sz w:val="18"/>
                      <w:szCs w:val="18"/>
                      <w:highlight w:val="none"/>
                    </w:rPr>
                    <w:t>预测地点</w:t>
                  </w:r>
                </w:p>
              </w:tc>
              <w:tc>
                <w:tcPr>
                  <w:tcW w:w="1385" w:type="pct"/>
                  <w:gridSpan w:val="2"/>
                  <w:tcBorders>
                    <w:tl2br w:val="nil"/>
                    <w:tr2bl w:val="nil"/>
                  </w:tcBorders>
                  <w:vAlign w:val="center"/>
                </w:tcPr>
                <w:p>
                  <w:pPr>
                    <w:jc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sz w:val="18"/>
                      <w:szCs w:val="18"/>
                      <w:highlight w:val="none"/>
                    </w:rPr>
                    <w:t>贡献值</w:t>
                  </w:r>
                </w:p>
              </w:tc>
              <w:tc>
                <w:tcPr>
                  <w:tcW w:w="1385" w:type="pct"/>
                  <w:gridSpan w:val="2"/>
                  <w:tcBorders>
                    <w:tl2br w:val="nil"/>
                    <w:tr2bl w:val="nil"/>
                  </w:tcBorders>
                  <w:vAlign w:val="center"/>
                </w:tcPr>
                <w:p>
                  <w:pPr>
                    <w:jc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sz w:val="18"/>
                      <w:szCs w:val="18"/>
                      <w:highlight w:val="none"/>
                    </w:rPr>
                    <w:t>标准值</w:t>
                  </w:r>
                </w:p>
              </w:tc>
              <w:tc>
                <w:tcPr>
                  <w:tcW w:w="844" w:type="pct"/>
                  <w:vMerge w:val="restart"/>
                  <w:tcBorders>
                    <w:tl2br w:val="nil"/>
                    <w:tr2bl w:val="nil"/>
                  </w:tcBorders>
                  <w:vAlign w:val="center"/>
                </w:tcPr>
                <w:p>
                  <w:pPr>
                    <w:jc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sz w:val="18"/>
                      <w:szCs w:val="18"/>
                      <w:highlight w:val="none"/>
                    </w:rPr>
                    <w:t>标准</w:t>
                  </w: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383" w:type="pct"/>
                  <w:gridSpan w:val="2"/>
                  <w:vMerge w:val="continue"/>
                  <w:tcBorders>
                    <w:tl2br w:val="nil"/>
                    <w:tr2bl w:val="nil"/>
                  </w:tcBorders>
                  <w:vAlign w:val="center"/>
                </w:tcPr>
                <w:p>
                  <w:pPr>
                    <w:rPr>
                      <w:rFonts w:ascii="Times New Roman" w:hAnsi="Times New Roman" w:eastAsia="宋体" w:cs="Times New Roman"/>
                      <w:b/>
                      <w:bCs/>
                      <w:color w:val="auto"/>
                      <w:sz w:val="18"/>
                      <w:szCs w:val="18"/>
                      <w:highlight w:val="none"/>
                    </w:rPr>
                  </w:pPr>
                </w:p>
              </w:tc>
              <w:tc>
                <w:tcPr>
                  <w:tcW w:w="691" w:type="pct"/>
                  <w:tcBorders>
                    <w:tl2br w:val="nil"/>
                    <w:tr2bl w:val="nil"/>
                  </w:tcBorders>
                  <w:vAlign w:val="center"/>
                </w:tcPr>
                <w:p>
                  <w:pPr>
                    <w:jc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sz w:val="18"/>
                      <w:szCs w:val="18"/>
                      <w:highlight w:val="none"/>
                    </w:rPr>
                    <w:t>昼</w:t>
                  </w:r>
                </w:p>
              </w:tc>
              <w:tc>
                <w:tcPr>
                  <w:tcW w:w="694" w:type="pct"/>
                  <w:tcBorders>
                    <w:tl2br w:val="nil"/>
                    <w:tr2bl w:val="nil"/>
                  </w:tcBorders>
                  <w:vAlign w:val="center"/>
                </w:tcPr>
                <w:p>
                  <w:pPr>
                    <w:jc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sz w:val="18"/>
                      <w:szCs w:val="18"/>
                      <w:highlight w:val="none"/>
                    </w:rPr>
                    <w:t>夜</w:t>
                  </w:r>
                </w:p>
              </w:tc>
              <w:tc>
                <w:tcPr>
                  <w:tcW w:w="691" w:type="pct"/>
                  <w:tcBorders>
                    <w:tl2br w:val="nil"/>
                    <w:tr2bl w:val="nil"/>
                  </w:tcBorders>
                  <w:vAlign w:val="center"/>
                </w:tcPr>
                <w:p>
                  <w:pPr>
                    <w:jc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sz w:val="18"/>
                      <w:szCs w:val="18"/>
                      <w:highlight w:val="none"/>
                    </w:rPr>
                    <w:t>昼</w:t>
                  </w:r>
                </w:p>
              </w:tc>
              <w:tc>
                <w:tcPr>
                  <w:tcW w:w="694" w:type="pct"/>
                  <w:tcBorders>
                    <w:tl2br w:val="nil"/>
                    <w:tr2bl w:val="nil"/>
                  </w:tcBorders>
                  <w:vAlign w:val="center"/>
                </w:tcPr>
                <w:p>
                  <w:pPr>
                    <w:jc w:val="center"/>
                    <w:rPr>
                      <w:rFonts w:ascii="Times New Roman" w:hAnsi="Times New Roman" w:eastAsia="宋体" w:cs="Times New Roman"/>
                      <w:b/>
                      <w:bCs/>
                      <w:color w:val="auto"/>
                      <w:sz w:val="18"/>
                      <w:szCs w:val="18"/>
                      <w:highlight w:val="none"/>
                    </w:rPr>
                  </w:pPr>
                  <w:r>
                    <w:rPr>
                      <w:rFonts w:ascii="Times New Roman" w:hAnsi="Times New Roman" w:eastAsia="宋体" w:cs="Times New Roman"/>
                      <w:b/>
                      <w:bCs/>
                      <w:color w:val="auto"/>
                      <w:sz w:val="18"/>
                      <w:szCs w:val="18"/>
                      <w:highlight w:val="none"/>
                    </w:rPr>
                    <w:t>夜</w:t>
                  </w:r>
                </w:p>
              </w:tc>
              <w:tc>
                <w:tcPr>
                  <w:tcW w:w="844" w:type="pct"/>
                  <w:vMerge w:val="continue"/>
                  <w:tcBorders>
                    <w:tl2br w:val="nil"/>
                    <w:tr2bl w:val="nil"/>
                  </w:tcBorders>
                  <w:vAlign w:val="center"/>
                </w:tcPr>
                <w:p>
                  <w:pPr>
                    <w:rPr>
                      <w:rFonts w:ascii="Times New Roman" w:hAnsi="Times New Roman" w:eastAsia="宋体" w:cs="Times New Roman"/>
                      <w:b/>
                      <w:bCs/>
                      <w:color w:val="auto"/>
                      <w:sz w:val="18"/>
                      <w:szCs w:val="18"/>
                      <w:highlight w:val="none"/>
                    </w:rPr>
                  </w:pP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690" w:type="pct"/>
                  <w:tcBorders>
                    <w:tl2br w:val="nil"/>
                    <w:tr2bl w:val="nil"/>
                  </w:tcBorders>
                  <w:vAlign w:val="center"/>
                </w:tcPr>
                <w:p>
                  <w:pPr>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N1</w:t>
                  </w:r>
                </w:p>
              </w:tc>
              <w:tc>
                <w:tcPr>
                  <w:tcW w:w="693" w:type="pct"/>
                  <w:tcBorders>
                    <w:tl2br w:val="nil"/>
                    <w:tr2bl w:val="nil"/>
                  </w:tcBorders>
                  <w:vAlign w:val="center"/>
                </w:tcPr>
                <w:p>
                  <w:pPr>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厂界东</w:t>
                  </w:r>
                </w:p>
              </w:tc>
              <w:tc>
                <w:tcPr>
                  <w:tcW w:w="691" w:type="pct"/>
                  <w:tcBorders>
                    <w:tl2br w:val="nil"/>
                    <w:tr2bl w:val="nil"/>
                  </w:tcBorders>
                  <w:vAlign w:val="center"/>
                </w:tcPr>
                <w:p>
                  <w:pPr>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52</w:t>
                  </w:r>
                </w:p>
              </w:tc>
              <w:tc>
                <w:tcPr>
                  <w:tcW w:w="694" w:type="pct"/>
                  <w:tcBorders>
                    <w:tl2br w:val="nil"/>
                    <w:tr2bl w:val="nil"/>
                  </w:tcBorders>
                  <w:vAlign w:val="center"/>
                </w:tcPr>
                <w:p>
                  <w:pPr>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52</w:t>
                  </w:r>
                </w:p>
              </w:tc>
              <w:tc>
                <w:tcPr>
                  <w:tcW w:w="691" w:type="pct"/>
                  <w:vMerge w:val="restart"/>
                  <w:tcBorders>
                    <w:tl2br w:val="nil"/>
                    <w:tr2bl w:val="nil"/>
                  </w:tcBorders>
                  <w:vAlign w:val="center"/>
                </w:tcPr>
                <w:p>
                  <w:pPr>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60</w:t>
                  </w:r>
                </w:p>
              </w:tc>
              <w:tc>
                <w:tcPr>
                  <w:tcW w:w="694" w:type="pct"/>
                  <w:vMerge w:val="restart"/>
                  <w:tcBorders>
                    <w:tl2br w:val="nil"/>
                    <w:tr2bl w:val="nil"/>
                  </w:tcBorders>
                  <w:vAlign w:val="center"/>
                </w:tcPr>
                <w:p>
                  <w:pPr>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50</w:t>
                  </w:r>
                </w:p>
              </w:tc>
              <w:tc>
                <w:tcPr>
                  <w:tcW w:w="844" w:type="pct"/>
                  <w:vMerge w:val="restart"/>
                  <w:tcBorders>
                    <w:tl2br w:val="nil"/>
                    <w:tr2bl w:val="nil"/>
                  </w:tcBorders>
                  <w:vAlign w:val="center"/>
                </w:tcPr>
                <w:p>
                  <w:pPr>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GB12348-2008中2类标准</w:t>
                  </w: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690" w:type="pct"/>
                  <w:tcBorders>
                    <w:tl2br w:val="nil"/>
                    <w:tr2bl w:val="nil"/>
                  </w:tcBorders>
                  <w:vAlign w:val="center"/>
                </w:tcPr>
                <w:p>
                  <w:pPr>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N2</w:t>
                  </w:r>
                </w:p>
              </w:tc>
              <w:tc>
                <w:tcPr>
                  <w:tcW w:w="693" w:type="pct"/>
                  <w:tcBorders>
                    <w:tl2br w:val="nil"/>
                    <w:tr2bl w:val="nil"/>
                  </w:tcBorders>
                  <w:vAlign w:val="center"/>
                </w:tcPr>
                <w:p>
                  <w:pPr>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厂界南</w:t>
                  </w:r>
                </w:p>
              </w:tc>
              <w:tc>
                <w:tcPr>
                  <w:tcW w:w="691" w:type="pct"/>
                  <w:tcBorders>
                    <w:tl2br w:val="nil"/>
                    <w:tr2bl w:val="nil"/>
                  </w:tcBorders>
                  <w:vAlign w:val="center"/>
                </w:tcPr>
                <w:p>
                  <w:pPr>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49</w:t>
                  </w:r>
                </w:p>
              </w:tc>
              <w:tc>
                <w:tcPr>
                  <w:tcW w:w="694" w:type="pct"/>
                  <w:tcBorders>
                    <w:tl2br w:val="nil"/>
                    <w:tr2bl w:val="nil"/>
                  </w:tcBorders>
                  <w:vAlign w:val="center"/>
                </w:tcPr>
                <w:p>
                  <w:pPr>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49</w:t>
                  </w:r>
                </w:p>
              </w:tc>
              <w:tc>
                <w:tcPr>
                  <w:tcW w:w="691" w:type="pct"/>
                  <w:vMerge w:val="continue"/>
                  <w:tcBorders>
                    <w:tl2br w:val="nil"/>
                    <w:tr2bl w:val="nil"/>
                  </w:tcBorders>
                  <w:vAlign w:val="center"/>
                </w:tcPr>
                <w:p>
                  <w:pPr>
                    <w:rPr>
                      <w:rFonts w:ascii="Times New Roman" w:hAnsi="Times New Roman" w:eastAsia="宋体" w:cs="Times New Roman"/>
                      <w:color w:val="auto"/>
                      <w:sz w:val="18"/>
                      <w:szCs w:val="18"/>
                      <w:highlight w:val="none"/>
                    </w:rPr>
                  </w:pPr>
                </w:p>
              </w:tc>
              <w:tc>
                <w:tcPr>
                  <w:tcW w:w="694" w:type="pct"/>
                  <w:vMerge w:val="continue"/>
                  <w:tcBorders>
                    <w:tl2br w:val="nil"/>
                    <w:tr2bl w:val="nil"/>
                  </w:tcBorders>
                  <w:vAlign w:val="center"/>
                </w:tcPr>
                <w:p>
                  <w:pPr>
                    <w:rPr>
                      <w:rFonts w:ascii="Times New Roman" w:hAnsi="Times New Roman" w:eastAsia="宋体" w:cs="Times New Roman"/>
                      <w:color w:val="auto"/>
                      <w:sz w:val="18"/>
                      <w:szCs w:val="18"/>
                      <w:highlight w:val="none"/>
                    </w:rPr>
                  </w:pPr>
                </w:p>
              </w:tc>
              <w:tc>
                <w:tcPr>
                  <w:tcW w:w="844" w:type="pct"/>
                  <w:vMerge w:val="continue"/>
                  <w:tcBorders>
                    <w:tl2br w:val="nil"/>
                    <w:tr2bl w:val="nil"/>
                  </w:tcBorders>
                  <w:vAlign w:val="center"/>
                </w:tcPr>
                <w:p>
                  <w:pPr>
                    <w:rPr>
                      <w:rFonts w:ascii="Times New Roman" w:hAnsi="Times New Roman" w:eastAsia="宋体" w:cs="Times New Roman"/>
                      <w:color w:val="auto"/>
                      <w:sz w:val="18"/>
                      <w:szCs w:val="18"/>
                      <w:highlight w:val="none"/>
                    </w:rPr>
                  </w:pP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690" w:type="pct"/>
                  <w:tcBorders>
                    <w:tl2br w:val="nil"/>
                    <w:tr2bl w:val="nil"/>
                  </w:tcBorders>
                  <w:vAlign w:val="center"/>
                </w:tcPr>
                <w:p>
                  <w:pPr>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N3</w:t>
                  </w:r>
                </w:p>
              </w:tc>
              <w:tc>
                <w:tcPr>
                  <w:tcW w:w="693" w:type="pct"/>
                  <w:tcBorders>
                    <w:tl2br w:val="nil"/>
                    <w:tr2bl w:val="nil"/>
                  </w:tcBorders>
                  <w:vAlign w:val="center"/>
                </w:tcPr>
                <w:p>
                  <w:pPr>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厂界西</w:t>
                  </w:r>
                </w:p>
              </w:tc>
              <w:tc>
                <w:tcPr>
                  <w:tcW w:w="691" w:type="pct"/>
                  <w:tcBorders>
                    <w:tl2br w:val="nil"/>
                    <w:tr2bl w:val="nil"/>
                  </w:tcBorders>
                  <w:vAlign w:val="center"/>
                </w:tcPr>
                <w:p>
                  <w:pPr>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 xml:space="preserve">54 </w:t>
                  </w:r>
                </w:p>
              </w:tc>
              <w:tc>
                <w:tcPr>
                  <w:tcW w:w="694" w:type="pct"/>
                  <w:tcBorders>
                    <w:tl2br w:val="nil"/>
                    <w:tr2bl w:val="nil"/>
                  </w:tcBorders>
                  <w:vAlign w:val="center"/>
                </w:tcPr>
                <w:p>
                  <w:pPr>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54</w:t>
                  </w:r>
                </w:p>
              </w:tc>
              <w:tc>
                <w:tcPr>
                  <w:tcW w:w="691" w:type="pct"/>
                  <w:vMerge w:val="continue"/>
                  <w:tcBorders>
                    <w:tl2br w:val="nil"/>
                    <w:tr2bl w:val="nil"/>
                  </w:tcBorders>
                  <w:vAlign w:val="center"/>
                </w:tcPr>
                <w:p>
                  <w:pPr>
                    <w:rPr>
                      <w:rFonts w:ascii="Times New Roman" w:hAnsi="Times New Roman" w:eastAsia="宋体" w:cs="Times New Roman"/>
                      <w:color w:val="auto"/>
                      <w:sz w:val="18"/>
                      <w:szCs w:val="18"/>
                      <w:highlight w:val="none"/>
                    </w:rPr>
                  </w:pPr>
                </w:p>
              </w:tc>
              <w:tc>
                <w:tcPr>
                  <w:tcW w:w="694" w:type="pct"/>
                  <w:vMerge w:val="continue"/>
                  <w:tcBorders>
                    <w:tl2br w:val="nil"/>
                    <w:tr2bl w:val="nil"/>
                  </w:tcBorders>
                  <w:vAlign w:val="center"/>
                </w:tcPr>
                <w:p>
                  <w:pPr>
                    <w:rPr>
                      <w:rFonts w:ascii="Times New Roman" w:hAnsi="Times New Roman" w:eastAsia="宋体" w:cs="Times New Roman"/>
                      <w:color w:val="auto"/>
                      <w:sz w:val="18"/>
                      <w:szCs w:val="18"/>
                      <w:highlight w:val="none"/>
                    </w:rPr>
                  </w:pPr>
                </w:p>
              </w:tc>
              <w:tc>
                <w:tcPr>
                  <w:tcW w:w="844" w:type="pct"/>
                  <w:vMerge w:val="continue"/>
                  <w:tcBorders>
                    <w:tl2br w:val="nil"/>
                    <w:tr2bl w:val="nil"/>
                  </w:tcBorders>
                  <w:vAlign w:val="center"/>
                </w:tcPr>
                <w:p>
                  <w:pPr>
                    <w:rPr>
                      <w:rFonts w:ascii="Times New Roman" w:hAnsi="Times New Roman" w:eastAsia="宋体" w:cs="Times New Roman"/>
                      <w:color w:val="auto"/>
                      <w:sz w:val="18"/>
                      <w:szCs w:val="18"/>
                      <w:highlight w:val="none"/>
                    </w:rPr>
                  </w:pP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690" w:type="pct"/>
                  <w:tcBorders>
                    <w:tl2br w:val="nil"/>
                    <w:tr2bl w:val="nil"/>
                  </w:tcBorders>
                  <w:vAlign w:val="center"/>
                </w:tcPr>
                <w:p>
                  <w:pPr>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N4</w:t>
                  </w:r>
                </w:p>
              </w:tc>
              <w:tc>
                <w:tcPr>
                  <w:tcW w:w="693" w:type="pct"/>
                  <w:tcBorders>
                    <w:tl2br w:val="nil"/>
                    <w:tr2bl w:val="nil"/>
                  </w:tcBorders>
                  <w:vAlign w:val="center"/>
                </w:tcPr>
                <w:p>
                  <w:pPr>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厂界北</w:t>
                  </w:r>
                </w:p>
              </w:tc>
              <w:tc>
                <w:tcPr>
                  <w:tcW w:w="691" w:type="pct"/>
                  <w:tcBorders>
                    <w:tl2br w:val="nil"/>
                    <w:tr2bl w:val="nil"/>
                  </w:tcBorders>
                  <w:vAlign w:val="center"/>
                </w:tcPr>
                <w:p>
                  <w:pPr>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47</w:t>
                  </w:r>
                </w:p>
              </w:tc>
              <w:tc>
                <w:tcPr>
                  <w:tcW w:w="694" w:type="pct"/>
                  <w:tcBorders>
                    <w:tl2br w:val="nil"/>
                    <w:tr2bl w:val="nil"/>
                  </w:tcBorders>
                  <w:vAlign w:val="center"/>
                </w:tcPr>
                <w:p>
                  <w:pPr>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47</w:t>
                  </w:r>
                </w:p>
              </w:tc>
              <w:tc>
                <w:tcPr>
                  <w:tcW w:w="691" w:type="pct"/>
                  <w:vMerge w:val="continue"/>
                  <w:tcBorders>
                    <w:tl2br w:val="nil"/>
                    <w:tr2bl w:val="nil"/>
                  </w:tcBorders>
                  <w:vAlign w:val="center"/>
                </w:tcPr>
                <w:p>
                  <w:pPr>
                    <w:rPr>
                      <w:rFonts w:ascii="Times New Roman" w:hAnsi="Times New Roman" w:eastAsia="宋体" w:cs="Times New Roman"/>
                      <w:color w:val="auto"/>
                      <w:sz w:val="18"/>
                      <w:szCs w:val="18"/>
                      <w:highlight w:val="none"/>
                    </w:rPr>
                  </w:pPr>
                </w:p>
              </w:tc>
              <w:tc>
                <w:tcPr>
                  <w:tcW w:w="694" w:type="pct"/>
                  <w:vMerge w:val="continue"/>
                  <w:tcBorders>
                    <w:tl2br w:val="nil"/>
                    <w:tr2bl w:val="nil"/>
                  </w:tcBorders>
                  <w:vAlign w:val="center"/>
                </w:tcPr>
                <w:p>
                  <w:pPr>
                    <w:rPr>
                      <w:rFonts w:ascii="Times New Roman" w:hAnsi="Times New Roman" w:eastAsia="宋体" w:cs="Times New Roman"/>
                      <w:color w:val="auto"/>
                      <w:sz w:val="18"/>
                      <w:szCs w:val="18"/>
                      <w:highlight w:val="none"/>
                    </w:rPr>
                  </w:pPr>
                </w:p>
              </w:tc>
              <w:tc>
                <w:tcPr>
                  <w:tcW w:w="844" w:type="pct"/>
                  <w:vMerge w:val="continue"/>
                  <w:tcBorders>
                    <w:tl2br w:val="nil"/>
                    <w:tr2bl w:val="nil"/>
                  </w:tcBorders>
                  <w:vAlign w:val="center"/>
                </w:tcPr>
                <w:p>
                  <w:pPr>
                    <w:rPr>
                      <w:rFonts w:ascii="Times New Roman" w:hAnsi="Times New Roman" w:eastAsia="宋体" w:cs="Times New Roman"/>
                      <w:color w:val="auto"/>
                      <w:sz w:val="18"/>
                      <w:szCs w:val="18"/>
                      <w:highlight w:val="none"/>
                    </w:rPr>
                  </w:pP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690" w:type="pct"/>
                  <w:tcBorders>
                    <w:tl2br w:val="nil"/>
                    <w:tr2bl w:val="nil"/>
                  </w:tcBorders>
                  <w:vAlign w:val="center"/>
                </w:tcPr>
                <w:p>
                  <w:pPr>
                    <w:jc w:val="center"/>
                    <w:rPr>
                      <w:rFonts w:hint="default" w:ascii="Times New Roman" w:hAnsi="Times New Roman" w:eastAsia="宋体" w:cs="Times New Roman"/>
                      <w:color w:val="auto"/>
                      <w:sz w:val="18"/>
                      <w:szCs w:val="18"/>
                      <w:highlight w:val="none"/>
                      <w:lang w:val="en-US" w:eastAsia="zh-CN"/>
                    </w:rPr>
                  </w:pPr>
                  <w:r>
                    <w:rPr>
                      <w:rFonts w:hint="eastAsia" w:ascii="Times New Roman" w:hAnsi="Times New Roman" w:eastAsia="宋体" w:cs="Times New Roman"/>
                      <w:color w:val="auto"/>
                      <w:sz w:val="18"/>
                      <w:szCs w:val="18"/>
                      <w:highlight w:val="none"/>
                      <w:lang w:val="en-US" w:eastAsia="zh-CN"/>
                    </w:rPr>
                    <w:t>N5</w:t>
                  </w:r>
                </w:p>
              </w:tc>
              <w:tc>
                <w:tcPr>
                  <w:tcW w:w="693" w:type="pct"/>
                  <w:tcBorders>
                    <w:tl2br w:val="nil"/>
                    <w:tr2bl w:val="nil"/>
                  </w:tcBorders>
                  <w:vAlign w:val="center"/>
                </w:tcPr>
                <w:p>
                  <w:pPr>
                    <w:jc w:val="center"/>
                    <w:rPr>
                      <w:rFonts w:ascii="Times New Roman" w:hAnsi="Times New Roman" w:eastAsia="宋体" w:cs="Times New Roman"/>
                      <w:color w:val="auto"/>
                      <w:sz w:val="18"/>
                      <w:szCs w:val="18"/>
                      <w:highlight w:val="none"/>
                    </w:rPr>
                  </w:pPr>
                </w:p>
              </w:tc>
              <w:tc>
                <w:tcPr>
                  <w:tcW w:w="691" w:type="pct"/>
                  <w:tcBorders>
                    <w:tl2br w:val="nil"/>
                    <w:tr2bl w:val="nil"/>
                  </w:tcBorders>
                  <w:vAlign w:val="center"/>
                </w:tcPr>
                <w:p>
                  <w:pPr>
                    <w:jc w:val="center"/>
                    <w:rPr>
                      <w:rFonts w:ascii="Times New Roman" w:hAnsi="Times New Roman" w:eastAsia="宋体" w:cs="Times New Roman"/>
                      <w:color w:val="auto"/>
                      <w:sz w:val="18"/>
                      <w:szCs w:val="18"/>
                      <w:highlight w:val="none"/>
                    </w:rPr>
                  </w:pPr>
                </w:p>
              </w:tc>
              <w:tc>
                <w:tcPr>
                  <w:tcW w:w="694" w:type="pct"/>
                  <w:tcBorders>
                    <w:tl2br w:val="nil"/>
                    <w:tr2bl w:val="nil"/>
                  </w:tcBorders>
                  <w:vAlign w:val="center"/>
                </w:tcPr>
                <w:p>
                  <w:pPr>
                    <w:jc w:val="center"/>
                    <w:rPr>
                      <w:rFonts w:ascii="Times New Roman" w:hAnsi="Times New Roman" w:eastAsia="宋体" w:cs="Times New Roman"/>
                      <w:color w:val="auto"/>
                      <w:sz w:val="18"/>
                      <w:szCs w:val="18"/>
                      <w:highlight w:val="none"/>
                    </w:rPr>
                  </w:pPr>
                </w:p>
              </w:tc>
              <w:tc>
                <w:tcPr>
                  <w:tcW w:w="691" w:type="pct"/>
                  <w:vMerge w:val="continue"/>
                  <w:tcBorders>
                    <w:tl2br w:val="nil"/>
                    <w:tr2bl w:val="nil"/>
                  </w:tcBorders>
                  <w:vAlign w:val="center"/>
                </w:tcPr>
                <w:p>
                  <w:pPr>
                    <w:rPr>
                      <w:rFonts w:ascii="Times New Roman" w:hAnsi="Times New Roman" w:eastAsia="宋体" w:cs="Times New Roman"/>
                      <w:color w:val="auto"/>
                      <w:sz w:val="18"/>
                      <w:szCs w:val="18"/>
                      <w:highlight w:val="none"/>
                    </w:rPr>
                  </w:pPr>
                </w:p>
              </w:tc>
              <w:tc>
                <w:tcPr>
                  <w:tcW w:w="694" w:type="pct"/>
                  <w:vMerge w:val="continue"/>
                  <w:tcBorders>
                    <w:tl2br w:val="nil"/>
                    <w:tr2bl w:val="nil"/>
                  </w:tcBorders>
                  <w:vAlign w:val="center"/>
                </w:tcPr>
                <w:p>
                  <w:pPr>
                    <w:rPr>
                      <w:rFonts w:ascii="Times New Roman" w:hAnsi="Times New Roman" w:eastAsia="宋体" w:cs="Times New Roman"/>
                      <w:color w:val="auto"/>
                      <w:sz w:val="18"/>
                      <w:szCs w:val="18"/>
                      <w:highlight w:val="none"/>
                    </w:rPr>
                  </w:pPr>
                </w:p>
              </w:tc>
              <w:tc>
                <w:tcPr>
                  <w:tcW w:w="844" w:type="pct"/>
                  <w:vMerge w:val="continue"/>
                  <w:tcBorders>
                    <w:tl2br w:val="nil"/>
                    <w:tr2bl w:val="nil"/>
                  </w:tcBorders>
                  <w:vAlign w:val="center"/>
                </w:tcPr>
                <w:p>
                  <w:pPr>
                    <w:rPr>
                      <w:rFonts w:ascii="Times New Roman" w:hAnsi="Times New Roman" w:eastAsia="宋体" w:cs="Times New Roman"/>
                      <w:color w:val="auto"/>
                      <w:sz w:val="18"/>
                      <w:szCs w:val="18"/>
                      <w:highlight w:val="none"/>
                    </w:rPr>
                  </w:pP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690" w:type="pct"/>
                  <w:tcBorders>
                    <w:tl2br w:val="nil"/>
                    <w:tr2bl w:val="nil"/>
                  </w:tcBorders>
                  <w:vAlign w:val="center"/>
                </w:tcPr>
                <w:p>
                  <w:pPr>
                    <w:jc w:val="center"/>
                    <w:rPr>
                      <w:rFonts w:hint="default" w:ascii="Times New Roman" w:hAnsi="Times New Roman" w:eastAsia="宋体" w:cs="Times New Roman"/>
                      <w:color w:val="auto"/>
                      <w:sz w:val="18"/>
                      <w:szCs w:val="18"/>
                      <w:highlight w:val="none"/>
                      <w:lang w:val="en-US" w:eastAsia="zh-CN"/>
                    </w:rPr>
                  </w:pPr>
                  <w:r>
                    <w:rPr>
                      <w:rFonts w:hint="eastAsia" w:ascii="Times New Roman" w:hAnsi="Times New Roman" w:eastAsia="宋体" w:cs="Times New Roman"/>
                      <w:color w:val="auto"/>
                      <w:sz w:val="18"/>
                      <w:szCs w:val="18"/>
                      <w:highlight w:val="none"/>
                      <w:lang w:val="en-US" w:eastAsia="zh-CN"/>
                    </w:rPr>
                    <w:t>N6</w:t>
                  </w:r>
                </w:p>
              </w:tc>
              <w:tc>
                <w:tcPr>
                  <w:tcW w:w="693" w:type="pct"/>
                  <w:tcBorders>
                    <w:tl2br w:val="nil"/>
                    <w:tr2bl w:val="nil"/>
                  </w:tcBorders>
                  <w:vAlign w:val="center"/>
                </w:tcPr>
                <w:p>
                  <w:pPr>
                    <w:jc w:val="center"/>
                    <w:rPr>
                      <w:rFonts w:ascii="Times New Roman" w:hAnsi="Times New Roman" w:eastAsia="宋体" w:cs="Times New Roman"/>
                      <w:color w:val="auto"/>
                      <w:sz w:val="18"/>
                      <w:szCs w:val="18"/>
                      <w:highlight w:val="none"/>
                    </w:rPr>
                  </w:pPr>
                </w:p>
              </w:tc>
              <w:tc>
                <w:tcPr>
                  <w:tcW w:w="691" w:type="pct"/>
                  <w:tcBorders>
                    <w:tl2br w:val="nil"/>
                    <w:tr2bl w:val="nil"/>
                  </w:tcBorders>
                  <w:vAlign w:val="center"/>
                </w:tcPr>
                <w:p>
                  <w:pPr>
                    <w:jc w:val="center"/>
                    <w:rPr>
                      <w:rFonts w:ascii="Times New Roman" w:hAnsi="Times New Roman" w:eastAsia="宋体" w:cs="Times New Roman"/>
                      <w:color w:val="auto"/>
                      <w:sz w:val="18"/>
                      <w:szCs w:val="18"/>
                      <w:highlight w:val="none"/>
                    </w:rPr>
                  </w:pPr>
                </w:p>
              </w:tc>
              <w:tc>
                <w:tcPr>
                  <w:tcW w:w="694" w:type="pct"/>
                  <w:tcBorders>
                    <w:tl2br w:val="nil"/>
                    <w:tr2bl w:val="nil"/>
                  </w:tcBorders>
                  <w:vAlign w:val="center"/>
                </w:tcPr>
                <w:p>
                  <w:pPr>
                    <w:jc w:val="center"/>
                    <w:rPr>
                      <w:rFonts w:ascii="Times New Roman" w:hAnsi="Times New Roman" w:eastAsia="宋体" w:cs="Times New Roman"/>
                      <w:color w:val="auto"/>
                      <w:sz w:val="18"/>
                      <w:szCs w:val="18"/>
                      <w:highlight w:val="none"/>
                    </w:rPr>
                  </w:pPr>
                </w:p>
              </w:tc>
              <w:tc>
                <w:tcPr>
                  <w:tcW w:w="691" w:type="pct"/>
                  <w:vMerge w:val="continue"/>
                  <w:tcBorders>
                    <w:tl2br w:val="nil"/>
                    <w:tr2bl w:val="nil"/>
                  </w:tcBorders>
                  <w:vAlign w:val="center"/>
                </w:tcPr>
                <w:p>
                  <w:pPr>
                    <w:rPr>
                      <w:rFonts w:ascii="Times New Roman" w:hAnsi="Times New Roman" w:eastAsia="宋体" w:cs="Times New Roman"/>
                      <w:color w:val="auto"/>
                      <w:sz w:val="18"/>
                      <w:szCs w:val="18"/>
                      <w:highlight w:val="none"/>
                    </w:rPr>
                  </w:pPr>
                </w:p>
              </w:tc>
              <w:tc>
                <w:tcPr>
                  <w:tcW w:w="694" w:type="pct"/>
                  <w:vMerge w:val="continue"/>
                  <w:tcBorders>
                    <w:tl2br w:val="nil"/>
                    <w:tr2bl w:val="nil"/>
                  </w:tcBorders>
                  <w:vAlign w:val="center"/>
                </w:tcPr>
                <w:p>
                  <w:pPr>
                    <w:rPr>
                      <w:rFonts w:ascii="Times New Roman" w:hAnsi="Times New Roman" w:eastAsia="宋体" w:cs="Times New Roman"/>
                      <w:color w:val="auto"/>
                      <w:sz w:val="18"/>
                      <w:szCs w:val="18"/>
                      <w:highlight w:val="none"/>
                    </w:rPr>
                  </w:pPr>
                </w:p>
              </w:tc>
              <w:tc>
                <w:tcPr>
                  <w:tcW w:w="844" w:type="pct"/>
                  <w:vMerge w:val="continue"/>
                  <w:tcBorders>
                    <w:tl2br w:val="nil"/>
                    <w:tr2bl w:val="nil"/>
                  </w:tcBorders>
                  <w:vAlign w:val="center"/>
                </w:tcPr>
                <w:p>
                  <w:pPr>
                    <w:rPr>
                      <w:rFonts w:ascii="Times New Roman" w:hAnsi="Times New Roman" w:eastAsia="宋体" w:cs="Times New Roman"/>
                      <w:color w:val="auto"/>
                      <w:sz w:val="18"/>
                      <w:szCs w:val="18"/>
                      <w:highlight w:val="none"/>
                    </w:rPr>
                  </w:pPr>
                </w:p>
              </w:tc>
            </w:tr>
          </w:tbl>
          <w:p>
            <w:pPr>
              <w:pStyle w:val="41"/>
              <w:adjustRightInd/>
              <w:spacing w:line="360" w:lineRule="auto"/>
              <w:ind w:firstLine="480" w:firstLineChars="200"/>
              <w:rPr>
                <w:rFonts w:ascii="Times New Roman" w:hAnsi="Times New Roman" w:cs="Times New Roman"/>
                <w:color w:val="auto"/>
                <w:szCs w:val="24"/>
                <w:highlight w:val="none"/>
              </w:rPr>
            </w:pPr>
            <w:r>
              <w:rPr>
                <w:rFonts w:ascii="Times New Roman" w:hAnsi="Times New Roman" w:cs="Times New Roman"/>
                <w:color w:val="auto"/>
                <w:szCs w:val="24"/>
                <w:highlight w:val="none"/>
              </w:rPr>
              <w:t>根据预测结果可知，项目四侧昼间厂界噪声均能够满足《工业企业厂界环境噪声排放标准》(GB12348-2008)中2类标准。</w:t>
            </w:r>
          </w:p>
          <w:p>
            <w:pPr>
              <w:pStyle w:val="41"/>
              <w:adjustRightInd/>
              <w:spacing w:line="360" w:lineRule="auto"/>
              <w:ind w:firstLine="480" w:firstLineChars="200"/>
              <w:rPr>
                <w:rFonts w:ascii="Times New Roman" w:hAnsi="Times New Roman" w:cs="Times New Roman"/>
                <w:color w:val="auto"/>
                <w:szCs w:val="24"/>
                <w:highlight w:val="none"/>
              </w:rPr>
            </w:pPr>
            <w:r>
              <w:rPr>
                <w:rFonts w:ascii="Times New Roman" w:hAnsi="Times New Roman" w:cs="Times New Roman"/>
                <w:color w:val="auto"/>
                <w:szCs w:val="24"/>
                <w:highlight w:val="none"/>
              </w:rPr>
              <w:t>综上所述，本项目对周边声环境影响可接受。</w:t>
            </w:r>
          </w:p>
          <w:p>
            <w:pPr>
              <w:spacing w:line="360" w:lineRule="auto"/>
              <w:ind w:firstLine="482" w:firstLineChars="200"/>
              <w:jc w:val="left"/>
              <w:rPr>
                <w:rFonts w:ascii="Times New Roman" w:hAnsi="Times New Roman" w:eastAsia="宋体" w:cs="Times New Roman"/>
                <w:b/>
                <w:bCs/>
                <w:color w:val="auto"/>
                <w:sz w:val="24"/>
                <w:szCs w:val="24"/>
                <w:highlight w:val="none"/>
              </w:rPr>
            </w:pPr>
            <w:r>
              <w:rPr>
                <w:rFonts w:ascii="Times New Roman" w:hAnsi="Times New Roman" w:eastAsia="宋体" w:cs="Times New Roman"/>
                <w:b/>
                <w:bCs/>
                <w:color w:val="auto"/>
                <w:sz w:val="24"/>
                <w:szCs w:val="24"/>
                <w:highlight w:val="none"/>
              </w:rPr>
              <w:t>2、运营期声环境保护措施</w:t>
            </w:r>
          </w:p>
          <w:p>
            <w:pPr>
              <w:pStyle w:val="41"/>
              <w:adjustRightInd/>
              <w:spacing w:line="360" w:lineRule="auto"/>
              <w:ind w:firstLine="480" w:firstLineChars="200"/>
              <w:rPr>
                <w:rFonts w:ascii="Times New Roman" w:hAnsi="Times New Roman" w:cs="Times New Roman"/>
                <w:color w:val="auto"/>
                <w:szCs w:val="24"/>
                <w:highlight w:val="none"/>
              </w:rPr>
            </w:pPr>
            <w:r>
              <w:rPr>
                <w:rFonts w:ascii="Times New Roman" w:hAnsi="Times New Roman" w:cs="Times New Roman"/>
                <w:color w:val="auto"/>
                <w:szCs w:val="24"/>
                <w:highlight w:val="none"/>
              </w:rPr>
              <w:t>根据建设单位提供资料，各类生产设施均置于室内，为了进一步降低噪声对周围环境的影响，建议企业应采取以下措施：</w:t>
            </w:r>
          </w:p>
          <w:p>
            <w:pPr>
              <w:pStyle w:val="41"/>
              <w:adjustRightInd/>
              <w:spacing w:line="360" w:lineRule="auto"/>
              <w:ind w:firstLine="480" w:firstLineChars="200"/>
              <w:rPr>
                <w:rFonts w:ascii="Times New Roman" w:hAnsi="Times New Roman" w:cs="Times New Roman"/>
                <w:color w:val="auto"/>
                <w:szCs w:val="24"/>
                <w:highlight w:val="none"/>
              </w:rPr>
            </w:pPr>
            <w:r>
              <w:rPr>
                <w:rFonts w:ascii="Times New Roman" w:hAnsi="Times New Roman" w:cs="Times New Roman"/>
                <w:color w:val="auto"/>
                <w:szCs w:val="24"/>
                <w:highlight w:val="none"/>
              </w:rPr>
              <w:t>①在高噪声设备机器底面安装垫木或者橡胶减振垫，用地脚螺栓固定，减小了设备运行时的振动和振动引起的噪声；</w:t>
            </w:r>
          </w:p>
          <w:p>
            <w:pPr>
              <w:pStyle w:val="41"/>
              <w:adjustRightInd/>
              <w:spacing w:line="360" w:lineRule="auto"/>
              <w:ind w:firstLine="480" w:firstLineChars="200"/>
              <w:rPr>
                <w:rFonts w:ascii="Times New Roman" w:hAnsi="Times New Roman" w:cs="Times New Roman"/>
                <w:color w:val="auto"/>
                <w:szCs w:val="24"/>
                <w:highlight w:val="none"/>
              </w:rPr>
            </w:pPr>
            <w:r>
              <w:rPr>
                <w:rFonts w:ascii="Times New Roman" w:hAnsi="Times New Roman" w:cs="Times New Roman"/>
                <w:color w:val="auto"/>
                <w:szCs w:val="24"/>
                <w:highlight w:val="none"/>
              </w:rPr>
              <w:t>②合理布局，将生产设备集中布置在厂房中部；</w:t>
            </w:r>
          </w:p>
          <w:p>
            <w:pPr>
              <w:pStyle w:val="41"/>
              <w:adjustRightInd/>
              <w:spacing w:line="360" w:lineRule="auto"/>
              <w:ind w:firstLine="480" w:firstLineChars="200"/>
              <w:rPr>
                <w:rFonts w:ascii="Times New Roman" w:hAnsi="Times New Roman" w:cs="Times New Roman"/>
                <w:color w:val="auto"/>
                <w:szCs w:val="24"/>
                <w:highlight w:val="none"/>
              </w:rPr>
            </w:pPr>
            <w:r>
              <w:rPr>
                <w:rFonts w:ascii="Times New Roman" w:hAnsi="Times New Roman" w:cs="Times New Roman"/>
                <w:color w:val="auto"/>
                <w:szCs w:val="24"/>
                <w:highlight w:val="none"/>
              </w:rPr>
              <w:t>③加强噪声设备的维修管理，避免因不正常运行所导致的噪声增大；</w:t>
            </w:r>
          </w:p>
          <w:p>
            <w:pPr>
              <w:pStyle w:val="41"/>
              <w:adjustRightInd/>
              <w:spacing w:line="360" w:lineRule="auto"/>
              <w:ind w:firstLine="480" w:firstLineChars="200"/>
              <w:rPr>
                <w:rFonts w:ascii="Times New Roman" w:hAnsi="Times New Roman" w:cs="Times New Roman"/>
                <w:color w:val="auto"/>
                <w:szCs w:val="24"/>
                <w:highlight w:val="none"/>
              </w:rPr>
            </w:pPr>
            <w:r>
              <w:rPr>
                <w:rFonts w:ascii="Times New Roman" w:hAnsi="Times New Roman" w:cs="Times New Roman"/>
                <w:color w:val="auto"/>
                <w:szCs w:val="24"/>
                <w:highlight w:val="none"/>
              </w:rPr>
              <w:t>④利用消声材料消除风机噪音。利用疏松多孔，表面凹凸的材料，使声音钻入孔内不断反射衰减，波峰波谷叠加衰减，从而起到减小噪音的效果；</w:t>
            </w:r>
          </w:p>
          <w:p>
            <w:pPr>
              <w:pStyle w:val="41"/>
              <w:adjustRightInd/>
              <w:spacing w:line="360" w:lineRule="auto"/>
              <w:ind w:firstLine="480" w:firstLineChars="200"/>
              <w:rPr>
                <w:rFonts w:ascii="Times New Roman" w:hAnsi="Times New Roman" w:cs="Times New Roman"/>
                <w:color w:val="auto"/>
                <w:highlight w:val="none"/>
              </w:rPr>
            </w:pPr>
            <w:r>
              <w:rPr>
                <w:rFonts w:ascii="Times New Roman" w:hAnsi="Times New Roman" w:cs="Times New Roman"/>
                <w:color w:val="auto"/>
                <w:szCs w:val="24"/>
                <w:highlight w:val="none"/>
              </w:rPr>
              <w:t>⑤</w:t>
            </w:r>
            <w:r>
              <w:rPr>
                <w:rFonts w:ascii="Times New Roman" w:hAnsi="Times New Roman" w:cs="Times New Roman"/>
                <w:color w:val="auto"/>
                <w:highlight w:val="none"/>
              </w:rPr>
              <w:t>强化行车管理制度，进入厂区和途经居民点等敏感点时低速行驶，最大限度减少流动噪声，禁止鸣笛及夜间禁止运输；</w:t>
            </w:r>
          </w:p>
          <w:p>
            <w:pPr>
              <w:spacing w:line="360" w:lineRule="auto"/>
              <w:ind w:firstLine="480" w:firstLineChars="200"/>
              <w:rPr>
                <w:rFonts w:ascii="Times New Roman" w:hAnsi="Times New Roman" w:eastAsia="宋体" w:cs="Times New Roman"/>
                <w:color w:val="auto"/>
                <w:kern w:val="24"/>
                <w:sz w:val="24"/>
                <w:szCs w:val="24"/>
                <w:highlight w:val="none"/>
              </w:rPr>
            </w:pPr>
            <w:r>
              <w:rPr>
                <w:rFonts w:ascii="Times New Roman" w:hAnsi="Times New Roman" w:eastAsia="宋体" w:cs="Times New Roman"/>
                <w:color w:val="auto"/>
                <w:kern w:val="24"/>
                <w:sz w:val="24"/>
                <w:szCs w:val="24"/>
                <w:highlight w:val="none"/>
              </w:rPr>
              <w:t>⑥对运输车辆加强管理，保持车辆良好的车况，杜绝车辆带病上路。</w:t>
            </w:r>
          </w:p>
          <w:p>
            <w:pPr>
              <w:spacing w:line="360" w:lineRule="auto"/>
              <w:ind w:firstLine="482" w:firstLineChars="200"/>
              <w:rPr>
                <w:rFonts w:ascii="Times New Roman" w:hAnsi="Times New Roman" w:eastAsia="宋体" w:cs="Times New Roman"/>
                <w:b/>
                <w:bCs/>
                <w:color w:val="auto"/>
                <w:sz w:val="24"/>
                <w:highlight w:val="none"/>
              </w:rPr>
            </w:pPr>
            <w:r>
              <w:rPr>
                <w:rFonts w:ascii="Times New Roman" w:hAnsi="Times New Roman" w:eastAsia="宋体" w:cs="Times New Roman"/>
                <w:b/>
                <w:bCs/>
                <w:color w:val="auto"/>
                <w:sz w:val="24"/>
                <w:highlight w:val="none"/>
              </w:rPr>
              <w:t>（3）监测计划</w:t>
            </w:r>
          </w:p>
          <w:p>
            <w:pPr>
              <w:spacing w:line="360" w:lineRule="auto"/>
              <w:ind w:firstLine="480" w:firstLineChars="200"/>
              <w:rPr>
                <w:rFonts w:ascii="Times New Roman" w:hAnsi="Times New Roman" w:eastAsia="宋体" w:cs="Times New Roman"/>
                <w:color w:val="auto"/>
                <w:sz w:val="24"/>
                <w:highlight w:val="none"/>
              </w:rPr>
            </w:pPr>
            <w:r>
              <w:rPr>
                <w:rFonts w:ascii="Times New Roman" w:hAnsi="Times New Roman" w:eastAsia="宋体" w:cs="Times New Roman"/>
                <w:color w:val="auto"/>
                <w:sz w:val="24"/>
                <w:highlight w:val="none"/>
              </w:rPr>
              <w:t>根据《排污单位自行监测技术指南总则》（HJ 819-2017）</w:t>
            </w:r>
            <w:r>
              <w:rPr>
                <w:rFonts w:hint="eastAsia" w:ascii="Times New Roman" w:hAnsi="Times New Roman" w:eastAsia="宋体" w:cs="Times New Roman"/>
                <w:color w:val="auto"/>
                <w:sz w:val="24"/>
                <w:highlight w:val="none"/>
                <w:lang w:val="en-US" w:eastAsia="zh-CN"/>
              </w:rPr>
              <w:t>和《排污许可证申请与核发技术规范 工业噪声》（HJ 1301—2023）</w:t>
            </w:r>
            <w:r>
              <w:rPr>
                <w:rFonts w:ascii="Times New Roman" w:hAnsi="Times New Roman" w:eastAsia="宋体" w:cs="Times New Roman"/>
                <w:color w:val="auto"/>
                <w:sz w:val="24"/>
                <w:highlight w:val="none"/>
              </w:rPr>
              <w:t>要求，本项目运行后，污染物噪声监测计划见下表。</w:t>
            </w:r>
          </w:p>
          <w:p>
            <w:pPr>
              <w:adjustRightInd w:val="0"/>
              <w:spacing w:line="324" w:lineRule="auto"/>
              <w:jc w:val="center"/>
              <w:rPr>
                <w:rFonts w:ascii="Times New Roman" w:hAnsi="Times New Roman" w:eastAsia="黑体" w:cs="Times New Roman"/>
                <w:color w:val="auto"/>
                <w:sz w:val="24"/>
                <w:highlight w:val="none"/>
              </w:rPr>
            </w:pPr>
            <w:r>
              <w:rPr>
                <w:rFonts w:ascii="Times New Roman" w:hAnsi="Times New Roman" w:eastAsia="黑体" w:cs="Times New Roman"/>
                <w:color w:val="auto"/>
                <w:sz w:val="24"/>
                <w:highlight w:val="none"/>
              </w:rPr>
              <w:t>表4-10  项目噪声环境监测计划一览表</w:t>
            </w:r>
          </w:p>
          <w:tbl>
            <w:tblPr>
              <w:tblStyle w:val="18"/>
              <w:tblW w:w="4998" w:type="pct"/>
              <w:tblInd w:w="0" w:type="dxa"/>
              <w:tblBorders>
                <w:top w:val="single" w:color="auto" w:sz="8" w:space="0"/>
                <w:left w:val="none" w:color="auto" w:sz="0" w:space="0"/>
                <w:bottom w:val="single" w:color="auto" w:sz="8"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801"/>
              <w:gridCol w:w="1988"/>
              <w:gridCol w:w="1964"/>
              <w:gridCol w:w="1123"/>
              <w:gridCol w:w="2027"/>
            </w:tblGrid>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07" w:type="pct"/>
                  <w:tcBorders>
                    <w:tl2br w:val="nil"/>
                    <w:tr2bl w:val="nil"/>
                  </w:tcBorders>
                  <w:vAlign w:val="center"/>
                </w:tcPr>
                <w:p>
                  <w:pPr>
                    <w:snapToGrid w:val="0"/>
                    <w:spacing w:line="276" w:lineRule="auto"/>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类别</w:t>
                  </w:r>
                </w:p>
              </w:tc>
              <w:tc>
                <w:tcPr>
                  <w:tcW w:w="1257" w:type="pct"/>
                  <w:tcBorders>
                    <w:tl2br w:val="nil"/>
                    <w:tr2bl w:val="nil"/>
                  </w:tcBorders>
                  <w:vAlign w:val="center"/>
                </w:tcPr>
                <w:p>
                  <w:pPr>
                    <w:snapToGrid w:val="0"/>
                    <w:spacing w:line="276" w:lineRule="auto"/>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监测点位</w:t>
                  </w:r>
                </w:p>
              </w:tc>
              <w:tc>
                <w:tcPr>
                  <w:tcW w:w="1242" w:type="pct"/>
                  <w:tcBorders>
                    <w:tl2br w:val="nil"/>
                    <w:tr2bl w:val="nil"/>
                  </w:tcBorders>
                  <w:vAlign w:val="center"/>
                </w:tcPr>
                <w:p>
                  <w:pPr>
                    <w:snapToGrid w:val="0"/>
                    <w:spacing w:line="276" w:lineRule="auto"/>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监测指标</w:t>
                  </w:r>
                </w:p>
              </w:tc>
              <w:tc>
                <w:tcPr>
                  <w:tcW w:w="710" w:type="pct"/>
                  <w:tcBorders>
                    <w:tl2br w:val="nil"/>
                    <w:tr2bl w:val="nil"/>
                  </w:tcBorders>
                  <w:vAlign w:val="center"/>
                </w:tcPr>
                <w:p>
                  <w:pPr>
                    <w:snapToGrid w:val="0"/>
                    <w:spacing w:line="276" w:lineRule="auto"/>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监测频次</w:t>
                  </w:r>
                </w:p>
              </w:tc>
              <w:tc>
                <w:tcPr>
                  <w:tcW w:w="1282" w:type="pct"/>
                  <w:tcBorders>
                    <w:tl2br w:val="nil"/>
                    <w:tr2bl w:val="nil"/>
                  </w:tcBorders>
                  <w:vAlign w:val="center"/>
                </w:tcPr>
                <w:p>
                  <w:pPr>
                    <w:snapToGrid w:val="0"/>
                    <w:spacing w:line="276" w:lineRule="auto"/>
                    <w:jc w:val="center"/>
                    <w:rPr>
                      <w:rFonts w:ascii="Times New Roman" w:hAnsi="Times New Roman" w:eastAsia="宋体" w:cs="Times New Roman"/>
                      <w:b/>
                      <w:color w:val="auto"/>
                      <w:sz w:val="18"/>
                      <w:szCs w:val="18"/>
                      <w:highlight w:val="none"/>
                    </w:rPr>
                  </w:pPr>
                  <w:r>
                    <w:rPr>
                      <w:rFonts w:ascii="Times New Roman" w:hAnsi="Times New Roman" w:eastAsia="宋体" w:cs="Times New Roman"/>
                      <w:b/>
                      <w:color w:val="auto"/>
                      <w:sz w:val="18"/>
                      <w:szCs w:val="18"/>
                      <w:highlight w:val="none"/>
                    </w:rPr>
                    <w:t>执行标准</w:t>
                  </w: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07" w:type="pct"/>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噪声</w:t>
                  </w:r>
                </w:p>
              </w:tc>
              <w:tc>
                <w:tcPr>
                  <w:tcW w:w="1257" w:type="pct"/>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厂界</w:t>
                  </w:r>
                </w:p>
              </w:tc>
              <w:tc>
                <w:tcPr>
                  <w:tcW w:w="1242" w:type="pct"/>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等效连续A声级</w:t>
                  </w:r>
                </w:p>
              </w:tc>
              <w:tc>
                <w:tcPr>
                  <w:tcW w:w="710" w:type="pct"/>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1次/季度</w:t>
                  </w:r>
                </w:p>
              </w:tc>
              <w:tc>
                <w:tcPr>
                  <w:tcW w:w="1282" w:type="pct"/>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（GB12348-2008）</w:t>
                  </w:r>
                </w:p>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2类区标准</w:t>
                  </w:r>
                </w:p>
              </w:tc>
            </w:tr>
          </w:tbl>
          <w:p>
            <w:pPr>
              <w:spacing w:line="440" w:lineRule="exact"/>
              <w:ind w:firstLine="472" w:firstLineChars="196"/>
              <w:rPr>
                <w:rFonts w:ascii="Times New Roman" w:hAnsi="Times New Roman" w:eastAsia="宋体" w:cs="Times New Roman"/>
                <w:b/>
                <w:color w:val="auto"/>
                <w:sz w:val="24"/>
                <w:szCs w:val="24"/>
                <w:highlight w:val="none"/>
              </w:rPr>
            </w:pPr>
            <w:r>
              <w:rPr>
                <w:rFonts w:ascii="Times New Roman" w:hAnsi="Times New Roman" w:eastAsia="宋体" w:cs="Times New Roman"/>
                <w:b/>
                <w:color w:val="auto"/>
                <w:sz w:val="24"/>
                <w:szCs w:val="24"/>
                <w:highlight w:val="none"/>
              </w:rPr>
              <w:t>4、固体废物处置措施及管理要求</w:t>
            </w:r>
          </w:p>
          <w:p>
            <w:pPr>
              <w:spacing w:line="360" w:lineRule="auto"/>
              <w:ind w:firstLine="480" w:firstLineChars="200"/>
              <w:jc w:val="left"/>
              <w:rPr>
                <w:rFonts w:ascii="Times New Roman" w:hAnsi="Times New Roman" w:eastAsia="宋体" w:cs="Times New Roman"/>
                <w:color w:val="auto"/>
                <w:kern w:val="0"/>
                <w:sz w:val="24"/>
                <w:szCs w:val="24"/>
                <w:highlight w:val="none"/>
              </w:rPr>
            </w:pPr>
            <w:r>
              <w:rPr>
                <w:rFonts w:ascii="Times New Roman" w:hAnsi="Times New Roman" w:eastAsia="宋体" w:cs="Times New Roman"/>
                <w:color w:val="auto"/>
                <w:kern w:val="0"/>
                <w:sz w:val="24"/>
                <w:szCs w:val="24"/>
                <w:highlight w:val="none"/>
              </w:rPr>
              <w:t>根据工程分析，本项目固体废物包括边角料、焊渣、废塑粉、废包装物、废活性炭、废机油和机油桶。</w:t>
            </w:r>
          </w:p>
          <w:p>
            <w:pPr>
              <w:spacing w:line="360" w:lineRule="auto"/>
              <w:ind w:firstLine="482" w:firstLineChars="200"/>
              <w:jc w:val="left"/>
              <w:rPr>
                <w:rFonts w:ascii="Times New Roman" w:hAnsi="Times New Roman" w:eastAsia="宋体" w:cs="Times New Roman"/>
                <w:b/>
                <w:color w:val="auto"/>
                <w:sz w:val="24"/>
                <w:szCs w:val="24"/>
                <w:highlight w:val="none"/>
              </w:rPr>
            </w:pPr>
            <w:r>
              <w:rPr>
                <w:rFonts w:ascii="Times New Roman" w:hAnsi="Times New Roman" w:eastAsia="宋体" w:cs="Times New Roman"/>
                <w:b/>
                <w:color w:val="auto"/>
                <w:sz w:val="24"/>
                <w:szCs w:val="24"/>
                <w:highlight w:val="none"/>
              </w:rPr>
              <w:t>（1）一般工业固体废物</w:t>
            </w:r>
          </w:p>
          <w:p>
            <w:pPr>
              <w:spacing w:line="360" w:lineRule="auto"/>
              <w:ind w:firstLine="480" w:firstLineChars="200"/>
              <w:jc w:val="left"/>
              <w:rPr>
                <w:rFonts w:ascii="Times New Roman" w:hAnsi="Times New Roman" w:eastAsia="宋体" w:cs="Times New Roman"/>
                <w:color w:val="auto"/>
                <w:sz w:val="24"/>
                <w:szCs w:val="24"/>
                <w:highlight w:val="none"/>
              </w:rPr>
            </w:pPr>
            <w:r>
              <w:rPr>
                <w:rFonts w:ascii="Times New Roman" w:hAnsi="Times New Roman" w:eastAsia="宋体" w:cs="Times New Roman"/>
                <w:color w:val="auto"/>
                <w:sz w:val="24"/>
                <w:szCs w:val="24"/>
                <w:highlight w:val="none"/>
              </w:rPr>
              <w:t>①边角料：本项目切割过程会产生钢材边角料，根据建设单位提供资料，废边角料产生量约为1t/a，</w:t>
            </w:r>
            <w:r>
              <w:rPr>
                <w:rFonts w:ascii="Times New Roman" w:hAnsi="Times New Roman" w:eastAsia="宋体" w:cs="Times New Roman"/>
                <w:color w:val="auto"/>
                <w:sz w:val="24"/>
                <w:highlight w:val="none"/>
              </w:rPr>
              <w:t>统一收集后暂存于一般固废暂存间，</w:t>
            </w:r>
            <w:r>
              <w:rPr>
                <w:rFonts w:ascii="Times New Roman" w:hAnsi="Times New Roman" w:eastAsia="宋体" w:cs="Times New Roman"/>
                <w:bCs/>
                <w:color w:val="auto"/>
                <w:sz w:val="24"/>
                <w:highlight w:val="none"/>
              </w:rPr>
              <w:t>定期外售</w:t>
            </w:r>
            <w:r>
              <w:rPr>
                <w:rFonts w:ascii="Times New Roman" w:hAnsi="Times New Roman" w:eastAsia="宋体" w:cs="Times New Roman"/>
                <w:color w:val="auto"/>
                <w:sz w:val="24"/>
                <w:highlight w:val="none"/>
              </w:rPr>
              <w:t>。</w:t>
            </w:r>
          </w:p>
          <w:p>
            <w:pPr>
              <w:spacing w:line="360" w:lineRule="auto"/>
              <w:ind w:firstLine="480" w:firstLineChars="200"/>
              <w:rPr>
                <w:rFonts w:ascii="Times New Roman" w:hAnsi="Times New Roman" w:eastAsia="宋体" w:cs="Times New Roman"/>
                <w:color w:val="auto"/>
                <w:sz w:val="24"/>
                <w:szCs w:val="24"/>
                <w:highlight w:val="none"/>
              </w:rPr>
            </w:pPr>
            <w:r>
              <w:rPr>
                <w:rFonts w:ascii="Times New Roman" w:hAnsi="Times New Roman" w:eastAsia="宋体" w:cs="Times New Roman"/>
                <w:color w:val="auto"/>
                <w:sz w:val="24"/>
                <w:szCs w:val="24"/>
                <w:highlight w:val="none"/>
              </w:rPr>
              <w:t>②焊渣：根据《机加工行业环境影响 评价中常见污染物源强估算机污染治理》(许海萍等)“固体废物估算及处理措施”中，焊渣=焊条使用量×(1/11+4%)，则本项目焊渣产生量为0.13t/a。</w:t>
            </w:r>
            <w:r>
              <w:rPr>
                <w:rFonts w:ascii="Times New Roman" w:hAnsi="Times New Roman" w:eastAsia="宋体" w:cs="Times New Roman"/>
                <w:color w:val="auto"/>
                <w:sz w:val="24"/>
                <w:highlight w:val="none"/>
              </w:rPr>
              <w:t>统一收集后暂存于一般固废暂存间，</w:t>
            </w:r>
            <w:r>
              <w:rPr>
                <w:rFonts w:ascii="Times New Roman" w:hAnsi="Times New Roman" w:eastAsia="宋体" w:cs="Times New Roman"/>
                <w:bCs/>
                <w:color w:val="auto"/>
                <w:sz w:val="24"/>
                <w:highlight w:val="none"/>
              </w:rPr>
              <w:t>定期外售</w:t>
            </w:r>
            <w:r>
              <w:rPr>
                <w:rFonts w:ascii="Times New Roman" w:hAnsi="Times New Roman" w:eastAsia="宋体" w:cs="Times New Roman"/>
                <w:color w:val="auto"/>
                <w:sz w:val="24"/>
                <w:highlight w:val="none"/>
              </w:rPr>
              <w:t>。</w:t>
            </w:r>
          </w:p>
          <w:p>
            <w:pPr>
              <w:spacing w:line="360" w:lineRule="auto"/>
              <w:ind w:firstLine="470" w:firstLineChars="196"/>
              <w:rPr>
                <w:rFonts w:ascii="Times New Roman" w:hAnsi="Times New Roman" w:eastAsia="宋体" w:cs="Times New Roman"/>
                <w:bCs/>
                <w:color w:val="auto"/>
                <w:sz w:val="24"/>
                <w:szCs w:val="24"/>
                <w:highlight w:val="none"/>
              </w:rPr>
            </w:pPr>
            <w:r>
              <w:rPr>
                <w:rFonts w:ascii="Times New Roman" w:hAnsi="Times New Roman" w:eastAsia="宋体" w:cs="Times New Roman"/>
                <w:color w:val="auto"/>
                <w:sz w:val="24"/>
                <w:szCs w:val="24"/>
                <w:highlight w:val="none"/>
              </w:rPr>
              <w:t>③废塑粉：喷塑过程中会产生废塑粉，根据工程分析，</w:t>
            </w:r>
            <w:r>
              <w:rPr>
                <w:rFonts w:ascii="Times New Roman" w:hAnsi="Times New Roman" w:eastAsia="宋体" w:cs="Times New Roman"/>
                <w:color w:val="auto"/>
                <w:sz w:val="24"/>
                <w:szCs w:val="20"/>
                <w:highlight w:val="none"/>
              </w:rPr>
              <w:t>未喷上的粉末产生量约为30t/a，未喷上工件的粉末</w:t>
            </w:r>
            <w:r>
              <w:rPr>
                <w:rFonts w:ascii="Times New Roman" w:hAnsi="Times New Roman" w:eastAsia="宋体" w:cs="Times New Roman"/>
                <w:color w:val="auto"/>
                <w:sz w:val="24"/>
                <w:highlight w:val="none"/>
              </w:rPr>
              <w:t>通过喷塑间内设置大旋风+滤芯粉末回收装置</w:t>
            </w:r>
            <w:r>
              <w:rPr>
                <w:rFonts w:ascii="Times New Roman" w:hAnsi="Times New Roman" w:eastAsia="宋体" w:cs="Times New Roman"/>
                <w:color w:val="auto"/>
                <w:sz w:val="24"/>
                <w:szCs w:val="20"/>
                <w:highlight w:val="none"/>
              </w:rPr>
              <w:t>回收后全部回用</w:t>
            </w:r>
            <w:r>
              <w:rPr>
                <w:rFonts w:ascii="Times New Roman" w:hAnsi="Times New Roman" w:eastAsia="宋体" w:cs="Times New Roman"/>
                <w:bCs/>
                <w:color w:val="auto"/>
                <w:sz w:val="24"/>
                <w:szCs w:val="24"/>
                <w:highlight w:val="none"/>
              </w:rPr>
              <w:t>。</w:t>
            </w:r>
          </w:p>
          <w:p>
            <w:pPr>
              <w:spacing w:line="360" w:lineRule="auto"/>
              <w:ind w:firstLine="480" w:firstLineChars="200"/>
              <w:rPr>
                <w:rFonts w:ascii="Times New Roman" w:hAnsi="Times New Roman" w:eastAsia="宋体" w:cs="Times New Roman"/>
                <w:color w:val="auto"/>
                <w:kern w:val="0"/>
                <w:sz w:val="24"/>
                <w:szCs w:val="24"/>
                <w:highlight w:val="none"/>
              </w:rPr>
            </w:pPr>
            <w:r>
              <w:rPr>
                <w:rFonts w:ascii="Times New Roman" w:hAnsi="Times New Roman" w:eastAsia="宋体" w:cs="Times New Roman"/>
                <w:color w:val="auto"/>
                <w:sz w:val="24"/>
                <w:szCs w:val="24"/>
                <w:highlight w:val="none"/>
              </w:rPr>
              <w:t>④废包装物：本项目包装过程中会产生废包装物，根据建设单位提供资料，废包装物产生量约为0.05t/a，</w:t>
            </w:r>
            <w:r>
              <w:rPr>
                <w:rFonts w:ascii="Times New Roman" w:hAnsi="Times New Roman" w:eastAsia="宋体" w:cs="Times New Roman"/>
                <w:color w:val="auto"/>
                <w:sz w:val="24"/>
                <w:highlight w:val="none"/>
              </w:rPr>
              <w:t>统一收集后暂存于一般固废暂存间，</w:t>
            </w:r>
            <w:r>
              <w:rPr>
                <w:rFonts w:ascii="Times New Roman" w:hAnsi="Times New Roman" w:eastAsia="宋体" w:cs="Times New Roman"/>
                <w:bCs/>
                <w:color w:val="auto"/>
                <w:sz w:val="24"/>
                <w:highlight w:val="none"/>
              </w:rPr>
              <w:t>定期外售</w:t>
            </w:r>
            <w:r>
              <w:rPr>
                <w:rFonts w:ascii="Times New Roman" w:hAnsi="Times New Roman" w:eastAsia="宋体" w:cs="Times New Roman"/>
                <w:color w:val="auto"/>
                <w:sz w:val="24"/>
                <w:highlight w:val="none"/>
              </w:rPr>
              <w:t>。</w:t>
            </w:r>
          </w:p>
          <w:p>
            <w:pPr>
              <w:spacing w:line="360" w:lineRule="auto"/>
              <w:ind w:firstLine="482" w:firstLineChars="200"/>
              <w:jc w:val="left"/>
              <w:rPr>
                <w:rFonts w:ascii="Times New Roman" w:hAnsi="Times New Roman" w:eastAsia="宋体" w:cs="Times New Roman"/>
                <w:b/>
                <w:color w:val="auto"/>
                <w:sz w:val="24"/>
                <w:szCs w:val="24"/>
                <w:highlight w:val="none"/>
              </w:rPr>
            </w:pPr>
            <w:r>
              <w:rPr>
                <w:rFonts w:ascii="Times New Roman" w:hAnsi="Times New Roman" w:eastAsia="宋体" w:cs="Times New Roman"/>
                <w:b/>
                <w:color w:val="auto"/>
                <w:sz w:val="24"/>
                <w:szCs w:val="24"/>
                <w:highlight w:val="none"/>
              </w:rPr>
              <w:t>（2）危险废物</w:t>
            </w:r>
          </w:p>
          <w:p>
            <w:pPr>
              <w:spacing w:line="360" w:lineRule="auto"/>
              <w:ind w:firstLine="480" w:firstLineChars="200"/>
              <w:rPr>
                <w:rFonts w:ascii="Times New Roman" w:hAnsi="Times New Roman" w:eastAsia="宋体" w:cs="Times New Roman"/>
                <w:color w:val="auto"/>
                <w:sz w:val="24"/>
                <w:highlight w:val="none"/>
              </w:rPr>
            </w:pPr>
            <w:r>
              <w:rPr>
                <w:rFonts w:ascii="Times New Roman" w:hAnsi="Times New Roman" w:eastAsia="宋体" w:cs="Times New Roman"/>
                <w:color w:val="auto"/>
                <w:sz w:val="24"/>
                <w:highlight w:val="none"/>
              </w:rPr>
              <w:t>①废机油：本项目设备维修保养过程中会产生废机油，产生量约为0.5t/a，依据《国家危险废物名录》（2021年版）可知废机油属于HW08，危废代码为900-214-08，收集后暂存于危废暂存库，定期委托有资质的单位处理。</w:t>
            </w:r>
          </w:p>
          <w:p>
            <w:pPr>
              <w:spacing w:line="360" w:lineRule="auto"/>
              <w:ind w:firstLine="480" w:firstLineChars="200"/>
              <w:rPr>
                <w:rFonts w:ascii="Times New Roman" w:hAnsi="Times New Roman" w:eastAsia="宋体" w:cs="Times New Roman"/>
                <w:color w:val="auto"/>
                <w:sz w:val="24"/>
                <w:highlight w:val="none"/>
              </w:rPr>
            </w:pPr>
            <w:r>
              <w:rPr>
                <w:rFonts w:ascii="Times New Roman" w:hAnsi="Times New Roman" w:eastAsia="宋体" w:cs="Times New Roman"/>
                <w:color w:val="auto"/>
                <w:sz w:val="24"/>
                <w:highlight w:val="none"/>
              </w:rPr>
              <w:t>②机油桶：机油使用量为0.5t/a，每桶重200kg，每年将产生3个原料桶。每个机油空桶重0.01t，则机油桶产生量为0.03t/a，依据《国家危险废物名录》（2021年版）可知，机油桶属于HW49，危废代码为900-041-49，收集后暂存于危废暂存库，由厂家回收处置。</w:t>
            </w:r>
          </w:p>
          <w:p>
            <w:pPr>
              <w:widowControl/>
              <w:spacing w:line="360" w:lineRule="auto"/>
              <w:ind w:firstLine="482" w:firstLineChars="200"/>
              <w:jc w:val="left"/>
              <w:rPr>
                <w:rFonts w:ascii="Times New Roman" w:hAnsi="Times New Roman" w:eastAsia="宋体" w:cs="Times New Roman"/>
                <w:color w:val="auto"/>
                <w:sz w:val="24"/>
                <w:szCs w:val="24"/>
                <w:highlight w:val="none"/>
                <w:lang w:val="zh-CN"/>
              </w:rPr>
            </w:pPr>
            <w:r>
              <w:rPr>
                <w:rFonts w:ascii="Times New Roman" w:hAnsi="Times New Roman" w:eastAsia="宋体" w:cs="Times New Roman"/>
                <w:b/>
                <w:bCs/>
                <w:color w:val="auto"/>
                <w:sz w:val="24"/>
                <w:szCs w:val="24"/>
                <w:highlight w:val="none"/>
              </w:rPr>
              <w:t>③</w:t>
            </w:r>
            <w:r>
              <w:rPr>
                <w:rFonts w:ascii="Times New Roman" w:hAnsi="Times New Roman" w:eastAsia="宋体" w:cs="Times New Roman"/>
                <w:color w:val="auto"/>
                <w:sz w:val="24"/>
                <w:szCs w:val="24"/>
                <w:highlight w:val="none"/>
              </w:rPr>
              <w:t>废活性炭：活性炭对有机物吸附</w:t>
            </w:r>
            <w:r>
              <w:rPr>
                <w:rFonts w:ascii="Times New Roman" w:hAnsi="Times New Roman" w:eastAsia="宋体" w:cs="Times New Roman"/>
                <w:color w:val="auto"/>
                <w:sz w:val="24"/>
                <w:szCs w:val="24"/>
                <w:highlight w:val="none"/>
                <w:lang w:val="zh-CN"/>
              </w:rPr>
              <w:t>量qe一般介于0.1~0.3kg/kg活性炭，</w:t>
            </w:r>
            <w:r>
              <w:rPr>
                <w:rFonts w:ascii="Times New Roman" w:hAnsi="Times New Roman" w:eastAsia="宋体" w:cs="Times New Roman"/>
                <w:color w:val="auto"/>
                <w:sz w:val="24"/>
                <w:highlight w:val="none"/>
              </w:rPr>
              <w:t>根据《简明通风设计手册》</w:t>
            </w:r>
            <w:r>
              <w:rPr>
                <w:rFonts w:ascii="Times New Roman" w:hAnsi="Times New Roman" w:eastAsia="宋体" w:cs="Times New Roman"/>
                <w:color w:val="auto"/>
                <w:sz w:val="24"/>
                <w:szCs w:val="24"/>
                <w:highlight w:val="none"/>
                <w:lang w:val="zh-CN"/>
              </w:rPr>
              <w:t>取活性炭</w:t>
            </w:r>
            <w:r>
              <w:rPr>
                <w:rFonts w:ascii="Times New Roman" w:hAnsi="Times New Roman" w:eastAsia="宋体" w:cs="Times New Roman"/>
                <w:color w:val="auto"/>
                <w:sz w:val="24"/>
                <w:szCs w:val="24"/>
                <w:highlight w:val="none"/>
              </w:rPr>
              <w:t>动态吸附量</w:t>
            </w:r>
            <w:r>
              <w:rPr>
                <w:rFonts w:ascii="Times New Roman" w:hAnsi="Times New Roman" w:eastAsia="宋体" w:cs="Times New Roman"/>
                <w:color w:val="auto"/>
                <w:sz w:val="24"/>
                <w:szCs w:val="24"/>
                <w:highlight w:val="none"/>
                <w:lang w:val="zh-CN"/>
              </w:rPr>
              <w:t>为0.26kg/kg活性炭，被吸附进活性炭装置有机物量约</w:t>
            </w:r>
            <w:r>
              <w:rPr>
                <w:rFonts w:ascii="Times New Roman" w:hAnsi="Times New Roman" w:eastAsia="宋体" w:cs="Times New Roman"/>
                <w:color w:val="auto"/>
                <w:sz w:val="24"/>
                <w:szCs w:val="24"/>
                <w:highlight w:val="none"/>
              </w:rPr>
              <w:t>0.119</w:t>
            </w:r>
            <w:r>
              <w:rPr>
                <w:rFonts w:ascii="Times New Roman" w:hAnsi="Times New Roman" w:eastAsia="宋体" w:cs="Times New Roman"/>
                <w:color w:val="auto"/>
                <w:sz w:val="24"/>
                <w:szCs w:val="24"/>
                <w:highlight w:val="none"/>
                <w:lang w:val="zh-CN"/>
              </w:rPr>
              <w:t>t/a，折算年需活性炭</w:t>
            </w:r>
            <w:r>
              <w:rPr>
                <w:rFonts w:ascii="Times New Roman" w:hAnsi="Times New Roman" w:eastAsia="宋体" w:cs="Times New Roman"/>
                <w:color w:val="auto"/>
                <w:sz w:val="24"/>
                <w:szCs w:val="24"/>
                <w:highlight w:val="none"/>
              </w:rPr>
              <w:t>量约为0.458</w:t>
            </w:r>
            <w:r>
              <w:rPr>
                <w:rFonts w:ascii="Times New Roman" w:hAnsi="Times New Roman" w:eastAsia="宋体" w:cs="Times New Roman"/>
                <w:color w:val="auto"/>
                <w:sz w:val="24"/>
                <w:szCs w:val="24"/>
                <w:highlight w:val="none"/>
                <w:lang w:val="zh-CN"/>
              </w:rPr>
              <w:t>t，故废活性炭量=</w:t>
            </w:r>
            <w:r>
              <w:rPr>
                <w:rFonts w:ascii="Times New Roman" w:hAnsi="Times New Roman" w:eastAsia="宋体" w:cs="Times New Roman"/>
                <w:color w:val="auto"/>
                <w:sz w:val="24"/>
                <w:szCs w:val="24"/>
                <w:highlight w:val="none"/>
              </w:rPr>
              <w:t>0.119</w:t>
            </w:r>
            <w:r>
              <w:rPr>
                <w:rFonts w:ascii="Times New Roman" w:hAnsi="Times New Roman" w:eastAsia="宋体" w:cs="Times New Roman"/>
                <w:color w:val="auto"/>
                <w:sz w:val="24"/>
                <w:szCs w:val="24"/>
                <w:highlight w:val="none"/>
                <w:lang w:val="zh-CN"/>
              </w:rPr>
              <w:t>t/a+</w:t>
            </w:r>
            <w:r>
              <w:rPr>
                <w:rFonts w:ascii="Times New Roman" w:hAnsi="Times New Roman" w:eastAsia="宋体" w:cs="Times New Roman"/>
                <w:color w:val="auto"/>
                <w:sz w:val="24"/>
                <w:szCs w:val="24"/>
                <w:highlight w:val="none"/>
              </w:rPr>
              <w:t>0.458</w:t>
            </w:r>
            <w:r>
              <w:rPr>
                <w:rFonts w:ascii="Times New Roman" w:hAnsi="Times New Roman" w:eastAsia="宋体" w:cs="Times New Roman"/>
                <w:color w:val="auto"/>
                <w:sz w:val="24"/>
                <w:szCs w:val="24"/>
                <w:highlight w:val="none"/>
                <w:lang w:val="zh-CN"/>
              </w:rPr>
              <w:t>t/a=</w:t>
            </w:r>
            <w:r>
              <w:rPr>
                <w:rFonts w:ascii="Times New Roman" w:hAnsi="Times New Roman" w:eastAsia="宋体" w:cs="Times New Roman"/>
                <w:color w:val="auto"/>
                <w:sz w:val="24"/>
                <w:szCs w:val="24"/>
                <w:highlight w:val="none"/>
              </w:rPr>
              <w:t>0.577</w:t>
            </w:r>
            <w:r>
              <w:rPr>
                <w:rFonts w:ascii="Times New Roman" w:hAnsi="Times New Roman" w:eastAsia="宋体" w:cs="Times New Roman"/>
                <w:color w:val="auto"/>
                <w:sz w:val="24"/>
                <w:szCs w:val="24"/>
                <w:highlight w:val="none"/>
                <w:lang w:val="zh-CN"/>
              </w:rPr>
              <w:t>t/a；根据《国家危险废物管理名录》（2021版），项目废活性炭属于HW49含有或沾染毒性危险废物的过滤吸附介质，经危废库暂存（</w:t>
            </w:r>
            <w:r>
              <w:rPr>
                <w:rFonts w:ascii="Times New Roman" w:hAnsi="Times New Roman" w:eastAsia="宋体" w:cs="Times New Roman"/>
                <w:color w:val="auto"/>
                <w:sz w:val="24"/>
                <w:szCs w:val="24"/>
                <w:highlight w:val="none"/>
              </w:rPr>
              <w:t>桶装密封</w:t>
            </w:r>
            <w:r>
              <w:rPr>
                <w:rFonts w:ascii="Times New Roman" w:hAnsi="Times New Roman" w:eastAsia="宋体" w:cs="Times New Roman"/>
                <w:color w:val="auto"/>
                <w:sz w:val="24"/>
                <w:szCs w:val="24"/>
                <w:highlight w:val="none"/>
                <w:lang w:val="zh-CN"/>
              </w:rPr>
              <w:t>）后委托资质单位处置，</w:t>
            </w:r>
            <w:r>
              <w:rPr>
                <w:rFonts w:ascii="Times New Roman" w:hAnsi="Times New Roman" w:eastAsia="宋体" w:cs="Times New Roman"/>
                <w:color w:val="auto"/>
                <w:sz w:val="24"/>
                <w:szCs w:val="24"/>
                <w:highlight w:val="none"/>
              </w:rPr>
              <w:t>废物代码900-042-49</w:t>
            </w:r>
            <w:r>
              <w:rPr>
                <w:rFonts w:ascii="Times New Roman" w:hAnsi="Times New Roman" w:eastAsia="宋体" w:cs="Times New Roman"/>
                <w:color w:val="auto"/>
                <w:sz w:val="24"/>
                <w:szCs w:val="24"/>
                <w:highlight w:val="none"/>
                <w:lang w:val="zh-CN"/>
              </w:rPr>
              <w:t>。</w:t>
            </w:r>
          </w:p>
          <w:p>
            <w:pPr>
              <w:spacing w:line="360" w:lineRule="auto"/>
              <w:ind w:firstLine="482" w:firstLineChars="200"/>
              <w:jc w:val="left"/>
              <w:rPr>
                <w:rFonts w:ascii="Times New Roman" w:hAnsi="Times New Roman" w:eastAsia="宋体" w:cs="Times New Roman"/>
                <w:b/>
                <w:bCs/>
                <w:color w:val="auto"/>
                <w:szCs w:val="21"/>
                <w:highlight w:val="none"/>
              </w:rPr>
            </w:pPr>
            <w:r>
              <w:rPr>
                <w:rFonts w:ascii="Times New Roman" w:hAnsi="Times New Roman" w:eastAsia="宋体" w:cs="Times New Roman"/>
                <w:b/>
                <w:color w:val="auto"/>
                <w:sz w:val="24"/>
                <w:szCs w:val="24"/>
                <w:highlight w:val="none"/>
              </w:rPr>
              <w:t>（3）生活垃圾</w:t>
            </w:r>
          </w:p>
          <w:p>
            <w:pPr>
              <w:spacing w:line="360" w:lineRule="auto"/>
              <w:ind w:firstLine="470" w:firstLineChars="196"/>
              <w:rPr>
                <w:rFonts w:ascii="Times New Roman" w:hAnsi="Times New Roman" w:eastAsia="宋体" w:cs="Times New Roman"/>
                <w:color w:val="auto"/>
                <w:sz w:val="24"/>
                <w:szCs w:val="24"/>
                <w:highlight w:val="none"/>
              </w:rPr>
            </w:pPr>
            <w:r>
              <w:rPr>
                <w:rFonts w:ascii="Times New Roman" w:hAnsi="Times New Roman" w:eastAsia="宋体" w:cs="Times New Roman"/>
                <w:color w:val="auto"/>
                <w:sz w:val="24"/>
                <w:szCs w:val="24"/>
                <w:highlight w:val="none"/>
              </w:rPr>
              <w:t>本项目劳动定员45人，</w:t>
            </w:r>
            <w:r>
              <w:rPr>
                <w:rFonts w:ascii="Times New Roman" w:hAnsi="Times New Roman" w:eastAsia="宋体" w:cs="Times New Roman"/>
                <w:color w:val="auto"/>
                <w:kern w:val="0"/>
                <w:sz w:val="24"/>
                <w:szCs w:val="24"/>
                <w:highlight w:val="none"/>
              </w:rPr>
              <w:t>员工每人每日排放生活垃圾按0.5kg计，</w:t>
            </w:r>
            <w:r>
              <w:rPr>
                <w:rFonts w:ascii="Times New Roman" w:hAnsi="Times New Roman" w:eastAsia="宋体" w:cs="Times New Roman"/>
                <w:color w:val="auto"/>
                <w:sz w:val="24"/>
                <w:szCs w:val="24"/>
                <w:highlight w:val="none"/>
              </w:rPr>
              <w:t>则生活垃圾产生量为6.75t/a，集中收集后由当地环卫部门统一清运。</w:t>
            </w:r>
          </w:p>
          <w:p>
            <w:pPr>
              <w:spacing w:line="360" w:lineRule="auto"/>
              <w:ind w:firstLine="470" w:firstLineChars="196"/>
              <w:rPr>
                <w:rFonts w:ascii="Times New Roman" w:hAnsi="Times New Roman" w:eastAsia="宋体" w:cs="Times New Roman"/>
                <w:color w:val="auto"/>
                <w:sz w:val="24"/>
                <w:szCs w:val="24"/>
                <w:highlight w:val="none"/>
              </w:rPr>
            </w:pPr>
            <w:r>
              <w:rPr>
                <w:rFonts w:ascii="Times New Roman" w:hAnsi="Times New Roman" w:eastAsia="宋体" w:cs="Times New Roman"/>
                <w:color w:val="auto"/>
                <w:sz w:val="24"/>
                <w:szCs w:val="24"/>
                <w:highlight w:val="none"/>
              </w:rPr>
              <w:t>本项目固体废物产生情况见下表。</w:t>
            </w:r>
          </w:p>
          <w:p>
            <w:pPr>
              <w:adjustRightInd w:val="0"/>
              <w:spacing w:line="324" w:lineRule="auto"/>
              <w:jc w:val="center"/>
              <w:rPr>
                <w:rFonts w:ascii="Times New Roman" w:hAnsi="Times New Roman" w:eastAsia="黑体" w:cs="Times New Roman"/>
                <w:color w:val="auto"/>
                <w:sz w:val="24"/>
                <w:highlight w:val="none"/>
              </w:rPr>
            </w:pPr>
            <w:r>
              <w:rPr>
                <w:rFonts w:ascii="Times New Roman" w:hAnsi="Times New Roman" w:eastAsia="黑体" w:cs="Times New Roman"/>
                <w:color w:val="auto"/>
                <w:sz w:val="24"/>
                <w:highlight w:val="none"/>
              </w:rPr>
              <w:t>表4-11  固体废物汇总表</w:t>
            </w:r>
          </w:p>
          <w:tbl>
            <w:tblPr>
              <w:tblStyle w:val="17"/>
              <w:tblW w:w="4996" w:type="pct"/>
              <w:jc w:val="center"/>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autofit"/>
              <w:tblCellMar>
                <w:top w:w="0" w:type="dxa"/>
                <w:left w:w="108" w:type="dxa"/>
                <w:bottom w:w="0" w:type="dxa"/>
                <w:right w:w="108" w:type="dxa"/>
              </w:tblCellMar>
            </w:tblPr>
            <w:tblGrid>
              <w:gridCol w:w="663"/>
              <w:gridCol w:w="1010"/>
              <w:gridCol w:w="1118"/>
              <w:gridCol w:w="1110"/>
              <w:gridCol w:w="721"/>
              <w:gridCol w:w="723"/>
              <w:gridCol w:w="724"/>
              <w:gridCol w:w="1831"/>
            </w:tblGrid>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19" w:type="pct"/>
                  <w:tcBorders>
                    <w:top w:val="single" w:color="auto" w:sz="8" w:space="0"/>
                    <w:left w:val="nil"/>
                    <w:bottom w:val="single" w:color="auto" w:sz="4" w:space="0"/>
                    <w:right w:val="single" w:color="auto" w:sz="4" w:space="0"/>
                  </w:tcBorders>
                  <w:vAlign w:val="center"/>
                </w:tcPr>
                <w:p>
                  <w:pPr>
                    <w:pStyle w:val="35"/>
                    <w:snapToGrid w:val="0"/>
                    <w:spacing w:line="276" w:lineRule="auto"/>
                    <w:rPr>
                      <w:rFonts w:ascii="Times New Roman" w:hAnsi="Times New Roman" w:eastAsia="宋体" w:cs="Times New Roman"/>
                      <w:b/>
                      <w:color w:val="auto"/>
                      <w:kern w:val="0"/>
                      <w:sz w:val="18"/>
                      <w:szCs w:val="18"/>
                      <w:highlight w:val="none"/>
                    </w:rPr>
                  </w:pPr>
                  <w:r>
                    <w:rPr>
                      <w:rFonts w:ascii="Times New Roman" w:hAnsi="Times New Roman" w:eastAsia="宋体" w:cs="Times New Roman"/>
                      <w:b/>
                      <w:color w:val="auto"/>
                      <w:kern w:val="0"/>
                      <w:sz w:val="18"/>
                      <w:szCs w:val="18"/>
                      <w:highlight w:val="none"/>
                    </w:rPr>
                    <w:t>序号</w:t>
                  </w:r>
                </w:p>
              </w:tc>
              <w:tc>
                <w:tcPr>
                  <w:tcW w:w="639" w:type="pct"/>
                  <w:tcBorders>
                    <w:top w:val="single" w:color="auto" w:sz="8" w:space="0"/>
                    <w:left w:val="single" w:color="auto" w:sz="4" w:space="0"/>
                    <w:bottom w:val="single" w:color="auto" w:sz="4" w:space="0"/>
                    <w:right w:val="single" w:color="auto" w:sz="4" w:space="0"/>
                  </w:tcBorders>
                  <w:vAlign w:val="center"/>
                </w:tcPr>
                <w:p>
                  <w:pPr>
                    <w:pStyle w:val="35"/>
                    <w:snapToGrid w:val="0"/>
                    <w:spacing w:line="276" w:lineRule="auto"/>
                    <w:rPr>
                      <w:rFonts w:ascii="Times New Roman" w:hAnsi="Times New Roman" w:eastAsia="宋体" w:cs="Times New Roman"/>
                      <w:b/>
                      <w:color w:val="auto"/>
                      <w:kern w:val="0"/>
                      <w:sz w:val="18"/>
                      <w:szCs w:val="18"/>
                      <w:highlight w:val="none"/>
                    </w:rPr>
                  </w:pPr>
                  <w:r>
                    <w:rPr>
                      <w:rFonts w:ascii="Times New Roman" w:hAnsi="Times New Roman" w:eastAsia="宋体" w:cs="Times New Roman"/>
                      <w:b/>
                      <w:color w:val="auto"/>
                      <w:kern w:val="0"/>
                      <w:sz w:val="18"/>
                      <w:szCs w:val="18"/>
                      <w:highlight w:val="none"/>
                    </w:rPr>
                    <w:t>类别</w:t>
                  </w:r>
                </w:p>
              </w:tc>
              <w:tc>
                <w:tcPr>
                  <w:tcW w:w="707" w:type="pct"/>
                  <w:tcBorders>
                    <w:top w:val="single" w:color="auto" w:sz="8" w:space="0"/>
                    <w:left w:val="single" w:color="auto" w:sz="4" w:space="0"/>
                    <w:bottom w:val="single" w:color="auto" w:sz="4" w:space="0"/>
                    <w:right w:val="single" w:color="auto" w:sz="4" w:space="0"/>
                  </w:tcBorders>
                  <w:vAlign w:val="center"/>
                </w:tcPr>
                <w:p>
                  <w:pPr>
                    <w:pStyle w:val="35"/>
                    <w:snapToGrid w:val="0"/>
                    <w:spacing w:line="276" w:lineRule="auto"/>
                    <w:rPr>
                      <w:rFonts w:ascii="Times New Roman" w:hAnsi="Times New Roman" w:eastAsia="宋体" w:cs="Times New Roman"/>
                      <w:b/>
                      <w:color w:val="auto"/>
                      <w:kern w:val="0"/>
                      <w:sz w:val="18"/>
                      <w:szCs w:val="18"/>
                      <w:highlight w:val="none"/>
                    </w:rPr>
                  </w:pPr>
                  <w:r>
                    <w:rPr>
                      <w:rFonts w:ascii="Times New Roman" w:hAnsi="Times New Roman" w:eastAsia="宋体" w:cs="Times New Roman"/>
                      <w:b/>
                      <w:color w:val="auto"/>
                      <w:kern w:val="0"/>
                      <w:sz w:val="18"/>
                      <w:szCs w:val="18"/>
                      <w:highlight w:val="none"/>
                    </w:rPr>
                    <w:t>产生量</w:t>
                  </w:r>
                </w:p>
              </w:tc>
              <w:tc>
                <w:tcPr>
                  <w:tcW w:w="702" w:type="pct"/>
                  <w:tcBorders>
                    <w:top w:val="single" w:color="auto" w:sz="8" w:space="0"/>
                    <w:left w:val="single" w:color="auto" w:sz="4" w:space="0"/>
                    <w:bottom w:val="single" w:color="auto" w:sz="4" w:space="0"/>
                    <w:right w:val="single" w:color="auto" w:sz="4" w:space="0"/>
                  </w:tcBorders>
                  <w:vAlign w:val="center"/>
                </w:tcPr>
                <w:p>
                  <w:pPr>
                    <w:pStyle w:val="35"/>
                    <w:snapToGrid w:val="0"/>
                    <w:spacing w:line="276" w:lineRule="auto"/>
                    <w:rPr>
                      <w:rFonts w:ascii="Times New Roman" w:hAnsi="Times New Roman" w:eastAsia="宋体" w:cs="Times New Roman"/>
                      <w:b/>
                      <w:color w:val="auto"/>
                      <w:kern w:val="0"/>
                      <w:sz w:val="18"/>
                      <w:szCs w:val="18"/>
                      <w:highlight w:val="none"/>
                    </w:rPr>
                  </w:pPr>
                  <w:r>
                    <w:rPr>
                      <w:rFonts w:ascii="Times New Roman" w:hAnsi="Times New Roman" w:eastAsia="宋体" w:cs="Times New Roman"/>
                      <w:b/>
                      <w:color w:val="auto"/>
                      <w:kern w:val="0"/>
                      <w:sz w:val="18"/>
                      <w:szCs w:val="18"/>
                      <w:highlight w:val="none"/>
                    </w:rPr>
                    <w:t>产生工序</w:t>
                  </w:r>
                </w:p>
              </w:tc>
              <w:tc>
                <w:tcPr>
                  <w:tcW w:w="456" w:type="pct"/>
                  <w:tcBorders>
                    <w:top w:val="single" w:color="auto" w:sz="8" w:space="0"/>
                    <w:left w:val="single" w:color="auto" w:sz="4" w:space="0"/>
                    <w:bottom w:val="single" w:color="auto" w:sz="4" w:space="0"/>
                    <w:right w:val="single" w:color="auto" w:sz="4" w:space="0"/>
                  </w:tcBorders>
                  <w:vAlign w:val="center"/>
                </w:tcPr>
                <w:p>
                  <w:pPr>
                    <w:pStyle w:val="35"/>
                    <w:snapToGrid w:val="0"/>
                    <w:spacing w:line="276" w:lineRule="auto"/>
                    <w:rPr>
                      <w:rFonts w:ascii="Times New Roman" w:hAnsi="Times New Roman" w:eastAsia="宋体" w:cs="Times New Roman"/>
                      <w:b/>
                      <w:color w:val="auto"/>
                      <w:kern w:val="0"/>
                      <w:sz w:val="18"/>
                      <w:szCs w:val="18"/>
                      <w:highlight w:val="none"/>
                    </w:rPr>
                  </w:pPr>
                  <w:r>
                    <w:rPr>
                      <w:rFonts w:ascii="Times New Roman" w:hAnsi="Times New Roman" w:eastAsia="宋体" w:cs="Times New Roman"/>
                      <w:b/>
                      <w:color w:val="auto"/>
                      <w:kern w:val="0"/>
                      <w:sz w:val="18"/>
                      <w:szCs w:val="18"/>
                      <w:highlight w:val="none"/>
                    </w:rPr>
                    <w:t>形态</w:t>
                  </w:r>
                </w:p>
              </w:tc>
              <w:tc>
                <w:tcPr>
                  <w:tcW w:w="457" w:type="pct"/>
                  <w:tcBorders>
                    <w:top w:val="single" w:color="auto" w:sz="8" w:space="0"/>
                    <w:left w:val="single" w:color="auto" w:sz="4" w:space="0"/>
                    <w:bottom w:val="single" w:color="auto" w:sz="4" w:space="0"/>
                    <w:right w:val="single" w:color="auto" w:sz="4" w:space="0"/>
                  </w:tcBorders>
                  <w:vAlign w:val="center"/>
                </w:tcPr>
                <w:p>
                  <w:pPr>
                    <w:pStyle w:val="35"/>
                    <w:snapToGrid w:val="0"/>
                    <w:spacing w:line="276" w:lineRule="auto"/>
                    <w:rPr>
                      <w:rFonts w:ascii="Times New Roman" w:hAnsi="Times New Roman" w:eastAsia="宋体" w:cs="Times New Roman"/>
                      <w:b/>
                      <w:color w:val="auto"/>
                      <w:kern w:val="0"/>
                      <w:sz w:val="18"/>
                      <w:szCs w:val="18"/>
                      <w:highlight w:val="none"/>
                    </w:rPr>
                  </w:pPr>
                  <w:r>
                    <w:rPr>
                      <w:rFonts w:ascii="Times New Roman" w:hAnsi="Times New Roman" w:eastAsia="宋体" w:cs="Times New Roman"/>
                      <w:b/>
                      <w:color w:val="auto"/>
                      <w:kern w:val="0"/>
                      <w:sz w:val="18"/>
                      <w:szCs w:val="18"/>
                      <w:highlight w:val="none"/>
                    </w:rPr>
                    <w:t>主要成分</w:t>
                  </w:r>
                </w:p>
              </w:tc>
              <w:tc>
                <w:tcPr>
                  <w:tcW w:w="458" w:type="pct"/>
                  <w:tcBorders>
                    <w:top w:val="single" w:color="auto" w:sz="8" w:space="0"/>
                    <w:left w:val="single" w:color="auto" w:sz="4" w:space="0"/>
                    <w:bottom w:val="single" w:color="auto" w:sz="4" w:space="0"/>
                    <w:right w:val="single" w:color="auto" w:sz="4" w:space="0"/>
                  </w:tcBorders>
                  <w:vAlign w:val="center"/>
                </w:tcPr>
                <w:p>
                  <w:pPr>
                    <w:pStyle w:val="35"/>
                    <w:snapToGrid w:val="0"/>
                    <w:spacing w:line="276" w:lineRule="auto"/>
                    <w:rPr>
                      <w:rFonts w:ascii="Times New Roman" w:hAnsi="Times New Roman" w:eastAsia="宋体" w:cs="Times New Roman"/>
                      <w:b/>
                      <w:color w:val="auto"/>
                      <w:kern w:val="0"/>
                      <w:sz w:val="18"/>
                      <w:szCs w:val="18"/>
                      <w:highlight w:val="none"/>
                    </w:rPr>
                  </w:pPr>
                  <w:r>
                    <w:rPr>
                      <w:rFonts w:ascii="Times New Roman" w:hAnsi="Times New Roman" w:eastAsia="宋体" w:cs="Times New Roman"/>
                      <w:b/>
                      <w:color w:val="auto"/>
                      <w:kern w:val="0"/>
                      <w:sz w:val="18"/>
                      <w:szCs w:val="18"/>
                      <w:highlight w:val="none"/>
                    </w:rPr>
                    <w:t>性质</w:t>
                  </w:r>
                </w:p>
              </w:tc>
              <w:tc>
                <w:tcPr>
                  <w:tcW w:w="1158" w:type="pct"/>
                  <w:tcBorders>
                    <w:top w:val="single" w:color="auto" w:sz="8" w:space="0"/>
                    <w:left w:val="single" w:color="auto" w:sz="4" w:space="0"/>
                    <w:bottom w:val="single" w:color="auto" w:sz="4" w:space="0"/>
                    <w:right w:val="nil"/>
                  </w:tcBorders>
                  <w:vAlign w:val="center"/>
                </w:tcPr>
                <w:p>
                  <w:pPr>
                    <w:pStyle w:val="35"/>
                    <w:snapToGrid w:val="0"/>
                    <w:spacing w:line="276" w:lineRule="auto"/>
                    <w:rPr>
                      <w:rFonts w:ascii="Times New Roman" w:hAnsi="Times New Roman" w:eastAsia="宋体" w:cs="Times New Roman"/>
                      <w:b/>
                      <w:color w:val="auto"/>
                      <w:kern w:val="0"/>
                      <w:sz w:val="18"/>
                      <w:szCs w:val="18"/>
                      <w:highlight w:val="none"/>
                    </w:rPr>
                  </w:pPr>
                  <w:r>
                    <w:rPr>
                      <w:rFonts w:ascii="Times New Roman" w:hAnsi="Times New Roman" w:eastAsia="宋体" w:cs="Times New Roman"/>
                      <w:b/>
                      <w:color w:val="auto"/>
                      <w:kern w:val="0"/>
                      <w:sz w:val="18"/>
                      <w:szCs w:val="18"/>
                      <w:highlight w:val="none"/>
                    </w:rPr>
                    <w:t>处理方式</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567" w:hRule="atLeast"/>
                <w:jc w:val="center"/>
              </w:trPr>
              <w:tc>
                <w:tcPr>
                  <w:tcW w:w="419" w:type="pct"/>
                  <w:tcBorders>
                    <w:top w:val="single" w:color="auto" w:sz="4" w:space="0"/>
                    <w:left w:val="nil"/>
                    <w:bottom w:val="single" w:color="auto" w:sz="4" w:space="0"/>
                    <w:right w:val="single" w:color="auto" w:sz="4" w:space="0"/>
                  </w:tcBorders>
                  <w:vAlign w:val="center"/>
                </w:tcPr>
                <w:p>
                  <w:pPr>
                    <w:pStyle w:val="35"/>
                    <w:adjustRightInd w:val="0"/>
                    <w:snapToGrid w:val="0"/>
                    <w:spacing w:line="276" w:lineRule="auto"/>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1</w:t>
                  </w:r>
                </w:p>
              </w:tc>
              <w:tc>
                <w:tcPr>
                  <w:tcW w:w="639" w:type="pct"/>
                  <w:tcBorders>
                    <w:top w:val="single" w:color="auto" w:sz="4" w:space="0"/>
                    <w:left w:val="single" w:color="auto" w:sz="4" w:space="0"/>
                    <w:bottom w:val="single" w:color="auto" w:sz="4" w:space="0"/>
                    <w:right w:val="single" w:color="auto" w:sz="4" w:space="0"/>
                  </w:tcBorders>
                  <w:vAlign w:val="center"/>
                </w:tcPr>
                <w:p>
                  <w:pPr>
                    <w:adjustRightInd w:val="0"/>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color w:val="auto"/>
                      <w:sz w:val="18"/>
                      <w:szCs w:val="18"/>
                      <w:highlight w:val="none"/>
                    </w:rPr>
                    <w:t>边角料</w:t>
                  </w:r>
                </w:p>
              </w:tc>
              <w:tc>
                <w:tcPr>
                  <w:tcW w:w="707" w:type="pct"/>
                  <w:tcBorders>
                    <w:top w:val="single" w:color="auto" w:sz="4" w:space="0"/>
                    <w:left w:val="single" w:color="auto" w:sz="4" w:space="0"/>
                    <w:bottom w:val="single" w:color="auto" w:sz="4" w:space="0"/>
                    <w:right w:val="single" w:color="auto" w:sz="4" w:space="0"/>
                  </w:tcBorders>
                  <w:vAlign w:val="center"/>
                </w:tcPr>
                <w:p>
                  <w:pPr>
                    <w:adjustRightInd w:val="0"/>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1t/a</w:t>
                  </w:r>
                </w:p>
              </w:tc>
              <w:tc>
                <w:tcPr>
                  <w:tcW w:w="702" w:type="pct"/>
                  <w:tcBorders>
                    <w:top w:val="single" w:color="auto" w:sz="4" w:space="0"/>
                    <w:left w:val="single" w:color="auto" w:sz="4" w:space="0"/>
                    <w:bottom w:val="single" w:color="auto" w:sz="4" w:space="0"/>
                    <w:right w:val="single" w:color="auto" w:sz="4" w:space="0"/>
                  </w:tcBorders>
                  <w:vAlign w:val="center"/>
                </w:tcPr>
                <w:p>
                  <w:pPr>
                    <w:pStyle w:val="35"/>
                    <w:adjustRightInd w:val="0"/>
                    <w:snapToGrid w:val="0"/>
                    <w:spacing w:line="276" w:lineRule="auto"/>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切割</w:t>
                  </w:r>
                </w:p>
              </w:tc>
              <w:tc>
                <w:tcPr>
                  <w:tcW w:w="456" w:type="pct"/>
                  <w:tcBorders>
                    <w:top w:val="single" w:color="auto" w:sz="4" w:space="0"/>
                    <w:left w:val="single" w:color="auto" w:sz="4" w:space="0"/>
                    <w:bottom w:val="single" w:color="auto" w:sz="4" w:space="0"/>
                    <w:right w:val="single" w:color="auto" w:sz="4" w:space="0"/>
                  </w:tcBorders>
                  <w:vAlign w:val="center"/>
                </w:tcPr>
                <w:p>
                  <w:pPr>
                    <w:pStyle w:val="35"/>
                    <w:adjustRightInd w:val="0"/>
                    <w:snapToGrid w:val="0"/>
                    <w:spacing w:line="276" w:lineRule="auto"/>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固态</w:t>
                  </w:r>
                </w:p>
              </w:tc>
              <w:tc>
                <w:tcPr>
                  <w:tcW w:w="457" w:type="pct"/>
                  <w:tcBorders>
                    <w:top w:val="single" w:color="auto" w:sz="4" w:space="0"/>
                    <w:left w:val="single" w:color="auto" w:sz="4" w:space="0"/>
                    <w:bottom w:val="single" w:color="auto" w:sz="4" w:space="0"/>
                    <w:right w:val="single" w:color="auto" w:sz="4" w:space="0"/>
                  </w:tcBorders>
                  <w:vAlign w:val="center"/>
                </w:tcPr>
                <w:p>
                  <w:pPr>
                    <w:pStyle w:val="35"/>
                    <w:adjustRightInd w:val="0"/>
                    <w:snapToGrid w:val="0"/>
                    <w:spacing w:line="276" w:lineRule="auto"/>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钢材</w:t>
                  </w:r>
                </w:p>
              </w:tc>
              <w:tc>
                <w:tcPr>
                  <w:tcW w:w="458" w:type="pct"/>
                  <w:vMerge w:val="restart"/>
                  <w:tcBorders>
                    <w:top w:val="single" w:color="auto" w:sz="4" w:space="0"/>
                    <w:left w:val="single" w:color="auto" w:sz="4" w:space="0"/>
                    <w:bottom w:val="single" w:color="auto" w:sz="4" w:space="0"/>
                    <w:right w:val="single" w:color="auto" w:sz="4" w:space="0"/>
                  </w:tcBorders>
                  <w:vAlign w:val="center"/>
                </w:tcPr>
                <w:p>
                  <w:pPr>
                    <w:pStyle w:val="35"/>
                    <w:adjustRightInd w:val="0"/>
                    <w:snapToGrid w:val="0"/>
                    <w:spacing w:line="276" w:lineRule="auto"/>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一般固废</w:t>
                  </w:r>
                </w:p>
              </w:tc>
              <w:tc>
                <w:tcPr>
                  <w:tcW w:w="1158" w:type="pct"/>
                  <w:vMerge w:val="restart"/>
                  <w:tcBorders>
                    <w:top w:val="single" w:color="auto" w:sz="4" w:space="0"/>
                    <w:left w:val="single" w:color="auto" w:sz="4" w:space="0"/>
                    <w:right w:val="nil"/>
                  </w:tcBorders>
                  <w:vAlign w:val="center"/>
                </w:tcPr>
                <w:p>
                  <w:pPr>
                    <w:pStyle w:val="35"/>
                    <w:snapToGrid w:val="0"/>
                    <w:spacing w:line="276" w:lineRule="auto"/>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统一收集后暂存于一般固废暂存间，</w:t>
                  </w:r>
                  <w:r>
                    <w:rPr>
                      <w:rFonts w:ascii="Times New Roman" w:hAnsi="Times New Roman" w:eastAsia="宋体" w:cs="Times New Roman"/>
                      <w:bCs/>
                      <w:color w:val="auto"/>
                      <w:sz w:val="18"/>
                      <w:szCs w:val="18"/>
                      <w:highlight w:val="none"/>
                    </w:rPr>
                    <w:t>定期外售</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19" w:type="pct"/>
                  <w:tcBorders>
                    <w:top w:val="single" w:color="auto" w:sz="4" w:space="0"/>
                    <w:left w:val="nil"/>
                    <w:bottom w:val="single" w:color="auto" w:sz="4" w:space="0"/>
                    <w:right w:val="single" w:color="auto" w:sz="4" w:space="0"/>
                  </w:tcBorders>
                  <w:vAlign w:val="center"/>
                </w:tcPr>
                <w:p>
                  <w:pPr>
                    <w:pStyle w:val="35"/>
                    <w:snapToGrid w:val="0"/>
                    <w:spacing w:line="276" w:lineRule="auto"/>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2</w:t>
                  </w:r>
                </w:p>
              </w:tc>
              <w:tc>
                <w:tcPr>
                  <w:tcW w:w="639" w:type="pct"/>
                  <w:tcBorders>
                    <w:top w:val="single" w:color="auto" w:sz="4" w:space="0"/>
                    <w:left w:val="single" w:color="auto" w:sz="4" w:space="0"/>
                    <w:bottom w:val="single" w:color="auto" w:sz="4" w:space="0"/>
                    <w:right w:val="single" w:color="auto" w:sz="4" w:space="0"/>
                  </w:tcBorders>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焊渣</w:t>
                  </w:r>
                </w:p>
              </w:tc>
              <w:tc>
                <w:tcPr>
                  <w:tcW w:w="707" w:type="pct"/>
                  <w:tcBorders>
                    <w:top w:val="single" w:color="auto" w:sz="4" w:space="0"/>
                    <w:left w:val="single" w:color="auto" w:sz="4" w:space="0"/>
                    <w:bottom w:val="single" w:color="auto" w:sz="4" w:space="0"/>
                    <w:right w:val="single" w:color="auto" w:sz="4" w:space="0"/>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0.13</w:t>
                  </w:r>
                  <w:r>
                    <w:rPr>
                      <w:rFonts w:ascii="Times New Roman" w:hAnsi="Times New Roman" w:eastAsia="宋体" w:cs="Times New Roman"/>
                      <w:color w:val="auto"/>
                      <w:kern w:val="0"/>
                      <w:sz w:val="18"/>
                      <w:szCs w:val="18"/>
                      <w:highlight w:val="none"/>
                    </w:rPr>
                    <w:t>t/a</w:t>
                  </w:r>
                </w:p>
              </w:tc>
              <w:tc>
                <w:tcPr>
                  <w:tcW w:w="702" w:type="pct"/>
                  <w:tcBorders>
                    <w:top w:val="single" w:color="auto" w:sz="4" w:space="0"/>
                    <w:left w:val="single" w:color="auto" w:sz="4" w:space="0"/>
                    <w:bottom w:val="single" w:color="auto" w:sz="4" w:space="0"/>
                    <w:right w:val="single" w:color="auto" w:sz="4" w:space="0"/>
                  </w:tcBorders>
                  <w:vAlign w:val="center"/>
                </w:tcPr>
                <w:p>
                  <w:pPr>
                    <w:pStyle w:val="35"/>
                    <w:snapToGrid w:val="0"/>
                    <w:spacing w:line="276" w:lineRule="auto"/>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废气治理</w:t>
                  </w:r>
                </w:p>
              </w:tc>
              <w:tc>
                <w:tcPr>
                  <w:tcW w:w="456" w:type="pct"/>
                  <w:tcBorders>
                    <w:top w:val="single" w:color="auto" w:sz="4" w:space="0"/>
                    <w:left w:val="single" w:color="auto" w:sz="4" w:space="0"/>
                    <w:bottom w:val="single" w:color="auto" w:sz="4" w:space="0"/>
                    <w:right w:val="single" w:color="auto" w:sz="4" w:space="0"/>
                  </w:tcBorders>
                  <w:vAlign w:val="center"/>
                </w:tcPr>
                <w:p>
                  <w:pPr>
                    <w:pStyle w:val="35"/>
                    <w:snapToGrid w:val="0"/>
                    <w:spacing w:line="276" w:lineRule="auto"/>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固态</w:t>
                  </w:r>
                </w:p>
              </w:tc>
              <w:tc>
                <w:tcPr>
                  <w:tcW w:w="457" w:type="pct"/>
                  <w:tcBorders>
                    <w:top w:val="single" w:color="auto" w:sz="4" w:space="0"/>
                    <w:left w:val="single" w:color="auto" w:sz="4" w:space="0"/>
                    <w:bottom w:val="single" w:color="auto" w:sz="4" w:space="0"/>
                    <w:right w:val="single" w:color="auto" w:sz="4" w:space="0"/>
                  </w:tcBorders>
                  <w:vAlign w:val="center"/>
                </w:tcPr>
                <w:p>
                  <w:pPr>
                    <w:pStyle w:val="35"/>
                    <w:snapToGrid w:val="0"/>
                    <w:spacing w:line="276" w:lineRule="auto"/>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焊丝</w:t>
                  </w:r>
                </w:p>
              </w:tc>
              <w:tc>
                <w:tcPr>
                  <w:tcW w:w="458" w:type="pct"/>
                  <w:vMerge w:val="continue"/>
                  <w:tcBorders>
                    <w:top w:val="single" w:color="auto" w:sz="4" w:space="0"/>
                    <w:left w:val="single" w:color="auto" w:sz="4" w:space="0"/>
                    <w:bottom w:val="single" w:color="auto" w:sz="4" w:space="0"/>
                    <w:right w:val="single" w:color="auto" w:sz="4" w:space="0"/>
                  </w:tcBorders>
                  <w:vAlign w:val="center"/>
                </w:tcPr>
                <w:p>
                  <w:pPr>
                    <w:pStyle w:val="35"/>
                    <w:snapToGrid w:val="0"/>
                    <w:spacing w:line="276" w:lineRule="auto"/>
                    <w:rPr>
                      <w:rFonts w:ascii="Times New Roman" w:hAnsi="Times New Roman" w:eastAsia="宋体" w:cs="Times New Roman"/>
                      <w:color w:val="auto"/>
                      <w:sz w:val="18"/>
                      <w:szCs w:val="18"/>
                      <w:highlight w:val="none"/>
                    </w:rPr>
                  </w:pPr>
                </w:p>
              </w:tc>
              <w:tc>
                <w:tcPr>
                  <w:tcW w:w="1158" w:type="pct"/>
                  <w:vMerge w:val="continue"/>
                  <w:tcBorders>
                    <w:left w:val="single" w:color="auto" w:sz="4" w:space="0"/>
                    <w:right w:val="nil"/>
                  </w:tcBorders>
                  <w:vAlign w:val="center"/>
                </w:tcPr>
                <w:p>
                  <w:pPr>
                    <w:pStyle w:val="35"/>
                    <w:snapToGrid w:val="0"/>
                    <w:spacing w:line="276" w:lineRule="auto"/>
                    <w:rPr>
                      <w:rFonts w:ascii="Times New Roman" w:hAnsi="Times New Roman" w:eastAsia="宋体" w:cs="Times New Roman"/>
                      <w:color w:val="auto"/>
                      <w:sz w:val="18"/>
                      <w:szCs w:val="18"/>
                      <w:highlight w:val="none"/>
                    </w:rPr>
                  </w:pP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19" w:type="pct"/>
                  <w:tcBorders>
                    <w:top w:val="single" w:color="auto" w:sz="4" w:space="0"/>
                    <w:left w:val="nil"/>
                    <w:bottom w:val="single" w:color="auto" w:sz="4" w:space="0"/>
                    <w:right w:val="single" w:color="auto" w:sz="4" w:space="0"/>
                  </w:tcBorders>
                  <w:vAlign w:val="center"/>
                </w:tcPr>
                <w:p>
                  <w:pPr>
                    <w:pStyle w:val="35"/>
                    <w:snapToGrid w:val="0"/>
                    <w:spacing w:line="276" w:lineRule="auto"/>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3</w:t>
                  </w:r>
                </w:p>
              </w:tc>
              <w:tc>
                <w:tcPr>
                  <w:tcW w:w="639" w:type="pct"/>
                  <w:tcBorders>
                    <w:top w:val="single" w:color="auto" w:sz="4" w:space="0"/>
                    <w:left w:val="single" w:color="auto" w:sz="4" w:space="0"/>
                    <w:bottom w:val="single" w:color="auto" w:sz="4" w:space="0"/>
                    <w:right w:val="single" w:color="auto" w:sz="4" w:space="0"/>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废包装物</w:t>
                  </w:r>
                </w:p>
              </w:tc>
              <w:tc>
                <w:tcPr>
                  <w:tcW w:w="707" w:type="pct"/>
                  <w:tcBorders>
                    <w:top w:val="single" w:color="auto" w:sz="4" w:space="0"/>
                    <w:left w:val="single" w:color="auto" w:sz="4" w:space="0"/>
                    <w:bottom w:val="single" w:color="auto" w:sz="4" w:space="0"/>
                    <w:right w:val="single" w:color="auto" w:sz="4" w:space="0"/>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0.05t/a</w:t>
                  </w:r>
                </w:p>
              </w:tc>
              <w:tc>
                <w:tcPr>
                  <w:tcW w:w="702" w:type="pct"/>
                  <w:tcBorders>
                    <w:top w:val="single" w:color="auto" w:sz="4" w:space="0"/>
                    <w:left w:val="single" w:color="auto" w:sz="4" w:space="0"/>
                    <w:bottom w:val="single" w:color="auto" w:sz="4" w:space="0"/>
                    <w:right w:val="single" w:color="auto" w:sz="4" w:space="0"/>
                  </w:tcBorders>
                  <w:vAlign w:val="center"/>
                </w:tcPr>
                <w:p>
                  <w:pPr>
                    <w:pStyle w:val="35"/>
                    <w:snapToGrid w:val="0"/>
                    <w:spacing w:line="276" w:lineRule="auto"/>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包装</w:t>
                  </w:r>
                </w:p>
              </w:tc>
              <w:tc>
                <w:tcPr>
                  <w:tcW w:w="456" w:type="pct"/>
                  <w:tcBorders>
                    <w:top w:val="single" w:color="auto" w:sz="4" w:space="0"/>
                    <w:left w:val="single" w:color="auto" w:sz="4" w:space="0"/>
                    <w:bottom w:val="single" w:color="auto" w:sz="4" w:space="0"/>
                    <w:right w:val="single" w:color="auto" w:sz="4" w:space="0"/>
                  </w:tcBorders>
                  <w:vAlign w:val="center"/>
                </w:tcPr>
                <w:p>
                  <w:pPr>
                    <w:pStyle w:val="35"/>
                    <w:snapToGrid w:val="0"/>
                    <w:spacing w:line="276" w:lineRule="auto"/>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固态</w:t>
                  </w:r>
                </w:p>
              </w:tc>
              <w:tc>
                <w:tcPr>
                  <w:tcW w:w="457" w:type="pct"/>
                  <w:tcBorders>
                    <w:top w:val="single" w:color="auto" w:sz="4" w:space="0"/>
                    <w:left w:val="single" w:color="auto" w:sz="4" w:space="0"/>
                    <w:bottom w:val="single" w:color="auto" w:sz="4" w:space="0"/>
                    <w:right w:val="single" w:color="auto" w:sz="4" w:space="0"/>
                  </w:tcBorders>
                  <w:vAlign w:val="center"/>
                </w:tcPr>
                <w:p>
                  <w:pPr>
                    <w:pStyle w:val="35"/>
                    <w:snapToGrid w:val="0"/>
                    <w:spacing w:line="276" w:lineRule="auto"/>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塑料、</w:t>
                  </w:r>
                  <w:r>
                    <w:rPr>
                      <w:rFonts w:hint="eastAsia" w:ascii="Times New Roman" w:hAnsi="Times New Roman" w:eastAsia="宋体" w:cs="Times New Roman"/>
                      <w:color w:val="auto"/>
                      <w:kern w:val="0"/>
                      <w:sz w:val="18"/>
                      <w:szCs w:val="18"/>
                      <w:highlight w:val="none"/>
                    </w:rPr>
                    <w:t>纸箱</w:t>
                  </w:r>
                </w:p>
              </w:tc>
              <w:tc>
                <w:tcPr>
                  <w:tcW w:w="458" w:type="pct"/>
                  <w:vMerge w:val="continue"/>
                  <w:tcBorders>
                    <w:top w:val="single" w:color="auto" w:sz="4" w:space="0"/>
                    <w:left w:val="single" w:color="auto" w:sz="4" w:space="0"/>
                    <w:bottom w:val="single" w:color="auto" w:sz="4" w:space="0"/>
                    <w:right w:val="single" w:color="auto" w:sz="4" w:space="0"/>
                  </w:tcBorders>
                  <w:vAlign w:val="center"/>
                </w:tcPr>
                <w:p>
                  <w:pPr>
                    <w:pStyle w:val="35"/>
                    <w:snapToGrid w:val="0"/>
                    <w:spacing w:line="276" w:lineRule="auto"/>
                    <w:rPr>
                      <w:rFonts w:ascii="Times New Roman" w:hAnsi="Times New Roman" w:eastAsia="宋体" w:cs="Times New Roman"/>
                      <w:color w:val="auto"/>
                      <w:sz w:val="18"/>
                      <w:szCs w:val="18"/>
                      <w:highlight w:val="none"/>
                    </w:rPr>
                  </w:pPr>
                </w:p>
              </w:tc>
              <w:tc>
                <w:tcPr>
                  <w:tcW w:w="1158" w:type="pct"/>
                  <w:vMerge w:val="continue"/>
                  <w:tcBorders>
                    <w:left w:val="single" w:color="auto" w:sz="4" w:space="0"/>
                    <w:bottom w:val="single" w:color="000000" w:sz="4" w:space="0"/>
                    <w:right w:val="nil"/>
                  </w:tcBorders>
                  <w:vAlign w:val="center"/>
                </w:tcPr>
                <w:p>
                  <w:pPr>
                    <w:pStyle w:val="35"/>
                    <w:snapToGrid w:val="0"/>
                    <w:spacing w:line="276" w:lineRule="auto"/>
                    <w:rPr>
                      <w:rFonts w:ascii="Times New Roman" w:hAnsi="Times New Roman" w:eastAsia="宋体" w:cs="Times New Roman"/>
                      <w:color w:val="auto"/>
                      <w:sz w:val="18"/>
                      <w:szCs w:val="18"/>
                      <w:highlight w:val="none"/>
                    </w:rPr>
                  </w:pP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19" w:type="pct"/>
                  <w:tcBorders>
                    <w:top w:val="single" w:color="auto" w:sz="4" w:space="0"/>
                    <w:left w:val="nil"/>
                    <w:bottom w:val="single" w:color="auto" w:sz="4" w:space="0"/>
                    <w:right w:val="single" w:color="auto" w:sz="4" w:space="0"/>
                  </w:tcBorders>
                  <w:vAlign w:val="center"/>
                </w:tcPr>
                <w:p>
                  <w:pPr>
                    <w:pStyle w:val="35"/>
                    <w:snapToGrid w:val="0"/>
                    <w:spacing w:line="276" w:lineRule="auto"/>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4</w:t>
                  </w:r>
                </w:p>
              </w:tc>
              <w:tc>
                <w:tcPr>
                  <w:tcW w:w="639" w:type="pct"/>
                  <w:tcBorders>
                    <w:top w:val="single" w:color="auto" w:sz="4" w:space="0"/>
                    <w:left w:val="single" w:color="auto" w:sz="4" w:space="0"/>
                    <w:bottom w:val="single" w:color="auto" w:sz="4" w:space="0"/>
                    <w:right w:val="single" w:color="auto" w:sz="4" w:space="0"/>
                  </w:tcBorders>
                  <w:vAlign w:val="center"/>
                </w:tcPr>
                <w:p>
                  <w:pPr>
                    <w:snapToGrid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废塑粉</w:t>
                  </w:r>
                </w:p>
              </w:tc>
              <w:tc>
                <w:tcPr>
                  <w:tcW w:w="707" w:type="pct"/>
                  <w:tcBorders>
                    <w:top w:val="single" w:color="auto" w:sz="4" w:space="0"/>
                    <w:left w:val="single" w:color="auto" w:sz="4" w:space="0"/>
                    <w:bottom w:val="single" w:color="auto" w:sz="4" w:space="0"/>
                    <w:right w:val="single" w:color="auto" w:sz="4" w:space="0"/>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kern w:val="0"/>
                      <w:sz w:val="18"/>
                      <w:szCs w:val="18"/>
                      <w:highlight w:val="none"/>
                    </w:rPr>
                    <w:t>30t/a</w:t>
                  </w:r>
                </w:p>
              </w:tc>
              <w:tc>
                <w:tcPr>
                  <w:tcW w:w="702" w:type="pct"/>
                  <w:tcBorders>
                    <w:top w:val="single" w:color="auto" w:sz="4" w:space="0"/>
                    <w:left w:val="single" w:color="auto" w:sz="4" w:space="0"/>
                    <w:bottom w:val="single" w:color="auto" w:sz="4" w:space="0"/>
                    <w:right w:val="single" w:color="auto" w:sz="4" w:space="0"/>
                  </w:tcBorders>
                  <w:vAlign w:val="center"/>
                </w:tcPr>
                <w:p>
                  <w:pPr>
                    <w:pStyle w:val="35"/>
                    <w:snapToGrid w:val="0"/>
                    <w:spacing w:line="276" w:lineRule="auto"/>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喷塑</w:t>
                  </w:r>
                </w:p>
              </w:tc>
              <w:tc>
                <w:tcPr>
                  <w:tcW w:w="456" w:type="pct"/>
                  <w:tcBorders>
                    <w:top w:val="single" w:color="auto" w:sz="4" w:space="0"/>
                    <w:left w:val="single" w:color="auto" w:sz="4" w:space="0"/>
                    <w:bottom w:val="single" w:color="auto" w:sz="4" w:space="0"/>
                    <w:right w:val="single" w:color="auto" w:sz="4" w:space="0"/>
                  </w:tcBorders>
                  <w:vAlign w:val="center"/>
                </w:tcPr>
                <w:p>
                  <w:pPr>
                    <w:pStyle w:val="35"/>
                    <w:snapToGrid w:val="0"/>
                    <w:spacing w:line="276" w:lineRule="auto"/>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固态</w:t>
                  </w:r>
                </w:p>
              </w:tc>
              <w:tc>
                <w:tcPr>
                  <w:tcW w:w="457" w:type="pct"/>
                  <w:tcBorders>
                    <w:top w:val="single" w:color="auto" w:sz="4" w:space="0"/>
                    <w:left w:val="single" w:color="auto" w:sz="4" w:space="0"/>
                    <w:bottom w:val="single" w:color="auto" w:sz="4" w:space="0"/>
                    <w:right w:val="single" w:color="auto" w:sz="4" w:space="0"/>
                  </w:tcBorders>
                  <w:vAlign w:val="center"/>
                </w:tcPr>
                <w:p>
                  <w:pPr>
                    <w:pStyle w:val="35"/>
                    <w:snapToGrid w:val="0"/>
                    <w:spacing w:line="276" w:lineRule="auto"/>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塑粉</w:t>
                  </w:r>
                </w:p>
              </w:tc>
              <w:tc>
                <w:tcPr>
                  <w:tcW w:w="458" w:type="pct"/>
                  <w:vMerge w:val="continue"/>
                  <w:tcBorders>
                    <w:top w:val="single" w:color="auto" w:sz="4" w:space="0"/>
                    <w:left w:val="single" w:color="auto" w:sz="4" w:space="0"/>
                    <w:bottom w:val="single" w:color="auto" w:sz="4" w:space="0"/>
                    <w:right w:val="single" w:color="auto" w:sz="4" w:space="0"/>
                  </w:tcBorders>
                  <w:vAlign w:val="center"/>
                </w:tcPr>
                <w:p>
                  <w:pPr>
                    <w:pStyle w:val="35"/>
                    <w:snapToGrid w:val="0"/>
                    <w:spacing w:line="276" w:lineRule="auto"/>
                    <w:rPr>
                      <w:rFonts w:ascii="Times New Roman" w:hAnsi="Times New Roman" w:eastAsia="宋体" w:cs="Times New Roman"/>
                      <w:color w:val="auto"/>
                      <w:sz w:val="18"/>
                      <w:szCs w:val="18"/>
                      <w:highlight w:val="none"/>
                    </w:rPr>
                  </w:pPr>
                </w:p>
              </w:tc>
              <w:tc>
                <w:tcPr>
                  <w:tcW w:w="1158" w:type="pct"/>
                  <w:tcBorders>
                    <w:top w:val="single" w:color="000000" w:sz="4" w:space="0"/>
                    <w:left w:val="single" w:color="auto" w:sz="4" w:space="0"/>
                    <w:right w:val="nil"/>
                  </w:tcBorders>
                  <w:vAlign w:val="center"/>
                </w:tcPr>
                <w:p>
                  <w:pPr>
                    <w:pStyle w:val="35"/>
                    <w:snapToGrid w:val="0"/>
                    <w:spacing w:line="276" w:lineRule="auto"/>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回用于生产</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19" w:type="pct"/>
                  <w:tcBorders>
                    <w:top w:val="single" w:color="auto" w:sz="4" w:space="0"/>
                    <w:left w:val="nil"/>
                    <w:bottom w:val="single" w:color="auto" w:sz="4" w:space="0"/>
                    <w:right w:val="single" w:color="auto" w:sz="4" w:space="0"/>
                  </w:tcBorders>
                  <w:vAlign w:val="center"/>
                </w:tcPr>
                <w:p>
                  <w:pPr>
                    <w:pStyle w:val="35"/>
                    <w:snapToGrid w:val="0"/>
                    <w:spacing w:line="276" w:lineRule="auto"/>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5</w:t>
                  </w:r>
                </w:p>
              </w:tc>
              <w:tc>
                <w:tcPr>
                  <w:tcW w:w="639" w:type="pct"/>
                  <w:tcBorders>
                    <w:top w:val="single" w:color="auto" w:sz="4" w:space="0"/>
                    <w:left w:val="single" w:color="auto" w:sz="4" w:space="0"/>
                    <w:bottom w:val="single" w:color="auto" w:sz="4" w:space="0"/>
                    <w:right w:val="single" w:color="auto" w:sz="4" w:space="0"/>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废机油</w:t>
                  </w:r>
                </w:p>
              </w:tc>
              <w:tc>
                <w:tcPr>
                  <w:tcW w:w="707" w:type="pct"/>
                  <w:tcBorders>
                    <w:top w:val="single" w:color="auto" w:sz="4" w:space="0"/>
                    <w:left w:val="single" w:color="auto" w:sz="4" w:space="0"/>
                    <w:bottom w:val="single" w:color="auto" w:sz="4" w:space="0"/>
                    <w:right w:val="single" w:color="auto" w:sz="4" w:space="0"/>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0.5</w:t>
                  </w:r>
                  <w:r>
                    <w:rPr>
                      <w:rFonts w:ascii="Times New Roman" w:hAnsi="Times New Roman" w:eastAsia="宋体" w:cs="Times New Roman"/>
                      <w:color w:val="auto"/>
                      <w:kern w:val="0"/>
                      <w:sz w:val="18"/>
                      <w:szCs w:val="18"/>
                      <w:highlight w:val="none"/>
                    </w:rPr>
                    <w:t>t/a</w:t>
                  </w:r>
                </w:p>
              </w:tc>
              <w:tc>
                <w:tcPr>
                  <w:tcW w:w="702" w:type="pct"/>
                  <w:tcBorders>
                    <w:top w:val="single" w:color="auto" w:sz="4" w:space="0"/>
                    <w:left w:val="single" w:color="auto" w:sz="4" w:space="0"/>
                    <w:bottom w:val="single" w:color="auto" w:sz="4" w:space="0"/>
                    <w:right w:val="single" w:color="auto" w:sz="4" w:space="0"/>
                  </w:tcBorders>
                  <w:vAlign w:val="center"/>
                </w:tcPr>
                <w:p>
                  <w:pPr>
                    <w:pStyle w:val="35"/>
                    <w:snapToGrid w:val="0"/>
                    <w:spacing w:line="276" w:lineRule="auto"/>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设备维修</w:t>
                  </w:r>
                </w:p>
              </w:tc>
              <w:tc>
                <w:tcPr>
                  <w:tcW w:w="456" w:type="pct"/>
                  <w:tcBorders>
                    <w:top w:val="single" w:color="auto" w:sz="4" w:space="0"/>
                    <w:left w:val="single" w:color="auto" w:sz="4" w:space="0"/>
                    <w:bottom w:val="single" w:color="auto" w:sz="4" w:space="0"/>
                    <w:right w:val="single" w:color="auto" w:sz="4" w:space="0"/>
                  </w:tcBorders>
                  <w:vAlign w:val="center"/>
                </w:tcPr>
                <w:p>
                  <w:pPr>
                    <w:pStyle w:val="35"/>
                    <w:snapToGrid w:val="0"/>
                    <w:spacing w:line="276" w:lineRule="auto"/>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液态</w:t>
                  </w:r>
                </w:p>
              </w:tc>
              <w:tc>
                <w:tcPr>
                  <w:tcW w:w="457" w:type="pct"/>
                  <w:tcBorders>
                    <w:top w:val="single" w:color="auto" w:sz="4" w:space="0"/>
                    <w:left w:val="single" w:color="auto" w:sz="4" w:space="0"/>
                    <w:bottom w:val="single" w:color="auto" w:sz="4" w:space="0"/>
                    <w:right w:val="single" w:color="auto" w:sz="4" w:space="0"/>
                  </w:tcBorders>
                  <w:vAlign w:val="center"/>
                </w:tcPr>
                <w:p>
                  <w:pPr>
                    <w:pStyle w:val="35"/>
                    <w:snapToGrid w:val="0"/>
                    <w:spacing w:line="276" w:lineRule="auto"/>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矿物油</w:t>
                  </w:r>
                </w:p>
              </w:tc>
              <w:tc>
                <w:tcPr>
                  <w:tcW w:w="458" w:type="pct"/>
                  <w:vMerge w:val="restart"/>
                  <w:tcBorders>
                    <w:top w:val="single" w:color="auto" w:sz="4" w:space="0"/>
                    <w:left w:val="single" w:color="auto" w:sz="4" w:space="0"/>
                    <w:right w:val="single" w:color="auto" w:sz="4" w:space="0"/>
                  </w:tcBorders>
                  <w:vAlign w:val="center"/>
                </w:tcPr>
                <w:p>
                  <w:pPr>
                    <w:pStyle w:val="35"/>
                    <w:snapToGrid w:val="0"/>
                    <w:spacing w:line="276" w:lineRule="auto"/>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危险固废</w:t>
                  </w:r>
                </w:p>
              </w:tc>
              <w:tc>
                <w:tcPr>
                  <w:tcW w:w="1158" w:type="pct"/>
                  <w:vMerge w:val="restart"/>
                  <w:tcBorders>
                    <w:top w:val="single" w:color="auto" w:sz="4" w:space="0"/>
                    <w:left w:val="single" w:color="auto" w:sz="4" w:space="0"/>
                    <w:right w:val="nil"/>
                  </w:tcBorders>
                  <w:vAlign w:val="center"/>
                </w:tcPr>
                <w:p>
                  <w:pPr>
                    <w:pStyle w:val="35"/>
                    <w:snapToGrid w:val="0"/>
                    <w:spacing w:line="276" w:lineRule="auto"/>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暂存于危废暂存库，定期委托有资质的单位处置</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19" w:type="pct"/>
                  <w:tcBorders>
                    <w:top w:val="single" w:color="auto" w:sz="4" w:space="0"/>
                    <w:left w:val="nil"/>
                    <w:bottom w:val="single" w:color="auto" w:sz="4" w:space="0"/>
                    <w:right w:val="single" w:color="auto" w:sz="4" w:space="0"/>
                  </w:tcBorders>
                  <w:vAlign w:val="center"/>
                </w:tcPr>
                <w:p>
                  <w:pPr>
                    <w:pStyle w:val="35"/>
                    <w:snapToGrid w:val="0"/>
                    <w:spacing w:line="276" w:lineRule="auto"/>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6</w:t>
                  </w:r>
                </w:p>
              </w:tc>
              <w:tc>
                <w:tcPr>
                  <w:tcW w:w="639" w:type="pct"/>
                  <w:tcBorders>
                    <w:top w:val="single" w:color="auto" w:sz="4" w:space="0"/>
                    <w:left w:val="single" w:color="auto" w:sz="4" w:space="0"/>
                    <w:bottom w:val="single" w:color="auto" w:sz="4" w:space="0"/>
                    <w:right w:val="single" w:color="auto" w:sz="4" w:space="0"/>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机油桶</w:t>
                  </w:r>
                </w:p>
              </w:tc>
              <w:tc>
                <w:tcPr>
                  <w:tcW w:w="707" w:type="pct"/>
                  <w:tcBorders>
                    <w:top w:val="single" w:color="auto" w:sz="4" w:space="0"/>
                    <w:left w:val="single" w:color="auto" w:sz="4" w:space="0"/>
                    <w:bottom w:val="single" w:color="auto" w:sz="4" w:space="0"/>
                    <w:right w:val="single" w:color="auto" w:sz="4" w:space="0"/>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0.03t/a</w:t>
                  </w:r>
                </w:p>
              </w:tc>
              <w:tc>
                <w:tcPr>
                  <w:tcW w:w="702" w:type="pct"/>
                  <w:tcBorders>
                    <w:top w:val="single" w:color="auto" w:sz="4" w:space="0"/>
                    <w:left w:val="single" w:color="auto" w:sz="4" w:space="0"/>
                    <w:bottom w:val="single" w:color="auto" w:sz="4" w:space="0"/>
                    <w:right w:val="single" w:color="auto" w:sz="4" w:space="0"/>
                  </w:tcBorders>
                  <w:vAlign w:val="center"/>
                </w:tcPr>
                <w:p>
                  <w:pPr>
                    <w:pStyle w:val="35"/>
                    <w:snapToGrid w:val="0"/>
                    <w:spacing w:line="276" w:lineRule="auto"/>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包装</w:t>
                  </w:r>
                </w:p>
              </w:tc>
              <w:tc>
                <w:tcPr>
                  <w:tcW w:w="456" w:type="pct"/>
                  <w:tcBorders>
                    <w:top w:val="single" w:color="auto" w:sz="4" w:space="0"/>
                    <w:left w:val="single" w:color="auto" w:sz="4" w:space="0"/>
                    <w:bottom w:val="single" w:color="auto" w:sz="4" w:space="0"/>
                    <w:right w:val="single" w:color="auto" w:sz="4" w:space="0"/>
                  </w:tcBorders>
                  <w:vAlign w:val="center"/>
                </w:tcPr>
                <w:p>
                  <w:pPr>
                    <w:pStyle w:val="35"/>
                    <w:snapToGrid w:val="0"/>
                    <w:spacing w:line="276" w:lineRule="auto"/>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固态</w:t>
                  </w:r>
                </w:p>
              </w:tc>
              <w:tc>
                <w:tcPr>
                  <w:tcW w:w="457" w:type="pct"/>
                  <w:tcBorders>
                    <w:top w:val="single" w:color="auto" w:sz="4" w:space="0"/>
                    <w:left w:val="single" w:color="auto" w:sz="4" w:space="0"/>
                    <w:bottom w:val="single" w:color="auto" w:sz="4" w:space="0"/>
                    <w:right w:val="single" w:color="auto" w:sz="4" w:space="0"/>
                  </w:tcBorders>
                  <w:vAlign w:val="center"/>
                </w:tcPr>
                <w:p>
                  <w:pPr>
                    <w:pStyle w:val="35"/>
                    <w:snapToGrid w:val="0"/>
                    <w:spacing w:line="276" w:lineRule="auto"/>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包装桶</w:t>
                  </w:r>
                </w:p>
              </w:tc>
              <w:tc>
                <w:tcPr>
                  <w:tcW w:w="458" w:type="pct"/>
                  <w:vMerge w:val="continue"/>
                  <w:tcBorders>
                    <w:left w:val="single" w:color="auto" w:sz="4" w:space="0"/>
                    <w:right w:val="single" w:color="auto" w:sz="4" w:space="0"/>
                  </w:tcBorders>
                  <w:vAlign w:val="center"/>
                </w:tcPr>
                <w:p>
                  <w:pPr>
                    <w:pStyle w:val="35"/>
                    <w:snapToGrid w:val="0"/>
                    <w:spacing w:line="276" w:lineRule="auto"/>
                    <w:rPr>
                      <w:rFonts w:ascii="Times New Roman" w:hAnsi="Times New Roman" w:eastAsia="宋体" w:cs="Times New Roman"/>
                      <w:color w:val="auto"/>
                      <w:sz w:val="18"/>
                      <w:szCs w:val="18"/>
                      <w:highlight w:val="none"/>
                    </w:rPr>
                  </w:pPr>
                </w:p>
              </w:tc>
              <w:tc>
                <w:tcPr>
                  <w:tcW w:w="1158" w:type="pct"/>
                  <w:vMerge w:val="continue"/>
                  <w:tcBorders>
                    <w:left w:val="single" w:color="auto" w:sz="4" w:space="0"/>
                    <w:right w:val="nil"/>
                  </w:tcBorders>
                  <w:vAlign w:val="center"/>
                </w:tcPr>
                <w:p>
                  <w:pPr>
                    <w:pStyle w:val="35"/>
                    <w:snapToGrid w:val="0"/>
                    <w:spacing w:line="276" w:lineRule="auto"/>
                    <w:rPr>
                      <w:rFonts w:ascii="Times New Roman" w:hAnsi="Times New Roman" w:eastAsia="宋体" w:cs="Times New Roman"/>
                      <w:color w:val="auto"/>
                      <w:sz w:val="18"/>
                      <w:szCs w:val="18"/>
                      <w:highlight w:val="none"/>
                    </w:rPr>
                  </w:pP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19" w:type="pct"/>
                  <w:tcBorders>
                    <w:top w:val="single" w:color="auto" w:sz="4" w:space="0"/>
                    <w:left w:val="nil"/>
                    <w:bottom w:val="single" w:color="auto" w:sz="4" w:space="0"/>
                    <w:right w:val="single" w:color="auto" w:sz="4" w:space="0"/>
                  </w:tcBorders>
                  <w:vAlign w:val="center"/>
                </w:tcPr>
                <w:p>
                  <w:pPr>
                    <w:pStyle w:val="35"/>
                    <w:snapToGrid w:val="0"/>
                    <w:spacing w:line="276" w:lineRule="auto"/>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7</w:t>
                  </w:r>
                </w:p>
              </w:tc>
              <w:tc>
                <w:tcPr>
                  <w:tcW w:w="639" w:type="pct"/>
                  <w:tcBorders>
                    <w:top w:val="single" w:color="auto" w:sz="4" w:space="0"/>
                    <w:left w:val="single" w:color="auto" w:sz="4" w:space="0"/>
                    <w:bottom w:val="single" w:color="auto" w:sz="4" w:space="0"/>
                    <w:right w:val="single" w:color="auto" w:sz="4" w:space="0"/>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废活性炭</w:t>
                  </w:r>
                </w:p>
              </w:tc>
              <w:tc>
                <w:tcPr>
                  <w:tcW w:w="707" w:type="pct"/>
                  <w:tcBorders>
                    <w:top w:val="single" w:color="auto" w:sz="4" w:space="0"/>
                    <w:left w:val="single" w:color="auto" w:sz="4" w:space="0"/>
                    <w:bottom w:val="single" w:color="auto" w:sz="4" w:space="0"/>
                    <w:right w:val="single" w:color="auto" w:sz="4" w:space="0"/>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0.577t/a</w:t>
                  </w:r>
                </w:p>
              </w:tc>
              <w:tc>
                <w:tcPr>
                  <w:tcW w:w="702" w:type="pct"/>
                  <w:tcBorders>
                    <w:top w:val="single" w:color="auto" w:sz="4" w:space="0"/>
                    <w:left w:val="single" w:color="auto" w:sz="4" w:space="0"/>
                    <w:bottom w:val="single" w:color="auto" w:sz="4" w:space="0"/>
                    <w:right w:val="single" w:color="auto" w:sz="4" w:space="0"/>
                  </w:tcBorders>
                  <w:vAlign w:val="center"/>
                </w:tcPr>
                <w:p>
                  <w:pPr>
                    <w:pStyle w:val="35"/>
                    <w:snapToGrid w:val="0"/>
                    <w:spacing w:line="276" w:lineRule="auto"/>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废气处理</w:t>
                  </w:r>
                </w:p>
              </w:tc>
              <w:tc>
                <w:tcPr>
                  <w:tcW w:w="456" w:type="pct"/>
                  <w:tcBorders>
                    <w:top w:val="single" w:color="auto" w:sz="4" w:space="0"/>
                    <w:left w:val="single" w:color="auto" w:sz="4" w:space="0"/>
                    <w:bottom w:val="single" w:color="auto" w:sz="4" w:space="0"/>
                    <w:right w:val="single" w:color="auto" w:sz="4" w:space="0"/>
                  </w:tcBorders>
                  <w:vAlign w:val="center"/>
                </w:tcPr>
                <w:p>
                  <w:pPr>
                    <w:pStyle w:val="35"/>
                    <w:snapToGrid w:val="0"/>
                    <w:spacing w:line="276" w:lineRule="auto"/>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固态</w:t>
                  </w:r>
                </w:p>
              </w:tc>
              <w:tc>
                <w:tcPr>
                  <w:tcW w:w="457" w:type="pct"/>
                  <w:tcBorders>
                    <w:top w:val="single" w:color="auto" w:sz="4" w:space="0"/>
                    <w:left w:val="single" w:color="auto" w:sz="4" w:space="0"/>
                    <w:bottom w:val="single" w:color="auto" w:sz="4" w:space="0"/>
                    <w:right w:val="single" w:color="auto" w:sz="4" w:space="0"/>
                  </w:tcBorders>
                  <w:vAlign w:val="center"/>
                </w:tcPr>
                <w:p>
                  <w:pPr>
                    <w:pStyle w:val="35"/>
                    <w:snapToGrid w:val="0"/>
                    <w:spacing w:line="276" w:lineRule="auto"/>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有机物</w:t>
                  </w:r>
                </w:p>
              </w:tc>
              <w:tc>
                <w:tcPr>
                  <w:tcW w:w="458" w:type="pct"/>
                  <w:vMerge w:val="continue"/>
                  <w:tcBorders>
                    <w:left w:val="single" w:color="auto" w:sz="4" w:space="0"/>
                    <w:bottom w:val="single" w:color="auto" w:sz="4" w:space="0"/>
                    <w:right w:val="single" w:color="auto" w:sz="4" w:space="0"/>
                  </w:tcBorders>
                  <w:vAlign w:val="center"/>
                </w:tcPr>
                <w:p>
                  <w:pPr>
                    <w:pStyle w:val="35"/>
                    <w:snapToGrid w:val="0"/>
                    <w:spacing w:line="276" w:lineRule="auto"/>
                    <w:rPr>
                      <w:rFonts w:ascii="Times New Roman" w:hAnsi="Times New Roman" w:eastAsia="宋体" w:cs="Times New Roman"/>
                      <w:color w:val="auto"/>
                      <w:sz w:val="18"/>
                      <w:szCs w:val="18"/>
                      <w:highlight w:val="none"/>
                    </w:rPr>
                  </w:pPr>
                </w:p>
              </w:tc>
              <w:tc>
                <w:tcPr>
                  <w:tcW w:w="1158" w:type="pct"/>
                  <w:vMerge w:val="continue"/>
                  <w:tcBorders>
                    <w:left w:val="single" w:color="auto" w:sz="4" w:space="0"/>
                    <w:bottom w:val="single" w:color="auto" w:sz="4" w:space="0"/>
                    <w:right w:val="nil"/>
                  </w:tcBorders>
                  <w:vAlign w:val="center"/>
                </w:tcPr>
                <w:p>
                  <w:pPr>
                    <w:pStyle w:val="35"/>
                    <w:snapToGrid w:val="0"/>
                    <w:spacing w:line="276" w:lineRule="auto"/>
                    <w:rPr>
                      <w:rFonts w:ascii="Times New Roman" w:hAnsi="Times New Roman" w:eastAsia="宋体" w:cs="Times New Roman"/>
                      <w:color w:val="auto"/>
                      <w:sz w:val="18"/>
                      <w:szCs w:val="18"/>
                      <w:highlight w:val="none"/>
                    </w:rPr>
                  </w:pP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19" w:type="pct"/>
                  <w:tcBorders>
                    <w:top w:val="single" w:color="auto" w:sz="4" w:space="0"/>
                    <w:left w:val="nil"/>
                    <w:bottom w:val="single" w:color="auto" w:sz="8" w:space="0"/>
                    <w:right w:val="single" w:color="auto" w:sz="4" w:space="0"/>
                  </w:tcBorders>
                  <w:vAlign w:val="center"/>
                </w:tcPr>
                <w:p>
                  <w:pPr>
                    <w:pStyle w:val="35"/>
                    <w:snapToGrid w:val="0"/>
                    <w:spacing w:line="276" w:lineRule="auto"/>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8</w:t>
                  </w:r>
                </w:p>
              </w:tc>
              <w:tc>
                <w:tcPr>
                  <w:tcW w:w="639" w:type="pct"/>
                  <w:tcBorders>
                    <w:top w:val="single" w:color="auto" w:sz="4" w:space="0"/>
                    <w:left w:val="single" w:color="auto" w:sz="4" w:space="0"/>
                    <w:bottom w:val="single" w:color="auto" w:sz="8" w:space="0"/>
                    <w:right w:val="single" w:color="auto" w:sz="4" w:space="0"/>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生活垃圾</w:t>
                  </w:r>
                </w:p>
              </w:tc>
              <w:tc>
                <w:tcPr>
                  <w:tcW w:w="707" w:type="pct"/>
                  <w:tcBorders>
                    <w:top w:val="single" w:color="auto" w:sz="4" w:space="0"/>
                    <w:left w:val="single" w:color="auto" w:sz="4" w:space="0"/>
                    <w:bottom w:val="single" w:color="auto" w:sz="8" w:space="0"/>
                    <w:right w:val="single" w:color="auto" w:sz="4" w:space="0"/>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6.75</w:t>
                  </w:r>
                  <w:r>
                    <w:rPr>
                      <w:rFonts w:ascii="Times New Roman" w:hAnsi="Times New Roman" w:eastAsia="宋体" w:cs="Times New Roman"/>
                      <w:color w:val="auto"/>
                      <w:kern w:val="0"/>
                      <w:sz w:val="18"/>
                      <w:szCs w:val="18"/>
                      <w:highlight w:val="none"/>
                    </w:rPr>
                    <w:t>t/a</w:t>
                  </w:r>
                </w:p>
              </w:tc>
              <w:tc>
                <w:tcPr>
                  <w:tcW w:w="702" w:type="pct"/>
                  <w:tcBorders>
                    <w:top w:val="single" w:color="auto" w:sz="4" w:space="0"/>
                    <w:left w:val="single" w:color="auto" w:sz="4" w:space="0"/>
                    <w:bottom w:val="single" w:color="auto" w:sz="8" w:space="0"/>
                    <w:right w:val="single" w:color="auto" w:sz="4" w:space="0"/>
                  </w:tcBorders>
                  <w:vAlign w:val="center"/>
                </w:tcPr>
                <w:p>
                  <w:pPr>
                    <w:pStyle w:val="35"/>
                    <w:snapToGrid w:val="0"/>
                    <w:spacing w:line="276" w:lineRule="auto"/>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员工生活</w:t>
                  </w:r>
                </w:p>
              </w:tc>
              <w:tc>
                <w:tcPr>
                  <w:tcW w:w="456" w:type="pct"/>
                  <w:tcBorders>
                    <w:top w:val="single" w:color="auto" w:sz="4" w:space="0"/>
                    <w:left w:val="single" w:color="auto" w:sz="4" w:space="0"/>
                    <w:bottom w:val="single" w:color="auto" w:sz="8" w:space="0"/>
                    <w:right w:val="single" w:color="auto" w:sz="4" w:space="0"/>
                  </w:tcBorders>
                  <w:vAlign w:val="center"/>
                </w:tcPr>
                <w:p>
                  <w:pPr>
                    <w:pStyle w:val="35"/>
                    <w:snapToGrid w:val="0"/>
                    <w:spacing w:line="276" w:lineRule="auto"/>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sz w:val="18"/>
                      <w:szCs w:val="18"/>
                      <w:highlight w:val="none"/>
                    </w:rPr>
                    <w:t>固态</w:t>
                  </w:r>
                </w:p>
              </w:tc>
              <w:tc>
                <w:tcPr>
                  <w:tcW w:w="457" w:type="pct"/>
                  <w:tcBorders>
                    <w:top w:val="single" w:color="auto" w:sz="4" w:space="0"/>
                    <w:left w:val="single" w:color="auto" w:sz="4" w:space="0"/>
                    <w:bottom w:val="single" w:color="auto" w:sz="8" w:space="0"/>
                    <w:right w:val="single" w:color="auto" w:sz="4" w:space="0"/>
                  </w:tcBorders>
                  <w:vAlign w:val="center"/>
                </w:tcPr>
                <w:p>
                  <w:pPr>
                    <w:pStyle w:val="35"/>
                    <w:snapToGrid w:val="0"/>
                    <w:spacing w:line="276" w:lineRule="auto"/>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w:t>
                  </w:r>
                </w:p>
              </w:tc>
              <w:tc>
                <w:tcPr>
                  <w:tcW w:w="458" w:type="pct"/>
                  <w:tcBorders>
                    <w:top w:val="single" w:color="auto" w:sz="4" w:space="0"/>
                    <w:left w:val="single" w:color="auto" w:sz="4" w:space="0"/>
                    <w:bottom w:val="single" w:color="auto" w:sz="8" w:space="0"/>
                    <w:right w:val="single" w:color="auto" w:sz="4" w:space="0"/>
                  </w:tcBorders>
                  <w:vAlign w:val="center"/>
                </w:tcPr>
                <w:p>
                  <w:pPr>
                    <w:pStyle w:val="35"/>
                    <w:snapToGrid w:val="0"/>
                    <w:spacing w:line="276" w:lineRule="auto"/>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w:t>
                  </w:r>
                </w:p>
              </w:tc>
              <w:tc>
                <w:tcPr>
                  <w:tcW w:w="1158" w:type="pct"/>
                  <w:tcBorders>
                    <w:top w:val="single" w:color="auto" w:sz="4" w:space="0"/>
                    <w:left w:val="single" w:color="auto" w:sz="4" w:space="0"/>
                    <w:bottom w:val="single" w:color="auto" w:sz="8" w:space="0"/>
                    <w:right w:val="nil"/>
                  </w:tcBorders>
                  <w:vAlign w:val="center"/>
                </w:tcPr>
                <w:p>
                  <w:pPr>
                    <w:pStyle w:val="35"/>
                    <w:snapToGrid w:val="0"/>
                    <w:spacing w:line="276" w:lineRule="auto"/>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环卫部门清运</w:t>
                  </w:r>
                </w:p>
              </w:tc>
            </w:tr>
          </w:tbl>
          <w:p>
            <w:pPr>
              <w:adjustRightInd w:val="0"/>
              <w:spacing w:line="324" w:lineRule="auto"/>
              <w:jc w:val="center"/>
              <w:rPr>
                <w:rFonts w:ascii="Times New Roman" w:hAnsi="Times New Roman" w:eastAsia="黑体" w:cs="Times New Roman"/>
                <w:color w:val="auto"/>
                <w:sz w:val="24"/>
                <w:highlight w:val="none"/>
              </w:rPr>
            </w:pPr>
            <w:r>
              <w:rPr>
                <w:rFonts w:ascii="Times New Roman" w:hAnsi="Times New Roman" w:eastAsia="黑体" w:cs="Times New Roman"/>
                <w:color w:val="auto"/>
                <w:sz w:val="24"/>
                <w:highlight w:val="none"/>
              </w:rPr>
              <w:t>表4-12  项目危险废物汇总表</w:t>
            </w:r>
          </w:p>
          <w:tbl>
            <w:tblPr>
              <w:tblStyle w:val="17"/>
              <w:tblW w:w="4996" w:type="pct"/>
              <w:jc w:val="center"/>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Layout w:type="autofit"/>
              <w:tblCellMar>
                <w:top w:w="0" w:type="dxa"/>
                <w:left w:w="108" w:type="dxa"/>
                <w:bottom w:w="0" w:type="dxa"/>
                <w:right w:w="108" w:type="dxa"/>
              </w:tblCellMar>
            </w:tblPr>
            <w:tblGrid>
              <w:gridCol w:w="492"/>
              <w:gridCol w:w="862"/>
              <w:gridCol w:w="882"/>
              <w:gridCol w:w="1119"/>
              <w:gridCol w:w="835"/>
              <w:gridCol w:w="1216"/>
              <w:gridCol w:w="602"/>
              <w:gridCol w:w="968"/>
              <w:gridCol w:w="924"/>
            </w:tblGrid>
            <w:tr>
              <w:tblPrEx>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397" w:hRule="atLeast"/>
                <w:jc w:val="center"/>
              </w:trPr>
              <w:tc>
                <w:tcPr>
                  <w:tcW w:w="311" w:type="pct"/>
                  <w:tcBorders>
                    <w:top w:val="single" w:color="auto" w:sz="8" w:space="0"/>
                    <w:bottom w:val="single" w:color="auto" w:sz="4" w:space="0"/>
                    <w:right w:val="single" w:color="auto" w:sz="4" w:space="0"/>
                  </w:tcBorders>
                  <w:vAlign w:val="center"/>
                </w:tcPr>
                <w:p>
                  <w:pPr>
                    <w:pStyle w:val="42"/>
                    <w:spacing w:before="0" w:line="276" w:lineRule="auto"/>
                    <w:rPr>
                      <w:rFonts w:cs="Times New Roman"/>
                      <w:b/>
                      <w:bCs/>
                      <w:color w:val="auto"/>
                      <w:szCs w:val="18"/>
                      <w:highlight w:val="none"/>
                    </w:rPr>
                  </w:pPr>
                  <w:r>
                    <w:rPr>
                      <w:rFonts w:cs="Times New Roman"/>
                      <w:b/>
                      <w:bCs/>
                      <w:color w:val="auto"/>
                      <w:szCs w:val="18"/>
                      <w:highlight w:val="none"/>
                    </w:rPr>
                    <w:t>序号</w:t>
                  </w:r>
                </w:p>
              </w:tc>
              <w:tc>
                <w:tcPr>
                  <w:tcW w:w="545" w:type="pct"/>
                  <w:tcBorders>
                    <w:top w:val="single" w:color="auto" w:sz="8" w:space="0"/>
                    <w:left w:val="single" w:color="auto" w:sz="4" w:space="0"/>
                    <w:bottom w:val="single" w:color="auto" w:sz="4" w:space="0"/>
                    <w:right w:val="single" w:color="auto" w:sz="4" w:space="0"/>
                  </w:tcBorders>
                  <w:vAlign w:val="center"/>
                </w:tcPr>
                <w:p>
                  <w:pPr>
                    <w:pStyle w:val="42"/>
                    <w:spacing w:before="0" w:line="276" w:lineRule="auto"/>
                    <w:rPr>
                      <w:rFonts w:cs="Times New Roman"/>
                      <w:b/>
                      <w:bCs/>
                      <w:color w:val="auto"/>
                      <w:szCs w:val="18"/>
                      <w:highlight w:val="none"/>
                    </w:rPr>
                  </w:pPr>
                  <w:r>
                    <w:rPr>
                      <w:rFonts w:cs="Times New Roman"/>
                      <w:b/>
                      <w:bCs/>
                      <w:color w:val="auto"/>
                      <w:szCs w:val="18"/>
                      <w:highlight w:val="none"/>
                    </w:rPr>
                    <w:t>危险废物名称</w:t>
                  </w:r>
                </w:p>
              </w:tc>
              <w:tc>
                <w:tcPr>
                  <w:tcW w:w="558" w:type="pct"/>
                  <w:tcBorders>
                    <w:top w:val="single" w:color="auto" w:sz="8" w:space="0"/>
                    <w:left w:val="single" w:color="auto" w:sz="4" w:space="0"/>
                    <w:bottom w:val="single" w:color="auto" w:sz="4" w:space="0"/>
                    <w:right w:val="single" w:color="auto" w:sz="4" w:space="0"/>
                  </w:tcBorders>
                  <w:vAlign w:val="center"/>
                </w:tcPr>
                <w:p>
                  <w:pPr>
                    <w:pStyle w:val="42"/>
                    <w:spacing w:before="0" w:line="276" w:lineRule="auto"/>
                    <w:rPr>
                      <w:rFonts w:cs="Times New Roman"/>
                      <w:b/>
                      <w:bCs/>
                      <w:color w:val="auto"/>
                      <w:szCs w:val="18"/>
                      <w:highlight w:val="none"/>
                    </w:rPr>
                  </w:pPr>
                  <w:r>
                    <w:rPr>
                      <w:rFonts w:cs="Times New Roman"/>
                      <w:b/>
                      <w:bCs/>
                      <w:color w:val="auto"/>
                      <w:szCs w:val="18"/>
                      <w:highlight w:val="none"/>
                    </w:rPr>
                    <w:t>废物</w:t>
                  </w:r>
                </w:p>
                <w:p>
                  <w:pPr>
                    <w:pStyle w:val="42"/>
                    <w:spacing w:before="0" w:line="276" w:lineRule="auto"/>
                    <w:rPr>
                      <w:rFonts w:cs="Times New Roman"/>
                      <w:b/>
                      <w:bCs/>
                      <w:color w:val="auto"/>
                      <w:szCs w:val="18"/>
                      <w:highlight w:val="none"/>
                    </w:rPr>
                  </w:pPr>
                  <w:r>
                    <w:rPr>
                      <w:rFonts w:cs="Times New Roman"/>
                      <w:b/>
                      <w:bCs/>
                      <w:color w:val="auto"/>
                      <w:szCs w:val="18"/>
                      <w:highlight w:val="none"/>
                    </w:rPr>
                    <w:t>类别</w:t>
                  </w:r>
                </w:p>
              </w:tc>
              <w:tc>
                <w:tcPr>
                  <w:tcW w:w="708" w:type="pct"/>
                  <w:tcBorders>
                    <w:top w:val="single" w:color="auto" w:sz="8" w:space="0"/>
                    <w:left w:val="single" w:color="auto" w:sz="4" w:space="0"/>
                    <w:bottom w:val="single" w:color="auto" w:sz="4" w:space="0"/>
                    <w:right w:val="single" w:color="auto" w:sz="4" w:space="0"/>
                  </w:tcBorders>
                  <w:vAlign w:val="center"/>
                </w:tcPr>
                <w:p>
                  <w:pPr>
                    <w:pStyle w:val="42"/>
                    <w:spacing w:before="0" w:line="276" w:lineRule="auto"/>
                    <w:rPr>
                      <w:rFonts w:cs="Times New Roman"/>
                      <w:b/>
                      <w:bCs/>
                      <w:color w:val="auto"/>
                      <w:szCs w:val="18"/>
                      <w:highlight w:val="none"/>
                    </w:rPr>
                  </w:pPr>
                  <w:r>
                    <w:rPr>
                      <w:rFonts w:cs="Times New Roman"/>
                      <w:b/>
                      <w:bCs/>
                      <w:color w:val="auto"/>
                      <w:szCs w:val="18"/>
                      <w:highlight w:val="none"/>
                    </w:rPr>
                    <w:t>废物代码</w:t>
                  </w:r>
                </w:p>
              </w:tc>
              <w:tc>
                <w:tcPr>
                  <w:tcW w:w="528" w:type="pct"/>
                  <w:tcBorders>
                    <w:top w:val="single" w:color="auto" w:sz="8" w:space="0"/>
                    <w:left w:val="single" w:color="auto" w:sz="4" w:space="0"/>
                    <w:bottom w:val="single" w:color="auto" w:sz="4" w:space="0"/>
                    <w:right w:val="single" w:color="auto" w:sz="4" w:space="0"/>
                  </w:tcBorders>
                  <w:vAlign w:val="center"/>
                </w:tcPr>
                <w:p>
                  <w:pPr>
                    <w:pStyle w:val="42"/>
                    <w:spacing w:before="0" w:line="276" w:lineRule="auto"/>
                    <w:rPr>
                      <w:rFonts w:cs="Times New Roman"/>
                      <w:b/>
                      <w:bCs/>
                      <w:color w:val="auto"/>
                      <w:szCs w:val="18"/>
                      <w:highlight w:val="none"/>
                    </w:rPr>
                  </w:pPr>
                  <w:r>
                    <w:rPr>
                      <w:rFonts w:cs="Times New Roman"/>
                      <w:b/>
                      <w:bCs/>
                      <w:color w:val="auto"/>
                      <w:szCs w:val="18"/>
                      <w:highlight w:val="none"/>
                    </w:rPr>
                    <w:t>产生量</w:t>
                  </w:r>
                </w:p>
              </w:tc>
              <w:tc>
                <w:tcPr>
                  <w:tcW w:w="769" w:type="pct"/>
                  <w:tcBorders>
                    <w:top w:val="single" w:color="auto" w:sz="8" w:space="0"/>
                    <w:left w:val="single" w:color="auto" w:sz="4" w:space="0"/>
                    <w:bottom w:val="single" w:color="auto" w:sz="4" w:space="0"/>
                    <w:right w:val="single" w:color="auto" w:sz="4" w:space="0"/>
                  </w:tcBorders>
                  <w:vAlign w:val="center"/>
                </w:tcPr>
                <w:p>
                  <w:pPr>
                    <w:pStyle w:val="42"/>
                    <w:spacing w:before="0" w:line="276" w:lineRule="auto"/>
                    <w:rPr>
                      <w:rFonts w:cs="Times New Roman"/>
                      <w:b/>
                      <w:bCs/>
                      <w:color w:val="auto"/>
                      <w:szCs w:val="18"/>
                      <w:highlight w:val="none"/>
                    </w:rPr>
                  </w:pPr>
                  <w:r>
                    <w:rPr>
                      <w:rFonts w:cs="Times New Roman"/>
                      <w:b/>
                      <w:bCs/>
                      <w:color w:val="auto"/>
                      <w:szCs w:val="18"/>
                      <w:highlight w:val="none"/>
                    </w:rPr>
                    <w:t>贮存场所（设施）名称</w:t>
                  </w:r>
                </w:p>
              </w:tc>
              <w:tc>
                <w:tcPr>
                  <w:tcW w:w="381" w:type="pct"/>
                  <w:tcBorders>
                    <w:top w:val="single" w:color="auto" w:sz="8" w:space="0"/>
                    <w:left w:val="single" w:color="auto" w:sz="4" w:space="0"/>
                    <w:bottom w:val="single" w:color="auto" w:sz="4" w:space="0"/>
                    <w:right w:val="single" w:color="auto" w:sz="4" w:space="0"/>
                  </w:tcBorders>
                  <w:vAlign w:val="center"/>
                </w:tcPr>
                <w:p>
                  <w:pPr>
                    <w:pStyle w:val="42"/>
                    <w:spacing w:before="0" w:line="276" w:lineRule="auto"/>
                    <w:rPr>
                      <w:rFonts w:cs="Times New Roman"/>
                      <w:b/>
                      <w:bCs/>
                      <w:color w:val="auto"/>
                      <w:szCs w:val="18"/>
                      <w:highlight w:val="none"/>
                    </w:rPr>
                  </w:pPr>
                  <w:r>
                    <w:rPr>
                      <w:rFonts w:cs="Times New Roman"/>
                      <w:b/>
                      <w:bCs/>
                      <w:color w:val="auto"/>
                      <w:szCs w:val="18"/>
                      <w:highlight w:val="none"/>
                    </w:rPr>
                    <w:t>贮存能力</w:t>
                  </w:r>
                </w:p>
              </w:tc>
              <w:tc>
                <w:tcPr>
                  <w:tcW w:w="612" w:type="pct"/>
                  <w:tcBorders>
                    <w:top w:val="single" w:color="auto" w:sz="8" w:space="0"/>
                    <w:left w:val="single" w:color="auto" w:sz="4" w:space="0"/>
                    <w:bottom w:val="single" w:color="auto" w:sz="4" w:space="0"/>
                    <w:right w:val="single" w:color="auto" w:sz="4" w:space="0"/>
                  </w:tcBorders>
                  <w:vAlign w:val="center"/>
                </w:tcPr>
                <w:p>
                  <w:pPr>
                    <w:pStyle w:val="42"/>
                    <w:spacing w:before="0" w:line="276" w:lineRule="auto"/>
                    <w:rPr>
                      <w:rFonts w:cs="Times New Roman"/>
                      <w:b/>
                      <w:bCs/>
                      <w:color w:val="auto"/>
                      <w:szCs w:val="18"/>
                      <w:highlight w:val="none"/>
                    </w:rPr>
                  </w:pPr>
                  <w:r>
                    <w:rPr>
                      <w:rFonts w:cs="Times New Roman"/>
                      <w:b/>
                      <w:bCs/>
                      <w:color w:val="auto"/>
                      <w:szCs w:val="18"/>
                      <w:highlight w:val="none"/>
                    </w:rPr>
                    <w:t>贮存周期</w:t>
                  </w:r>
                </w:p>
              </w:tc>
              <w:tc>
                <w:tcPr>
                  <w:tcW w:w="584" w:type="pct"/>
                  <w:tcBorders>
                    <w:top w:val="single" w:color="auto" w:sz="8" w:space="0"/>
                    <w:left w:val="single" w:color="auto" w:sz="4" w:space="0"/>
                    <w:bottom w:val="single" w:color="auto" w:sz="4" w:space="0"/>
                  </w:tcBorders>
                  <w:vAlign w:val="center"/>
                </w:tcPr>
                <w:p>
                  <w:pPr>
                    <w:pStyle w:val="42"/>
                    <w:spacing w:before="0" w:line="276" w:lineRule="auto"/>
                    <w:rPr>
                      <w:rFonts w:cs="Times New Roman"/>
                      <w:b/>
                      <w:bCs/>
                      <w:color w:val="auto"/>
                      <w:szCs w:val="18"/>
                      <w:highlight w:val="none"/>
                    </w:rPr>
                  </w:pPr>
                  <w:r>
                    <w:rPr>
                      <w:rFonts w:cs="Times New Roman"/>
                      <w:b/>
                      <w:bCs/>
                      <w:color w:val="auto"/>
                      <w:szCs w:val="18"/>
                      <w:highlight w:val="none"/>
                    </w:rPr>
                    <w:t>污染防治措施</w:t>
                  </w:r>
                </w:p>
              </w:tc>
            </w:tr>
            <w:tr>
              <w:tblPrEx>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397" w:hRule="atLeast"/>
                <w:jc w:val="center"/>
              </w:trPr>
              <w:tc>
                <w:tcPr>
                  <w:tcW w:w="311" w:type="pct"/>
                  <w:tcBorders>
                    <w:top w:val="single" w:color="auto" w:sz="4" w:space="0"/>
                    <w:bottom w:val="single" w:color="auto" w:sz="4" w:space="0"/>
                    <w:right w:val="single" w:color="auto" w:sz="4" w:space="0"/>
                  </w:tcBorders>
                  <w:vAlign w:val="center"/>
                </w:tcPr>
                <w:p>
                  <w:pPr>
                    <w:pStyle w:val="42"/>
                    <w:spacing w:before="0" w:line="276" w:lineRule="auto"/>
                    <w:rPr>
                      <w:rFonts w:cs="Times New Roman"/>
                      <w:color w:val="auto"/>
                      <w:szCs w:val="18"/>
                      <w:highlight w:val="none"/>
                    </w:rPr>
                  </w:pPr>
                  <w:r>
                    <w:rPr>
                      <w:rFonts w:cs="Times New Roman"/>
                      <w:color w:val="auto"/>
                      <w:szCs w:val="18"/>
                      <w:highlight w:val="none"/>
                    </w:rPr>
                    <w:t>1</w:t>
                  </w:r>
                </w:p>
              </w:tc>
              <w:tc>
                <w:tcPr>
                  <w:tcW w:w="545" w:type="pct"/>
                  <w:tcBorders>
                    <w:top w:val="single" w:color="auto" w:sz="4" w:space="0"/>
                    <w:left w:val="single" w:color="auto" w:sz="4" w:space="0"/>
                    <w:bottom w:val="single" w:color="auto" w:sz="4" w:space="0"/>
                    <w:right w:val="single" w:color="auto" w:sz="4" w:space="0"/>
                  </w:tcBorders>
                  <w:vAlign w:val="center"/>
                </w:tcPr>
                <w:p>
                  <w:pPr>
                    <w:pStyle w:val="35"/>
                    <w:adjustRightInd w:val="0"/>
                    <w:snapToGrid w:val="0"/>
                    <w:spacing w:line="276" w:lineRule="auto"/>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废机油</w:t>
                  </w:r>
                </w:p>
              </w:tc>
              <w:tc>
                <w:tcPr>
                  <w:tcW w:w="558"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HW08</w:t>
                  </w:r>
                </w:p>
              </w:tc>
              <w:tc>
                <w:tcPr>
                  <w:tcW w:w="708"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900-249-08</w:t>
                  </w:r>
                </w:p>
              </w:tc>
              <w:tc>
                <w:tcPr>
                  <w:tcW w:w="528" w:type="pct"/>
                  <w:tcBorders>
                    <w:top w:val="single" w:color="auto" w:sz="4" w:space="0"/>
                    <w:left w:val="single" w:color="auto" w:sz="4" w:space="0"/>
                    <w:bottom w:val="single" w:color="auto" w:sz="4" w:space="0"/>
                    <w:right w:val="single" w:color="auto" w:sz="4" w:space="0"/>
                  </w:tcBorders>
                  <w:vAlign w:val="center"/>
                </w:tcPr>
                <w:p>
                  <w:pPr>
                    <w:pStyle w:val="35"/>
                    <w:adjustRightInd w:val="0"/>
                    <w:snapToGrid w:val="0"/>
                    <w:spacing w:line="276" w:lineRule="auto"/>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0.5</w:t>
                  </w:r>
                  <w:r>
                    <w:rPr>
                      <w:rFonts w:ascii="Times New Roman" w:hAnsi="Times New Roman" w:eastAsia="宋体" w:cs="Times New Roman"/>
                      <w:bCs/>
                      <w:color w:val="auto"/>
                      <w:sz w:val="18"/>
                      <w:szCs w:val="18"/>
                      <w:highlight w:val="none"/>
                    </w:rPr>
                    <w:t>t/a</w:t>
                  </w:r>
                </w:p>
              </w:tc>
              <w:tc>
                <w:tcPr>
                  <w:tcW w:w="769" w:type="pct"/>
                  <w:tcBorders>
                    <w:top w:val="single" w:color="auto" w:sz="4" w:space="0"/>
                    <w:left w:val="single" w:color="auto" w:sz="4" w:space="0"/>
                    <w:bottom w:val="single" w:color="auto" w:sz="4" w:space="0"/>
                    <w:right w:val="single" w:color="auto" w:sz="4" w:space="0"/>
                  </w:tcBorders>
                  <w:vAlign w:val="center"/>
                </w:tcPr>
                <w:p>
                  <w:pPr>
                    <w:pStyle w:val="42"/>
                    <w:spacing w:before="0" w:line="276" w:lineRule="auto"/>
                    <w:rPr>
                      <w:rFonts w:cs="Times New Roman"/>
                      <w:color w:val="auto"/>
                      <w:szCs w:val="18"/>
                      <w:highlight w:val="none"/>
                    </w:rPr>
                  </w:pPr>
                  <w:r>
                    <w:rPr>
                      <w:rFonts w:cs="Times New Roman"/>
                      <w:color w:val="auto"/>
                      <w:szCs w:val="18"/>
                      <w:highlight w:val="none"/>
                    </w:rPr>
                    <w:t>危废暂存库</w:t>
                  </w:r>
                </w:p>
              </w:tc>
              <w:tc>
                <w:tcPr>
                  <w:tcW w:w="381" w:type="pct"/>
                  <w:tcBorders>
                    <w:top w:val="single" w:color="auto" w:sz="4" w:space="0"/>
                    <w:left w:val="single" w:color="auto" w:sz="4" w:space="0"/>
                    <w:bottom w:val="single" w:color="auto" w:sz="4" w:space="0"/>
                    <w:right w:val="single" w:color="auto" w:sz="4" w:space="0"/>
                  </w:tcBorders>
                  <w:vAlign w:val="center"/>
                </w:tcPr>
                <w:p>
                  <w:pPr>
                    <w:pStyle w:val="42"/>
                    <w:spacing w:before="0" w:line="276" w:lineRule="auto"/>
                    <w:rPr>
                      <w:rFonts w:cs="Times New Roman"/>
                      <w:color w:val="auto"/>
                      <w:szCs w:val="18"/>
                      <w:highlight w:val="none"/>
                    </w:rPr>
                  </w:pPr>
                  <w:r>
                    <w:rPr>
                      <w:rFonts w:cs="Times New Roman"/>
                      <w:color w:val="auto"/>
                      <w:szCs w:val="18"/>
                      <w:highlight w:val="none"/>
                    </w:rPr>
                    <w:t>1t</w:t>
                  </w:r>
                </w:p>
              </w:tc>
              <w:tc>
                <w:tcPr>
                  <w:tcW w:w="612" w:type="pct"/>
                  <w:tcBorders>
                    <w:top w:val="single" w:color="auto" w:sz="4" w:space="0"/>
                    <w:left w:val="single" w:color="auto" w:sz="4" w:space="0"/>
                    <w:bottom w:val="single" w:color="auto" w:sz="4" w:space="0"/>
                    <w:right w:val="single" w:color="auto" w:sz="4" w:space="0"/>
                  </w:tcBorders>
                  <w:vAlign w:val="center"/>
                </w:tcPr>
                <w:p>
                  <w:pPr>
                    <w:pStyle w:val="42"/>
                    <w:spacing w:before="0" w:line="276" w:lineRule="auto"/>
                    <w:jc w:val="center"/>
                    <w:rPr>
                      <w:rFonts w:hint="default" w:cs="Times New Roman"/>
                      <w:color w:val="auto"/>
                      <w:szCs w:val="18"/>
                      <w:highlight w:val="none"/>
                      <w:lang w:val="en-US" w:eastAsia="zh-CN"/>
                    </w:rPr>
                  </w:pPr>
                  <w:r>
                    <w:rPr>
                      <w:rFonts w:hint="eastAsia" w:cs="Times New Roman"/>
                      <w:color w:val="auto"/>
                      <w:szCs w:val="18"/>
                      <w:highlight w:val="none"/>
                      <w:lang w:val="en-US" w:eastAsia="zh-CN"/>
                    </w:rPr>
                    <w:t>半年</w:t>
                  </w:r>
                </w:p>
              </w:tc>
              <w:tc>
                <w:tcPr>
                  <w:tcW w:w="584" w:type="pct"/>
                  <w:vMerge w:val="restart"/>
                  <w:tcBorders>
                    <w:top w:val="single" w:color="auto" w:sz="4" w:space="0"/>
                    <w:left w:val="single" w:color="auto" w:sz="4" w:space="0"/>
                    <w:bottom w:val="single" w:color="auto" w:sz="4" w:space="0"/>
                    <w:right w:val="single" w:color="auto" w:sz="4" w:space="0"/>
                  </w:tcBorders>
                  <w:vAlign w:val="center"/>
                </w:tcPr>
                <w:p>
                  <w:pPr>
                    <w:pStyle w:val="42"/>
                    <w:spacing w:before="0" w:line="276" w:lineRule="auto"/>
                    <w:rPr>
                      <w:rFonts w:cs="Times New Roman"/>
                      <w:color w:val="auto"/>
                      <w:szCs w:val="18"/>
                      <w:highlight w:val="none"/>
                    </w:rPr>
                  </w:pPr>
                  <w:r>
                    <w:rPr>
                      <w:rFonts w:cs="Times New Roman"/>
                      <w:color w:val="auto"/>
                      <w:szCs w:val="18"/>
                      <w:highlight w:val="none"/>
                    </w:rPr>
                    <w:t>定期委托有资质的单位处置</w:t>
                  </w:r>
                </w:p>
              </w:tc>
            </w:tr>
            <w:tr>
              <w:tblPrEx>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397" w:hRule="atLeast"/>
                <w:jc w:val="center"/>
              </w:trPr>
              <w:tc>
                <w:tcPr>
                  <w:tcW w:w="311" w:type="pct"/>
                  <w:tcBorders>
                    <w:top w:val="single" w:color="auto" w:sz="4" w:space="0"/>
                    <w:bottom w:val="single" w:color="auto" w:sz="4" w:space="0"/>
                    <w:right w:val="single" w:color="auto" w:sz="4" w:space="0"/>
                  </w:tcBorders>
                  <w:vAlign w:val="center"/>
                </w:tcPr>
                <w:p>
                  <w:pPr>
                    <w:pStyle w:val="42"/>
                    <w:spacing w:before="0" w:line="276" w:lineRule="auto"/>
                    <w:rPr>
                      <w:rFonts w:cs="Times New Roman"/>
                      <w:color w:val="auto"/>
                      <w:szCs w:val="18"/>
                      <w:highlight w:val="none"/>
                    </w:rPr>
                  </w:pPr>
                  <w:r>
                    <w:rPr>
                      <w:rFonts w:cs="Times New Roman"/>
                      <w:color w:val="auto"/>
                      <w:szCs w:val="18"/>
                      <w:highlight w:val="none"/>
                    </w:rPr>
                    <w:t>2</w:t>
                  </w:r>
                </w:p>
              </w:tc>
              <w:tc>
                <w:tcPr>
                  <w:tcW w:w="545" w:type="pct"/>
                  <w:tcBorders>
                    <w:top w:val="single" w:color="auto" w:sz="4" w:space="0"/>
                    <w:left w:val="single" w:color="auto" w:sz="4" w:space="0"/>
                    <w:bottom w:val="single" w:color="auto" w:sz="4" w:space="0"/>
                    <w:right w:val="single" w:color="auto" w:sz="4" w:space="0"/>
                  </w:tcBorders>
                  <w:vAlign w:val="center"/>
                </w:tcPr>
                <w:p>
                  <w:pPr>
                    <w:pStyle w:val="35"/>
                    <w:adjustRightInd w:val="0"/>
                    <w:snapToGrid w:val="0"/>
                    <w:spacing w:line="276" w:lineRule="auto"/>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机油桶</w:t>
                  </w:r>
                </w:p>
              </w:tc>
              <w:tc>
                <w:tcPr>
                  <w:tcW w:w="558"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HW49</w:t>
                  </w:r>
                </w:p>
              </w:tc>
              <w:tc>
                <w:tcPr>
                  <w:tcW w:w="708"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900-041-49</w:t>
                  </w:r>
                </w:p>
              </w:tc>
              <w:tc>
                <w:tcPr>
                  <w:tcW w:w="528" w:type="pct"/>
                  <w:tcBorders>
                    <w:top w:val="single" w:color="auto" w:sz="4" w:space="0"/>
                    <w:left w:val="single" w:color="auto" w:sz="4" w:space="0"/>
                    <w:bottom w:val="single" w:color="auto" w:sz="4" w:space="0"/>
                    <w:right w:val="single" w:color="auto" w:sz="4" w:space="0"/>
                  </w:tcBorders>
                  <w:vAlign w:val="center"/>
                </w:tcPr>
                <w:p>
                  <w:pPr>
                    <w:pStyle w:val="35"/>
                    <w:adjustRightInd w:val="0"/>
                    <w:snapToGrid w:val="0"/>
                    <w:spacing w:line="276" w:lineRule="auto"/>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0.03t/a</w:t>
                  </w:r>
                </w:p>
              </w:tc>
              <w:tc>
                <w:tcPr>
                  <w:tcW w:w="769" w:type="pct"/>
                  <w:tcBorders>
                    <w:top w:val="single" w:color="auto" w:sz="4" w:space="0"/>
                    <w:left w:val="single" w:color="auto" w:sz="4" w:space="0"/>
                    <w:bottom w:val="single" w:color="auto" w:sz="4" w:space="0"/>
                    <w:right w:val="single" w:color="auto" w:sz="4" w:space="0"/>
                  </w:tcBorders>
                  <w:vAlign w:val="center"/>
                </w:tcPr>
                <w:p>
                  <w:pPr>
                    <w:pStyle w:val="42"/>
                    <w:spacing w:before="0" w:line="276" w:lineRule="auto"/>
                    <w:rPr>
                      <w:rFonts w:cs="Times New Roman"/>
                      <w:color w:val="auto"/>
                      <w:szCs w:val="18"/>
                      <w:highlight w:val="none"/>
                    </w:rPr>
                  </w:pPr>
                  <w:r>
                    <w:rPr>
                      <w:rFonts w:cs="Times New Roman"/>
                      <w:color w:val="auto"/>
                      <w:szCs w:val="18"/>
                      <w:highlight w:val="none"/>
                    </w:rPr>
                    <w:t>危废暂存库</w:t>
                  </w:r>
                </w:p>
              </w:tc>
              <w:tc>
                <w:tcPr>
                  <w:tcW w:w="381" w:type="pct"/>
                  <w:tcBorders>
                    <w:top w:val="single" w:color="auto" w:sz="4" w:space="0"/>
                    <w:left w:val="single" w:color="auto" w:sz="4" w:space="0"/>
                    <w:bottom w:val="single" w:color="auto" w:sz="4" w:space="0"/>
                    <w:right w:val="single" w:color="auto" w:sz="4" w:space="0"/>
                  </w:tcBorders>
                  <w:vAlign w:val="center"/>
                </w:tcPr>
                <w:p>
                  <w:pPr>
                    <w:pStyle w:val="42"/>
                    <w:spacing w:before="0" w:line="276" w:lineRule="auto"/>
                    <w:rPr>
                      <w:rFonts w:cs="Times New Roman"/>
                      <w:color w:val="auto"/>
                      <w:szCs w:val="18"/>
                      <w:highlight w:val="none"/>
                    </w:rPr>
                  </w:pPr>
                  <w:r>
                    <w:rPr>
                      <w:rFonts w:cs="Times New Roman"/>
                      <w:color w:val="auto"/>
                      <w:szCs w:val="18"/>
                      <w:highlight w:val="none"/>
                    </w:rPr>
                    <w:t>1t</w:t>
                  </w:r>
                </w:p>
              </w:tc>
              <w:tc>
                <w:tcPr>
                  <w:tcW w:w="612" w:type="pct"/>
                  <w:tcBorders>
                    <w:top w:val="single" w:color="auto" w:sz="4" w:space="0"/>
                    <w:left w:val="single" w:color="auto" w:sz="4" w:space="0"/>
                    <w:bottom w:val="single" w:color="auto" w:sz="4" w:space="0"/>
                    <w:right w:val="single" w:color="auto" w:sz="4" w:space="0"/>
                  </w:tcBorders>
                  <w:vAlign w:val="center"/>
                </w:tcPr>
                <w:p>
                  <w:pPr>
                    <w:pStyle w:val="42"/>
                    <w:spacing w:before="0" w:line="276" w:lineRule="auto"/>
                    <w:rPr>
                      <w:rFonts w:cs="Times New Roman"/>
                      <w:color w:val="auto"/>
                      <w:szCs w:val="18"/>
                      <w:highlight w:val="none"/>
                    </w:rPr>
                  </w:pPr>
                  <w:r>
                    <w:rPr>
                      <w:rFonts w:hint="eastAsia" w:cs="Times New Roman"/>
                      <w:color w:val="auto"/>
                      <w:szCs w:val="18"/>
                      <w:highlight w:val="none"/>
                      <w:lang w:val="en-US" w:eastAsia="zh-CN"/>
                    </w:rPr>
                    <w:t>半年</w:t>
                  </w:r>
                </w:p>
              </w:tc>
              <w:tc>
                <w:tcPr>
                  <w:tcW w:w="584" w:type="pct"/>
                  <w:vMerge w:val="continue"/>
                  <w:tcBorders>
                    <w:top w:val="single" w:color="auto" w:sz="4" w:space="0"/>
                    <w:left w:val="single" w:color="auto" w:sz="4" w:space="0"/>
                    <w:right w:val="single" w:color="auto" w:sz="4" w:space="0"/>
                  </w:tcBorders>
                  <w:vAlign w:val="center"/>
                </w:tcPr>
                <w:p>
                  <w:pPr>
                    <w:pStyle w:val="42"/>
                    <w:spacing w:before="0" w:line="276" w:lineRule="auto"/>
                    <w:rPr>
                      <w:rFonts w:cs="Times New Roman"/>
                      <w:color w:val="auto"/>
                      <w:szCs w:val="18"/>
                      <w:highlight w:val="none"/>
                    </w:rPr>
                  </w:pPr>
                </w:p>
              </w:tc>
            </w:tr>
            <w:tr>
              <w:tblPrEx>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397" w:hRule="atLeast"/>
                <w:jc w:val="center"/>
              </w:trPr>
              <w:tc>
                <w:tcPr>
                  <w:tcW w:w="311" w:type="pct"/>
                  <w:tcBorders>
                    <w:top w:val="single" w:color="auto" w:sz="4" w:space="0"/>
                    <w:bottom w:val="single" w:color="auto" w:sz="8" w:space="0"/>
                    <w:right w:val="single" w:color="auto" w:sz="4" w:space="0"/>
                  </w:tcBorders>
                  <w:vAlign w:val="center"/>
                </w:tcPr>
                <w:p>
                  <w:pPr>
                    <w:pStyle w:val="42"/>
                    <w:spacing w:before="0" w:line="276" w:lineRule="auto"/>
                    <w:rPr>
                      <w:rFonts w:cs="Times New Roman"/>
                      <w:color w:val="auto"/>
                      <w:szCs w:val="18"/>
                      <w:highlight w:val="none"/>
                    </w:rPr>
                  </w:pPr>
                  <w:r>
                    <w:rPr>
                      <w:rFonts w:cs="Times New Roman"/>
                      <w:color w:val="auto"/>
                      <w:szCs w:val="18"/>
                      <w:highlight w:val="none"/>
                    </w:rPr>
                    <w:t>3</w:t>
                  </w:r>
                </w:p>
              </w:tc>
              <w:tc>
                <w:tcPr>
                  <w:tcW w:w="545" w:type="pct"/>
                  <w:tcBorders>
                    <w:top w:val="single" w:color="auto" w:sz="4" w:space="0"/>
                    <w:left w:val="single" w:color="auto" w:sz="4" w:space="0"/>
                    <w:bottom w:val="single" w:color="auto" w:sz="8" w:space="0"/>
                    <w:right w:val="single" w:color="auto" w:sz="4" w:space="0"/>
                  </w:tcBorders>
                  <w:vAlign w:val="center"/>
                </w:tcPr>
                <w:p>
                  <w:pPr>
                    <w:pStyle w:val="35"/>
                    <w:adjustRightInd w:val="0"/>
                    <w:snapToGrid w:val="0"/>
                    <w:spacing w:line="276" w:lineRule="auto"/>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废活性炭</w:t>
                  </w:r>
                </w:p>
              </w:tc>
              <w:tc>
                <w:tcPr>
                  <w:tcW w:w="558" w:type="pct"/>
                  <w:tcBorders>
                    <w:top w:val="single" w:color="auto" w:sz="4" w:space="0"/>
                    <w:left w:val="single" w:color="auto" w:sz="4" w:space="0"/>
                    <w:bottom w:val="single" w:color="auto" w:sz="8" w:space="0"/>
                    <w:right w:val="single" w:color="auto" w:sz="4" w:space="0"/>
                  </w:tcBorders>
                  <w:shd w:val="clear" w:color="auto" w:fill="auto"/>
                  <w:vAlign w:val="center"/>
                </w:tcPr>
                <w:p>
                  <w:pPr>
                    <w:adjustRightInd w:val="0"/>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HW49</w:t>
                  </w:r>
                </w:p>
              </w:tc>
              <w:tc>
                <w:tcPr>
                  <w:tcW w:w="708" w:type="pct"/>
                  <w:tcBorders>
                    <w:top w:val="single" w:color="auto" w:sz="4" w:space="0"/>
                    <w:left w:val="single" w:color="auto" w:sz="4" w:space="0"/>
                    <w:bottom w:val="single" w:color="auto" w:sz="8" w:space="0"/>
                    <w:right w:val="single" w:color="auto" w:sz="4" w:space="0"/>
                  </w:tcBorders>
                  <w:shd w:val="clear" w:color="auto" w:fill="auto"/>
                  <w:vAlign w:val="center"/>
                </w:tcPr>
                <w:p>
                  <w:pPr>
                    <w:adjustRightInd w:val="0"/>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900-042-49</w:t>
                  </w:r>
                </w:p>
              </w:tc>
              <w:tc>
                <w:tcPr>
                  <w:tcW w:w="528" w:type="pct"/>
                  <w:tcBorders>
                    <w:top w:val="single" w:color="auto" w:sz="4" w:space="0"/>
                    <w:left w:val="single" w:color="auto" w:sz="4" w:space="0"/>
                    <w:bottom w:val="single" w:color="auto" w:sz="8" w:space="0"/>
                    <w:right w:val="single" w:color="auto" w:sz="4" w:space="0"/>
                  </w:tcBorders>
                  <w:vAlign w:val="center"/>
                </w:tcPr>
                <w:p>
                  <w:pPr>
                    <w:pStyle w:val="35"/>
                    <w:adjustRightInd w:val="0"/>
                    <w:snapToGrid w:val="0"/>
                    <w:spacing w:line="276" w:lineRule="auto"/>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0.577t/a</w:t>
                  </w:r>
                </w:p>
              </w:tc>
              <w:tc>
                <w:tcPr>
                  <w:tcW w:w="769" w:type="pct"/>
                  <w:tcBorders>
                    <w:top w:val="single" w:color="auto" w:sz="4" w:space="0"/>
                    <w:left w:val="single" w:color="auto" w:sz="4" w:space="0"/>
                    <w:bottom w:val="single" w:color="auto" w:sz="8" w:space="0"/>
                    <w:right w:val="single" w:color="auto" w:sz="4" w:space="0"/>
                  </w:tcBorders>
                  <w:vAlign w:val="center"/>
                </w:tcPr>
                <w:p>
                  <w:pPr>
                    <w:pStyle w:val="42"/>
                    <w:spacing w:before="0" w:line="276" w:lineRule="auto"/>
                    <w:rPr>
                      <w:rFonts w:cs="Times New Roman"/>
                      <w:color w:val="auto"/>
                      <w:szCs w:val="18"/>
                      <w:highlight w:val="none"/>
                    </w:rPr>
                  </w:pPr>
                  <w:r>
                    <w:rPr>
                      <w:rFonts w:cs="Times New Roman"/>
                      <w:color w:val="auto"/>
                      <w:szCs w:val="18"/>
                      <w:highlight w:val="none"/>
                    </w:rPr>
                    <w:t>危废暂存库</w:t>
                  </w:r>
                </w:p>
              </w:tc>
              <w:tc>
                <w:tcPr>
                  <w:tcW w:w="381" w:type="pct"/>
                  <w:tcBorders>
                    <w:top w:val="single" w:color="auto" w:sz="4" w:space="0"/>
                    <w:left w:val="single" w:color="auto" w:sz="4" w:space="0"/>
                    <w:bottom w:val="single" w:color="auto" w:sz="8" w:space="0"/>
                    <w:right w:val="single" w:color="auto" w:sz="4" w:space="0"/>
                  </w:tcBorders>
                  <w:vAlign w:val="center"/>
                </w:tcPr>
                <w:p>
                  <w:pPr>
                    <w:pStyle w:val="42"/>
                    <w:spacing w:before="0" w:line="276" w:lineRule="auto"/>
                    <w:rPr>
                      <w:rFonts w:cs="Times New Roman"/>
                      <w:color w:val="auto"/>
                      <w:szCs w:val="18"/>
                      <w:highlight w:val="none"/>
                    </w:rPr>
                  </w:pPr>
                  <w:r>
                    <w:rPr>
                      <w:rFonts w:cs="Times New Roman"/>
                      <w:color w:val="auto"/>
                      <w:szCs w:val="18"/>
                      <w:highlight w:val="none"/>
                    </w:rPr>
                    <w:t>1t</w:t>
                  </w:r>
                </w:p>
              </w:tc>
              <w:tc>
                <w:tcPr>
                  <w:tcW w:w="612" w:type="pct"/>
                  <w:tcBorders>
                    <w:top w:val="single" w:color="auto" w:sz="4" w:space="0"/>
                    <w:left w:val="single" w:color="auto" w:sz="4" w:space="0"/>
                    <w:bottom w:val="single" w:color="auto" w:sz="8" w:space="0"/>
                    <w:right w:val="single" w:color="auto" w:sz="4" w:space="0"/>
                  </w:tcBorders>
                  <w:vAlign w:val="center"/>
                </w:tcPr>
                <w:p>
                  <w:pPr>
                    <w:pStyle w:val="42"/>
                    <w:spacing w:before="0" w:line="276" w:lineRule="auto"/>
                    <w:rPr>
                      <w:rFonts w:cs="Times New Roman"/>
                      <w:color w:val="auto"/>
                      <w:szCs w:val="18"/>
                      <w:highlight w:val="none"/>
                    </w:rPr>
                  </w:pPr>
                  <w:r>
                    <w:rPr>
                      <w:rFonts w:hint="eastAsia" w:cs="Times New Roman"/>
                      <w:color w:val="auto"/>
                      <w:szCs w:val="18"/>
                      <w:highlight w:val="none"/>
                      <w:lang w:val="en-US" w:eastAsia="zh-CN"/>
                    </w:rPr>
                    <w:t>半年</w:t>
                  </w:r>
                </w:p>
              </w:tc>
              <w:tc>
                <w:tcPr>
                  <w:tcW w:w="584" w:type="pct"/>
                  <w:vMerge w:val="continue"/>
                  <w:tcBorders>
                    <w:left w:val="single" w:color="auto" w:sz="4" w:space="0"/>
                    <w:bottom w:val="single" w:color="auto" w:sz="8" w:space="0"/>
                    <w:right w:val="single" w:color="auto" w:sz="4" w:space="0"/>
                  </w:tcBorders>
                  <w:vAlign w:val="center"/>
                </w:tcPr>
                <w:p>
                  <w:pPr>
                    <w:pStyle w:val="42"/>
                    <w:spacing w:before="0" w:line="276" w:lineRule="auto"/>
                    <w:rPr>
                      <w:rFonts w:cs="Times New Roman"/>
                      <w:color w:val="auto"/>
                      <w:szCs w:val="18"/>
                      <w:highlight w:val="none"/>
                    </w:rPr>
                  </w:pPr>
                </w:p>
              </w:tc>
            </w:tr>
          </w:tbl>
          <w:p>
            <w:pPr>
              <w:spacing w:line="360" w:lineRule="auto"/>
              <w:ind w:firstLine="482" w:firstLineChars="200"/>
              <w:rPr>
                <w:rFonts w:ascii="Times New Roman" w:hAnsi="Times New Roman" w:eastAsia="宋体" w:cs="Times New Roman"/>
                <w:color w:val="auto"/>
                <w:sz w:val="24"/>
                <w:szCs w:val="24"/>
                <w:highlight w:val="none"/>
              </w:rPr>
            </w:pPr>
            <w:r>
              <w:rPr>
                <w:rFonts w:ascii="Times New Roman" w:hAnsi="Times New Roman" w:eastAsia="宋体" w:cs="Times New Roman"/>
                <w:b/>
                <w:bCs/>
                <w:color w:val="auto"/>
                <w:sz w:val="24"/>
                <w:szCs w:val="24"/>
                <w:highlight w:val="none"/>
              </w:rPr>
              <w:t>运营期固废环境保护措施</w:t>
            </w:r>
          </w:p>
          <w:p>
            <w:pPr>
              <w:spacing w:line="360" w:lineRule="auto"/>
              <w:ind w:firstLine="480" w:firstLineChars="200"/>
              <w:rPr>
                <w:rFonts w:ascii="Times New Roman" w:hAnsi="Times New Roman" w:eastAsia="宋体" w:cs="Times New Roman"/>
                <w:color w:val="auto"/>
                <w:sz w:val="24"/>
                <w:szCs w:val="24"/>
                <w:highlight w:val="none"/>
              </w:rPr>
            </w:pPr>
            <w:r>
              <w:rPr>
                <w:rFonts w:ascii="Times New Roman" w:hAnsi="Times New Roman" w:eastAsia="宋体" w:cs="Times New Roman"/>
                <w:color w:val="auto"/>
                <w:sz w:val="24"/>
                <w:szCs w:val="24"/>
                <w:highlight w:val="none"/>
              </w:rPr>
              <w:t>（1）贮存场所（设施）污染防治设施</w:t>
            </w:r>
          </w:p>
          <w:p>
            <w:pPr>
              <w:spacing w:line="360" w:lineRule="auto"/>
              <w:ind w:firstLine="480" w:firstLineChars="200"/>
              <w:rPr>
                <w:rFonts w:ascii="Times New Roman" w:hAnsi="Times New Roman" w:eastAsia="宋体" w:cs="Times New Roman"/>
                <w:color w:val="auto"/>
                <w:sz w:val="24"/>
                <w:highlight w:val="none"/>
              </w:rPr>
            </w:pPr>
            <w:r>
              <w:rPr>
                <w:rFonts w:ascii="Times New Roman" w:hAnsi="Times New Roman" w:eastAsia="宋体" w:cs="Times New Roman"/>
                <w:color w:val="auto"/>
                <w:sz w:val="24"/>
                <w:highlight w:val="none"/>
              </w:rPr>
              <w:t>所有纳入危险废物范畴的固体废物在企业内的存放地设置符合《危险废物贮存污染控制标准》（GB18597-2023）的专用标志。危险废物必须使用专用的容器贮存，除非在常温常压下不水解、不挥发的固体危险废物可在贮存设施内分别堆放。贮存容器应有明显标志，并且标明废物的特性，是否具有耐腐蚀、与所贮存的废物发生反应等特性。贮存场所严格按照“四防”（防风、防雨、防晒、防渗漏）要求进行设置，有集排水设施且贮存场所符合消防要求，贮存场所内采用安全照明设施，并设置观察窗口。</w:t>
            </w:r>
          </w:p>
          <w:p>
            <w:pPr>
              <w:spacing w:line="360" w:lineRule="auto"/>
              <w:ind w:firstLine="480" w:firstLineChars="200"/>
              <w:rPr>
                <w:rFonts w:ascii="Times New Roman" w:hAnsi="Times New Roman" w:eastAsia="宋体" w:cs="Times New Roman"/>
                <w:color w:val="auto"/>
                <w:sz w:val="24"/>
                <w:highlight w:val="none"/>
              </w:rPr>
            </w:pPr>
            <w:r>
              <w:rPr>
                <w:rFonts w:ascii="Times New Roman" w:hAnsi="Times New Roman" w:eastAsia="宋体" w:cs="Times New Roman"/>
                <w:color w:val="auto"/>
                <w:sz w:val="24"/>
                <w:highlight w:val="none"/>
              </w:rPr>
              <w:t>①一般固废暂存间</w:t>
            </w:r>
          </w:p>
          <w:p>
            <w:pPr>
              <w:spacing w:line="360" w:lineRule="auto"/>
              <w:ind w:firstLine="480" w:firstLineChars="200"/>
              <w:rPr>
                <w:rFonts w:ascii="Times New Roman" w:hAnsi="Times New Roman" w:eastAsia="宋体" w:cs="Times New Roman"/>
                <w:color w:val="auto"/>
                <w:sz w:val="24"/>
                <w:highlight w:val="none"/>
              </w:rPr>
            </w:pPr>
            <w:r>
              <w:rPr>
                <w:rFonts w:ascii="Times New Roman" w:hAnsi="Times New Roman" w:eastAsia="宋体" w:cs="Times New Roman"/>
                <w:color w:val="auto"/>
                <w:sz w:val="24"/>
                <w:highlight w:val="none"/>
              </w:rPr>
              <w:t>一般固废暂存间按照《一般工业固体废物贮存和填埋污染控制标准》(GB18599-2020)要求设置，一般工业固体废物不得露天堆放，应做好放风、防雨、防晒设施，防外水入侵要求。</w:t>
            </w:r>
          </w:p>
          <w:p>
            <w:pPr>
              <w:spacing w:line="360" w:lineRule="auto"/>
              <w:ind w:firstLine="480" w:firstLineChars="200"/>
              <w:rPr>
                <w:rFonts w:ascii="Times New Roman" w:hAnsi="Times New Roman" w:eastAsia="宋体" w:cs="Times New Roman"/>
                <w:color w:val="auto"/>
                <w:sz w:val="24"/>
                <w:highlight w:val="none"/>
              </w:rPr>
            </w:pPr>
            <w:r>
              <w:rPr>
                <w:rFonts w:ascii="Times New Roman" w:hAnsi="Times New Roman" w:eastAsia="宋体" w:cs="Times New Roman"/>
                <w:color w:val="auto"/>
                <w:sz w:val="24"/>
                <w:highlight w:val="none"/>
              </w:rPr>
              <w:t>②危废暂存库</w:t>
            </w:r>
          </w:p>
          <w:p>
            <w:pPr>
              <w:spacing w:line="360" w:lineRule="auto"/>
              <w:ind w:firstLine="480" w:firstLineChars="200"/>
              <w:rPr>
                <w:rFonts w:ascii="Times New Roman" w:hAnsi="Times New Roman" w:eastAsia="宋体" w:cs="Times New Roman"/>
                <w:color w:val="auto"/>
                <w:sz w:val="24"/>
                <w:highlight w:val="none"/>
              </w:rPr>
            </w:pPr>
            <w:r>
              <w:rPr>
                <w:rFonts w:ascii="Times New Roman" w:hAnsi="Times New Roman" w:eastAsia="宋体" w:cs="Times New Roman"/>
                <w:color w:val="auto"/>
                <w:sz w:val="24"/>
                <w:highlight w:val="none"/>
              </w:rPr>
              <w:t>a、库房内部各类危废划区堆放；同时应建有堵截泄漏的裙脚；地面与裙脚要用坚固防渗的材料建造；应有隔离设施、报警装置和防风、防晒、防雨设施。</w:t>
            </w:r>
          </w:p>
          <w:p>
            <w:pPr>
              <w:spacing w:line="360" w:lineRule="auto"/>
              <w:ind w:firstLine="480" w:firstLineChars="200"/>
              <w:rPr>
                <w:rStyle w:val="22"/>
                <w:color w:val="auto"/>
                <w:highlight w:val="none"/>
              </w:rPr>
            </w:pPr>
            <w:r>
              <w:rPr>
                <w:rFonts w:ascii="Times New Roman" w:hAnsi="Times New Roman" w:eastAsia="宋体" w:cs="Times New Roman"/>
                <w:color w:val="auto"/>
                <w:sz w:val="24"/>
                <w:highlight w:val="none"/>
              </w:rPr>
              <w:t>b、各类危废干湿分区，不同种类危废存放区域贴/挂标示标牌。</w:t>
            </w:r>
          </w:p>
          <w:p>
            <w:pPr>
              <w:spacing w:line="360" w:lineRule="auto"/>
              <w:ind w:firstLine="480" w:firstLineChars="200"/>
              <w:rPr>
                <w:rFonts w:ascii="Times New Roman" w:hAnsi="Times New Roman" w:eastAsia="宋体" w:cs="Times New Roman"/>
                <w:color w:val="auto"/>
                <w:sz w:val="24"/>
                <w:highlight w:val="none"/>
              </w:rPr>
            </w:pPr>
            <w:r>
              <w:rPr>
                <w:rFonts w:hint="eastAsia" w:ascii="Times New Roman" w:hAnsi="Times New Roman" w:eastAsia="宋体" w:cs="Times New Roman"/>
                <w:color w:val="auto"/>
                <w:sz w:val="24"/>
                <w:highlight w:val="none"/>
                <w:lang w:val="en-US" w:eastAsia="zh-CN"/>
              </w:rPr>
              <w:t>c、危废库内</w:t>
            </w:r>
            <w:r>
              <w:rPr>
                <w:rFonts w:ascii="Times New Roman" w:hAnsi="Times New Roman" w:eastAsia="宋体" w:cs="Times New Roman"/>
                <w:color w:val="auto"/>
                <w:sz w:val="24"/>
                <w:highlight w:val="none"/>
              </w:rPr>
              <w:t>地面进行防腐、防渗处理，参照《危险废物贮存污染控制标准》（GB18597-2023）相关要求，基础防渗层为黏土层时，其厚度应达1m以上，渗透系数应小于10</w:t>
            </w:r>
            <w:r>
              <w:rPr>
                <w:rFonts w:ascii="Times New Roman" w:hAnsi="Times New Roman" w:eastAsia="宋体" w:cs="Times New Roman"/>
                <w:color w:val="auto"/>
                <w:sz w:val="24"/>
                <w:highlight w:val="none"/>
                <w:vertAlign w:val="superscript"/>
              </w:rPr>
              <w:t>-7</w:t>
            </w:r>
            <w:r>
              <w:rPr>
                <w:rFonts w:ascii="Times New Roman" w:hAnsi="Times New Roman" w:eastAsia="宋体" w:cs="Times New Roman"/>
                <w:color w:val="auto"/>
                <w:sz w:val="24"/>
                <w:highlight w:val="none"/>
              </w:rPr>
              <w:t>cm/s；基础防渗层亦可用厚度2mm以上的高密度聚乙烯和其他人工防渗材料组成，渗透系数应小于10</w:t>
            </w:r>
            <w:r>
              <w:rPr>
                <w:rFonts w:ascii="Times New Roman" w:hAnsi="Times New Roman" w:eastAsia="宋体" w:cs="Times New Roman"/>
                <w:color w:val="auto"/>
                <w:sz w:val="24"/>
                <w:highlight w:val="none"/>
                <w:vertAlign w:val="superscript"/>
              </w:rPr>
              <w:t>-1</w:t>
            </w:r>
            <w:r>
              <w:rPr>
                <w:rFonts w:ascii="Times New Roman" w:hAnsi="Times New Roman" w:eastAsia="宋体" w:cs="Times New Roman"/>
                <w:color w:val="auto"/>
                <w:sz w:val="24"/>
                <w:highlight w:val="none"/>
              </w:rPr>
              <w:t>cm/s。</w:t>
            </w:r>
          </w:p>
          <w:p>
            <w:pPr>
              <w:spacing w:line="360" w:lineRule="auto"/>
              <w:ind w:firstLine="480" w:firstLineChars="200"/>
              <w:rPr>
                <w:rFonts w:ascii="Times New Roman" w:hAnsi="Times New Roman" w:eastAsia="宋体" w:cs="Times New Roman"/>
                <w:color w:val="auto"/>
                <w:sz w:val="24"/>
                <w:highlight w:val="none"/>
              </w:rPr>
            </w:pPr>
            <w:r>
              <w:rPr>
                <w:rFonts w:ascii="Times New Roman" w:hAnsi="Times New Roman" w:eastAsia="宋体" w:cs="Times New Roman"/>
                <w:color w:val="auto"/>
                <w:sz w:val="24"/>
                <w:highlight w:val="none"/>
              </w:rPr>
              <w:t>d、湿区出入口设置围挡，内部地面四周设渗滤液收集沟并汇流于一处收集槽，内置空桶，用于收集日常产生的少量渗滤液，收集后做危废处置。</w:t>
            </w:r>
          </w:p>
          <w:p>
            <w:pPr>
              <w:spacing w:line="360" w:lineRule="auto"/>
              <w:ind w:firstLine="480" w:firstLineChars="200"/>
              <w:rPr>
                <w:rFonts w:ascii="Times New Roman" w:hAnsi="Times New Roman" w:eastAsia="宋体" w:cs="Times New Roman"/>
                <w:color w:val="auto"/>
                <w:sz w:val="24"/>
                <w:highlight w:val="none"/>
              </w:rPr>
            </w:pPr>
            <w:r>
              <w:rPr>
                <w:rFonts w:ascii="Times New Roman" w:hAnsi="Times New Roman" w:eastAsia="宋体" w:cs="Times New Roman"/>
                <w:color w:val="auto"/>
                <w:sz w:val="24"/>
                <w:highlight w:val="none"/>
              </w:rPr>
              <w:t>e、暂存区外围周边贴挂明显的标示标牌，注明主要暂存危废的种类、数量、危废编号等信息。</w:t>
            </w:r>
          </w:p>
          <w:p>
            <w:pPr>
              <w:spacing w:line="360" w:lineRule="auto"/>
              <w:ind w:firstLine="480" w:firstLineChars="200"/>
              <w:rPr>
                <w:rFonts w:ascii="Times New Roman" w:hAnsi="Times New Roman" w:eastAsia="宋体" w:cs="Times New Roman"/>
                <w:color w:val="auto"/>
                <w:sz w:val="24"/>
                <w:highlight w:val="none"/>
              </w:rPr>
            </w:pPr>
            <w:r>
              <w:rPr>
                <w:rFonts w:ascii="Times New Roman" w:hAnsi="Times New Roman" w:eastAsia="宋体" w:cs="Times New Roman"/>
                <w:color w:val="auto"/>
                <w:sz w:val="24"/>
                <w:highlight w:val="none"/>
              </w:rPr>
              <w:t>f、合理选择危废包装物。危废贮存容器、材质满足相应的强度要求，日常确保完好无损；容器材质和衬里与危险废物相容；盛装液体废物的桶开孔直径应不超过70mm，并有放气孔。</w:t>
            </w:r>
          </w:p>
          <w:p>
            <w:pPr>
              <w:spacing w:line="360" w:lineRule="auto"/>
              <w:ind w:firstLine="480" w:firstLineChars="200"/>
              <w:rPr>
                <w:rFonts w:ascii="Times New Roman" w:hAnsi="Times New Roman" w:eastAsia="宋体" w:cs="Times New Roman"/>
                <w:color w:val="auto"/>
                <w:sz w:val="24"/>
                <w:highlight w:val="none"/>
              </w:rPr>
            </w:pPr>
            <w:r>
              <w:rPr>
                <w:rFonts w:ascii="Times New Roman" w:hAnsi="Times New Roman" w:eastAsia="宋体" w:cs="Times New Roman"/>
                <w:color w:val="auto"/>
                <w:sz w:val="24"/>
                <w:highlight w:val="none"/>
              </w:rPr>
              <w:t>（2）运输过程污染防治措施</w:t>
            </w:r>
          </w:p>
          <w:p>
            <w:pPr>
              <w:spacing w:line="360" w:lineRule="auto"/>
              <w:ind w:firstLine="480" w:firstLineChars="200"/>
              <w:rPr>
                <w:rFonts w:ascii="Times New Roman" w:hAnsi="Times New Roman" w:eastAsia="宋体" w:cs="Times New Roman"/>
                <w:color w:val="auto"/>
                <w:sz w:val="24"/>
                <w:highlight w:val="none"/>
              </w:rPr>
            </w:pPr>
            <w:r>
              <w:rPr>
                <w:rFonts w:ascii="Times New Roman" w:hAnsi="Times New Roman" w:eastAsia="宋体" w:cs="Times New Roman"/>
                <w:color w:val="auto"/>
                <w:sz w:val="24"/>
                <w:highlight w:val="none"/>
              </w:rPr>
              <w:t>项目所处理的危险废物采用专门的车辆，密闭运输，严格禁止抛洒滴漏，杜绝在运输过程中造成环境的二次污染。在危险废物的运输中执行《危险废物转移联单管理办法》中有关的规定和要求。</w:t>
            </w:r>
          </w:p>
          <w:p>
            <w:pPr>
              <w:spacing w:line="360" w:lineRule="auto"/>
              <w:ind w:firstLine="480" w:firstLineChars="200"/>
              <w:rPr>
                <w:rFonts w:ascii="Times New Roman" w:hAnsi="Times New Roman" w:eastAsia="宋体" w:cs="Times New Roman"/>
                <w:color w:val="auto"/>
                <w:sz w:val="24"/>
                <w:highlight w:val="none"/>
              </w:rPr>
            </w:pPr>
            <w:r>
              <w:rPr>
                <w:rFonts w:ascii="Times New Roman" w:hAnsi="Times New Roman" w:eastAsia="宋体" w:cs="Times New Roman"/>
                <w:color w:val="auto"/>
                <w:sz w:val="24"/>
                <w:highlight w:val="none"/>
              </w:rPr>
              <w:t>（3）日常管理要求</w:t>
            </w:r>
          </w:p>
          <w:p>
            <w:pPr>
              <w:spacing w:line="360" w:lineRule="auto"/>
              <w:ind w:firstLine="480" w:firstLineChars="200"/>
              <w:rPr>
                <w:rFonts w:ascii="Times New Roman" w:hAnsi="Times New Roman" w:eastAsia="宋体" w:cs="Times New Roman"/>
                <w:color w:val="auto"/>
                <w:sz w:val="24"/>
                <w:highlight w:val="none"/>
              </w:rPr>
            </w:pPr>
            <w:r>
              <w:rPr>
                <w:rFonts w:ascii="Times New Roman" w:hAnsi="Times New Roman" w:eastAsia="宋体" w:cs="Times New Roman"/>
                <w:color w:val="auto"/>
                <w:sz w:val="24"/>
                <w:highlight w:val="none"/>
              </w:rPr>
              <w:t>项目固废处置时，尽可能采用减量化、资源化利用措施。委托处置的应与处置单位签订委托处理合同，报生态环境主管部门备案。危险废物转移需执行报批和转移联单等制度。各固废在外运处置前，须在厂内安全暂存，确保固废不产生二次污染。</w:t>
            </w:r>
          </w:p>
          <w:p>
            <w:pPr>
              <w:spacing w:line="360" w:lineRule="auto"/>
              <w:ind w:firstLine="480" w:firstLineChars="200"/>
              <w:rPr>
                <w:rFonts w:ascii="Times New Roman" w:hAnsi="Times New Roman" w:eastAsia="宋体" w:cs="Times New Roman"/>
                <w:color w:val="auto"/>
                <w:sz w:val="24"/>
                <w:highlight w:val="none"/>
              </w:rPr>
            </w:pPr>
            <w:r>
              <w:rPr>
                <w:rFonts w:ascii="Times New Roman" w:hAnsi="Times New Roman" w:eastAsia="宋体" w:cs="Times New Roman"/>
                <w:color w:val="auto"/>
                <w:sz w:val="24"/>
                <w:highlight w:val="none"/>
              </w:rPr>
              <w:t>①履行申报登记制度；</w:t>
            </w:r>
          </w:p>
          <w:p>
            <w:pPr>
              <w:spacing w:line="360" w:lineRule="auto"/>
              <w:ind w:firstLine="480" w:firstLineChars="200"/>
              <w:rPr>
                <w:rFonts w:ascii="Times New Roman" w:hAnsi="Times New Roman" w:eastAsia="宋体" w:cs="Times New Roman"/>
                <w:color w:val="auto"/>
                <w:sz w:val="24"/>
                <w:highlight w:val="none"/>
              </w:rPr>
            </w:pPr>
            <w:r>
              <w:rPr>
                <w:rFonts w:ascii="Times New Roman" w:hAnsi="Times New Roman" w:eastAsia="宋体" w:cs="Times New Roman"/>
                <w:color w:val="auto"/>
                <w:sz w:val="24"/>
                <w:highlight w:val="none"/>
              </w:rPr>
              <w:t>②建立台账管理制度，企业须做好危险废物情况的记录，记录上需注明危险废物的名称、来源、数量、特性和包装容器的类别；</w:t>
            </w:r>
          </w:p>
          <w:p>
            <w:pPr>
              <w:spacing w:line="360" w:lineRule="auto"/>
              <w:ind w:firstLine="480" w:firstLineChars="200"/>
              <w:rPr>
                <w:rFonts w:ascii="Times New Roman" w:hAnsi="Times New Roman" w:eastAsia="宋体" w:cs="Times New Roman"/>
                <w:color w:val="auto"/>
                <w:sz w:val="24"/>
                <w:highlight w:val="none"/>
              </w:rPr>
            </w:pPr>
            <w:r>
              <w:rPr>
                <w:rFonts w:ascii="Times New Roman" w:hAnsi="Times New Roman" w:eastAsia="宋体" w:cs="Times New Roman"/>
                <w:color w:val="auto"/>
                <w:sz w:val="24"/>
                <w:highlight w:val="none"/>
              </w:rPr>
              <w:t>③委托处置应执行报批和转移联单等制度；</w:t>
            </w:r>
          </w:p>
          <w:p>
            <w:pPr>
              <w:spacing w:line="360" w:lineRule="auto"/>
              <w:ind w:firstLine="480" w:firstLineChars="200"/>
              <w:rPr>
                <w:rFonts w:ascii="Times New Roman" w:hAnsi="Times New Roman" w:eastAsia="宋体" w:cs="Times New Roman"/>
                <w:color w:val="auto"/>
                <w:sz w:val="24"/>
                <w:highlight w:val="none"/>
              </w:rPr>
            </w:pPr>
            <w:r>
              <w:rPr>
                <w:rFonts w:ascii="Times New Roman" w:hAnsi="Times New Roman" w:eastAsia="宋体" w:cs="Times New Roman"/>
                <w:color w:val="auto"/>
                <w:sz w:val="24"/>
                <w:highlight w:val="none"/>
              </w:rPr>
              <w:t>④定期对暂存的危险废物包装容器及贮存设施进行检查，及早发现破损，及时采取措施清理更换；</w:t>
            </w:r>
          </w:p>
          <w:p>
            <w:pPr>
              <w:spacing w:line="360" w:lineRule="auto"/>
              <w:ind w:firstLine="480" w:firstLineChars="200"/>
              <w:rPr>
                <w:rFonts w:ascii="Times New Roman" w:hAnsi="Times New Roman" w:eastAsia="宋体" w:cs="Times New Roman"/>
                <w:color w:val="auto"/>
                <w:sz w:val="24"/>
                <w:highlight w:val="none"/>
              </w:rPr>
            </w:pPr>
            <w:r>
              <w:rPr>
                <w:rFonts w:ascii="Times New Roman" w:hAnsi="Times New Roman" w:eastAsia="宋体" w:cs="Times New Roman"/>
                <w:color w:val="auto"/>
                <w:sz w:val="24"/>
                <w:highlight w:val="none"/>
              </w:rPr>
              <w:t>⑤直接从事收集、贮存、运输、利用、处置危险废物的人员，应当接受专业培训，经考核合格，方可从事该项工作；</w:t>
            </w:r>
          </w:p>
          <w:p>
            <w:pPr>
              <w:spacing w:line="360" w:lineRule="auto"/>
              <w:ind w:firstLine="480" w:firstLineChars="200"/>
              <w:rPr>
                <w:rFonts w:ascii="Times New Roman" w:hAnsi="Times New Roman" w:eastAsia="宋体" w:cs="Times New Roman"/>
                <w:color w:val="auto"/>
                <w:sz w:val="24"/>
                <w:highlight w:val="none"/>
              </w:rPr>
            </w:pPr>
            <w:r>
              <w:rPr>
                <w:rFonts w:ascii="Times New Roman" w:hAnsi="Times New Roman" w:eastAsia="宋体" w:cs="Times New Roman"/>
                <w:color w:val="auto"/>
                <w:sz w:val="24"/>
                <w:highlight w:val="none"/>
              </w:rPr>
              <w:t>⑥固废贮存（处置）场所规范化设置，固体废物贮存（处置）场所应在醒目处设置标志牌；</w:t>
            </w:r>
          </w:p>
          <w:p>
            <w:pPr>
              <w:spacing w:line="360" w:lineRule="auto"/>
              <w:ind w:firstLine="480" w:firstLineChars="200"/>
              <w:rPr>
                <w:rFonts w:ascii="Times New Roman" w:hAnsi="Times New Roman" w:eastAsia="宋体" w:cs="Times New Roman"/>
                <w:color w:val="auto"/>
                <w:sz w:val="24"/>
                <w:highlight w:val="none"/>
              </w:rPr>
            </w:pPr>
            <w:r>
              <w:rPr>
                <w:rFonts w:ascii="Times New Roman" w:hAnsi="Times New Roman" w:eastAsia="宋体" w:cs="Times New Roman"/>
                <w:color w:val="auto"/>
                <w:sz w:val="24"/>
                <w:highlight w:val="none"/>
              </w:rPr>
              <w:t>⑦危废应根据其化学特性选择合适的容器和存放地点，通过密闭容器存放，不可混合贮存，容器标签必须标明废物种类、贮存时间，定期处理；</w:t>
            </w:r>
          </w:p>
          <w:p>
            <w:pPr>
              <w:spacing w:line="360" w:lineRule="auto"/>
              <w:ind w:firstLine="480" w:firstLineChars="200"/>
              <w:rPr>
                <w:rFonts w:ascii="Times New Roman" w:hAnsi="Times New Roman" w:eastAsia="宋体" w:cs="Times New Roman"/>
                <w:color w:val="auto"/>
                <w:sz w:val="24"/>
                <w:highlight w:val="none"/>
              </w:rPr>
            </w:pPr>
            <w:r>
              <w:rPr>
                <w:rFonts w:ascii="Times New Roman" w:hAnsi="Times New Roman" w:eastAsia="宋体" w:cs="Times New Roman"/>
                <w:color w:val="auto"/>
                <w:sz w:val="24"/>
                <w:highlight w:val="none"/>
              </w:rPr>
              <w:t>⑧危险废物产生单位在关键位置设置在线视频监控，企业应指定专人专职维护视频监控设施运行，定期巡视并做好相应的监控运行、维修、使用记录，保持摄像头表面整洁干净、监控拍摄位置正确、监控设施完好无损，确保视频传输图像清晰、监控设备正常稳定运行。</w:t>
            </w:r>
          </w:p>
          <w:p>
            <w:pPr>
              <w:spacing w:line="360" w:lineRule="auto"/>
              <w:ind w:firstLine="482" w:firstLineChars="200"/>
              <w:rPr>
                <w:rFonts w:ascii="Times New Roman" w:hAnsi="Times New Roman" w:eastAsia="宋体" w:cs="Times New Roman"/>
                <w:b/>
                <w:snapToGrid w:val="0"/>
                <w:color w:val="auto"/>
                <w:sz w:val="24"/>
                <w:szCs w:val="24"/>
                <w:highlight w:val="none"/>
              </w:rPr>
            </w:pPr>
            <w:r>
              <w:rPr>
                <w:rFonts w:ascii="Times New Roman" w:hAnsi="Times New Roman" w:eastAsia="宋体" w:cs="Times New Roman"/>
                <w:b/>
                <w:snapToGrid w:val="0"/>
                <w:color w:val="auto"/>
                <w:sz w:val="24"/>
                <w:szCs w:val="24"/>
                <w:highlight w:val="none"/>
              </w:rPr>
              <w:t>视频监控设施的必要性分析</w:t>
            </w:r>
          </w:p>
          <w:p>
            <w:pPr>
              <w:spacing w:line="360" w:lineRule="auto"/>
              <w:ind w:firstLine="480" w:firstLineChars="200"/>
              <w:rPr>
                <w:rFonts w:ascii="Times New Roman" w:hAnsi="Times New Roman" w:eastAsia="宋体" w:cs="Times New Roman"/>
                <w:color w:val="auto"/>
                <w:sz w:val="24"/>
                <w:highlight w:val="none"/>
              </w:rPr>
            </w:pPr>
            <w:r>
              <w:rPr>
                <w:rFonts w:ascii="Times New Roman" w:hAnsi="Times New Roman" w:eastAsia="宋体" w:cs="Times New Roman"/>
                <w:color w:val="auto"/>
                <w:sz w:val="24"/>
                <w:highlight w:val="none"/>
              </w:rPr>
              <w:t>本项目原料和产生的危废中机油和废机油易燃，并且当机油和废机油存装装置破损导致泄漏，会对地表水、土壤、大气环境造成污染。因此，需在原料库、危废暂存库和厂区重要位置安装视频监控设施。此外，安装视频监控设施能减少被盗、抢劫等暴力突发案件发生，即使发生也可以通过监控找出嫌犯，保护员工财产安全。</w:t>
            </w:r>
          </w:p>
          <w:p>
            <w:pPr>
              <w:spacing w:line="360" w:lineRule="auto"/>
              <w:ind w:firstLine="480" w:firstLineChars="200"/>
              <w:rPr>
                <w:rFonts w:ascii="Times New Roman" w:hAnsi="Times New Roman" w:eastAsia="宋体" w:cs="Times New Roman"/>
                <w:color w:val="auto"/>
                <w:sz w:val="24"/>
                <w:highlight w:val="none"/>
              </w:rPr>
            </w:pPr>
            <w:r>
              <w:rPr>
                <w:rFonts w:ascii="Times New Roman" w:hAnsi="Times New Roman" w:eastAsia="宋体" w:cs="Times New Roman"/>
                <w:color w:val="auto"/>
                <w:sz w:val="24"/>
                <w:highlight w:val="none"/>
              </w:rPr>
              <w:t>综上所述，厂区内安装视频监控设施是必要的。</w:t>
            </w:r>
          </w:p>
          <w:p>
            <w:pPr>
              <w:spacing w:line="360" w:lineRule="auto"/>
              <w:ind w:firstLine="482" w:firstLineChars="200"/>
              <w:rPr>
                <w:rFonts w:ascii="Times New Roman" w:hAnsi="Times New Roman" w:eastAsia="宋体" w:cs="Times New Roman"/>
                <w:snapToGrid w:val="0"/>
                <w:color w:val="auto"/>
                <w:sz w:val="24"/>
                <w:szCs w:val="24"/>
                <w:highlight w:val="none"/>
              </w:rPr>
            </w:pPr>
            <w:r>
              <w:rPr>
                <w:rFonts w:ascii="Times New Roman" w:hAnsi="Times New Roman" w:eastAsia="宋体" w:cs="Times New Roman"/>
                <w:b/>
                <w:snapToGrid w:val="0"/>
                <w:color w:val="auto"/>
                <w:sz w:val="24"/>
                <w:szCs w:val="24"/>
                <w:highlight w:val="none"/>
              </w:rPr>
              <w:t>5、土壤、</w:t>
            </w:r>
            <w:r>
              <w:rPr>
                <w:rFonts w:ascii="Times New Roman" w:hAnsi="Times New Roman" w:eastAsia="宋体" w:cs="Times New Roman"/>
                <w:b/>
                <w:color w:val="auto"/>
                <w:sz w:val="24"/>
                <w:szCs w:val="24"/>
                <w:highlight w:val="none"/>
              </w:rPr>
              <w:t>地下水环境影响和保护措施</w:t>
            </w:r>
          </w:p>
          <w:p>
            <w:pPr>
              <w:spacing w:line="360" w:lineRule="auto"/>
              <w:ind w:firstLine="480" w:firstLineChars="200"/>
              <w:rPr>
                <w:rFonts w:ascii="Times New Roman" w:hAnsi="Times New Roman" w:eastAsia="宋体" w:cs="Times New Roman"/>
                <w:bCs/>
                <w:color w:val="auto"/>
                <w:sz w:val="24"/>
                <w:highlight w:val="none"/>
                <w:lang w:val="en-GB"/>
              </w:rPr>
            </w:pPr>
            <w:r>
              <w:rPr>
                <w:rFonts w:ascii="Times New Roman" w:hAnsi="Times New Roman" w:eastAsia="宋体" w:cs="Times New Roman"/>
                <w:color w:val="auto"/>
                <w:sz w:val="24"/>
                <w:szCs w:val="24"/>
                <w:highlight w:val="none"/>
              </w:rPr>
              <w:t>项目正常生产情况下，排水实行雨污分流制。</w:t>
            </w:r>
            <w:r>
              <w:rPr>
                <w:rFonts w:ascii="Times New Roman" w:hAnsi="Times New Roman" w:eastAsia="宋体" w:cs="Times New Roman"/>
                <w:color w:val="auto"/>
                <w:sz w:val="24"/>
                <w:szCs w:val="24"/>
                <w:highlight w:val="none"/>
                <w:lang w:val="en-GB"/>
              </w:rPr>
              <w:t>本项目雨水排入市政雨水管网；</w:t>
            </w:r>
            <w:r>
              <w:rPr>
                <w:rFonts w:ascii="Times New Roman" w:hAnsi="Times New Roman" w:eastAsia="宋体" w:cs="Times New Roman"/>
                <w:color w:val="auto"/>
                <w:sz w:val="24"/>
                <w:szCs w:val="24"/>
                <w:highlight w:val="none"/>
              </w:rPr>
              <w:t>生活污水经化粪池处理后接管至市政污水管网，送至八公山污水处理厂处理后排入淮河</w:t>
            </w:r>
            <w:r>
              <w:rPr>
                <w:rFonts w:ascii="Times New Roman" w:hAnsi="Times New Roman" w:eastAsia="宋体" w:cs="Times New Roman"/>
                <w:bCs/>
                <w:color w:val="auto"/>
                <w:sz w:val="24"/>
                <w:highlight w:val="none"/>
              </w:rPr>
              <w:t>。</w:t>
            </w:r>
          </w:p>
          <w:p>
            <w:pPr>
              <w:spacing w:line="360" w:lineRule="auto"/>
              <w:ind w:firstLine="480" w:firstLineChars="200"/>
              <w:rPr>
                <w:rFonts w:ascii="Times New Roman" w:hAnsi="Times New Roman" w:eastAsia="宋体" w:cs="Times New Roman"/>
                <w:snapToGrid w:val="0"/>
                <w:color w:val="auto"/>
                <w:sz w:val="24"/>
                <w:highlight w:val="none"/>
              </w:rPr>
            </w:pPr>
            <w:r>
              <w:rPr>
                <w:rFonts w:ascii="Times New Roman" w:hAnsi="Times New Roman" w:eastAsia="宋体" w:cs="Times New Roman"/>
                <w:snapToGrid w:val="0"/>
                <w:color w:val="auto"/>
                <w:sz w:val="24"/>
                <w:highlight w:val="none"/>
              </w:rPr>
              <w:t>为防止本项目污染地下水、土壤，在项目设计和施工过程中，应对厂区进行专项防渗设计和分区防渗处理。根据《环境影响评价技术导则 地下水环境》(HJ 610-2016)，污染防治区可分为重点防渗区、一般防渗区和简单防渗区。</w:t>
            </w:r>
          </w:p>
          <w:p>
            <w:pPr>
              <w:spacing w:line="360" w:lineRule="auto"/>
              <w:ind w:firstLine="480" w:firstLineChars="200"/>
              <w:rPr>
                <w:rFonts w:ascii="Times New Roman" w:hAnsi="Times New Roman" w:eastAsia="宋体" w:cs="Times New Roman"/>
                <w:color w:val="auto"/>
                <w:sz w:val="24"/>
                <w:szCs w:val="20"/>
                <w:highlight w:val="none"/>
              </w:rPr>
            </w:pPr>
            <w:r>
              <w:rPr>
                <w:rFonts w:ascii="Times New Roman" w:hAnsi="Times New Roman" w:eastAsia="宋体" w:cs="Times New Roman"/>
                <w:snapToGrid w:val="0"/>
                <w:color w:val="auto"/>
                <w:sz w:val="24"/>
                <w:highlight w:val="none"/>
              </w:rPr>
              <w:t>参照（HJ 610-2016）要求，并根据厂区可能泄露至地面区域污染物的性质以及各设施及建构筑物污染物难易控制程度进行分级，本项目分区防渗情况如下。</w:t>
            </w:r>
          </w:p>
          <w:p>
            <w:pPr>
              <w:spacing w:line="360" w:lineRule="auto"/>
              <w:ind w:firstLine="480" w:firstLineChars="200"/>
              <w:rPr>
                <w:rFonts w:ascii="Times New Roman" w:hAnsi="Times New Roman" w:eastAsia="宋体" w:cs="Times New Roman"/>
                <w:color w:val="auto"/>
                <w:sz w:val="24"/>
                <w:szCs w:val="20"/>
                <w:highlight w:val="none"/>
              </w:rPr>
            </w:pPr>
            <w:r>
              <w:rPr>
                <w:rFonts w:ascii="Times New Roman" w:hAnsi="Times New Roman" w:eastAsia="宋体" w:cs="Times New Roman"/>
                <w:color w:val="auto"/>
                <w:sz w:val="24"/>
                <w:szCs w:val="20"/>
                <w:highlight w:val="none"/>
              </w:rPr>
              <w:t>重点防渗区：重点防渗区指可能会对地下水和土壤造成污染，风险程度较高，需要重点防治的区域，主要为危废暂存库化粪池区域。重点防渗区的防渗技术要求为等效黏土防渗层Mb≥6.0m，K≤10</w:t>
            </w:r>
            <w:r>
              <w:rPr>
                <w:rFonts w:ascii="Times New Roman" w:hAnsi="Times New Roman" w:eastAsia="宋体" w:cs="Times New Roman"/>
                <w:color w:val="auto"/>
                <w:sz w:val="24"/>
                <w:szCs w:val="20"/>
                <w:highlight w:val="none"/>
                <w:vertAlign w:val="superscript"/>
              </w:rPr>
              <w:t>-7</w:t>
            </w:r>
            <w:r>
              <w:rPr>
                <w:rFonts w:ascii="Times New Roman" w:hAnsi="Times New Roman" w:eastAsia="宋体" w:cs="Times New Roman"/>
                <w:color w:val="auto"/>
                <w:sz w:val="24"/>
                <w:szCs w:val="20"/>
                <w:highlight w:val="none"/>
              </w:rPr>
              <w:t>cm/s。其中危废暂存库还需要满足《危险废物贮存污染控制标准》（GB18597-2023）中防渗要求：基础必须防渗，防渗层为至少1m厚粘土层（渗透系数K≤10</w:t>
            </w:r>
            <w:r>
              <w:rPr>
                <w:rFonts w:ascii="Times New Roman" w:hAnsi="Times New Roman" w:eastAsia="宋体" w:cs="Times New Roman"/>
                <w:color w:val="auto"/>
                <w:sz w:val="24"/>
                <w:szCs w:val="20"/>
                <w:highlight w:val="none"/>
                <w:vertAlign w:val="superscript"/>
              </w:rPr>
              <w:t>-7</w:t>
            </w:r>
            <w:r>
              <w:rPr>
                <w:rFonts w:ascii="Times New Roman" w:hAnsi="Times New Roman" w:eastAsia="宋体" w:cs="Times New Roman"/>
                <w:color w:val="auto"/>
                <w:sz w:val="24"/>
                <w:szCs w:val="20"/>
                <w:highlight w:val="none"/>
              </w:rPr>
              <w:t>cm/s），或2mm厚高密度聚乙烯，或至少2mm厚的其它人工材料，渗透系数K≤10</w:t>
            </w:r>
            <w:r>
              <w:rPr>
                <w:rFonts w:ascii="Times New Roman" w:hAnsi="Times New Roman" w:eastAsia="宋体" w:cs="Times New Roman"/>
                <w:color w:val="auto"/>
                <w:sz w:val="24"/>
                <w:szCs w:val="20"/>
                <w:highlight w:val="none"/>
                <w:vertAlign w:val="superscript"/>
              </w:rPr>
              <w:t>-10</w:t>
            </w:r>
            <w:r>
              <w:rPr>
                <w:rFonts w:ascii="Times New Roman" w:hAnsi="Times New Roman" w:eastAsia="宋体" w:cs="Times New Roman"/>
                <w:color w:val="auto"/>
                <w:sz w:val="24"/>
                <w:szCs w:val="20"/>
                <w:highlight w:val="none"/>
              </w:rPr>
              <w:t>cm/s。</w:t>
            </w:r>
          </w:p>
          <w:p>
            <w:pPr>
              <w:spacing w:line="360" w:lineRule="auto"/>
              <w:ind w:firstLine="480" w:firstLineChars="200"/>
              <w:rPr>
                <w:rFonts w:ascii="Times New Roman" w:hAnsi="Times New Roman" w:eastAsia="宋体" w:cs="Times New Roman"/>
                <w:color w:val="auto"/>
                <w:sz w:val="24"/>
                <w:szCs w:val="20"/>
                <w:highlight w:val="none"/>
              </w:rPr>
            </w:pPr>
            <w:r>
              <w:rPr>
                <w:rFonts w:ascii="Times New Roman" w:hAnsi="Times New Roman" w:eastAsia="宋体" w:cs="Times New Roman"/>
                <w:color w:val="auto"/>
                <w:sz w:val="24"/>
                <w:szCs w:val="20"/>
                <w:highlight w:val="none"/>
              </w:rPr>
              <w:t>一般防渗区：一般防渗区是指可能会对地下水和土壤造成污染，但危害性或风险程度相对较低的区域，主要为生产区域、养护区、一般固废暂存间。一般防渗区的防渗技术要求：等效黏土防渗层Mb≥1.5m，K≤10</w:t>
            </w:r>
            <w:r>
              <w:rPr>
                <w:rFonts w:ascii="Times New Roman" w:hAnsi="Times New Roman" w:eastAsia="宋体" w:cs="Times New Roman"/>
                <w:color w:val="auto"/>
                <w:sz w:val="24"/>
                <w:szCs w:val="20"/>
                <w:highlight w:val="none"/>
                <w:vertAlign w:val="superscript"/>
              </w:rPr>
              <w:t>-7</w:t>
            </w:r>
            <w:r>
              <w:rPr>
                <w:rFonts w:ascii="Times New Roman" w:hAnsi="Times New Roman" w:eastAsia="宋体" w:cs="Times New Roman"/>
                <w:color w:val="auto"/>
                <w:sz w:val="24"/>
                <w:szCs w:val="20"/>
                <w:highlight w:val="none"/>
              </w:rPr>
              <w:t>cm/s。</w:t>
            </w:r>
          </w:p>
          <w:p>
            <w:pPr>
              <w:wordWrap w:val="0"/>
              <w:autoSpaceDE w:val="0"/>
              <w:autoSpaceDN w:val="0"/>
              <w:spacing w:line="360" w:lineRule="auto"/>
              <w:ind w:firstLine="480" w:firstLineChars="200"/>
              <w:rPr>
                <w:rFonts w:ascii="Times New Roman" w:hAnsi="Times New Roman" w:eastAsia="宋体" w:cs="Times New Roman"/>
                <w:color w:val="auto"/>
                <w:kern w:val="0"/>
                <w:sz w:val="24"/>
                <w:szCs w:val="24"/>
                <w:highlight w:val="none"/>
              </w:rPr>
            </w:pPr>
            <w:r>
              <w:rPr>
                <w:rFonts w:ascii="Times New Roman" w:hAnsi="Times New Roman" w:eastAsia="宋体" w:cs="Times New Roman"/>
                <w:color w:val="auto"/>
                <w:kern w:val="0"/>
                <w:sz w:val="24"/>
                <w:szCs w:val="24"/>
                <w:highlight w:val="none"/>
              </w:rPr>
              <w:t>针对不同区域采取相应的防渗措施，具体见下表。</w:t>
            </w:r>
          </w:p>
          <w:p>
            <w:pPr>
              <w:adjustRightInd w:val="0"/>
              <w:spacing w:line="324" w:lineRule="auto"/>
              <w:jc w:val="center"/>
              <w:rPr>
                <w:rFonts w:ascii="Times New Roman" w:hAnsi="Times New Roman" w:eastAsia="黑体" w:cs="Times New Roman"/>
                <w:color w:val="auto"/>
                <w:sz w:val="24"/>
                <w:highlight w:val="none"/>
              </w:rPr>
            </w:pPr>
            <w:r>
              <w:rPr>
                <w:rFonts w:ascii="Times New Roman" w:hAnsi="Times New Roman" w:eastAsia="黑体" w:cs="Times New Roman"/>
                <w:color w:val="auto"/>
                <w:sz w:val="24"/>
                <w:highlight w:val="none"/>
              </w:rPr>
              <w:t>表4-13  本项目分区防渗一览表</w:t>
            </w:r>
          </w:p>
          <w:tbl>
            <w:tblPr>
              <w:tblStyle w:val="18"/>
              <w:tblW w:w="4998" w:type="pct"/>
              <w:tblInd w:w="0" w:type="dxa"/>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autofit"/>
              <w:tblCellMar>
                <w:top w:w="0" w:type="dxa"/>
                <w:left w:w="108" w:type="dxa"/>
                <w:bottom w:w="0" w:type="dxa"/>
                <w:right w:w="108" w:type="dxa"/>
              </w:tblCellMar>
            </w:tblPr>
            <w:tblGrid>
              <w:gridCol w:w="1755"/>
              <w:gridCol w:w="1527"/>
              <w:gridCol w:w="4621"/>
            </w:tblGrid>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1110" w:type="pct"/>
                  <w:tcBorders>
                    <w:top w:val="single" w:color="auto" w:sz="8" w:space="0"/>
                    <w:bottom w:val="single" w:color="auto" w:sz="4" w:space="0"/>
                    <w:right w:val="single" w:color="auto" w:sz="4" w:space="0"/>
                  </w:tcBorders>
                  <w:vAlign w:val="center"/>
                </w:tcPr>
                <w:p>
                  <w:pPr>
                    <w:autoSpaceDE w:val="0"/>
                    <w:autoSpaceDN w:val="0"/>
                    <w:spacing w:line="276" w:lineRule="auto"/>
                    <w:jc w:val="center"/>
                    <w:rPr>
                      <w:rFonts w:ascii="Times New Roman" w:hAnsi="Times New Roman" w:eastAsia="宋体" w:cs="Times New Roman"/>
                      <w:b/>
                      <w:color w:val="auto"/>
                      <w:kern w:val="0"/>
                      <w:sz w:val="18"/>
                      <w:szCs w:val="18"/>
                      <w:highlight w:val="none"/>
                    </w:rPr>
                  </w:pPr>
                  <w:r>
                    <w:rPr>
                      <w:rFonts w:ascii="Times New Roman" w:hAnsi="Times New Roman" w:eastAsia="宋体" w:cs="Times New Roman"/>
                      <w:b/>
                      <w:color w:val="auto"/>
                      <w:kern w:val="0"/>
                      <w:sz w:val="18"/>
                      <w:szCs w:val="18"/>
                      <w:highlight w:val="none"/>
                    </w:rPr>
                    <w:t>区域</w:t>
                  </w:r>
                </w:p>
              </w:tc>
              <w:tc>
                <w:tcPr>
                  <w:tcW w:w="966" w:type="pct"/>
                  <w:tcBorders>
                    <w:top w:val="single" w:color="auto" w:sz="8" w:space="0"/>
                    <w:left w:val="single" w:color="auto" w:sz="4" w:space="0"/>
                    <w:bottom w:val="single" w:color="auto" w:sz="4" w:space="0"/>
                    <w:right w:val="single" w:color="auto" w:sz="4" w:space="0"/>
                  </w:tcBorders>
                  <w:vAlign w:val="center"/>
                </w:tcPr>
                <w:p>
                  <w:pPr>
                    <w:autoSpaceDE w:val="0"/>
                    <w:autoSpaceDN w:val="0"/>
                    <w:spacing w:line="276" w:lineRule="auto"/>
                    <w:jc w:val="center"/>
                    <w:rPr>
                      <w:rFonts w:ascii="Times New Roman" w:hAnsi="Times New Roman" w:eastAsia="宋体" w:cs="Times New Roman"/>
                      <w:b/>
                      <w:color w:val="auto"/>
                      <w:kern w:val="0"/>
                      <w:sz w:val="18"/>
                      <w:szCs w:val="18"/>
                      <w:highlight w:val="none"/>
                    </w:rPr>
                  </w:pPr>
                  <w:r>
                    <w:rPr>
                      <w:rFonts w:ascii="Times New Roman" w:hAnsi="Times New Roman" w:eastAsia="宋体" w:cs="Times New Roman"/>
                      <w:b/>
                      <w:color w:val="auto"/>
                      <w:kern w:val="0"/>
                      <w:sz w:val="18"/>
                      <w:szCs w:val="18"/>
                      <w:highlight w:val="none"/>
                    </w:rPr>
                    <w:t>防渗等级</w:t>
                  </w:r>
                </w:p>
              </w:tc>
              <w:tc>
                <w:tcPr>
                  <w:tcW w:w="2923" w:type="pct"/>
                  <w:tcBorders>
                    <w:top w:val="single" w:color="auto" w:sz="8" w:space="0"/>
                    <w:left w:val="single" w:color="auto" w:sz="4" w:space="0"/>
                    <w:bottom w:val="single" w:color="auto" w:sz="4" w:space="0"/>
                  </w:tcBorders>
                  <w:vAlign w:val="center"/>
                </w:tcPr>
                <w:p>
                  <w:pPr>
                    <w:autoSpaceDE w:val="0"/>
                    <w:autoSpaceDN w:val="0"/>
                    <w:spacing w:line="276" w:lineRule="auto"/>
                    <w:jc w:val="center"/>
                    <w:rPr>
                      <w:rFonts w:ascii="Times New Roman" w:hAnsi="Times New Roman" w:eastAsia="宋体" w:cs="Times New Roman"/>
                      <w:b/>
                      <w:color w:val="auto"/>
                      <w:kern w:val="0"/>
                      <w:sz w:val="18"/>
                      <w:szCs w:val="18"/>
                      <w:highlight w:val="none"/>
                    </w:rPr>
                  </w:pPr>
                  <w:r>
                    <w:rPr>
                      <w:rFonts w:ascii="Times New Roman" w:hAnsi="Times New Roman" w:eastAsia="宋体" w:cs="Times New Roman"/>
                      <w:b/>
                      <w:color w:val="auto"/>
                      <w:kern w:val="0"/>
                      <w:sz w:val="18"/>
                      <w:szCs w:val="18"/>
                      <w:highlight w:val="none"/>
                    </w:rPr>
                    <w:t>防渗技术要求</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815" w:hRule="atLeast"/>
              </w:trPr>
              <w:tc>
                <w:tcPr>
                  <w:tcW w:w="1110" w:type="pct"/>
                  <w:tcBorders>
                    <w:top w:val="single" w:color="auto" w:sz="4" w:space="0"/>
                    <w:bottom w:val="single" w:color="auto" w:sz="4" w:space="0"/>
                    <w:right w:val="single" w:color="auto" w:sz="4" w:space="0"/>
                  </w:tcBorders>
                  <w:vAlign w:val="center"/>
                </w:tcPr>
                <w:p>
                  <w:pPr>
                    <w:autoSpaceDE w:val="0"/>
                    <w:autoSpaceDN w:val="0"/>
                    <w:spacing w:line="276" w:lineRule="auto"/>
                    <w:jc w:val="center"/>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危废暂存库</w:t>
                  </w:r>
                </w:p>
              </w:tc>
              <w:tc>
                <w:tcPr>
                  <w:tcW w:w="966"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276" w:lineRule="auto"/>
                    <w:jc w:val="center"/>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重点防渗区</w:t>
                  </w:r>
                </w:p>
              </w:tc>
              <w:tc>
                <w:tcPr>
                  <w:tcW w:w="2923" w:type="pct"/>
                  <w:tcBorders>
                    <w:top w:val="single" w:color="auto" w:sz="4" w:space="0"/>
                    <w:left w:val="single" w:color="auto" w:sz="4" w:space="0"/>
                    <w:bottom w:val="single" w:color="auto" w:sz="4" w:space="0"/>
                  </w:tcBorders>
                  <w:vAlign w:val="center"/>
                </w:tcPr>
                <w:p>
                  <w:pPr>
                    <w:autoSpaceDE w:val="0"/>
                    <w:autoSpaceDN w:val="0"/>
                    <w:spacing w:line="276" w:lineRule="auto"/>
                    <w:jc w:val="center"/>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参照《危险废物贮存污染控制标准》（GB18597-2023）中防渗要求执行，基础必须防渗，防渗层为至少1m厚粘土层（渗透系数≤10</w:t>
                  </w:r>
                  <w:r>
                    <w:rPr>
                      <w:rFonts w:ascii="Times New Roman" w:hAnsi="Times New Roman" w:eastAsia="宋体" w:cs="Times New Roman"/>
                      <w:color w:val="auto"/>
                      <w:kern w:val="0"/>
                      <w:sz w:val="18"/>
                      <w:szCs w:val="18"/>
                      <w:highlight w:val="none"/>
                      <w:vertAlign w:val="superscript"/>
                    </w:rPr>
                    <w:t>-7</w:t>
                  </w:r>
                  <w:r>
                    <w:rPr>
                      <w:rFonts w:ascii="Times New Roman" w:hAnsi="Times New Roman" w:eastAsia="宋体" w:cs="Times New Roman"/>
                      <w:color w:val="auto"/>
                      <w:kern w:val="0"/>
                      <w:sz w:val="18"/>
                      <w:szCs w:val="18"/>
                      <w:highlight w:val="none"/>
                    </w:rPr>
                    <w:t>cm/s），或2mm厚高密度聚乙烯，或至少2mm厚的其他人工材料，渗透系数≤10</w:t>
                  </w:r>
                  <w:r>
                    <w:rPr>
                      <w:rFonts w:ascii="Times New Roman" w:hAnsi="Times New Roman" w:eastAsia="宋体" w:cs="Times New Roman"/>
                      <w:color w:val="auto"/>
                      <w:kern w:val="0"/>
                      <w:sz w:val="18"/>
                      <w:szCs w:val="18"/>
                      <w:highlight w:val="none"/>
                      <w:vertAlign w:val="superscript"/>
                    </w:rPr>
                    <w:t>-10</w:t>
                  </w:r>
                  <w:r>
                    <w:rPr>
                      <w:rFonts w:ascii="Times New Roman" w:hAnsi="Times New Roman" w:eastAsia="宋体" w:cs="Times New Roman"/>
                      <w:color w:val="auto"/>
                      <w:kern w:val="0"/>
                      <w:sz w:val="18"/>
                      <w:szCs w:val="18"/>
                      <w:highlight w:val="none"/>
                    </w:rPr>
                    <w:t>cm/s</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1110" w:type="pct"/>
                  <w:tcBorders>
                    <w:top w:val="single" w:color="auto" w:sz="4" w:space="0"/>
                    <w:bottom w:val="single" w:color="auto" w:sz="8" w:space="0"/>
                    <w:right w:val="single" w:color="auto" w:sz="4" w:space="0"/>
                  </w:tcBorders>
                  <w:vAlign w:val="center"/>
                </w:tcPr>
                <w:p>
                  <w:pPr>
                    <w:autoSpaceDE w:val="0"/>
                    <w:autoSpaceDN w:val="0"/>
                    <w:spacing w:line="276" w:lineRule="auto"/>
                    <w:jc w:val="center"/>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生产车间、化粪池、一般固废暂存间</w:t>
                  </w:r>
                </w:p>
              </w:tc>
              <w:tc>
                <w:tcPr>
                  <w:tcW w:w="966" w:type="pct"/>
                  <w:tcBorders>
                    <w:top w:val="single" w:color="auto" w:sz="4" w:space="0"/>
                    <w:left w:val="single" w:color="auto" w:sz="4" w:space="0"/>
                    <w:bottom w:val="single" w:color="auto" w:sz="8" w:space="0"/>
                    <w:right w:val="single" w:color="auto" w:sz="4" w:space="0"/>
                  </w:tcBorders>
                  <w:vAlign w:val="center"/>
                </w:tcPr>
                <w:p>
                  <w:pPr>
                    <w:autoSpaceDE w:val="0"/>
                    <w:autoSpaceDN w:val="0"/>
                    <w:spacing w:line="276" w:lineRule="auto"/>
                    <w:jc w:val="center"/>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kern w:val="0"/>
                      <w:sz w:val="18"/>
                      <w:szCs w:val="18"/>
                      <w:highlight w:val="none"/>
                    </w:rPr>
                    <w:t>一般防渗区</w:t>
                  </w:r>
                </w:p>
              </w:tc>
              <w:tc>
                <w:tcPr>
                  <w:tcW w:w="2923" w:type="pct"/>
                  <w:tcBorders>
                    <w:top w:val="single" w:color="auto" w:sz="4" w:space="0"/>
                    <w:left w:val="single" w:color="auto" w:sz="4" w:space="0"/>
                    <w:bottom w:val="single" w:color="auto" w:sz="8" w:space="0"/>
                  </w:tcBorders>
                  <w:vAlign w:val="center"/>
                </w:tcPr>
                <w:p>
                  <w:pPr>
                    <w:autoSpaceDE w:val="0"/>
                    <w:autoSpaceDN w:val="0"/>
                    <w:spacing w:line="276" w:lineRule="auto"/>
                    <w:jc w:val="center"/>
                    <w:rPr>
                      <w:rFonts w:ascii="Times New Roman" w:hAnsi="Times New Roman" w:eastAsia="宋体" w:cs="Times New Roman"/>
                      <w:color w:val="auto"/>
                      <w:kern w:val="0"/>
                      <w:sz w:val="18"/>
                      <w:szCs w:val="18"/>
                      <w:highlight w:val="none"/>
                    </w:rPr>
                  </w:pPr>
                  <w:r>
                    <w:rPr>
                      <w:rFonts w:ascii="Times New Roman" w:hAnsi="Times New Roman" w:eastAsia="宋体" w:cs="Times New Roman"/>
                      <w:color w:val="auto"/>
                      <w:sz w:val="18"/>
                      <w:szCs w:val="18"/>
                      <w:highlight w:val="none"/>
                    </w:rPr>
                    <w:t>等效黏土防渗层Mb≥1.5m，K≤1×10</w:t>
                  </w:r>
                  <w:r>
                    <w:rPr>
                      <w:rFonts w:ascii="Times New Roman" w:hAnsi="Times New Roman" w:eastAsia="宋体" w:cs="Times New Roman"/>
                      <w:color w:val="auto"/>
                      <w:sz w:val="18"/>
                      <w:szCs w:val="18"/>
                      <w:highlight w:val="none"/>
                      <w:vertAlign w:val="superscript"/>
                    </w:rPr>
                    <w:t>-7</w:t>
                  </w:r>
                  <w:r>
                    <w:rPr>
                      <w:rFonts w:ascii="Times New Roman" w:hAnsi="Times New Roman" w:eastAsia="宋体" w:cs="Times New Roman"/>
                      <w:color w:val="auto"/>
                      <w:sz w:val="18"/>
                      <w:szCs w:val="18"/>
                      <w:highlight w:val="none"/>
                    </w:rPr>
                    <w:t>cm/s</w:t>
                  </w:r>
                </w:p>
              </w:tc>
            </w:tr>
          </w:tbl>
          <w:p>
            <w:pPr>
              <w:spacing w:line="440" w:lineRule="exact"/>
              <w:ind w:firstLine="470" w:firstLineChars="196"/>
              <w:rPr>
                <w:rFonts w:ascii="Times New Roman" w:hAnsi="Times New Roman" w:eastAsia="宋体" w:cs="Times New Roman"/>
                <w:b/>
                <w:color w:val="auto"/>
                <w:sz w:val="24"/>
                <w:szCs w:val="24"/>
                <w:highlight w:val="none"/>
              </w:rPr>
            </w:pPr>
            <w:r>
              <w:rPr>
                <w:rFonts w:ascii="Times New Roman" w:hAnsi="Times New Roman" w:eastAsia="宋体" w:cs="Times New Roman"/>
                <w:color w:val="auto"/>
                <w:sz w:val="24"/>
                <w:szCs w:val="20"/>
                <w:highlight w:val="none"/>
              </w:rPr>
              <w:t>因此，在落实各项防渗措施后，项目不会对区域地下水、土壤环境产生明显影响。</w:t>
            </w:r>
          </w:p>
          <w:p>
            <w:pPr>
              <w:spacing w:line="440" w:lineRule="exact"/>
              <w:ind w:firstLine="472" w:firstLineChars="196"/>
              <w:rPr>
                <w:rFonts w:ascii="Times New Roman" w:hAnsi="Times New Roman" w:eastAsia="宋体" w:cs="Times New Roman"/>
                <w:b/>
                <w:color w:val="auto"/>
                <w:sz w:val="24"/>
                <w:szCs w:val="24"/>
                <w:highlight w:val="none"/>
              </w:rPr>
            </w:pPr>
            <w:r>
              <w:rPr>
                <w:rFonts w:ascii="Times New Roman" w:hAnsi="Times New Roman" w:eastAsia="宋体" w:cs="Times New Roman"/>
                <w:b/>
                <w:color w:val="auto"/>
                <w:sz w:val="24"/>
                <w:szCs w:val="24"/>
                <w:highlight w:val="none"/>
              </w:rPr>
              <w:t>6、环境风险评价</w:t>
            </w:r>
          </w:p>
          <w:p>
            <w:pPr>
              <w:spacing w:line="360" w:lineRule="auto"/>
              <w:ind w:firstLine="482" w:firstLineChars="200"/>
              <w:rPr>
                <w:rFonts w:ascii="Times New Roman" w:hAnsi="Times New Roman" w:eastAsia="宋体" w:cs="Times New Roman"/>
                <w:b/>
                <w:bCs/>
                <w:color w:val="auto"/>
                <w:sz w:val="24"/>
                <w:highlight w:val="none"/>
              </w:rPr>
            </w:pPr>
            <w:r>
              <w:rPr>
                <w:rFonts w:ascii="Times New Roman" w:hAnsi="Times New Roman" w:eastAsia="宋体" w:cs="Times New Roman"/>
                <w:b/>
                <w:bCs/>
                <w:color w:val="auto"/>
                <w:sz w:val="24"/>
                <w:highlight w:val="none"/>
              </w:rPr>
              <w:t>（1）危险物质识别</w:t>
            </w:r>
          </w:p>
          <w:p>
            <w:pPr>
              <w:spacing w:line="360" w:lineRule="auto"/>
              <w:ind w:firstLine="480" w:firstLineChars="200"/>
              <w:rPr>
                <w:rFonts w:ascii="Times New Roman" w:hAnsi="Times New Roman" w:eastAsia="宋体" w:cs="Times New Roman"/>
                <w:bCs/>
                <w:color w:val="auto"/>
                <w:sz w:val="24"/>
                <w:szCs w:val="24"/>
                <w:highlight w:val="none"/>
              </w:rPr>
            </w:pPr>
            <w:r>
              <w:rPr>
                <w:rFonts w:ascii="Times New Roman" w:hAnsi="Times New Roman" w:eastAsia="宋体" w:cs="Times New Roman"/>
                <w:bCs/>
                <w:color w:val="auto"/>
                <w:sz w:val="24"/>
                <w:szCs w:val="24"/>
                <w:highlight w:val="none"/>
              </w:rPr>
              <w:t>拟建项目使用的原辅材料主要为钢板、塑粉；厂内废水主要生活污水；涉及的固体废物为</w:t>
            </w:r>
            <w:r>
              <w:rPr>
                <w:rFonts w:ascii="Times New Roman" w:hAnsi="Times New Roman" w:eastAsia="宋体" w:cs="Times New Roman"/>
                <w:color w:val="auto"/>
                <w:kern w:val="0"/>
                <w:sz w:val="24"/>
                <w:szCs w:val="24"/>
                <w:highlight w:val="none"/>
              </w:rPr>
              <w:t>边角料、焊渣、废塑粉、废包装物、废活性炭、废机油、机油桶和生活垃圾</w:t>
            </w:r>
            <w:r>
              <w:rPr>
                <w:rFonts w:ascii="Times New Roman" w:hAnsi="Times New Roman" w:eastAsia="宋体" w:cs="Times New Roman"/>
                <w:bCs/>
                <w:color w:val="auto"/>
                <w:sz w:val="24"/>
                <w:szCs w:val="24"/>
                <w:highlight w:val="none"/>
              </w:rPr>
              <w:t xml:space="preserve">。 </w:t>
            </w:r>
          </w:p>
          <w:p>
            <w:pPr>
              <w:spacing w:line="360" w:lineRule="auto"/>
              <w:ind w:firstLine="480" w:firstLineChars="200"/>
              <w:rPr>
                <w:rFonts w:ascii="Times New Roman" w:hAnsi="Times New Roman" w:eastAsia="宋体" w:cs="Times New Roman"/>
                <w:bCs/>
                <w:color w:val="auto"/>
                <w:sz w:val="24"/>
                <w:szCs w:val="24"/>
                <w:highlight w:val="none"/>
              </w:rPr>
            </w:pPr>
            <w:r>
              <w:rPr>
                <w:rFonts w:ascii="Times New Roman" w:hAnsi="Times New Roman" w:eastAsia="宋体" w:cs="Times New Roman"/>
                <w:bCs/>
                <w:color w:val="auto"/>
                <w:sz w:val="24"/>
                <w:szCs w:val="24"/>
                <w:highlight w:val="none"/>
              </w:rPr>
              <w:t>根据《危险化学品名录》和《建设项目环境风险评价技术导则》（HJ 169-2018）附录B中突发环境事件风险物质及临界值表，本项目涉及的危险物质为废机油和机油。</w:t>
            </w:r>
          </w:p>
          <w:p>
            <w:pPr>
              <w:spacing w:line="360" w:lineRule="auto"/>
              <w:ind w:firstLine="480" w:firstLineChars="200"/>
              <w:rPr>
                <w:rFonts w:ascii="Times New Roman" w:hAnsi="Times New Roman" w:eastAsia="宋体" w:cs="Times New Roman"/>
                <w:bCs/>
                <w:color w:val="auto"/>
                <w:sz w:val="24"/>
                <w:szCs w:val="24"/>
                <w:highlight w:val="none"/>
              </w:rPr>
            </w:pPr>
            <w:r>
              <w:rPr>
                <w:rFonts w:ascii="Times New Roman" w:hAnsi="Times New Roman" w:eastAsia="宋体" w:cs="Times New Roman"/>
                <w:bCs/>
                <w:color w:val="auto"/>
                <w:sz w:val="24"/>
                <w:szCs w:val="24"/>
                <w:highlight w:val="none"/>
              </w:rPr>
              <w:t>本项目涉及危险物质情况详见下表。</w:t>
            </w:r>
          </w:p>
          <w:p>
            <w:pPr>
              <w:adjustRightInd w:val="0"/>
              <w:spacing w:line="324" w:lineRule="auto"/>
              <w:jc w:val="center"/>
              <w:rPr>
                <w:rFonts w:ascii="Times New Roman" w:hAnsi="Times New Roman" w:eastAsia="黑体" w:cs="Times New Roman"/>
                <w:color w:val="auto"/>
                <w:sz w:val="24"/>
                <w:highlight w:val="none"/>
              </w:rPr>
            </w:pPr>
            <w:r>
              <w:rPr>
                <w:rFonts w:ascii="Times New Roman" w:hAnsi="Times New Roman" w:eastAsia="黑体" w:cs="Times New Roman"/>
                <w:color w:val="auto"/>
                <w:sz w:val="24"/>
                <w:highlight w:val="none"/>
              </w:rPr>
              <w:t>表4-14  本项目涉及的危险物质情况一览表</w:t>
            </w:r>
          </w:p>
          <w:tbl>
            <w:tblPr>
              <w:tblStyle w:val="17"/>
              <w:tblW w:w="5000" w:type="pct"/>
              <w:jc w:val="center"/>
              <w:tblBorders>
                <w:top w:val="single" w:color="auto" w:sz="8" w:space="0"/>
                <w:left w:val="none" w:color="auto" w:sz="0" w:space="0"/>
                <w:bottom w:val="single" w:color="auto" w:sz="8"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527"/>
              <w:gridCol w:w="3149"/>
              <w:gridCol w:w="1936"/>
              <w:gridCol w:w="1294"/>
            </w:tblGrid>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66" w:type="pct"/>
                  <w:tcBorders>
                    <w:tl2br w:val="nil"/>
                    <w:tr2bl w:val="nil"/>
                  </w:tcBorders>
                  <w:vAlign w:val="center"/>
                </w:tcPr>
                <w:p>
                  <w:pPr>
                    <w:autoSpaceDE w:val="0"/>
                    <w:autoSpaceDN w:val="0"/>
                    <w:spacing w:line="276" w:lineRule="auto"/>
                    <w:jc w:val="center"/>
                    <w:rPr>
                      <w:rFonts w:ascii="Times New Roman" w:hAnsi="Times New Roman" w:eastAsia="宋体" w:cs="Times New Roman"/>
                      <w:b/>
                      <w:bCs/>
                      <w:color w:val="auto"/>
                      <w:sz w:val="18"/>
                      <w:szCs w:val="18"/>
                      <w:highlight w:val="none"/>
                      <w:lang w:val="zh-CN"/>
                    </w:rPr>
                  </w:pPr>
                  <w:r>
                    <w:rPr>
                      <w:rFonts w:ascii="Times New Roman" w:hAnsi="Times New Roman" w:eastAsia="宋体" w:cs="Times New Roman"/>
                      <w:b/>
                      <w:bCs/>
                      <w:color w:val="auto"/>
                      <w:sz w:val="18"/>
                      <w:szCs w:val="18"/>
                      <w:highlight w:val="none"/>
                      <w:lang w:val="zh-CN"/>
                    </w:rPr>
                    <w:t>物质名称</w:t>
                  </w:r>
                </w:p>
              </w:tc>
              <w:tc>
                <w:tcPr>
                  <w:tcW w:w="1991" w:type="pct"/>
                  <w:tcBorders>
                    <w:tl2br w:val="nil"/>
                    <w:tr2bl w:val="nil"/>
                  </w:tcBorders>
                  <w:vAlign w:val="center"/>
                </w:tcPr>
                <w:p>
                  <w:pPr>
                    <w:autoSpaceDE w:val="0"/>
                    <w:autoSpaceDN w:val="0"/>
                    <w:spacing w:line="276" w:lineRule="auto"/>
                    <w:jc w:val="center"/>
                    <w:rPr>
                      <w:rFonts w:ascii="Times New Roman" w:hAnsi="Times New Roman" w:eastAsia="宋体" w:cs="Times New Roman"/>
                      <w:b/>
                      <w:bCs/>
                      <w:color w:val="auto"/>
                      <w:sz w:val="18"/>
                      <w:szCs w:val="18"/>
                      <w:highlight w:val="none"/>
                      <w:lang w:val="zh-CN"/>
                    </w:rPr>
                  </w:pPr>
                  <w:r>
                    <w:rPr>
                      <w:rFonts w:ascii="Times New Roman" w:hAnsi="Times New Roman" w:eastAsia="宋体" w:cs="Times New Roman"/>
                      <w:b/>
                      <w:bCs/>
                      <w:color w:val="auto"/>
                      <w:sz w:val="18"/>
                      <w:szCs w:val="18"/>
                      <w:highlight w:val="none"/>
                      <w:lang w:val="zh-CN"/>
                    </w:rPr>
                    <w:t>厂区最大存在量（t）</w:t>
                  </w:r>
                </w:p>
              </w:tc>
              <w:tc>
                <w:tcPr>
                  <w:tcW w:w="1223" w:type="pct"/>
                  <w:tcBorders>
                    <w:tl2br w:val="nil"/>
                    <w:tr2bl w:val="nil"/>
                  </w:tcBorders>
                  <w:vAlign w:val="center"/>
                </w:tcPr>
                <w:p>
                  <w:pPr>
                    <w:autoSpaceDE w:val="0"/>
                    <w:autoSpaceDN w:val="0"/>
                    <w:spacing w:line="276" w:lineRule="auto"/>
                    <w:jc w:val="center"/>
                    <w:rPr>
                      <w:rFonts w:ascii="Times New Roman" w:hAnsi="Times New Roman" w:eastAsia="宋体" w:cs="Times New Roman"/>
                      <w:b/>
                      <w:bCs/>
                      <w:color w:val="auto"/>
                      <w:sz w:val="18"/>
                      <w:szCs w:val="18"/>
                      <w:highlight w:val="none"/>
                      <w:lang w:val="zh-CN"/>
                    </w:rPr>
                  </w:pPr>
                  <w:r>
                    <w:rPr>
                      <w:rFonts w:ascii="Times New Roman" w:hAnsi="Times New Roman" w:eastAsia="宋体" w:cs="Times New Roman"/>
                      <w:b/>
                      <w:color w:val="auto"/>
                      <w:sz w:val="18"/>
                      <w:szCs w:val="18"/>
                      <w:highlight w:val="none"/>
                    </w:rPr>
                    <w:t>临界量</w:t>
                  </w:r>
                  <w:r>
                    <w:rPr>
                      <w:rFonts w:ascii="Times New Roman" w:hAnsi="Times New Roman" w:eastAsia="宋体" w:cs="Times New Roman"/>
                      <w:b/>
                      <w:bCs/>
                      <w:color w:val="auto"/>
                      <w:sz w:val="18"/>
                      <w:szCs w:val="18"/>
                      <w:highlight w:val="none"/>
                      <w:lang w:val="zh-CN"/>
                    </w:rPr>
                    <w:t>（t）</w:t>
                  </w:r>
                </w:p>
              </w:tc>
              <w:tc>
                <w:tcPr>
                  <w:tcW w:w="818" w:type="pct"/>
                  <w:tcBorders>
                    <w:tl2br w:val="nil"/>
                    <w:tr2bl w:val="nil"/>
                  </w:tcBorders>
                  <w:vAlign w:val="center"/>
                </w:tcPr>
                <w:p>
                  <w:pPr>
                    <w:autoSpaceDE w:val="0"/>
                    <w:autoSpaceDN w:val="0"/>
                    <w:spacing w:line="276" w:lineRule="auto"/>
                    <w:jc w:val="center"/>
                    <w:rPr>
                      <w:rFonts w:ascii="Times New Roman" w:hAnsi="Times New Roman" w:eastAsia="宋体" w:cs="Times New Roman"/>
                      <w:b/>
                      <w:bCs/>
                      <w:color w:val="auto"/>
                      <w:sz w:val="18"/>
                      <w:szCs w:val="18"/>
                      <w:highlight w:val="none"/>
                      <w:lang w:val="zh-CN"/>
                    </w:rPr>
                  </w:pPr>
                  <w:r>
                    <w:rPr>
                      <w:rFonts w:ascii="Times New Roman" w:hAnsi="Times New Roman" w:eastAsia="宋体" w:cs="Times New Roman"/>
                      <w:b/>
                      <w:bCs/>
                      <w:color w:val="auto"/>
                      <w:sz w:val="18"/>
                      <w:szCs w:val="18"/>
                      <w:highlight w:val="none"/>
                      <w:lang w:val="zh-CN"/>
                    </w:rPr>
                    <w:t>Q值</w:t>
                  </w: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66" w:type="pct"/>
                  <w:tcBorders>
                    <w:tl2br w:val="nil"/>
                    <w:tr2bl w:val="nil"/>
                  </w:tcBorders>
                  <w:vAlign w:val="center"/>
                </w:tcPr>
                <w:p>
                  <w:pPr>
                    <w:autoSpaceDE w:val="0"/>
                    <w:autoSpaceDN w:val="0"/>
                    <w:spacing w:line="276" w:lineRule="auto"/>
                    <w:jc w:val="center"/>
                    <w:rPr>
                      <w:rFonts w:ascii="Times New Roman" w:hAnsi="Times New Roman" w:eastAsia="宋体" w:cs="Times New Roman"/>
                      <w:bCs/>
                      <w:color w:val="auto"/>
                      <w:sz w:val="18"/>
                      <w:szCs w:val="18"/>
                      <w:highlight w:val="none"/>
                      <w:lang w:val="zh-CN"/>
                    </w:rPr>
                  </w:pPr>
                  <w:r>
                    <w:rPr>
                      <w:rFonts w:ascii="Times New Roman" w:hAnsi="Times New Roman" w:eastAsia="宋体" w:cs="Times New Roman"/>
                      <w:bCs/>
                      <w:color w:val="auto"/>
                      <w:sz w:val="18"/>
                      <w:szCs w:val="18"/>
                      <w:highlight w:val="none"/>
                      <w:lang w:val="zh-CN"/>
                    </w:rPr>
                    <w:t>废机油</w:t>
                  </w:r>
                </w:p>
              </w:tc>
              <w:tc>
                <w:tcPr>
                  <w:tcW w:w="1991" w:type="pct"/>
                  <w:tcBorders>
                    <w:tl2br w:val="nil"/>
                    <w:tr2bl w:val="nil"/>
                  </w:tcBorders>
                  <w:vAlign w:val="center"/>
                </w:tcPr>
                <w:p>
                  <w:pPr>
                    <w:autoSpaceDE w:val="0"/>
                    <w:autoSpaceDN w:val="0"/>
                    <w:spacing w:line="276" w:lineRule="auto"/>
                    <w:jc w:val="center"/>
                    <w:rPr>
                      <w:rFonts w:hint="default" w:ascii="Times New Roman" w:hAnsi="Times New Roman" w:eastAsia="宋体" w:cs="Times New Roman"/>
                      <w:bCs/>
                      <w:color w:val="auto"/>
                      <w:sz w:val="18"/>
                      <w:szCs w:val="18"/>
                      <w:highlight w:val="none"/>
                      <w:lang w:val="en-US" w:eastAsia="zh-CN"/>
                    </w:rPr>
                  </w:pPr>
                  <w:r>
                    <w:rPr>
                      <w:rFonts w:hint="eastAsia" w:ascii="Times New Roman" w:hAnsi="Times New Roman" w:eastAsia="宋体" w:cs="Times New Roman"/>
                      <w:bCs/>
                      <w:color w:val="auto"/>
                      <w:sz w:val="18"/>
                      <w:szCs w:val="18"/>
                      <w:highlight w:val="none"/>
                      <w:lang w:val="en-US" w:eastAsia="zh-CN"/>
                    </w:rPr>
                    <w:t>0.5</w:t>
                  </w:r>
                </w:p>
              </w:tc>
              <w:tc>
                <w:tcPr>
                  <w:tcW w:w="1223" w:type="pct"/>
                  <w:tcBorders>
                    <w:tl2br w:val="nil"/>
                    <w:tr2bl w:val="nil"/>
                  </w:tcBorders>
                  <w:vAlign w:val="center"/>
                </w:tcPr>
                <w:p>
                  <w:pPr>
                    <w:autoSpaceDE w:val="0"/>
                    <w:autoSpaceDN w:val="0"/>
                    <w:spacing w:line="276" w:lineRule="auto"/>
                    <w:jc w:val="center"/>
                    <w:rPr>
                      <w:rFonts w:ascii="Times New Roman" w:hAnsi="Times New Roman" w:eastAsia="宋体" w:cs="Times New Roman"/>
                      <w:bCs/>
                      <w:color w:val="auto"/>
                      <w:sz w:val="18"/>
                      <w:szCs w:val="18"/>
                      <w:highlight w:val="none"/>
                      <w:lang w:val="zh-CN"/>
                    </w:rPr>
                  </w:pPr>
                  <w:r>
                    <w:rPr>
                      <w:rFonts w:ascii="Times New Roman" w:hAnsi="Times New Roman" w:eastAsia="宋体" w:cs="Times New Roman"/>
                      <w:bCs/>
                      <w:color w:val="auto"/>
                      <w:sz w:val="18"/>
                      <w:szCs w:val="18"/>
                      <w:highlight w:val="none"/>
                      <w:lang w:val="zh-CN"/>
                    </w:rPr>
                    <w:t>2500</w:t>
                  </w:r>
                </w:p>
              </w:tc>
              <w:tc>
                <w:tcPr>
                  <w:tcW w:w="818" w:type="pct"/>
                  <w:tcBorders>
                    <w:tl2br w:val="nil"/>
                    <w:tr2bl w:val="nil"/>
                  </w:tcBorders>
                  <w:vAlign w:val="center"/>
                </w:tcPr>
                <w:p>
                  <w:pPr>
                    <w:autoSpaceDE w:val="0"/>
                    <w:autoSpaceDN w:val="0"/>
                    <w:spacing w:line="276" w:lineRule="auto"/>
                    <w:jc w:val="center"/>
                    <w:rPr>
                      <w:rFonts w:hint="eastAsia" w:ascii="Times New Roman" w:hAnsi="Times New Roman" w:eastAsia="宋体" w:cs="Times New Roman"/>
                      <w:bCs/>
                      <w:color w:val="auto"/>
                      <w:sz w:val="18"/>
                      <w:szCs w:val="18"/>
                      <w:highlight w:val="none"/>
                      <w:lang w:val="zh-CN" w:eastAsia="zh-CN"/>
                    </w:rPr>
                  </w:pPr>
                  <w:r>
                    <w:rPr>
                      <w:rFonts w:ascii="Times New Roman" w:hAnsi="Times New Roman" w:eastAsia="宋体" w:cs="Times New Roman"/>
                      <w:bCs/>
                      <w:color w:val="auto"/>
                      <w:sz w:val="18"/>
                      <w:szCs w:val="18"/>
                      <w:highlight w:val="none"/>
                      <w:lang w:val="zh-CN"/>
                    </w:rPr>
                    <w:t>0.000</w:t>
                  </w:r>
                  <w:r>
                    <w:rPr>
                      <w:rFonts w:hint="eastAsia" w:ascii="Times New Roman" w:hAnsi="Times New Roman" w:eastAsia="宋体" w:cs="Times New Roman"/>
                      <w:bCs/>
                      <w:color w:val="auto"/>
                      <w:sz w:val="18"/>
                      <w:szCs w:val="18"/>
                      <w:highlight w:val="none"/>
                      <w:lang w:val="en-US" w:eastAsia="zh-CN"/>
                    </w:rPr>
                    <w:t>1</w:t>
                  </w: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66" w:type="pct"/>
                  <w:tcBorders>
                    <w:tl2br w:val="nil"/>
                    <w:tr2bl w:val="nil"/>
                  </w:tcBorders>
                  <w:vAlign w:val="center"/>
                </w:tcPr>
                <w:p>
                  <w:pPr>
                    <w:autoSpaceDE w:val="0"/>
                    <w:autoSpaceDN w:val="0"/>
                    <w:spacing w:line="276" w:lineRule="auto"/>
                    <w:jc w:val="center"/>
                    <w:rPr>
                      <w:rFonts w:ascii="Times New Roman" w:hAnsi="Times New Roman" w:eastAsia="宋体" w:cs="Times New Roman"/>
                      <w:bCs/>
                      <w:color w:val="auto"/>
                      <w:sz w:val="18"/>
                      <w:szCs w:val="18"/>
                      <w:highlight w:val="none"/>
                    </w:rPr>
                  </w:pPr>
                  <w:r>
                    <w:rPr>
                      <w:rFonts w:ascii="Times New Roman" w:hAnsi="Times New Roman" w:eastAsia="宋体" w:cs="Times New Roman"/>
                      <w:bCs/>
                      <w:color w:val="auto"/>
                      <w:sz w:val="18"/>
                      <w:szCs w:val="18"/>
                      <w:highlight w:val="none"/>
                    </w:rPr>
                    <w:t>机油</w:t>
                  </w:r>
                </w:p>
              </w:tc>
              <w:tc>
                <w:tcPr>
                  <w:tcW w:w="1991" w:type="pct"/>
                  <w:tcBorders>
                    <w:tl2br w:val="nil"/>
                    <w:tr2bl w:val="nil"/>
                  </w:tcBorders>
                  <w:vAlign w:val="center"/>
                </w:tcPr>
                <w:p>
                  <w:pPr>
                    <w:autoSpaceDE w:val="0"/>
                    <w:autoSpaceDN w:val="0"/>
                    <w:spacing w:line="276" w:lineRule="auto"/>
                    <w:jc w:val="center"/>
                    <w:rPr>
                      <w:rFonts w:hint="default" w:ascii="Times New Roman" w:hAnsi="Times New Roman" w:eastAsia="宋体" w:cs="Times New Roman"/>
                      <w:bCs/>
                      <w:color w:val="auto"/>
                      <w:sz w:val="18"/>
                      <w:szCs w:val="18"/>
                      <w:highlight w:val="none"/>
                      <w:lang w:val="en-US" w:eastAsia="zh-CN"/>
                    </w:rPr>
                  </w:pPr>
                  <w:r>
                    <w:rPr>
                      <w:rFonts w:hint="eastAsia" w:ascii="Times New Roman" w:hAnsi="Times New Roman" w:eastAsia="宋体" w:cs="Times New Roman"/>
                      <w:bCs/>
                      <w:color w:val="auto"/>
                      <w:sz w:val="18"/>
                      <w:szCs w:val="18"/>
                      <w:highlight w:val="none"/>
                      <w:lang w:val="en-US" w:eastAsia="zh-CN"/>
                    </w:rPr>
                    <w:t>0.5</w:t>
                  </w:r>
                </w:p>
              </w:tc>
              <w:tc>
                <w:tcPr>
                  <w:tcW w:w="1223" w:type="pct"/>
                  <w:tcBorders>
                    <w:tl2br w:val="nil"/>
                    <w:tr2bl w:val="nil"/>
                  </w:tcBorders>
                  <w:vAlign w:val="center"/>
                </w:tcPr>
                <w:p>
                  <w:pPr>
                    <w:autoSpaceDE w:val="0"/>
                    <w:autoSpaceDN w:val="0"/>
                    <w:spacing w:line="276" w:lineRule="auto"/>
                    <w:jc w:val="center"/>
                    <w:rPr>
                      <w:rFonts w:ascii="Times New Roman" w:hAnsi="Times New Roman" w:eastAsia="宋体" w:cs="Times New Roman"/>
                      <w:bCs/>
                      <w:color w:val="auto"/>
                      <w:sz w:val="18"/>
                      <w:szCs w:val="18"/>
                      <w:highlight w:val="none"/>
                      <w:lang w:val="zh-CN"/>
                    </w:rPr>
                  </w:pPr>
                  <w:r>
                    <w:rPr>
                      <w:rFonts w:ascii="Times New Roman" w:hAnsi="Times New Roman" w:eastAsia="宋体" w:cs="Times New Roman"/>
                      <w:bCs/>
                      <w:color w:val="auto"/>
                      <w:sz w:val="18"/>
                      <w:szCs w:val="18"/>
                      <w:highlight w:val="none"/>
                      <w:lang w:val="zh-CN"/>
                    </w:rPr>
                    <w:t>2500</w:t>
                  </w:r>
                </w:p>
              </w:tc>
              <w:tc>
                <w:tcPr>
                  <w:tcW w:w="818" w:type="pct"/>
                  <w:tcBorders>
                    <w:tl2br w:val="nil"/>
                    <w:tr2bl w:val="nil"/>
                  </w:tcBorders>
                  <w:vAlign w:val="center"/>
                </w:tcPr>
                <w:p>
                  <w:pPr>
                    <w:autoSpaceDE w:val="0"/>
                    <w:autoSpaceDN w:val="0"/>
                    <w:spacing w:line="276" w:lineRule="auto"/>
                    <w:jc w:val="center"/>
                    <w:rPr>
                      <w:rFonts w:hint="eastAsia" w:ascii="Times New Roman" w:hAnsi="Times New Roman" w:eastAsia="宋体" w:cs="Times New Roman"/>
                      <w:bCs/>
                      <w:color w:val="auto"/>
                      <w:sz w:val="18"/>
                      <w:szCs w:val="18"/>
                      <w:highlight w:val="none"/>
                      <w:lang w:val="zh-CN" w:eastAsia="zh-CN"/>
                    </w:rPr>
                  </w:pPr>
                  <w:r>
                    <w:rPr>
                      <w:rFonts w:ascii="Times New Roman" w:hAnsi="Times New Roman" w:eastAsia="宋体" w:cs="Times New Roman"/>
                      <w:bCs/>
                      <w:color w:val="auto"/>
                      <w:sz w:val="18"/>
                      <w:szCs w:val="18"/>
                      <w:highlight w:val="none"/>
                      <w:lang w:val="zh-CN"/>
                    </w:rPr>
                    <w:t>0.000</w:t>
                  </w:r>
                  <w:r>
                    <w:rPr>
                      <w:rFonts w:hint="eastAsia" w:ascii="Times New Roman" w:hAnsi="Times New Roman" w:eastAsia="宋体" w:cs="Times New Roman"/>
                      <w:bCs/>
                      <w:color w:val="auto"/>
                      <w:sz w:val="18"/>
                      <w:szCs w:val="18"/>
                      <w:highlight w:val="none"/>
                      <w:lang w:val="en-US" w:eastAsia="zh-CN"/>
                    </w:rPr>
                    <w:t>1</w:t>
                  </w: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181" w:type="pct"/>
                  <w:gridSpan w:val="3"/>
                  <w:tcBorders>
                    <w:tl2br w:val="nil"/>
                    <w:tr2bl w:val="nil"/>
                  </w:tcBorders>
                  <w:vAlign w:val="center"/>
                </w:tcPr>
                <w:p>
                  <w:pPr>
                    <w:autoSpaceDE w:val="0"/>
                    <w:autoSpaceDN w:val="0"/>
                    <w:spacing w:line="276" w:lineRule="auto"/>
                    <w:jc w:val="center"/>
                    <w:rPr>
                      <w:rFonts w:ascii="Times New Roman" w:hAnsi="Times New Roman" w:eastAsia="宋体" w:cs="Times New Roman"/>
                      <w:bCs/>
                      <w:color w:val="auto"/>
                      <w:sz w:val="18"/>
                      <w:szCs w:val="18"/>
                      <w:highlight w:val="none"/>
                      <w:lang w:val="zh-CN"/>
                    </w:rPr>
                  </w:pPr>
                  <w:r>
                    <w:rPr>
                      <w:rFonts w:ascii="Times New Roman" w:hAnsi="Times New Roman" w:eastAsia="宋体" w:cs="Times New Roman"/>
                      <w:bCs/>
                      <w:color w:val="auto"/>
                      <w:sz w:val="18"/>
                      <w:szCs w:val="18"/>
                      <w:highlight w:val="none"/>
                      <w:lang w:val="zh-CN"/>
                    </w:rPr>
                    <w:t>合计</w:t>
                  </w:r>
                </w:p>
              </w:tc>
              <w:tc>
                <w:tcPr>
                  <w:tcW w:w="818" w:type="pct"/>
                  <w:tcBorders>
                    <w:tl2br w:val="nil"/>
                    <w:tr2bl w:val="nil"/>
                  </w:tcBorders>
                  <w:vAlign w:val="center"/>
                </w:tcPr>
                <w:p>
                  <w:pPr>
                    <w:autoSpaceDE w:val="0"/>
                    <w:autoSpaceDN w:val="0"/>
                    <w:spacing w:line="276" w:lineRule="auto"/>
                    <w:jc w:val="center"/>
                    <w:rPr>
                      <w:rFonts w:ascii="Times New Roman" w:hAnsi="Times New Roman" w:eastAsia="宋体" w:cs="Times New Roman"/>
                      <w:bCs/>
                      <w:color w:val="auto"/>
                      <w:sz w:val="18"/>
                      <w:szCs w:val="18"/>
                      <w:highlight w:val="none"/>
                      <w:lang w:val="zh-CN"/>
                    </w:rPr>
                  </w:pPr>
                  <w:r>
                    <w:rPr>
                      <w:rFonts w:ascii="Times New Roman" w:hAnsi="Times New Roman" w:eastAsia="宋体" w:cs="Times New Roman"/>
                      <w:bCs/>
                      <w:color w:val="auto"/>
                      <w:sz w:val="18"/>
                      <w:szCs w:val="18"/>
                      <w:highlight w:val="none"/>
                      <w:lang w:val="zh-CN"/>
                    </w:rPr>
                    <w:t>0.000</w:t>
                  </w:r>
                  <w:r>
                    <w:rPr>
                      <w:rFonts w:ascii="Times New Roman" w:hAnsi="Times New Roman" w:eastAsia="宋体" w:cs="Times New Roman"/>
                      <w:bCs/>
                      <w:color w:val="auto"/>
                      <w:sz w:val="18"/>
                      <w:szCs w:val="18"/>
                      <w:highlight w:val="none"/>
                    </w:rPr>
                    <w:t>4</w:t>
                  </w:r>
                </w:p>
              </w:tc>
            </w:tr>
          </w:tbl>
          <w:p>
            <w:pPr>
              <w:spacing w:line="360" w:lineRule="auto"/>
              <w:ind w:firstLine="482" w:firstLineChars="200"/>
              <w:rPr>
                <w:rFonts w:ascii="Times New Roman" w:hAnsi="Times New Roman" w:eastAsia="宋体" w:cs="Times New Roman"/>
                <w:b/>
                <w:bCs/>
                <w:color w:val="auto"/>
                <w:sz w:val="24"/>
                <w:highlight w:val="none"/>
              </w:rPr>
            </w:pPr>
            <w:r>
              <w:rPr>
                <w:rFonts w:ascii="Times New Roman" w:hAnsi="Times New Roman" w:eastAsia="宋体" w:cs="Times New Roman"/>
                <w:b/>
                <w:bCs/>
                <w:color w:val="auto"/>
                <w:sz w:val="24"/>
                <w:highlight w:val="none"/>
              </w:rPr>
              <w:t>（2）危险物质及风险源分布情况</w:t>
            </w:r>
          </w:p>
          <w:p>
            <w:pPr>
              <w:spacing w:line="360" w:lineRule="auto"/>
              <w:ind w:firstLine="480" w:firstLineChars="200"/>
              <w:rPr>
                <w:rFonts w:ascii="Times New Roman" w:hAnsi="Times New Roman" w:eastAsia="宋体" w:cs="Times New Roman"/>
                <w:color w:val="auto"/>
                <w:sz w:val="24"/>
                <w:szCs w:val="28"/>
                <w:highlight w:val="none"/>
              </w:rPr>
            </w:pPr>
            <w:r>
              <w:rPr>
                <w:rFonts w:ascii="Times New Roman" w:hAnsi="Times New Roman" w:eastAsia="宋体" w:cs="Times New Roman"/>
                <w:color w:val="auto"/>
                <w:sz w:val="24"/>
                <w:szCs w:val="28"/>
                <w:highlight w:val="none"/>
              </w:rPr>
              <w:t>本项目危险物质主要为机油、废机油，其中机油储存在原料区，废机油储存在危废暂存库，危废暂存库采取重点防渗措施，确保对地下水及土壤环境影响可接受。</w:t>
            </w:r>
          </w:p>
          <w:p>
            <w:pPr>
              <w:spacing w:line="360" w:lineRule="auto"/>
              <w:ind w:firstLine="482" w:firstLineChars="200"/>
              <w:rPr>
                <w:rFonts w:ascii="Times New Roman" w:hAnsi="Times New Roman" w:eastAsia="宋体" w:cs="Times New Roman"/>
                <w:b/>
                <w:bCs/>
                <w:color w:val="auto"/>
                <w:sz w:val="24"/>
                <w:highlight w:val="none"/>
              </w:rPr>
            </w:pPr>
            <w:r>
              <w:rPr>
                <w:rFonts w:ascii="Times New Roman" w:hAnsi="Times New Roman" w:eastAsia="宋体" w:cs="Times New Roman"/>
                <w:b/>
                <w:bCs/>
                <w:color w:val="auto"/>
                <w:sz w:val="24"/>
                <w:highlight w:val="none"/>
              </w:rPr>
              <w:t>（3）可能影响途径</w:t>
            </w:r>
          </w:p>
          <w:p>
            <w:pPr>
              <w:spacing w:line="360" w:lineRule="auto"/>
              <w:ind w:firstLine="480" w:firstLineChars="200"/>
              <w:rPr>
                <w:rFonts w:ascii="Times New Roman" w:hAnsi="Times New Roman" w:eastAsia="宋体" w:cs="Times New Roman"/>
                <w:color w:val="auto"/>
                <w:sz w:val="24"/>
                <w:szCs w:val="28"/>
                <w:highlight w:val="none"/>
              </w:rPr>
            </w:pPr>
            <w:r>
              <w:rPr>
                <w:rFonts w:ascii="Times New Roman" w:hAnsi="Times New Roman" w:eastAsia="宋体" w:cs="Times New Roman"/>
                <w:color w:val="auto"/>
                <w:sz w:val="24"/>
                <w:szCs w:val="28"/>
                <w:highlight w:val="none"/>
              </w:rPr>
              <w:t>拟建项目运营期风险源分布情况见下表。</w:t>
            </w:r>
          </w:p>
          <w:p>
            <w:pPr>
              <w:adjustRightInd w:val="0"/>
              <w:spacing w:line="324" w:lineRule="auto"/>
              <w:jc w:val="center"/>
              <w:rPr>
                <w:rFonts w:ascii="Times New Roman" w:hAnsi="Times New Roman" w:eastAsia="黑体" w:cs="Times New Roman"/>
                <w:color w:val="auto"/>
                <w:sz w:val="24"/>
                <w:highlight w:val="none"/>
              </w:rPr>
            </w:pPr>
            <w:r>
              <w:rPr>
                <w:rFonts w:ascii="Times New Roman" w:hAnsi="Times New Roman" w:eastAsia="黑体" w:cs="Times New Roman"/>
                <w:color w:val="auto"/>
                <w:sz w:val="24"/>
                <w:highlight w:val="none"/>
              </w:rPr>
              <w:t>表4-15  环境风险识别一览表</w:t>
            </w:r>
          </w:p>
          <w:tbl>
            <w:tblPr>
              <w:tblStyle w:val="17"/>
              <w:tblW w:w="4996" w:type="pct"/>
              <w:jc w:val="center"/>
              <w:tblBorders>
                <w:top w:val="single" w:color="auto" w:sz="8" w:space="0"/>
                <w:left w:val="none" w:color="auto" w:sz="0" w:space="0"/>
                <w:bottom w:val="single" w:color="auto" w:sz="8"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653"/>
              <w:gridCol w:w="792"/>
              <w:gridCol w:w="904"/>
              <w:gridCol w:w="1133"/>
              <w:gridCol w:w="2968"/>
              <w:gridCol w:w="1450"/>
            </w:tblGrid>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13" w:type="pct"/>
                  <w:tcBorders>
                    <w:tl2br w:val="nil"/>
                    <w:tr2bl w:val="nil"/>
                  </w:tcBorders>
                  <w:vAlign w:val="center"/>
                </w:tcPr>
                <w:p>
                  <w:pPr>
                    <w:pStyle w:val="24"/>
                    <w:adjustRightInd/>
                    <w:snapToGrid w:val="0"/>
                    <w:spacing w:before="0" w:after="0" w:line="276" w:lineRule="auto"/>
                    <w:jc w:val="center"/>
                    <w:rPr>
                      <w:rFonts w:ascii="Times New Roman" w:hAnsi="Times New Roman" w:eastAsia="宋体"/>
                      <w:b/>
                      <w:color w:val="auto"/>
                      <w:sz w:val="18"/>
                      <w:szCs w:val="18"/>
                      <w:highlight w:val="none"/>
                    </w:rPr>
                  </w:pPr>
                  <w:r>
                    <w:rPr>
                      <w:rFonts w:ascii="Times New Roman" w:hAnsi="Times New Roman" w:eastAsia="宋体"/>
                      <w:b/>
                      <w:color w:val="auto"/>
                      <w:sz w:val="18"/>
                      <w:szCs w:val="18"/>
                      <w:highlight w:val="none"/>
                    </w:rPr>
                    <w:t>系统名称</w:t>
                  </w:r>
                </w:p>
              </w:tc>
              <w:tc>
                <w:tcPr>
                  <w:tcW w:w="501" w:type="pct"/>
                  <w:tcBorders>
                    <w:tl2br w:val="nil"/>
                    <w:tr2bl w:val="nil"/>
                  </w:tcBorders>
                  <w:vAlign w:val="center"/>
                </w:tcPr>
                <w:p>
                  <w:pPr>
                    <w:pStyle w:val="24"/>
                    <w:adjustRightInd/>
                    <w:snapToGrid w:val="0"/>
                    <w:spacing w:before="0" w:after="0" w:line="276" w:lineRule="auto"/>
                    <w:jc w:val="center"/>
                    <w:rPr>
                      <w:rFonts w:ascii="Times New Roman" w:hAnsi="Times New Roman" w:eastAsia="宋体"/>
                      <w:b/>
                      <w:color w:val="auto"/>
                      <w:sz w:val="18"/>
                      <w:szCs w:val="18"/>
                      <w:highlight w:val="none"/>
                    </w:rPr>
                  </w:pPr>
                  <w:r>
                    <w:rPr>
                      <w:rFonts w:ascii="Times New Roman" w:hAnsi="Times New Roman" w:eastAsia="宋体"/>
                      <w:b/>
                      <w:color w:val="auto"/>
                      <w:sz w:val="18"/>
                      <w:szCs w:val="18"/>
                      <w:highlight w:val="none"/>
                    </w:rPr>
                    <w:t>危险单元</w:t>
                  </w:r>
                </w:p>
              </w:tc>
              <w:tc>
                <w:tcPr>
                  <w:tcW w:w="572" w:type="pct"/>
                  <w:tcBorders>
                    <w:tl2br w:val="nil"/>
                    <w:tr2bl w:val="nil"/>
                  </w:tcBorders>
                  <w:vAlign w:val="center"/>
                </w:tcPr>
                <w:p>
                  <w:pPr>
                    <w:pStyle w:val="24"/>
                    <w:adjustRightInd/>
                    <w:snapToGrid w:val="0"/>
                    <w:spacing w:before="0" w:after="0" w:line="276" w:lineRule="auto"/>
                    <w:jc w:val="center"/>
                    <w:rPr>
                      <w:rFonts w:ascii="Times New Roman" w:hAnsi="Times New Roman" w:eastAsia="宋体"/>
                      <w:b/>
                      <w:color w:val="auto"/>
                      <w:sz w:val="18"/>
                      <w:szCs w:val="18"/>
                      <w:highlight w:val="none"/>
                    </w:rPr>
                  </w:pPr>
                  <w:r>
                    <w:rPr>
                      <w:rFonts w:ascii="Times New Roman" w:hAnsi="Times New Roman" w:eastAsia="宋体"/>
                      <w:b/>
                      <w:color w:val="auto"/>
                      <w:sz w:val="18"/>
                      <w:szCs w:val="18"/>
                      <w:highlight w:val="none"/>
                    </w:rPr>
                    <w:t>主要危险物质</w:t>
                  </w:r>
                </w:p>
              </w:tc>
              <w:tc>
                <w:tcPr>
                  <w:tcW w:w="717" w:type="pct"/>
                  <w:tcBorders>
                    <w:tl2br w:val="nil"/>
                    <w:tr2bl w:val="nil"/>
                  </w:tcBorders>
                  <w:vAlign w:val="center"/>
                </w:tcPr>
                <w:p>
                  <w:pPr>
                    <w:pStyle w:val="24"/>
                    <w:adjustRightInd/>
                    <w:snapToGrid w:val="0"/>
                    <w:spacing w:before="0" w:after="0" w:line="276" w:lineRule="auto"/>
                    <w:jc w:val="center"/>
                    <w:rPr>
                      <w:rFonts w:ascii="Times New Roman" w:hAnsi="Times New Roman" w:eastAsia="宋体"/>
                      <w:b/>
                      <w:color w:val="auto"/>
                      <w:sz w:val="18"/>
                      <w:szCs w:val="18"/>
                      <w:highlight w:val="none"/>
                    </w:rPr>
                  </w:pPr>
                  <w:r>
                    <w:rPr>
                      <w:rFonts w:ascii="Times New Roman" w:hAnsi="Times New Roman" w:eastAsia="宋体"/>
                      <w:b/>
                      <w:color w:val="auto"/>
                      <w:sz w:val="18"/>
                      <w:szCs w:val="18"/>
                      <w:highlight w:val="none"/>
                    </w:rPr>
                    <w:t>环境风险类型</w:t>
                  </w:r>
                </w:p>
              </w:tc>
              <w:tc>
                <w:tcPr>
                  <w:tcW w:w="1878" w:type="pct"/>
                  <w:tcBorders>
                    <w:tl2br w:val="nil"/>
                    <w:tr2bl w:val="nil"/>
                  </w:tcBorders>
                  <w:vAlign w:val="center"/>
                </w:tcPr>
                <w:p>
                  <w:pPr>
                    <w:pStyle w:val="24"/>
                    <w:adjustRightInd/>
                    <w:snapToGrid w:val="0"/>
                    <w:spacing w:before="0" w:after="0" w:line="276" w:lineRule="auto"/>
                    <w:jc w:val="center"/>
                    <w:rPr>
                      <w:rFonts w:ascii="Times New Roman" w:hAnsi="Times New Roman" w:eastAsia="宋体"/>
                      <w:b/>
                      <w:color w:val="auto"/>
                      <w:sz w:val="18"/>
                      <w:szCs w:val="18"/>
                      <w:highlight w:val="none"/>
                    </w:rPr>
                  </w:pPr>
                  <w:r>
                    <w:rPr>
                      <w:rFonts w:ascii="Times New Roman" w:hAnsi="Times New Roman" w:eastAsia="宋体"/>
                      <w:b/>
                      <w:color w:val="auto"/>
                      <w:sz w:val="18"/>
                      <w:szCs w:val="18"/>
                      <w:highlight w:val="none"/>
                    </w:rPr>
                    <w:t>环境影响途径</w:t>
                  </w:r>
                </w:p>
              </w:tc>
              <w:tc>
                <w:tcPr>
                  <w:tcW w:w="917" w:type="pct"/>
                  <w:tcBorders>
                    <w:tl2br w:val="nil"/>
                    <w:tr2bl w:val="nil"/>
                  </w:tcBorders>
                  <w:vAlign w:val="center"/>
                </w:tcPr>
                <w:p>
                  <w:pPr>
                    <w:pStyle w:val="24"/>
                    <w:adjustRightInd/>
                    <w:snapToGrid w:val="0"/>
                    <w:spacing w:before="0" w:after="0" w:line="276" w:lineRule="auto"/>
                    <w:jc w:val="center"/>
                    <w:rPr>
                      <w:rFonts w:ascii="Times New Roman" w:hAnsi="Times New Roman" w:eastAsia="宋体"/>
                      <w:b/>
                      <w:color w:val="auto"/>
                      <w:sz w:val="18"/>
                      <w:szCs w:val="18"/>
                      <w:highlight w:val="none"/>
                    </w:rPr>
                  </w:pPr>
                  <w:r>
                    <w:rPr>
                      <w:rFonts w:ascii="Times New Roman" w:hAnsi="Times New Roman" w:eastAsia="宋体"/>
                      <w:b/>
                      <w:color w:val="auto"/>
                      <w:sz w:val="18"/>
                      <w:szCs w:val="18"/>
                      <w:highlight w:val="none"/>
                    </w:rPr>
                    <w:t>可能受影响的环境敏感目标</w:t>
                  </w: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13" w:type="pct"/>
                  <w:vMerge w:val="restart"/>
                  <w:tcBorders>
                    <w:tl2br w:val="nil"/>
                    <w:tr2bl w:val="nil"/>
                  </w:tcBorders>
                  <w:vAlign w:val="center"/>
                </w:tcPr>
                <w:p>
                  <w:pPr>
                    <w:pStyle w:val="24"/>
                    <w:adjustRightInd/>
                    <w:snapToGrid w:val="0"/>
                    <w:spacing w:line="276" w:lineRule="auto"/>
                    <w:jc w:val="center"/>
                    <w:rPr>
                      <w:rFonts w:ascii="Times New Roman" w:hAnsi="Times New Roman" w:eastAsia="宋体"/>
                      <w:color w:val="auto"/>
                      <w:sz w:val="18"/>
                      <w:szCs w:val="18"/>
                      <w:highlight w:val="none"/>
                    </w:rPr>
                  </w:pPr>
                  <w:r>
                    <w:rPr>
                      <w:rFonts w:ascii="Times New Roman" w:hAnsi="Times New Roman" w:eastAsia="宋体"/>
                      <w:color w:val="auto"/>
                      <w:sz w:val="18"/>
                      <w:szCs w:val="18"/>
                      <w:highlight w:val="none"/>
                    </w:rPr>
                    <w:t>储运工程</w:t>
                  </w:r>
                </w:p>
              </w:tc>
              <w:tc>
                <w:tcPr>
                  <w:tcW w:w="501" w:type="pct"/>
                  <w:tcBorders>
                    <w:tl2br w:val="nil"/>
                    <w:tr2bl w:val="nil"/>
                  </w:tcBorders>
                  <w:vAlign w:val="center"/>
                </w:tcPr>
                <w:p>
                  <w:pPr>
                    <w:pStyle w:val="24"/>
                    <w:adjustRightInd/>
                    <w:snapToGrid w:val="0"/>
                    <w:spacing w:line="276" w:lineRule="auto"/>
                    <w:jc w:val="center"/>
                    <w:rPr>
                      <w:rFonts w:ascii="Times New Roman" w:hAnsi="Times New Roman" w:eastAsia="宋体"/>
                      <w:color w:val="auto"/>
                      <w:sz w:val="18"/>
                      <w:szCs w:val="18"/>
                      <w:highlight w:val="none"/>
                    </w:rPr>
                  </w:pPr>
                  <w:r>
                    <w:rPr>
                      <w:rFonts w:ascii="Times New Roman" w:hAnsi="Times New Roman" w:eastAsia="宋体"/>
                      <w:color w:val="auto"/>
                      <w:sz w:val="18"/>
                      <w:szCs w:val="18"/>
                      <w:highlight w:val="none"/>
                    </w:rPr>
                    <w:t>原料堆放区</w:t>
                  </w:r>
                </w:p>
              </w:tc>
              <w:tc>
                <w:tcPr>
                  <w:tcW w:w="572" w:type="pct"/>
                  <w:tcBorders>
                    <w:tl2br w:val="nil"/>
                    <w:tr2bl w:val="nil"/>
                  </w:tcBorders>
                  <w:vAlign w:val="center"/>
                </w:tcPr>
                <w:p>
                  <w:pPr>
                    <w:pStyle w:val="24"/>
                    <w:adjustRightInd/>
                    <w:snapToGrid w:val="0"/>
                    <w:spacing w:line="276" w:lineRule="auto"/>
                    <w:jc w:val="center"/>
                    <w:rPr>
                      <w:rFonts w:ascii="Times New Roman" w:hAnsi="Times New Roman" w:eastAsia="宋体"/>
                      <w:color w:val="auto"/>
                      <w:sz w:val="18"/>
                      <w:szCs w:val="18"/>
                      <w:highlight w:val="none"/>
                    </w:rPr>
                  </w:pPr>
                  <w:r>
                    <w:rPr>
                      <w:rFonts w:ascii="Times New Roman" w:hAnsi="Times New Roman" w:eastAsia="宋体"/>
                      <w:color w:val="auto"/>
                      <w:sz w:val="18"/>
                      <w:szCs w:val="18"/>
                      <w:highlight w:val="none"/>
                    </w:rPr>
                    <w:t>机油</w:t>
                  </w:r>
                </w:p>
              </w:tc>
              <w:tc>
                <w:tcPr>
                  <w:tcW w:w="717" w:type="pct"/>
                  <w:tcBorders>
                    <w:tl2br w:val="nil"/>
                    <w:tr2bl w:val="nil"/>
                  </w:tcBorders>
                  <w:vAlign w:val="center"/>
                </w:tcPr>
                <w:p>
                  <w:pPr>
                    <w:pStyle w:val="24"/>
                    <w:adjustRightInd/>
                    <w:snapToGrid w:val="0"/>
                    <w:spacing w:line="276" w:lineRule="auto"/>
                    <w:jc w:val="center"/>
                    <w:rPr>
                      <w:rFonts w:ascii="Times New Roman" w:hAnsi="Times New Roman" w:eastAsia="宋体"/>
                      <w:color w:val="auto"/>
                      <w:sz w:val="18"/>
                      <w:szCs w:val="18"/>
                      <w:highlight w:val="none"/>
                    </w:rPr>
                  </w:pPr>
                  <w:r>
                    <w:rPr>
                      <w:rFonts w:ascii="Times New Roman" w:hAnsi="Times New Roman" w:eastAsia="宋体"/>
                      <w:color w:val="auto"/>
                      <w:sz w:val="18"/>
                      <w:szCs w:val="18"/>
                      <w:highlight w:val="none"/>
                    </w:rPr>
                    <w:t>盛装容器破损导致泄漏</w:t>
                  </w:r>
                </w:p>
              </w:tc>
              <w:tc>
                <w:tcPr>
                  <w:tcW w:w="1878" w:type="pct"/>
                  <w:tcBorders>
                    <w:tl2br w:val="nil"/>
                    <w:tr2bl w:val="nil"/>
                  </w:tcBorders>
                  <w:vAlign w:val="center"/>
                </w:tcPr>
                <w:p>
                  <w:pPr>
                    <w:pStyle w:val="24"/>
                    <w:adjustRightInd/>
                    <w:snapToGrid w:val="0"/>
                    <w:spacing w:line="276" w:lineRule="auto"/>
                    <w:jc w:val="center"/>
                    <w:rPr>
                      <w:rFonts w:ascii="Times New Roman" w:hAnsi="Times New Roman" w:eastAsia="宋体"/>
                      <w:color w:val="auto"/>
                      <w:sz w:val="18"/>
                      <w:szCs w:val="18"/>
                      <w:highlight w:val="none"/>
                    </w:rPr>
                  </w:pPr>
                  <w:r>
                    <w:rPr>
                      <w:rFonts w:ascii="Times New Roman" w:hAnsi="Times New Roman" w:eastAsia="宋体"/>
                      <w:color w:val="auto"/>
                      <w:sz w:val="18"/>
                      <w:szCs w:val="18"/>
                      <w:highlight w:val="none"/>
                    </w:rPr>
                    <w:t>储存机油的装置破损导致泄漏液体或火灾事故产生废气对环境空气产生不利影响</w:t>
                  </w:r>
                </w:p>
              </w:tc>
              <w:tc>
                <w:tcPr>
                  <w:tcW w:w="917" w:type="pct"/>
                  <w:tcBorders>
                    <w:tl2br w:val="nil"/>
                    <w:tr2bl w:val="nil"/>
                  </w:tcBorders>
                  <w:vAlign w:val="center"/>
                </w:tcPr>
                <w:p>
                  <w:pPr>
                    <w:pStyle w:val="24"/>
                    <w:adjustRightInd/>
                    <w:snapToGrid w:val="0"/>
                    <w:spacing w:before="0" w:after="0" w:line="276" w:lineRule="auto"/>
                    <w:jc w:val="center"/>
                    <w:rPr>
                      <w:rFonts w:ascii="Times New Roman" w:hAnsi="Times New Roman" w:eastAsia="宋体"/>
                      <w:color w:val="auto"/>
                      <w:sz w:val="18"/>
                      <w:szCs w:val="18"/>
                      <w:highlight w:val="none"/>
                    </w:rPr>
                  </w:pPr>
                  <w:r>
                    <w:rPr>
                      <w:rFonts w:ascii="Times New Roman" w:hAnsi="Times New Roman" w:eastAsia="宋体"/>
                      <w:color w:val="auto"/>
                      <w:sz w:val="18"/>
                      <w:szCs w:val="18"/>
                      <w:highlight w:val="none"/>
                    </w:rPr>
                    <w:t>下风向居民点、区域土壤、地下水</w:t>
                  </w: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13" w:type="pct"/>
                  <w:vMerge w:val="continue"/>
                  <w:tcBorders>
                    <w:tl2br w:val="nil"/>
                    <w:tr2bl w:val="nil"/>
                  </w:tcBorders>
                  <w:vAlign w:val="center"/>
                </w:tcPr>
                <w:p>
                  <w:pPr>
                    <w:pStyle w:val="24"/>
                    <w:adjustRightInd/>
                    <w:snapToGrid w:val="0"/>
                    <w:spacing w:line="276" w:lineRule="auto"/>
                    <w:jc w:val="center"/>
                    <w:rPr>
                      <w:rFonts w:ascii="Times New Roman" w:hAnsi="Times New Roman" w:eastAsia="宋体"/>
                      <w:color w:val="auto"/>
                      <w:sz w:val="18"/>
                      <w:szCs w:val="18"/>
                      <w:highlight w:val="none"/>
                    </w:rPr>
                  </w:pPr>
                </w:p>
              </w:tc>
              <w:tc>
                <w:tcPr>
                  <w:tcW w:w="501" w:type="pct"/>
                  <w:tcBorders>
                    <w:tl2br w:val="nil"/>
                    <w:tr2bl w:val="nil"/>
                  </w:tcBorders>
                  <w:vAlign w:val="center"/>
                </w:tcPr>
                <w:p>
                  <w:pPr>
                    <w:pStyle w:val="24"/>
                    <w:adjustRightInd/>
                    <w:snapToGrid w:val="0"/>
                    <w:spacing w:line="276" w:lineRule="auto"/>
                    <w:jc w:val="center"/>
                    <w:rPr>
                      <w:rFonts w:ascii="Times New Roman" w:hAnsi="Times New Roman" w:eastAsia="宋体"/>
                      <w:color w:val="auto"/>
                      <w:sz w:val="18"/>
                      <w:szCs w:val="18"/>
                      <w:highlight w:val="none"/>
                    </w:rPr>
                  </w:pPr>
                  <w:r>
                    <w:rPr>
                      <w:rFonts w:ascii="Times New Roman" w:hAnsi="Times New Roman" w:eastAsia="宋体"/>
                      <w:color w:val="auto"/>
                      <w:sz w:val="18"/>
                      <w:szCs w:val="18"/>
                      <w:highlight w:val="none"/>
                    </w:rPr>
                    <w:t>危废暂存库</w:t>
                  </w:r>
                </w:p>
              </w:tc>
              <w:tc>
                <w:tcPr>
                  <w:tcW w:w="572" w:type="pct"/>
                  <w:tcBorders>
                    <w:tl2br w:val="nil"/>
                    <w:tr2bl w:val="nil"/>
                  </w:tcBorders>
                  <w:vAlign w:val="center"/>
                </w:tcPr>
                <w:p>
                  <w:pPr>
                    <w:pStyle w:val="24"/>
                    <w:adjustRightInd/>
                    <w:snapToGrid w:val="0"/>
                    <w:spacing w:line="276" w:lineRule="auto"/>
                    <w:jc w:val="center"/>
                    <w:rPr>
                      <w:rFonts w:ascii="Times New Roman" w:hAnsi="Times New Roman" w:eastAsia="宋体"/>
                      <w:color w:val="auto"/>
                      <w:sz w:val="18"/>
                      <w:szCs w:val="18"/>
                      <w:highlight w:val="none"/>
                    </w:rPr>
                  </w:pPr>
                  <w:r>
                    <w:rPr>
                      <w:rFonts w:ascii="Times New Roman" w:hAnsi="Times New Roman" w:eastAsia="宋体"/>
                      <w:color w:val="auto"/>
                      <w:sz w:val="18"/>
                      <w:szCs w:val="18"/>
                      <w:highlight w:val="none"/>
                    </w:rPr>
                    <w:t>废机油</w:t>
                  </w:r>
                </w:p>
              </w:tc>
              <w:tc>
                <w:tcPr>
                  <w:tcW w:w="717" w:type="pct"/>
                  <w:tcBorders>
                    <w:tl2br w:val="nil"/>
                    <w:tr2bl w:val="nil"/>
                  </w:tcBorders>
                  <w:vAlign w:val="center"/>
                </w:tcPr>
                <w:p>
                  <w:pPr>
                    <w:pStyle w:val="24"/>
                    <w:adjustRightInd/>
                    <w:snapToGrid w:val="0"/>
                    <w:spacing w:line="276" w:lineRule="auto"/>
                    <w:jc w:val="center"/>
                    <w:rPr>
                      <w:rFonts w:ascii="Times New Roman" w:hAnsi="Times New Roman" w:eastAsia="宋体"/>
                      <w:color w:val="auto"/>
                      <w:sz w:val="18"/>
                      <w:szCs w:val="18"/>
                      <w:highlight w:val="none"/>
                    </w:rPr>
                  </w:pPr>
                  <w:r>
                    <w:rPr>
                      <w:rFonts w:ascii="Times New Roman" w:hAnsi="Times New Roman" w:eastAsia="宋体"/>
                      <w:color w:val="auto"/>
                      <w:sz w:val="18"/>
                      <w:szCs w:val="18"/>
                      <w:highlight w:val="none"/>
                    </w:rPr>
                    <w:t>盛装容器破损导致泄漏</w:t>
                  </w:r>
                </w:p>
              </w:tc>
              <w:tc>
                <w:tcPr>
                  <w:tcW w:w="1878" w:type="pct"/>
                  <w:tcBorders>
                    <w:tl2br w:val="nil"/>
                    <w:tr2bl w:val="nil"/>
                  </w:tcBorders>
                  <w:vAlign w:val="center"/>
                </w:tcPr>
                <w:p>
                  <w:pPr>
                    <w:pStyle w:val="24"/>
                    <w:adjustRightInd/>
                    <w:snapToGrid w:val="0"/>
                    <w:spacing w:line="276" w:lineRule="auto"/>
                    <w:jc w:val="center"/>
                    <w:rPr>
                      <w:rFonts w:ascii="Times New Roman" w:hAnsi="Times New Roman" w:eastAsia="宋体"/>
                      <w:color w:val="auto"/>
                      <w:sz w:val="18"/>
                      <w:szCs w:val="18"/>
                      <w:highlight w:val="none"/>
                    </w:rPr>
                  </w:pPr>
                  <w:r>
                    <w:rPr>
                      <w:rFonts w:ascii="Times New Roman" w:hAnsi="Times New Roman" w:eastAsia="宋体"/>
                      <w:color w:val="auto"/>
                      <w:sz w:val="18"/>
                      <w:szCs w:val="18"/>
                      <w:highlight w:val="none"/>
                    </w:rPr>
                    <w:t>储存废机油的装置破损导致泄漏液体或火灾事故产生废气对环境空气产生不利影响</w:t>
                  </w:r>
                </w:p>
              </w:tc>
              <w:tc>
                <w:tcPr>
                  <w:tcW w:w="917" w:type="pct"/>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下风向居民点、区域土壤、地下水</w:t>
                  </w: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13" w:type="pct"/>
                  <w:vMerge w:val="restart"/>
                  <w:tcBorders>
                    <w:tl2br w:val="nil"/>
                    <w:tr2bl w:val="nil"/>
                  </w:tcBorders>
                  <w:vAlign w:val="center"/>
                </w:tcPr>
                <w:p>
                  <w:pPr>
                    <w:pStyle w:val="24"/>
                    <w:adjustRightInd/>
                    <w:snapToGrid w:val="0"/>
                    <w:spacing w:before="0" w:after="0" w:line="276" w:lineRule="auto"/>
                    <w:jc w:val="center"/>
                    <w:rPr>
                      <w:rFonts w:ascii="Times New Roman" w:hAnsi="Times New Roman" w:eastAsia="宋体"/>
                      <w:color w:val="auto"/>
                      <w:sz w:val="18"/>
                      <w:szCs w:val="18"/>
                      <w:highlight w:val="none"/>
                    </w:rPr>
                  </w:pPr>
                  <w:r>
                    <w:rPr>
                      <w:rFonts w:ascii="Times New Roman" w:hAnsi="Times New Roman" w:eastAsia="宋体"/>
                      <w:color w:val="auto"/>
                      <w:sz w:val="18"/>
                      <w:szCs w:val="18"/>
                      <w:highlight w:val="none"/>
                    </w:rPr>
                    <w:t>环保工程</w:t>
                  </w:r>
                </w:p>
              </w:tc>
              <w:tc>
                <w:tcPr>
                  <w:tcW w:w="501" w:type="pct"/>
                  <w:vMerge w:val="restart"/>
                  <w:tcBorders>
                    <w:tl2br w:val="nil"/>
                    <w:tr2bl w:val="nil"/>
                  </w:tcBorders>
                  <w:vAlign w:val="center"/>
                </w:tcPr>
                <w:p>
                  <w:pPr>
                    <w:pStyle w:val="24"/>
                    <w:adjustRightInd/>
                    <w:snapToGrid w:val="0"/>
                    <w:spacing w:before="0" w:after="0" w:line="276" w:lineRule="auto"/>
                    <w:jc w:val="center"/>
                    <w:rPr>
                      <w:rFonts w:ascii="Times New Roman" w:hAnsi="Times New Roman" w:eastAsia="宋体"/>
                      <w:color w:val="auto"/>
                      <w:sz w:val="18"/>
                      <w:szCs w:val="18"/>
                      <w:highlight w:val="none"/>
                    </w:rPr>
                  </w:pPr>
                  <w:r>
                    <w:rPr>
                      <w:rFonts w:ascii="Times New Roman" w:hAnsi="Times New Roman" w:eastAsia="宋体"/>
                      <w:color w:val="auto"/>
                      <w:sz w:val="18"/>
                      <w:szCs w:val="18"/>
                      <w:highlight w:val="none"/>
                    </w:rPr>
                    <w:t>废气治理装置</w:t>
                  </w:r>
                </w:p>
              </w:tc>
              <w:tc>
                <w:tcPr>
                  <w:tcW w:w="572" w:type="pct"/>
                  <w:tcBorders>
                    <w:tl2br w:val="nil"/>
                    <w:tr2bl w:val="nil"/>
                  </w:tcBorders>
                  <w:vAlign w:val="center"/>
                </w:tcPr>
                <w:p>
                  <w:pPr>
                    <w:pStyle w:val="24"/>
                    <w:adjustRightInd/>
                    <w:snapToGrid w:val="0"/>
                    <w:spacing w:before="0" w:after="0" w:line="276" w:lineRule="auto"/>
                    <w:jc w:val="center"/>
                    <w:rPr>
                      <w:rFonts w:ascii="Times New Roman" w:hAnsi="Times New Roman" w:eastAsia="宋体"/>
                      <w:color w:val="auto"/>
                      <w:sz w:val="18"/>
                      <w:szCs w:val="18"/>
                      <w:highlight w:val="none"/>
                    </w:rPr>
                  </w:pPr>
                  <w:r>
                    <w:rPr>
                      <w:rFonts w:ascii="Times New Roman" w:hAnsi="Times New Roman" w:eastAsia="宋体"/>
                      <w:color w:val="auto"/>
                      <w:sz w:val="18"/>
                      <w:szCs w:val="18"/>
                      <w:highlight w:val="none"/>
                    </w:rPr>
                    <w:t>颗粒物</w:t>
                  </w:r>
                </w:p>
              </w:tc>
              <w:tc>
                <w:tcPr>
                  <w:tcW w:w="717" w:type="pct"/>
                  <w:vMerge w:val="restart"/>
                  <w:tcBorders>
                    <w:tl2br w:val="nil"/>
                    <w:tr2bl w:val="nil"/>
                  </w:tcBorders>
                  <w:vAlign w:val="center"/>
                </w:tcPr>
                <w:p>
                  <w:pPr>
                    <w:pStyle w:val="24"/>
                    <w:adjustRightInd/>
                    <w:snapToGrid w:val="0"/>
                    <w:spacing w:before="0" w:after="0" w:line="276" w:lineRule="auto"/>
                    <w:jc w:val="center"/>
                    <w:rPr>
                      <w:rFonts w:ascii="Times New Roman" w:hAnsi="Times New Roman" w:eastAsia="宋体"/>
                      <w:color w:val="auto"/>
                      <w:sz w:val="18"/>
                      <w:szCs w:val="18"/>
                      <w:highlight w:val="none"/>
                    </w:rPr>
                  </w:pPr>
                  <w:r>
                    <w:rPr>
                      <w:rFonts w:ascii="Times New Roman" w:hAnsi="Times New Roman" w:eastAsia="宋体"/>
                      <w:color w:val="auto"/>
                      <w:sz w:val="18"/>
                      <w:szCs w:val="18"/>
                      <w:highlight w:val="none"/>
                    </w:rPr>
                    <w:t>废气治理装置故障</w:t>
                  </w:r>
                </w:p>
              </w:tc>
              <w:tc>
                <w:tcPr>
                  <w:tcW w:w="1878" w:type="pct"/>
                  <w:vMerge w:val="restart"/>
                  <w:tcBorders>
                    <w:tl2br w:val="nil"/>
                    <w:tr2bl w:val="nil"/>
                  </w:tcBorders>
                  <w:vAlign w:val="center"/>
                </w:tcPr>
                <w:p>
                  <w:pPr>
                    <w:pStyle w:val="24"/>
                    <w:adjustRightInd/>
                    <w:snapToGrid w:val="0"/>
                    <w:spacing w:before="0" w:after="0" w:line="276" w:lineRule="auto"/>
                    <w:jc w:val="center"/>
                    <w:rPr>
                      <w:rFonts w:ascii="Times New Roman" w:hAnsi="Times New Roman" w:eastAsia="宋体"/>
                      <w:color w:val="auto"/>
                      <w:sz w:val="18"/>
                      <w:szCs w:val="18"/>
                      <w:highlight w:val="none"/>
                    </w:rPr>
                  </w:pPr>
                  <w:r>
                    <w:rPr>
                      <w:rFonts w:ascii="Times New Roman" w:hAnsi="Times New Roman" w:eastAsia="宋体"/>
                      <w:color w:val="auto"/>
                      <w:sz w:val="18"/>
                      <w:szCs w:val="18"/>
                      <w:highlight w:val="none"/>
                    </w:rPr>
                    <w:t>废气治理装置发生故障，废气非正常排放，对环境空气产生不利影响</w:t>
                  </w:r>
                </w:p>
              </w:tc>
              <w:tc>
                <w:tcPr>
                  <w:tcW w:w="917" w:type="pct"/>
                  <w:vMerge w:val="restart"/>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r>
                    <w:rPr>
                      <w:rFonts w:ascii="Times New Roman" w:hAnsi="Times New Roman" w:eastAsia="宋体" w:cs="Times New Roman"/>
                      <w:color w:val="auto"/>
                      <w:sz w:val="18"/>
                      <w:szCs w:val="18"/>
                      <w:highlight w:val="none"/>
                    </w:rPr>
                    <w:t>下风向居民点</w:t>
                  </w: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13" w:type="pct"/>
                  <w:vMerge w:val="continue"/>
                  <w:tcBorders>
                    <w:tl2br w:val="nil"/>
                    <w:tr2bl w:val="nil"/>
                  </w:tcBorders>
                  <w:vAlign w:val="center"/>
                </w:tcPr>
                <w:p>
                  <w:pPr>
                    <w:pStyle w:val="24"/>
                    <w:adjustRightInd/>
                    <w:snapToGrid w:val="0"/>
                    <w:spacing w:before="0" w:after="0" w:line="276" w:lineRule="auto"/>
                    <w:jc w:val="center"/>
                    <w:rPr>
                      <w:rFonts w:ascii="Times New Roman" w:hAnsi="Times New Roman" w:eastAsia="宋体"/>
                      <w:color w:val="auto"/>
                      <w:sz w:val="18"/>
                      <w:szCs w:val="18"/>
                      <w:highlight w:val="none"/>
                    </w:rPr>
                  </w:pPr>
                </w:p>
              </w:tc>
              <w:tc>
                <w:tcPr>
                  <w:tcW w:w="501" w:type="pct"/>
                  <w:vMerge w:val="continue"/>
                  <w:tcBorders>
                    <w:tl2br w:val="nil"/>
                    <w:tr2bl w:val="nil"/>
                  </w:tcBorders>
                  <w:vAlign w:val="center"/>
                </w:tcPr>
                <w:p>
                  <w:pPr>
                    <w:pStyle w:val="24"/>
                    <w:adjustRightInd/>
                    <w:snapToGrid w:val="0"/>
                    <w:spacing w:before="0" w:after="0" w:line="276" w:lineRule="auto"/>
                    <w:jc w:val="center"/>
                    <w:rPr>
                      <w:rFonts w:ascii="Times New Roman" w:hAnsi="Times New Roman" w:eastAsia="宋体"/>
                      <w:color w:val="auto"/>
                      <w:sz w:val="18"/>
                      <w:szCs w:val="18"/>
                      <w:highlight w:val="none"/>
                    </w:rPr>
                  </w:pPr>
                </w:p>
              </w:tc>
              <w:tc>
                <w:tcPr>
                  <w:tcW w:w="572" w:type="pct"/>
                  <w:tcBorders>
                    <w:tl2br w:val="nil"/>
                    <w:tr2bl w:val="nil"/>
                  </w:tcBorders>
                  <w:vAlign w:val="center"/>
                </w:tcPr>
                <w:p>
                  <w:pPr>
                    <w:pStyle w:val="24"/>
                    <w:adjustRightInd/>
                    <w:snapToGrid w:val="0"/>
                    <w:spacing w:before="0" w:after="0" w:line="276" w:lineRule="auto"/>
                    <w:jc w:val="center"/>
                    <w:rPr>
                      <w:rFonts w:ascii="Times New Roman" w:hAnsi="Times New Roman" w:eastAsia="宋体"/>
                      <w:color w:val="auto"/>
                      <w:sz w:val="18"/>
                      <w:szCs w:val="18"/>
                      <w:highlight w:val="none"/>
                    </w:rPr>
                  </w:pPr>
                  <w:r>
                    <w:rPr>
                      <w:rFonts w:ascii="Times New Roman" w:hAnsi="Times New Roman" w:eastAsia="宋体"/>
                      <w:color w:val="auto"/>
                      <w:sz w:val="18"/>
                      <w:szCs w:val="18"/>
                      <w:highlight w:val="none"/>
                    </w:rPr>
                    <w:t>非甲烷总烃</w:t>
                  </w:r>
                </w:p>
              </w:tc>
              <w:tc>
                <w:tcPr>
                  <w:tcW w:w="717" w:type="pct"/>
                  <w:vMerge w:val="continue"/>
                  <w:tcBorders>
                    <w:tl2br w:val="nil"/>
                    <w:tr2bl w:val="nil"/>
                  </w:tcBorders>
                  <w:vAlign w:val="center"/>
                </w:tcPr>
                <w:p>
                  <w:pPr>
                    <w:pStyle w:val="24"/>
                    <w:adjustRightInd/>
                    <w:snapToGrid w:val="0"/>
                    <w:spacing w:before="0" w:after="0" w:line="276" w:lineRule="auto"/>
                    <w:jc w:val="center"/>
                    <w:rPr>
                      <w:rFonts w:ascii="Times New Roman" w:hAnsi="Times New Roman" w:eastAsia="宋体"/>
                      <w:color w:val="auto"/>
                      <w:sz w:val="18"/>
                      <w:szCs w:val="18"/>
                      <w:highlight w:val="none"/>
                    </w:rPr>
                  </w:pPr>
                </w:p>
              </w:tc>
              <w:tc>
                <w:tcPr>
                  <w:tcW w:w="1878" w:type="pct"/>
                  <w:vMerge w:val="continue"/>
                  <w:tcBorders>
                    <w:tl2br w:val="nil"/>
                    <w:tr2bl w:val="nil"/>
                  </w:tcBorders>
                  <w:vAlign w:val="center"/>
                </w:tcPr>
                <w:p>
                  <w:pPr>
                    <w:pStyle w:val="24"/>
                    <w:adjustRightInd/>
                    <w:snapToGrid w:val="0"/>
                    <w:spacing w:before="0" w:after="0" w:line="276" w:lineRule="auto"/>
                    <w:jc w:val="center"/>
                    <w:rPr>
                      <w:rFonts w:ascii="Times New Roman" w:hAnsi="Times New Roman" w:eastAsia="宋体"/>
                      <w:color w:val="auto"/>
                      <w:sz w:val="18"/>
                      <w:szCs w:val="18"/>
                      <w:highlight w:val="none"/>
                    </w:rPr>
                  </w:pPr>
                </w:p>
              </w:tc>
              <w:tc>
                <w:tcPr>
                  <w:tcW w:w="917" w:type="pct"/>
                  <w:vMerge w:val="continue"/>
                  <w:tcBorders>
                    <w:tl2br w:val="nil"/>
                    <w:tr2bl w:val="nil"/>
                  </w:tcBorders>
                  <w:vAlign w:val="center"/>
                </w:tcPr>
                <w:p>
                  <w:pPr>
                    <w:snapToGrid w:val="0"/>
                    <w:spacing w:line="276" w:lineRule="auto"/>
                    <w:jc w:val="center"/>
                    <w:rPr>
                      <w:rFonts w:ascii="Times New Roman" w:hAnsi="Times New Roman" w:eastAsia="宋体" w:cs="Times New Roman"/>
                      <w:color w:val="auto"/>
                      <w:sz w:val="18"/>
                      <w:szCs w:val="18"/>
                      <w:highlight w:val="none"/>
                    </w:rPr>
                  </w:pPr>
                </w:p>
              </w:tc>
            </w:tr>
          </w:tbl>
          <w:p>
            <w:pPr>
              <w:spacing w:line="360" w:lineRule="auto"/>
              <w:ind w:firstLine="482" w:firstLineChars="200"/>
              <w:rPr>
                <w:rFonts w:ascii="Times New Roman" w:hAnsi="Times New Roman" w:eastAsia="宋体" w:cs="Times New Roman"/>
                <w:b/>
                <w:bCs/>
                <w:color w:val="auto"/>
                <w:sz w:val="24"/>
                <w:highlight w:val="none"/>
              </w:rPr>
            </w:pPr>
            <w:r>
              <w:rPr>
                <w:rFonts w:ascii="Times New Roman" w:hAnsi="Times New Roman" w:eastAsia="宋体" w:cs="Times New Roman"/>
                <w:b/>
                <w:bCs/>
                <w:color w:val="auto"/>
                <w:sz w:val="24"/>
                <w:highlight w:val="none"/>
              </w:rPr>
              <w:t>（4）环境风险防范措施</w:t>
            </w:r>
          </w:p>
          <w:p>
            <w:pPr>
              <w:pStyle w:val="25"/>
              <w:adjustRightInd/>
              <w:spacing w:line="360" w:lineRule="auto"/>
              <w:ind w:firstLine="480" w:firstLineChars="200"/>
              <w:jc w:val="both"/>
              <w:rPr>
                <w:rFonts w:ascii="Times New Roman" w:cs="Times New Roman"/>
                <w:bCs/>
                <w:color w:val="auto"/>
                <w:highlight w:val="none"/>
              </w:rPr>
            </w:pPr>
            <w:r>
              <w:rPr>
                <w:rFonts w:ascii="Times New Roman" w:cs="Times New Roman"/>
                <w:bCs/>
                <w:color w:val="auto"/>
                <w:highlight w:val="none"/>
              </w:rPr>
              <w:t>①原料库风险防范措施</w:t>
            </w:r>
          </w:p>
          <w:p>
            <w:pPr>
              <w:autoSpaceDE w:val="0"/>
              <w:autoSpaceDN w:val="0"/>
              <w:spacing w:line="360" w:lineRule="auto"/>
              <w:ind w:firstLine="480" w:firstLineChars="200"/>
              <w:rPr>
                <w:rFonts w:ascii="Times New Roman" w:hAnsi="Times New Roman" w:eastAsia="宋体" w:cs="Times New Roman"/>
                <w:color w:val="auto"/>
                <w:sz w:val="24"/>
                <w:highlight w:val="none"/>
              </w:rPr>
            </w:pPr>
            <w:r>
              <w:rPr>
                <w:rFonts w:ascii="Times New Roman" w:hAnsi="Times New Roman" w:eastAsia="宋体" w:cs="Times New Roman"/>
                <w:color w:val="auto"/>
                <w:sz w:val="24"/>
                <w:highlight w:val="none"/>
              </w:rPr>
              <w:t>本项目原料堆放区存放有机油。机油采用桶装，并设置在集液托盘内，泄漏时能得到有效收集；同时原料堆放区内还采取防腐防渗措施，安装有火灾报警系统和视频监控设施，并设置相关应急处理物资，及时的处理泄漏物质。</w:t>
            </w:r>
          </w:p>
          <w:p>
            <w:pPr>
              <w:autoSpaceDE w:val="0"/>
              <w:autoSpaceDN w:val="0"/>
              <w:spacing w:line="360" w:lineRule="auto"/>
              <w:ind w:firstLine="480" w:firstLineChars="200"/>
              <w:rPr>
                <w:rFonts w:ascii="Times New Roman" w:hAnsi="Times New Roman" w:eastAsia="宋体" w:cs="Times New Roman"/>
                <w:color w:val="auto"/>
                <w:sz w:val="24"/>
                <w:highlight w:val="none"/>
              </w:rPr>
            </w:pPr>
            <w:r>
              <w:rPr>
                <w:rFonts w:ascii="Times New Roman" w:hAnsi="Times New Roman" w:eastAsia="宋体" w:cs="Times New Roman"/>
                <w:color w:val="auto"/>
                <w:sz w:val="24"/>
                <w:highlight w:val="none"/>
              </w:rPr>
              <w:t>②危废暂存库风险防范措施</w:t>
            </w:r>
          </w:p>
          <w:p>
            <w:pPr>
              <w:autoSpaceDE w:val="0"/>
              <w:autoSpaceDN w:val="0"/>
              <w:spacing w:line="360" w:lineRule="auto"/>
              <w:ind w:firstLine="480" w:firstLineChars="200"/>
              <w:rPr>
                <w:rFonts w:ascii="Times New Roman" w:hAnsi="Times New Roman" w:eastAsia="宋体" w:cs="Times New Roman"/>
                <w:color w:val="auto"/>
                <w:sz w:val="24"/>
                <w:highlight w:val="none"/>
              </w:rPr>
            </w:pPr>
            <w:r>
              <w:rPr>
                <w:rFonts w:ascii="Times New Roman" w:hAnsi="Times New Roman" w:eastAsia="宋体" w:cs="Times New Roman"/>
                <w:color w:val="auto"/>
                <w:sz w:val="24"/>
                <w:highlight w:val="none"/>
              </w:rPr>
              <w:t>本项目危废暂存库存放有废机油，采用桶装存放。一旦出现危废泄漏的情形，其产生的危害较大。因此建设单位应做到如下：</w:t>
            </w:r>
          </w:p>
          <w:p>
            <w:pPr>
              <w:pStyle w:val="25"/>
              <w:adjustRightInd/>
              <w:spacing w:line="360" w:lineRule="auto"/>
              <w:ind w:firstLine="480" w:firstLineChars="200"/>
              <w:jc w:val="both"/>
              <w:rPr>
                <w:rFonts w:ascii="Times New Roman" w:cs="Times New Roman"/>
                <w:bCs/>
                <w:color w:val="auto"/>
                <w:highlight w:val="none"/>
              </w:rPr>
            </w:pPr>
            <w:r>
              <w:rPr>
                <w:rFonts w:ascii="Times New Roman" w:cs="Times New Roman"/>
                <w:bCs/>
                <w:color w:val="auto"/>
                <w:highlight w:val="none"/>
              </w:rPr>
              <w:t>a、机油桶装置于集液托盘内，集液托盘有效容量应能满足单桶物料泄漏的容纳能力。</w:t>
            </w:r>
          </w:p>
          <w:p>
            <w:pPr>
              <w:pStyle w:val="25"/>
              <w:adjustRightInd/>
              <w:spacing w:line="360" w:lineRule="auto"/>
              <w:ind w:firstLine="480" w:firstLineChars="200"/>
              <w:jc w:val="both"/>
              <w:rPr>
                <w:rFonts w:ascii="Times New Roman" w:cs="Times New Roman"/>
                <w:bCs/>
                <w:color w:val="auto"/>
                <w:highlight w:val="none"/>
              </w:rPr>
            </w:pPr>
            <w:r>
              <w:rPr>
                <w:rFonts w:ascii="Times New Roman" w:cs="Times New Roman"/>
                <w:bCs/>
                <w:color w:val="auto"/>
                <w:highlight w:val="none"/>
              </w:rPr>
              <w:t>b、桶装危废单层码放，禁止多层堆叠。</w:t>
            </w:r>
          </w:p>
          <w:p>
            <w:pPr>
              <w:autoSpaceDE w:val="0"/>
              <w:autoSpaceDN w:val="0"/>
              <w:spacing w:line="360" w:lineRule="auto"/>
              <w:ind w:firstLine="480" w:firstLineChars="200"/>
              <w:rPr>
                <w:rFonts w:ascii="Times New Roman" w:hAnsi="Times New Roman" w:eastAsia="宋体" w:cs="Times New Roman"/>
                <w:color w:val="auto"/>
                <w:sz w:val="24"/>
                <w:highlight w:val="none"/>
              </w:rPr>
            </w:pPr>
            <w:r>
              <w:rPr>
                <w:rFonts w:ascii="Times New Roman" w:hAnsi="Times New Roman" w:eastAsia="宋体" w:cs="Times New Roman"/>
                <w:color w:val="auto"/>
                <w:sz w:val="24"/>
                <w:highlight w:val="none"/>
              </w:rPr>
              <w:t>c、危废暂存库地面、裙角等按照《危险废物贮存污染控制标准》（GB18597-2023）的相关要求进行建设。</w:t>
            </w:r>
          </w:p>
          <w:p>
            <w:pPr>
              <w:autoSpaceDE w:val="0"/>
              <w:autoSpaceDN w:val="0"/>
              <w:spacing w:line="360" w:lineRule="auto"/>
              <w:ind w:firstLine="480" w:firstLineChars="200"/>
              <w:rPr>
                <w:rFonts w:ascii="Times New Roman" w:hAnsi="Times New Roman" w:eastAsia="宋体" w:cs="Times New Roman"/>
                <w:color w:val="auto"/>
                <w:sz w:val="24"/>
                <w:highlight w:val="none"/>
              </w:rPr>
            </w:pPr>
            <w:r>
              <w:rPr>
                <w:rFonts w:ascii="Times New Roman" w:hAnsi="Times New Roman" w:eastAsia="宋体" w:cs="Times New Roman"/>
                <w:color w:val="auto"/>
                <w:sz w:val="24"/>
                <w:highlight w:val="none"/>
              </w:rPr>
              <w:t>d、危废暂存库安排专人管理，并记录台账。</w:t>
            </w:r>
          </w:p>
          <w:p>
            <w:pPr>
              <w:pStyle w:val="25"/>
              <w:adjustRightInd/>
              <w:spacing w:line="360" w:lineRule="auto"/>
              <w:ind w:firstLine="480" w:firstLineChars="200"/>
              <w:jc w:val="both"/>
              <w:rPr>
                <w:rFonts w:ascii="Times New Roman" w:cs="Times New Roman"/>
                <w:color w:val="auto"/>
                <w:highlight w:val="none"/>
              </w:rPr>
            </w:pPr>
            <w:r>
              <w:rPr>
                <w:rFonts w:ascii="Times New Roman" w:cs="Times New Roman"/>
                <w:bCs/>
                <w:color w:val="auto"/>
                <w:highlight w:val="none"/>
              </w:rPr>
              <w:t>e、</w:t>
            </w:r>
            <w:r>
              <w:rPr>
                <w:rFonts w:ascii="Times New Roman" w:cs="Times New Roman"/>
                <w:color w:val="auto"/>
                <w:highlight w:val="none"/>
              </w:rPr>
              <w:t>加强危废的转运管理，避免转移过程出现倾倒。</w:t>
            </w:r>
          </w:p>
          <w:p>
            <w:pPr>
              <w:tabs>
                <w:tab w:val="left" w:pos="1650"/>
              </w:tabs>
              <w:spacing w:line="360" w:lineRule="auto"/>
              <w:ind w:firstLine="480" w:firstLineChars="200"/>
              <w:rPr>
                <w:rFonts w:ascii="Times New Roman" w:hAnsi="Times New Roman" w:eastAsia="宋体" w:cs="Times New Roman"/>
                <w:color w:val="auto"/>
                <w:sz w:val="24"/>
                <w:highlight w:val="none"/>
              </w:rPr>
            </w:pPr>
            <w:r>
              <w:rPr>
                <w:rFonts w:ascii="Times New Roman" w:hAnsi="Times New Roman" w:eastAsia="宋体" w:cs="Times New Roman"/>
                <w:color w:val="auto"/>
                <w:sz w:val="24"/>
                <w:highlight w:val="none"/>
              </w:rPr>
              <w:t>f、危废暂存库安排专人管理，并记录台账。</w:t>
            </w:r>
          </w:p>
          <w:p>
            <w:pPr>
              <w:pStyle w:val="25"/>
              <w:adjustRightInd/>
              <w:spacing w:line="360" w:lineRule="auto"/>
              <w:ind w:firstLine="480" w:firstLineChars="200"/>
              <w:jc w:val="both"/>
              <w:rPr>
                <w:rFonts w:ascii="Times New Roman" w:cs="Times New Roman"/>
                <w:bCs/>
                <w:color w:val="auto"/>
                <w:highlight w:val="none"/>
              </w:rPr>
            </w:pPr>
            <w:r>
              <w:rPr>
                <w:rFonts w:ascii="Times New Roman" w:cs="Times New Roman"/>
                <w:bCs/>
                <w:color w:val="auto"/>
                <w:highlight w:val="none"/>
              </w:rPr>
              <w:t>③废气治理装置风险防范措施</w:t>
            </w:r>
          </w:p>
          <w:p>
            <w:pPr>
              <w:pStyle w:val="25"/>
              <w:adjustRightInd/>
              <w:spacing w:line="360" w:lineRule="auto"/>
              <w:ind w:firstLine="480" w:firstLineChars="200"/>
              <w:jc w:val="both"/>
              <w:rPr>
                <w:rFonts w:ascii="Times New Roman" w:cs="Times New Roman"/>
                <w:color w:val="auto"/>
                <w:highlight w:val="none"/>
              </w:rPr>
            </w:pPr>
            <w:r>
              <w:rPr>
                <w:rFonts w:ascii="Times New Roman" w:cs="Times New Roman"/>
                <w:color w:val="auto"/>
                <w:highlight w:val="none"/>
              </w:rPr>
              <w:t>a、平时加强废气处理设施的维护保养，及时发现处理设施的隐患，并及时进行维修，确保废气处理系统正常运行；</w:t>
            </w:r>
          </w:p>
          <w:p>
            <w:pPr>
              <w:pStyle w:val="25"/>
              <w:adjustRightInd/>
              <w:spacing w:line="360" w:lineRule="auto"/>
              <w:ind w:firstLine="480" w:firstLineChars="200"/>
              <w:jc w:val="both"/>
              <w:rPr>
                <w:rFonts w:ascii="Times New Roman" w:cs="Times New Roman"/>
                <w:color w:val="auto"/>
                <w:highlight w:val="none"/>
              </w:rPr>
            </w:pPr>
            <w:r>
              <w:rPr>
                <w:rFonts w:ascii="Times New Roman" w:cs="Times New Roman"/>
                <w:color w:val="auto"/>
                <w:highlight w:val="none"/>
              </w:rPr>
              <w:t>b、建立健全的环保体制，对管理人员和技术人员进行岗位培训，对废气处理实行全过程跟踪控制；</w:t>
            </w:r>
          </w:p>
          <w:p>
            <w:pPr>
              <w:pStyle w:val="25"/>
              <w:adjustRightInd/>
              <w:spacing w:line="360" w:lineRule="auto"/>
              <w:ind w:firstLine="480" w:firstLineChars="200"/>
              <w:jc w:val="both"/>
              <w:rPr>
                <w:rFonts w:ascii="Times New Roman" w:cs="Times New Roman"/>
                <w:color w:val="auto"/>
                <w:highlight w:val="none"/>
              </w:rPr>
            </w:pPr>
            <w:r>
              <w:rPr>
                <w:rFonts w:ascii="Times New Roman" w:cs="Times New Roman"/>
                <w:color w:val="auto"/>
                <w:highlight w:val="none"/>
              </w:rPr>
              <w:t>c、项目应设有备用电源，以备停电故障时废气全部可进入废气处理系统进行处理以达标排放。</w:t>
            </w:r>
          </w:p>
          <w:p>
            <w:pPr>
              <w:pStyle w:val="25"/>
              <w:adjustRightInd/>
              <w:spacing w:line="360" w:lineRule="auto"/>
              <w:ind w:firstLine="480" w:firstLineChars="200"/>
              <w:jc w:val="both"/>
              <w:rPr>
                <w:rFonts w:ascii="Times New Roman" w:cs="Times New Roman"/>
                <w:color w:val="auto"/>
                <w:highlight w:val="none"/>
              </w:rPr>
            </w:pPr>
          </w:p>
          <w:p>
            <w:pPr>
              <w:spacing w:line="360" w:lineRule="auto"/>
              <w:ind w:firstLine="482" w:firstLineChars="200"/>
              <w:rPr>
                <w:rFonts w:ascii="Times New Roman" w:hAnsi="Times New Roman" w:eastAsia="宋体" w:cs="Times New Roman"/>
                <w:b/>
                <w:snapToGrid w:val="0"/>
                <w:color w:val="auto"/>
                <w:sz w:val="24"/>
                <w:highlight w:val="none"/>
              </w:rPr>
            </w:pPr>
            <w:r>
              <w:rPr>
                <w:rFonts w:hint="eastAsia" w:ascii="Times New Roman" w:hAnsi="Times New Roman" w:eastAsia="宋体" w:cs="Times New Roman"/>
                <w:b/>
                <w:snapToGrid w:val="0"/>
                <w:color w:val="auto"/>
                <w:sz w:val="24"/>
                <w:highlight w:val="none"/>
              </w:rPr>
              <w:t>七</w:t>
            </w:r>
            <w:r>
              <w:rPr>
                <w:rFonts w:ascii="Times New Roman" w:hAnsi="Times New Roman" w:eastAsia="宋体" w:cs="Times New Roman"/>
                <w:b/>
                <w:snapToGrid w:val="0"/>
                <w:color w:val="auto"/>
                <w:sz w:val="24"/>
                <w:highlight w:val="none"/>
              </w:rPr>
              <w:t>、污染源排放口规范化要求</w:t>
            </w:r>
          </w:p>
          <w:p>
            <w:pPr>
              <w:adjustRightInd w:val="0"/>
              <w:spacing w:line="360" w:lineRule="auto"/>
              <w:ind w:firstLine="480" w:firstLineChars="200"/>
              <w:rPr>
                <w:rFonts w:ascii="Times New Roman" w:hAnsi="Times New Roman" w:eastAsia="宋体" w:cs="Times New Roman"/>
                <w:color w:val="auto"/>
                <w:sz w:val="24"/>
                <w:highlight w:val="none"/>
              </w:rPr>
            </w:pPr>
            <w:r>
              <w:rPr>
                <w:rFonts w:ascii="Times New Roman" w:hAnsi="Times New Roman" w:eastAsia="宋体" w:cs="Times New Roman"/>
                <w:color w:val="auto"/>
                <w:sz w:val="24"/>
                <w:highlight w:val="none"/>
              </w:rPr>
              <w:t>废气排气筒应设置人工采样平台和采样口，采样口的设置应符合《污染源监测技术规范》要求</w:t>
            </w:r>
            <w:r>
              <w:rPr>
                <w:rFonts w:ascii="Times New Roman" w:hAnsi="Times New Roman" w:eastAsia="宋体" w:cs="Times New Roman"/>
                <w:color w:val="auto"/>
                <w:szCs w:val="21"/>
                <w:highlight w:val="none"/>
              </w:rPr>
              <w:t>。</w:t>
            </w:r>
            <w:r>
              <w:rPr>
                <w:rFonts w:ascii="Times New Roman" w:hAnsi="Times New Roman" w:eastAsia="宋体" w:cs="Times New Roman"/>
                <w:color w:val="auto"/>
                <w:sz w:val="24"/>
                <w:highlight w:val="none"/>
              </w:rPr>
              <w:t>企业污染物排放口（源）及固体废物贮存、堆放场必须按照国家标准《环境保护图形标志》（GB15562.1-1995）的规定设置与之相适应的环境保护图形标志牌，环境保护图形标志牌设置位置应距污染物排放口（源）、固体废物贮存（堆放）场或采样点较近且醒目处，并能长久保留。同时如实填写《中华人民共和国规范化排污口标记登记证》，由环保部门签发。环保主管部门和建设单位可分别按以下内容建立排污口管理的专门档案：排污口性质和编号；位置；排放主要污染物种类、数量、浓度；排放去向；达标情况；治理设施运行情况及整改意见。</w:t>
            </w:r>
          </w:p>
          <w:p>
            <w:pPr>
              <w:spacing w:line="360" w:lineRule="auto"/>
              <w:ind w:firstLine="480" w:firstLineChars="200"/>
              <w:rPr>
                <w:rFonts w:ascii="Times New Roman" w:hAnsi="Times New Roman" w:eastAsia="宋体" w:cs="Times New Roman"/>
                <w:color w:val="auto"/>
                <w:sz w:val="24"/>
                <w:highlight w:val="none"/>
              </w:rPr>
            </w:pPr>
            <w:r>
              <w:rPr>
                <w:rFonts w:ascii="Times New Roman" w:hAnsi="Times New Roman" w:eastAsia="宋体" w:cs="Times New Roman"/>
                <w:color w:val="auto"/>
                <w:sz w:val="24"/>
                <w:highlight w:val="none"/>
              </w:rPr>
              <w:t>环境保护图形标志</w:t>
            </w:r>
          </w:p>
          <w:p>
            <w:pPr>
              <w:spacing w:line="360" w:lineRule="auto"/>
              <w:ind w:firstLine="480" w:firstLineChars="200"/>
              <w:rPr>
                <w:rFonts w:ascii="Times New Roman" w:hAnsi="Times New Roman" w:eastAsia="宋体" w:cs="Times New Roman"/>
                <w:color w:val="auto"/>
                <w:sz w:val="24"/>
                <w:highlight w:val="none"/>
              </w:rPr>
            </w:pPr>
            <w:r>
              <w:rPr>
                <w:rFonts w:ascii="Times New Roman" w:hAnsi="Times New Roman" w:eastAsia="宋体" w:cs="Times New Roman"/>
                <w:color w:val="auto"/>
                <w:sz w:val="24"/>
                <w:highlight w:val="none"/>
              </w:rPr>
              <w:t>在厂区的废气排放口、噪声排放源、固体废物贮存处置场应设置环境保护图形标志，图形符号分为提示图形和警告图形符号两种，分别按GB15562.1-1995、GB15562.2-1995执行。环境境保护图形符号见表4-17。环境保护图形标志的形状及颜色见表4-18。</w:t>
            </w:r>
          </w:p>
          <w:p>
            <w:pPr>
              <w:pStyle w:val="25"/>
              <w:rPr>
                <w:rFonts w:ascii="Times New Roman" w:cs="Times New Roman"/>
                <w:color w:val="auto"/>
                <w:highlight w:val="none"/>
              </w:rPr>
            </w:pPr>
          </w:p>
          <w:p>
            <w:pPr>
              <w:pStyle w:val="25"/>
              <w:rPr>
                <w:rFonts w:ascii="Times New Roman" w:cs="Times New Roman"/>
                <w:color w:val="auto"/>
                <w:highlight w:val="none"/>
              </w:rPr>
            </w:pPr>
          </w:p>
          <w:p>
            <w:pPr>
              <w:pStyle w:val="25"/>
              <w:rPr>
                <w:rFonts w:ascii="Times New Roman" w:cs="Times New Roman"/>
                <w:color w:val="auto"/>
                <w:highlight w:val="none"/>
              </w:rPr>
            </w:pPr>
          </w:p>
          <w:p>
            <w:pPr>
              <w:adjustRightInd w:val="0"/>
              <w:spacing w:line="324" w:lineRule="auto"/>
              <w:jc w:val="center"/>
              <w:rPr>
                <w:rFonts w:ascii="Times New Roman" w:hAnsi="Times New Roman" w:eastAsia="黑体" w:cs="Times New Roman"/>
                <w:color w:val="auto"/>
                <w:sz w:val="24"/>
                <w:highlight w:val="none"/>
              </w:rPr>
            </w:pPr>
            <w:r>
              <w:rPr>
                <w:rFonts w:ascii="Times New Roman" w:hAnsi="Times New Roman" w:eastAsia="黑体" w:cs="Times New Roman"/>
                <w:color w:val="auto"/>
                <w:sz w:val="24"/>
                <w:highlight w:val="none"/>
              </w:rPr>
              <w:t>表4-17 本项目环境保护图形符号表</w:t>
            </w:r>
          </w:p>
          <w:tbl>
            <w:tblPr>
              <w:tblStyle w:val="17"/>
              <w:tblW w:w="4998" w:type="pct"/>
              <w:tblInd w:w="0" w:type="dxa"/>
              <w:tblBorders>
                <w:top w:val="single" w:color="auto" w:sz="8" w:space="0"/>
                <w:left w:val="none" w:color="auto" w:sz="0" w:space="0"/>
                <w:bottom w:val="single" w:color="auto" w:sz="8"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577"/>
              <w:gridCol w:w="1746"/>
              <w:gridCol w:w="2071"/>
              <w:gridCol w:w="1731"/>
              <w:gridCol w:w="1778"/>
            </w:tblGrid>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46" w:hRule="atLeast"/>
              </w:trPr>
              <w:tc>
                <w:tcPr>
                  <w:tcW w:w="365" w:type="pct"/>
                  <w:tcBorders>
                    <w:tl2br w:val="nil"/>
                    <w:tr2bl w:val="nil"/>
                  </w:tcBorders>
                  <w:vAlign w:val="center"/>
                </w:tcPr>
                <w:p>
                  <w:pPr>
                    <w:spacing w:line="276" w:lineRule="auto"/>
                    <w:jc w:val="center"/>
                    <w:rPr>
                      <w:rFonts w:ascii="Times New Roman" w:hAnsi="Times New Roman" w:eastAsia="宋体" w:cs="Times New Roman"/>
                      <w:b/>
                      <w:color w:val="auto"/>
                      <w:spacing w:val="-2"/>
                      <w:sz w:val="18"/>
                      <w:szCs w:val="18"/>
                      <w:highlight w:val="none"/>
                    </w:rPr>
                  </w:pPr>
                  <w:r>
                    <w:rPr>
                      <w:rFonts w:ascii="Times New Roman" w:hAnsi="Times New Roman" w:eastAsia="宋体" w:cs="Times New Roman"/>
                      <w:b/>
                      <w:color w:val="auto"/>
                      <w:sz w:val="18"/>
                      <w:szCs w:val="18"/>
                      <w:highlight w:val="none"/>
                    </w:rPr>
                    <w:t>序号</w:t>
                  </w:r>
                </w:p>
              </w:tc>
              <w:tc>
                <w:tcPr>
                  <w:tcW w:w="1104" w:type="pct"/>
                  <w:tcBorders>
                    <w:tl2br w:val="nil"/>
                    <w:tr2bl w:val="nil"/>
                  </w:tcBorders>
                  <w:vAlign w:val="center"/>
                </w:tcPr>
                <w:p>
                  <w:pPr>
                    <w:spacing w:line="276" w:lineRule="auto"/>
                    <w:jc w:val="center"/>
                    <w:rPr>
                      <w:rFonts w:ascii="Times New Roman" w:hAnsi="Times New Roman" w:eastAsia="宋体" w:cs="Times New Roman"/>
                      <w:b/>
                      <w:color w:val="auto"/>
                      <w:spacing w:val="-2"/>
                      <w:sz w:val="18"/>
                      <w:szCs w:val="18"/>
                      <w:highlight w:val="none"/>
                    </w:rPr>
                  </w:pPr>
                  <w:r>
                    <w:rPr>
                      <w:rFonts w:ascii="Times New Roman" w:hAnsi="Times New Roman" w:eastAsia="宋体" w:cs="Times New Roman"/>
                      <w:b/>
                      <w:color w:val="auto"/>
                      <w:sz w:val="18"/>
                      <w:szCs w:val="18"/>
                      <w:highlight w:val="none"/>
                    </w:rPr>
                    <w:t>提示图形符号</w:t>
                  </w:r>
                </w:p>
              </w:tc>
              <w:tc>
                <w:tcPr>
                  <w:tcW w:w="1310" w:type="pct"/>
                  <w:tcBorders>
                    <w:tl2br w:val="nil"/>
                    <w:tr2bl w:val="nil"/>
                  </w:tcBorders>
                  <w:vAlign w:val="center"/>
                </w:tcPr>
                <w:p>
                  <w:pPr>
                    <w:spacing w:line="276" w:lineRule="auto"/>
                    <w:jc w:val="center"/>
                    <w:rPr>
                      <w:rFonts w:ascii="Times New Roman" w:hAnsi="Times New Roman" w:eastAsia="宋体" w:cs="Times New Roman"/>
                      <w:b/>
                      <w:color w:val="auto"/>
                      <w:spacing w:val="-2"/>
                      <w:sz w:val="18"/>
                      <w:szCs w:val="18"/>
                      <w:highlight w:val="none"/>
                    </w:rPr>
                  </w:pPr>
                  <w:r>
                    <w:rPr>
                      <w:rFonts w:ascii="Times New Roman" w:hAnsi="Times New Roman" w:eastAsia="宋体" w:cs="Times New Roman"/>
                      <w:b/>
                      <w:color w:val="auto"/>
                      <w:sz w:val="18"/>
                      <w:szCs w:val="18"/>
                      <w:highlight w:val="none"/>
                    </w:rPr>
                    <w:t>警告图形符号</w:t>
                  </w:r>
                </w:p>
              </w:tc>
              <w:tc>
                <w:tcPr>
                  <w:tcW w:w="1095" w:type="pct"/>
                  <w:tcBorders>
                    <w:tl2br w:val="nil"/>
                    <w:tr2bl w:val="nil"/>
                  </w:tcBorders>
                  <w:vAlign w:val="center"/>
                </w:tcPr>
                <w:p>
                  <w:pPr>
                    <w:spacing w:line="276" w:lineRule="auto"/>
                    <w:jc w:val="center"/>
                    <w:rPr>
                      <w:rFonts w:ascii="Times New Roman" w:hAnsi="Times New Roman" w:eastAsia="宋体" w:cs="Times New Roman"/>
                      <w:b/>
                      <w:color w:val="auto"/>
                      <w:spacing w:val="-2"/>
                      <w:sz w:val="18"/>
                      <w:szCs w:val="18"/>
                      <w:highlight w:val="none"/>
                    </w:rPr>
                  </w:pPr>
                  <w:r>
                    <w:rPr>
                      <w:rFonts w:ascii="Times New Roman" w:hAnsi="Times New Roman" w:eastAsia="宋体" w:cs="Times New Roman"/>
                      <w:b/>
                      <w:color w:val="auto"/>
                      <w:sz w:val="18"/>
                      <w:szCs w:val="18"/>
                      <w:highlight w:val="none"/>
                    </w:rPr>
                    <w:t>名称</w:t>
                  </w:r>
                </w:p>
              </w:tc>
              <w:tc>
                <w:tcPr>
                  <w:tcW w:w="1124" w:type="pct"/>
                  <w:tcBorders>
                    <w:tl2br w:val="nil"/>
                    <w:tr2bl w:val="nil"/>
                  </w:tcBorders>
                  <w:vAlign w:val="center"/>
                </w:tcPr>
                <w:p>
                  <w:pPr>
                    <w:spacing w:line="276" w:lineRule="auto"/>
                    <w:jc w:val="center"/>
                    <w:rPr>
                      <w:rFonts w:ascii="Times New Roman" w:hAnsi="Times New Roman" w:eastAsia="宋体" w:cs="Times New Roman"/>
                      <w:b/>
                      <w:color w:val="auto"/>
                      <w:spacing w:val="-2"/>
                      <w:sz w:val="18"/>
                      <w:szCs w:val="18"/>
                      <w:highlight w:val="none"/>
                    </w:rPr>
                  </w:pPr>
                  <w:r>
                    <w:rPr>
                      <w:rFonts w:ascii="Times New Roman" w:hAnsi="Times New Roman" w:eastAsia="宋体" w:cs="Times New Roman"/>
                      <w:b/>
                      <w:color w:val="auto"/>
                      <w:sz w:val="18"/>
                      <w:szCs w:val="18"/>
                      <w:highlight w:val="none"/>
                    </w:rPr>
                    <w:t>功能</w:t>
                  </w: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46" w:hRule="atLeast"/>
              </w:trPr>
              <w:tc>
                <w:tcPr>
                  <w:tcW w:w="365" w:type="pct"/>
                  <w:tcBorders>
                    <w:tl2br w:val="nil"/>
                    <w:tr2bl w:val="nil"/>
                  </w:tcBorders>
                  <w:vAlign w:val="center"/>
                </w:tcPr>
                <w:p>
                  <w:pPr>
                    <w:spacing w:line="276" w:lineRule="auto"/>
                    <w:jc w:val="center"/>
                    <w:rPr>
                      <w:rFonts w:ascii="Times New Roman" w:hAnsi="Times New Roman" w:eastAsia="宋体" w:cs="Times New Roman"/>
                      <w:color w:val="auto"/>
                      <w:spacing w:val="-2"/>
                      <w:sz w:val="18"/>
                      <w:szCs w:val="18"/>
                      <w:highlight w:val="none"/>
                    </w:rPr>
                  </w:pPr>
                  <w:r>
                    <w:rPr>
                      <w:rFonts w:ascii="Times New Roman" w:hAnsi="Times New Roman" w:eastAsia="宋体" w:cs="Times New Roman"/>
                      <w:color w:val="auto"/>
                      <w:sz w:val="18"/>
                      <w:szCs w:val="18"/>
                      <w:highlight w:val="none"/>
                    </w:rPr>
                    <w:t>1</w:t>
                  </w:r>
                </w:p>
              </w:tc>
              <w:tc>
                <w:tcPr>
                  <w:tcW w:w="1104" w:type="pct"/>
                  <w:tcBorders>
                    <w:tl2br w:val="nil"/>
                    <w:tr2bl w:val="nil"/>
                  </w:tcBorders>
                  <w:vAlign w:val="center"/>
                </w:tcPr>
                <w:p>
                  <w:pPr>
                    <w:spacing w:line="276" w:lineRule="auto"/>
                    <w:jc w:val="center"/>
                    <w:rPr>
                      <w:rFonts w:ascii="Times New Roman" w:hAnsi="Times New Roman" w:eastAsia="宋体" w:cs="Times New Roman"/>
                      <w:color w:val="auto"/>
                      <w:spacing w:val="-2"/>
                      <w:sz w:val="18"/>
                      <w:szCs w:val="18"/>
                      <w:highlight w:val="none"/>
                    </w:rPr>
                  </w:pPr>
                  <w:r>
                    <w:rPr>
                      <w:rFonts w:ascii="Times New Roman" w:hAnsi="Times New Roman" w:eastAsia="宋体" w:cs="Times New Roman"/>
                      <w:smallCaps/>
                      <w:color w:val="auto"/>
                      <w:sz w:val="18"/>
                      <w:szCs w:val="18"/>
                      <w:highlight w:val="none"/>
                    </w:rPr>
                    <w:drawing>
                      <wp:inline distT="0" distB="0" distL="0" distR="0">
                        <wp:extent cx="858520" cy="858520"/>
                        <wp:effectExtent l="19050" t="0" r="0" b="0"/>
                        <wp:docPr id="4"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5"/>
                                <pic:cNvPicPr>
                                  <a:picLocks noChangeAspect="1" noChangeArrowheads="1"/>
                                </pic:cNvPicPr>
                              </pic:nvPicPr>
                              <pic:blipFill>
                                <a:blip r:embed="rId24" cstate="print"/>
                                <a:srcRect/>
                                <a:stretch>
                                  <a:fillRect/>
                                </a:stretch>
                              </pic:blipFill>
                              <pic:spPr>
                                <a:xfrm>
                                  <a:off x="0" y="0"/>
                                  <a:ext cx="858520" cy="858520"/>
                                </a:xfrm>
                                <a:prstGeom prst="rect">
                                  <a:avLst/>
                                </a:prstGeom>
                                <a:noFill/>
                                <a:ln w="9525">
                                  <a:noFill/>
                                  <a:miter lim="800000"/>
                                  <a:headEnd/>
                                  <a:tailEnd/>
                                </a:ln>
                              </pic:spPr>
                            </pic:pic>
                          </a:graphicData>
                        </a:graphic>
                      </wp:inline>
                    </w:drawing>
                  </w:r>
                </w:p>
              </w:tc>
              <w:tc>
                <w:tcPr>
                  <w:tcW w:w="1310" w:type="pct"/>
                  <w:tcBorders>
                    <w:tl2br w:val="nil"/>
                    <w:tr2bl w:val="nil"/>
                  </w:tcBorders>
                  <w:vAlign w:val="center"/>
                </w:tcPr>
                <w:p>
                  <w:pPr>
                    <w:spacing w:line="276" w:lineRule="auto"/>
                    <w:jc w:val="center"/>
                    <w:rPr>
                      <w:rFonts w:ascii="Times New Roman" w:hAnsi="Times New Roman" w:eastAsia="宋体" w:cs="Times New Roman"/>
                      <w:color w:val="auto"/>
                      <w:spacing w:val="-2"/>
                      <w:sz w:val="18"/>
                      <w:szCs w:val="18"/>
                      <w:highlight w:val="none"/>
                    </w:rPr>
                  </w:pPr>
                  <w:r>
                    <w:rPr>
                      <w:rFonts w:ascii="Times New Roman" w:hAnsi="Times New Roman" w:eastAsia="宋体" w:cs="Times New Roman"/>
                      <w:smallCaps/>
                      <w:color w:val="auto"/>
                      <w:sz w:val="18"/>
                      <w:szCs w:val="18"/>
                      <w:highlight w:val="none"/>
                    </w:rPr>
                    <w:drawing>
                      <wp:inline distT="0" distB="0" distL="0" distR="0">
                        <wp:extent cx="962025" cy="858520"/>
                        <wp:effectExtent l="19050" t="0" r="9525" b="0"/>
                        <wp:docPr id="5"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6"/>
                                <pic:cNvPicPr>
                                  <a:picLocks noChangeAspect="1" noChangeArrowheads="1"/>
                                </pic:cNvPicPr>
                              </pic:nvPicPr>
                              <pic:blipFill>
                                <a:blip r:embed="rId25" cstate="print"/>
                                <a:srcRect/>
                                <a:stretch>
                                  <a:fillRect/>
                                </a:stretch>
                              </pic:blipFill>
                              <pic:spPr>
                                <a:xfrm>
                                  <a:off x="0" y="0"/>
                                  <a:ext cx="962025" cy="858520"/>
                                </a:xfrm>
                                <a:prstGeom prst="rect">
                                  <a:avLst/>
                                </a:prstGeom>
                                <a:noFill/>
                                <a:ln w="9525">
                                  <a:noFill/>
                                  <a:miter lim="800000"/>
                                  <a:headEnd/>
                                  <a:tailEnd/>
                                </a:ln>
                              </pic:spPr>
                            </pic:pic>
                          </a:graphicData>
                        </a:graphic>
                      </wp:inline>
                    </w:drawing>
                  </w:r>
                </w:p>
              </w:tc>
              <w:tc>
                <w:tcPr>
                  <w:tcW w:w="1095" w:type="pct"/>
                  <w:tcBorders>
                    <w:tl2br w:val="nil"/>
                    <w:tr2bl w:val="nil"/>
                  </w:tcBorders>
                  <w:vAlign w:val="center"/>
                </w:tcPr>
                <w:p>
                  <w:pPr>
                    <w:spacing w:line="276" w:lineRule="auto"/>
                    <w:jc w:val="center"/>
                    <w:rPr>
                      <w:rFonts w:ascii="Times New Roman" w:hAnsi="Times New Roman" w:eastAsia="宋体" w:cs="Times New Roman"/>
                      <w:color w:val="auto"/>
                      <w:spacing w:val="-2"/>
                      <w:sz w:val="18"/>
                      <w:szCs w:val="18"/>
                      <w:highlight w:val="none"/>
                    </w:rPr>
                  </w:pPr>
                  <w:r>
                    <w:rPr>
                      <w:rFonts w:ascii="Times New Roman" w:hAnsi="Times New Roman" w:eastAsia="宋体" w:cs="Times New Roman"/>
                      <w:color w:val="auto"/>
                      <w:sz w:val="18"/>
                      <w:szCs w:val="18"/>
                      <w:highlight w:val="none"/>
                    </w:rPr>
                    <w:t>废气排放口</w:t>
                  </w:r>
                </w:p>
              </w:tc>
              <w:tc>
                <w:tcPr>
                  <w:tcW w:w="1124" w:type="pct"/>
                  <w:tcBorders>
                    <w:tl2br w:val="nil"/>
                    <w:tr2bl w:val="nil"/>
                  </w:tcBorders>
                  <w:vAlign w:val="center"/>
                </w:tcPr>
                <w:p>
                  <w:pPr>
                    <w:spacing w:line="276" w:lineRule="auto"/>
                    <w:jc w:val="center"/>
                    <w:rPr>
                      <w:rFonts w:ascii="Times New Roman" w:hAnsi="Times New Roman" w:eastAsia="宋体" w:cs="Times New Roman"/>
                      <w:color w:val="auto"/>
                      <w:spacing w:val="-2"/>
                      <w:sz w:val="18"/>
                      <w:szCs w:val="18"/>
                      <w:highlight w:val="none"/>
                    </w:rPr>
                  </w:pPr>
                  <w:r>
                    <w:rPr>
                      <w:rFonts w:ascii="Times New Roman" w:hAnsi="Times New Roman" w:eastAsia="宋体" w:cs="Times New Roman"/>
                      <w:color w:val="auto"/>
                      <w:sz w:val="18"/>
                      <w:szCs w:val="18"/>
                      <w:highlight w:val="none"/>
                    </w:rPr>
                    <w:t>表示废气向大气环境排放</w:t>
                  </w: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46" w:hRule="atLeast"/>
              </w:trPr>
              <w:tc>
                <w:tcPr>
                  <w:tcW w:w="365" w:type="pct"/>
                  <w:tcBorders>
                    <w:tl2br w:val="nil"/>
                    <w:tr2bl w:val="nil"/>
                  </w:tcBorders>
                  <w:vAlign w:val="center"/>
                </w:tcPr>
                <w:p>
                  <w:pPr>
                    <w:spacing w:line="276" w:lineRule="auto"/>
                    <w:jc w:val="center"/>
                    <w:rPr>
                      <w:rFonts w:ascii="Times New Roman" w:hAnsi="Times New Roman" w:eastAsia="宋体" w:cs="Times New Roman"/>
                      <w:color w:val="auto"/>
                      <w:spacing w:val="-2"/>
                      <w:sz w:val="18"/>
                      <w:szCs w:val="18"/>
                      <w:highlight w:val="none"/>
                    </w:rPr>
                  </w:pPr>
                  <w:r>
                    <w:rPr>
                      <w:rFonts w:ascii="Times New Roman" w:hAnsi="Times New Roman" w:eastAsia="宋体" w:cs="Times New Roman"/>
                      <w:color w:val="auto"/>
                      <w:sz w:val="18"/>
                      <w:szCs w:val="18"/>
                      <w:highlight w:val="none"/>
                    </w:rPr>
                    <w:t>2</w:t>
                  </w:r>
                </w:p>
              </w:tc>
              <w:tc>
                <w:tcPr>
                  <w:tcW w:w="1104" w:type="pct"/>
                  <w:tcBorders>
                    <w:tl2br w:val="nil"/>
                    <w:tr2bl w:val="nil"/>
                  </w:tcBorders>
                  <w:vAlign w:val="center"/>
                </w:tcPr>
                <w:p>
                  <w:pPr>
                    <w:spacing w:line="276" w:lineRule="auto"/>
                    <w:jc w:val="center"/>
                    <w:rPr>
                      <w:rFonts w:ascii="Times New Roman" w:hAnsi="Times New Roman" w:eastAsia="宋体" w:cs="Times New Roman"/>
                      <w:color w:val="auto"/>
                      <w:spacing w:val="-2"/>
                      <w:sz w:val="18"/>
                      <w:szCs w:val="18"/>
                      <w:highlight w:val="none"/>
                    </w:rPr>
                  </w:pPr>
                  <w:r>
                    <w:rPr>
                      <w:rFonts w:ascii="Times New Roman" w:hAnsi="Times New Roman" w:eastAsia="宋体" w:cs="Times New Roman"/>
                      <w:smallCaps/>
                      <w:color w:val="auto"/>
                      <w:sz w:val="18"/>
                      <w:szCs w:val="18"/>
                      <w:highlight w:val="none"/>
                    </w:rPr>
                    <w:drawing>
                      <wp:inline distT="0" distB="0" distL="0" distR="0">
                        <wp:extent cx="858520" cy="858520"/>
                        <wp:effectExtent l="19050" t="0" r="0" b="0"/>
                        <wp:docPr id="6"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7"/>
                                <pic:cNvPicPr>
                                  <a:picLocks noChangeAspect="1" noChangeArrowheads="1"/>
                                </pic:cNvPicPr>
                              </pic:nvPicPr>
                              <pic:blipFill>
                                <a:blip r:embed="rId26" cstate="print"/>
                                <a:srcRect/>
                                <a:stretch>
                                  <a:fillRect/>
                                </a:stretch>
                              </pic:blipFill>
                              <pic:spPr>
                                <a:xfrm>
                                  <a:off x="0" y="0"/>
                                  <a:ext cx="858520" cy="858520"/>
                                </a:xfrm>
                                <a:prstGeom prst="rect">
                                  <a:avLst/>
                                </a:prstGeom>
                                <a:noFill/>
                                <a:ln w="9525">
                                  <a:noFill/>
                                  <a:miter lim="800000"/>
                                  <a:headEnd/>
                                  <a:tailEnd/>
                                </a:ln>
                              </pic:spPr>
                            </pic:pic>
                          </a:graphicData>
                        </a:graphic>
                      </wp:inline>
                    </w:drawing>
                  </w:r>
                </w:p>
              </w:tc>
              <w:tc>
                <w:tcPr>
                  <w:tcW w:w="1310" w:type="pct"/>
                  <w:tcBorders>
                    <w:tl2br w:val="nil"/>
                    <w:tr2bl w:val="nil"/>
                  </w:tcBorders>
                  <w:vAlign w:val="center"/>
                </w:tcPr>
                <w:p>
                  <w:pPr>
                    <w:spacing w:line="276" w:lineRule="auto"/>
                    <w:jc w:val="center"/>
                    <w:rPr>
                      <w:rFonts w:ascii="Times New Roman" w:hAnsi="Times New Roman" w:eastAsia="宋体" w:cs="Times New Roman"/>
                      <w:color w:val="auto"/>
                      <w:spacing w:val="-2"/>
                      <w:sz w:val="18"/>
                      <w:szCs w:val="18"/>
                      <w:highlight w:val="none"/>
                    </w:rPr>
                  </w:pPr>
                  <w:r>
                    <w:rPr>
                      <w:rFonts w:ascii="Times New Roman" w:hAnsi="Times New Roman" w:eastAsia="宋体" w:cs="Times New Roman"/>
                      <w:smallCaps/>
                      <w:color w:val="auto"/>
                      <w:sz w:val="18"/>
                      <w:szCs w:val="18"/>
                      <w:highlight w:val="none"/>
                    </w:rPr>
                    <w:drawing>
                      <wp:inline distT="0" distB="0" distL="0" distR="0">
                        <wp:extent cx="962025" cy="858520"/>
                        <wp:effectExtent l="19050" t="0" r="9525" b="0"/>
                        <wp:docPr id="7"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8"/>
                                <pic:cNvPicPr>
                                  <a:picLocks noChangeAspect="1" noChangeArrowheads="1"/>
                                </pic:cNvPicPr>
                              </pic:nvPicPr>
                              <pic:blipFill>
                                <a:blip r:embed="rId27" cstate="print"/>
                                <a:srcRect/>
                                <a:stretch>
                                  <a:fillRect/>
                                </a:stretch>
                              </pic:blipFill>
                              <pic:spPr>
                                <a:xfrm>
                                  <a:off x="0" y="0"/>
                                  <a:ext cx="962025" cy="858520"/>
                                </a:xfrm>
                                <a:prstGeom prst="rect">
                                  <a:avLst/>
                                </a:prstGeom>
                                <a:noFill/>
                                <a:ln w="9525">
                                  <a:noFill/>
                                  <a:miter lim="800000"/>
                                  <a:headEnd/>
                                  <a:tailEnd/>
                                </a:ln>
                              </pic:spPr>
                            </pic:pic>
                          </a:graphicData>
                        </a:graphic>
                      </wp:inline>
                    </w:drawing>
                  </w:r>
                </w:p>
              </w:tc>
              <w:tc>
                <w:tcPr>
                  <w:tcW w:w="1095" w:type="pct"/>
                  <w:tcBorders>
                    <w:tl2br w:val="nil"/>
                    <w:tr2bl w:val="nil"/>
                  </w:tcBorders>
                  <w:vAlign w:val="center"/>
                </w:tcPr>
                <w:p>
                  <w:pPr>
                    <w:spacing w:line="276" w:lineRule="auto"/>
                    <w:jc w:val="center"/>
                    <w:rPr>
                      <w:rFonts w:ascii="Times New Roman" w:hAnsi="Times New Roman" w:eastAsia="宋体" w:cs="Times New Roman"/>
                      <w:color w:val="auto"/>
                      <w:spacing w:val="-2"/>
                      <w:sz w:val="18"/>
                      <w:szCs w:val="18"/>
                      <w:highlight w:val="none"/>
                    </w:rPr>
                  </w:pPr>
                  <w:r>
                    <w:rPr>
                      <w:rFonts w:ascii="Times New Roman" w:hAnsi="Times New Roman" w:eastAsia="宋体" w:cs="Times New Roman"/>
                      <w:color w:val="auto"/>
                      <w:sz w:val="18"/>
                      <w:szCs w:val="18"/>
                      <w:highlight w:val="none"/>
                    </w:rPr>
                    <w:t>一般工业固体废物</w:t>
                  </w:r>
                </w:p>
              </w:tc>
              <w:tc>
                <w:tcPr>
                  <w:tcW w:w="1124" w:type="pct"/>
                  <w:tcBorders>
                    <w:tl2br w:val="nil"/>
                    <w:tr2bl w:val="nil"/>
                  </w:tcBorders>
                  <w:vAlign w:val="center"/>
                </w:tcPr>
                <w:p>
                  <w:pPr>
                    <w:spacing w:line="276" w:lineRule="auto"/>
                    <w:jc w:val="center"/>
                    <w:rPr>
                      <w:rFonts w:ascii="Times New Roman" w:hAnsi="Times New Roman" w:eastAsia="宋体" w:cs="Times New Roman"/>
                      <w:color w:val="auto"/>
                      <w:spacing w:val="-2"/>
                      <w:sz w:val="18"/>
                      <w:szCs w:val="18"/>
                      <w:highlight w:val="none"/>
                    </w:rPr>
                  </w:pPr>
                  <w:r>
                    <w:rPr>
                      <w:rFonts w:ascii="Times New Roman" w:hAnsi="Times New Roman" w:eastAsia="宋体" w:cs="Times New Roman"/>
                      <w:color w:val="auto"/>
                      <w:sz w:val="18"/>
                      <w:szCs w:val="18"/>
                      <w:highlight w:val="none"/>
                    </w:rPr>
                    <w:t>表示一般工业固体废物贮存、处置场</w:t>
                  </w: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46" w:hRule="atLeast"/>
              </w:trPr>
              <w:tc>
                <w:tcPr>
                  <w:tcW w:w="365" w:type="pct"/>
                  <w:tcBorders>
                    <w:tl2br w:val="nil"/>
                    <w:tr2bl w:val="nil"/>
                  </w:tcBorders>
                  <w:vAlign w:val="center"/>
                </w:tcPr>
                <w:p>
                  <w:pPr>
                    <w:spacing w:line="276" w:lineRule="auto"/>
                    <w:jc w:val="center"/>
                    <w:rPr>
                      <w:rFonts w:ascii="Times New Roman" w:hAnsi="Times New Roman" w:eastAsia="宋体" w:cs="Times New Roman"/>
                      <w:color w:val="auto"/>
                      <w:spacing w:val="-2"/>
                      <w:sz w:val="18"/>
                      <w:szCs w:val="18"/>
                      <w:highlight w:val="none"/>
                    </w:rPr>
                  </w:pPr>
                  <w:r>
                    <w:rPr>
                      <w:rFonts w:ascii="Times New Roman" w:hAnsi="Times New Roman" w:eastAsia="宋体" w:cs="Times New Roman"/>
                      <w:color w:val="auto"/>
                      <w:sz w:val="18"/>
                      <w:szCs w:val="18"/>
                      <w:highlight w:val="none"/>
                    </w:rPr>
                    <w:t>3</w:t>
                  </w:r>
                </w:p>
              </w:tc>
              <w:tc>
                <w:tcPr>
                  <w:tcW w:w="1104" w:type="pct"/>
                  <w:tcBorders>
                    <w:tl2br w:val="nil"/>
                    <w:tr2bl w:val="nil"/>
                  </w:tcBorders>
                  <w:vAlign w:val="center"/>
                </w:tcPr>
                <w:p>
                  <w:pPr>
                    <w:spacing w:line="276" w:lineRule="auto"/>
                    <w:jc w:val="center"/>
                    <w:rPr>
                      <w:rFonts w:ascii="Times New Roman" w:hAnsi="Times New Roman" w:eastAsia="宋体" w:cs="Times New Roman"/>
                      <w:color w:val="auto"/>
                      <w:spacing w:val="-2"/>
                      <w:sz w:val="18"/>
                      <w:szCs w:val="18"/>
                      <w:highlight w:val="none"/>
                    </w:rPr>
                  </w:pPr>
                  <w:r>
                    <w:rPr>
                      <w:rFonts w:ascii="Times New Roman" w:hAnsi="Times New Roman" w:eastAsia="宋体" w:cs="Times New Roman"/>
                      <w:color w:val="auto"/>
                      <w:spacing w:val="-2"/>
                      <w:sz w:val="18"/>
                      <w:szCs w:val="18"/>
                      <w:highlight w:val="none"/>
                    </w:rPr>
                    <w:t>/</w:t>
                  </w:r>
                </w:p>
              </w:tc>
              <w:tc>
                <w:tcPr>
                  <w:tcW w:w="1310" w:type="pct"/>
                  <w:tcBorders>
                    <w:tl2br w:val="nil"/>
                    <w:tr2bl w:val="nil"/>
                  </w:tcBorders>
                  <w:vAlign w:val="center"/>
                </w:tcPr>
                <w:p>
                  <w:pPr>
                    <w:spacing w:line="276" w:lineRule="auto"/>
                    <w:jc w:val="center"/>
                    <w:rPr>
                      <w:rFonts w:ascii="Times New Roman" w:hAnsi="Times New Roman" w:eastAsia="宋体" w:cs="Times New Roman"/>
                      <w:color w:val="auto"/>
                      <w:spacing w:val="-2"/>
                      <w:sz w:val="18"/>
                      <w:szCs w:val="18"/>
                      <w:highlight w:val="none"/>
                    </w:rPr>
                  </w:pPr>
                  <w:r>
                    <w:rPr>
                      <w:rFonts w:ascii="Times New Roman" w:hAnsi="Times New Roman" w:eastAsia="宋体" w:cs="Times New Roman"/>
                      <w:color w:val="auto"/>
                      <w:highlight w:val="none"/>
                    </w:rPr>
                    <w:drawing>
                      <wp:inline distT="0" distB="0" distL="114300" distR="114300">
                        <wp:extent cx="950595" cy="877570"/>
                        <wp:effectExtent l="0" t="0" r="1905" b="8255"/>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28" cstate="print"/>
                                <a:stretch>
                                  <a:fillRect/>
                                </a:stretch>
                              </pic:blipFill>
                              <pic:spPr>
                                <a:xfrm>
                                  <a:off x="0" y="0"/>
                                  <a:ext cx="950595" cy="877570"/>
                                </a:xfrm>
                                <a:prstGeom prst="rect">
                                  <a:avLst/>
                                </a:prstGeom>
                                <a:noFill/>
                                <a:ln>
                                  <a:noFill/>
                                </a:ln>
                              </pic:spPr>
                            </pic:pic>
                          </a:graphicData>
                        </a:graphic>
                      </wp:inline>
                    </w:drawing>
                  </w:r>
                </w:p>
              </w:tc>
              <w:tc>
                <w:tcPr>
                  <w:tcW w:w="1095" w:type="pct"/>
                  <w:tcBorders>
                    <w:tl2br w:val="nil"/>
                    <w:tr2bl w:val="nil"/>
                  </w:tcBorders>
                  <w:vAlign w:val="center"/>
                </w:tcPr>
                <w:p>
                  <w:pPr>
                    <w:spacing w:line="276" w:lineRule="auto"/>
                    <w:jc w:val="center"/>
                    <w:rPr>
                      <w:rFonts w:ascii="Times New Roman" w:hAnsi="Times New Roman" w:eastAsia="宋体" w:cs="Times New Roman"/>
                      <w:color w:val="auto"/>
                      <w:spacing w:val="-2"/>
                      <w:sz w:val="18"/>
                      <w:szCs w:val="18"/>
                      <w:highlight w:val="none"/>
                    </w:rPr>
                  </w:pPr>
                  <w:r>
                    <w:rPr>
                      <w:rFonts w:ascii="Times New Roman" w:hAnsi="Times New Roman" w:eastAsia="宋体" w:cs="Times New Roman"/>
                      <w:color w:val="auto"/>
                      <w:sz w:val="18"/>
                      <w:szCs w:val="18"/>
                      <w:highlight w:val="none"/>
                    </w:rPr>
                    <w:t>危险废物</w:t>
                  </w:r>
                </w:p>
              </w:tc>
              <w:tc>
                <w:tcPr>
                  <w:tcW w:w="1124" w:type="pct"/>
                  <w:tcBorders>
                    <w:tl2br w:val="nil"/>
                    <w:tr2bl w:val="nil"/>
                  </w:tcBorders>
                  <w:vAlign w:val="center"/>
                </w:tcPr>
                <w:p>
                  <w:pPr>
                    <w:spacing w:line="276" w:lineRule="auto"/>
                    <w:jc w:val="center"/>
                    <w:rPr>
                      <w:rFonts w:ascii="Times New Roman" w:hAnsi="Times New Roman" w:eastAsia="宋体" w:cs="Times New Roman"/>
                      <w:color w:val="auto"/>
                      <w:spacing w:val="-2"/>
                      <w:sz w:val="18"/>
                      <w:szCs w:val="18"/>
                      <w:highlight w:val="none"/>
                    </w:rPr>
                  </w:pPr>
                  <w:r>
                    <w:rPr>
                      <w:rFonts w:ascii="Times New Roman" w:hAnsi="Times New Roman" w:eastAsia="宋体" w:cs="Times New Roman"/>
                      <w:color w:val="auto"/>
                      <w:sz w:val="18"/>
                      <w:szCs w:val="18"/>
                      <w:highlight w:val="none"/>
                    </w:rPr>
                    <w:t>表示危险废物贮存、处置场</w:t>
                  </w:r>
                </w:p>
              </w:tc>
            </w:tr>
            <w:tr>
              <w:tblPrEx>
                <w:tblBorders>
                  <w:top w:val="single" w:color="auto" w:sz="8" w:space="0"/>
                  <w:left w:val="none" w:color="auto" w:sz="0" w:space="0"/>
                  <w:bottom w:val="single" w:color="auto" w:sz="8"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46" w:hRule="atLeast"/>
              </w:trPr>
              <w:tc>
                <w:tcPr>
                  <w:tcW w:w="365" w:type="pct"/>
                  <w:tcBorders>
                    <w:tl2br w:val="nil"/>
                    <w:tr2bl w:val="nil"/>
                  </w:tcBorders>
                  <w:vAlign w:val="center"/>
                </w:tcPr>
                <w:p>
                  <w:pPr>
                    <w:spacing w:line="276" w:lineRule="auto"/>
                    <w:jc w:val="center"/>
                    <w:rPr>
                      <w:rFonts w:ascii="Times New Roman" w:hAnsi="Times New Roman" w:eastAsia="宋体" w:cs="Times New Roman"/>
                      <w:color w:val="auto"/>
                      <w:spacing w:val="-2"/>
                      <w:sz w:val="18"/>
                      <w:szCs w:val="18"/>
                      <w:highlight w:val="none"/>
                    </w:rPr>
                  </w:pPr>
                  <w:r>
                    <w:rPr>
                      <w:rFonts w:ascii="Times New Roman" w:hAnsi="Times New Roman" w:eastAsia="宋体" w:cs="Times New Roman"/>
                      <w:color w:val="auto"/>
                      <w:sz w:val="18"/>
                      <w:szCs w:val="18"/>
                      <w:highlight w:val="none"/>
                    </w:rPr>
                    <w:t>4</w:t>
                  </w:r>
                </w:p>
              </w:tc>
              <w:tc>
                <w:tcPr>
                  <w:tcW w:w="1104" w:type="pct"/>
                  <w:tcBorders>
                    <w:tl2br w:val="nil"/>
                    <w:tr2bl w:val="nil"/>
                  </w:tcBorders>
                  <w:vAlign w:val="center"/>
                </w:tcPr>
                <w:p>
                  <w:pPr>
                    <w:spacing w:line="276" w:lineRule="auto"/>
                    <w:jc w:val="center"/>
                    <w:rPr>
                      <w:rFonts w:ascii="Times New Roman" w:hAnsi="Times New Roman" w:eastAsia="宋体" w:cs="Times New Roman"/>
                      <w:color w:val="auto"/>
                      <w:spacing w:val="-2"/>
                      <w:sz w:val="18"/>
                      <w:szCs w:val="18"/>
                      <w:highlight w:val="none"/>
                    </w:rPr>
                  </w:pPr>
                  <w:r>
                    <w:rPr>
                      <w:rFonts w:ascii="Times New Roman" w:hAnsi="Times New Roman" w:eastAsia="宋体" w:cs="Times New Roman"/>
                      <w:color w:val="auto"/>
                      <w:sz w:val="18"/>
                      <w:szCs w:val="18"/>
                      <w:highlight w:val="none"/>
                    </w:rPr>
                    <w:drawing>
                      <wp:inline distT="0" distB="0" distL="0" distR="0">
                        <wp:extent cx="858520" cy="858520"/>
                        <wp:effectExtent l="19050" t="0" r="0" b="0"/>
                        <wp:docPr id="9" name="图片 50" descr="mark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0" descr="mark_3"/>
                                <pic:cNvPicPr>
                                  <a:picLocks noChangeAspect="1" noChangeArrowheads="1"/>
                                </pic:cNvPicPr>
                              </pic:nvPicPr>
                              <pic:blipFill>
                                <a:blip r:embed="rId29" cstate="print"/>
                                <a:srcRect/>
                                <a:stretch>
                                  <a:fillRect/>
                                </a:stretch>
                              </pic:blipFill>
                              <pic:spPr>
                                <a:xfrm>
                                  <a:off x="0" y="0"/>
                                  <a:ext cx="858520" cy="858520"/>
                                </a:xfrm>
                                <a:prstGeom prst="rect">
                                  <a:avLst/>
                                </a:prstGeom>
                                <a:noFill/>
                                <a:ln w="9525">
                                  <a:noFill/>
                                  <a:miter lim="800000"/>
                                  <a:headEnd/>
                                  <a:tailEnd/>
                                </a:ln>
                              </pic:spPr>
                            </pic:pic>
                          </a:graphicData>
                        </a:graphic>
                      </wp:inline>
                    </w:drawing>
                  </w:r>
                </w:p>
              </w:tc>
              <w:tc>
                <w:tcPr>
                  <w:tcW w:w="1310" w:type="pct"/>
                  <w:tcBorders>
                    <w:tl2br w:val="nil"/>
                    <w:tr2bl w:val="nil"/>
                  </w:tcBorders>
                  <w:vAlign w:val="center"/>
                </w:tcPr>
                <w:p>
                  <w:pPr>
                    <w:spacing w:line="276" w:lineRule="auto"/>
                    <w:jc w:val="center"/>
                    <w:rPr>
                      <w:rFonts w:ascii="Times New Roman" w:hAnsi="Times New Roman" w:eastAsia="宋体" w:cs="Times New Roman"/>
                      <w:color w:val="auto"/>
                      <w:spacing w:val="-2"/>
                      <w:sz w:val="18"/>
                      <w:szCs w:val="18"/>
                      <w:highlight w:val="none"/>
                    </w:rPr>
                  </w:pPr>
                  <w:r>
                    <w:rPr>
                      <w:rFonts w:ascii="Times New Roman" w:hAnsi="Times New Roman" w:eastAsia="宋体" w:cs="Times New Roman"/>
                      <w:color w:val="auto"/>
                      <w:sz w:val="18"/>
                      <w:szCs w:val="18"/>
                      <w:highlight w:val="none"/>
                    </w:rPr>
                    <w:drawing>
                      <wp:inline distT="0" distB="0" distL="0" distR="0">
                        <wp:extent cx="962025" cy="858520"/>
                        <wp:effectExtent l="19050" t="0" r="9525" b="0"/>
                        <wp:docPr id="10" name="图片 51" descr="mark_j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51" descr="mark_j3"/>
                                <pic:cNvPicPr>
                                  <a:picLocks noChangeAspect="1" noChangeArrowheads="1"/>
                                </pic:cNvPicPr>
                              </pic:nvPicPr>
                              <pic:blipFill>
                                <a:blip r:embed="rId30" cstate="print"/>
                                <a:srcRect/>
                                <a:stretch>
                                  <a:fillRect/>
                                </a:stretch>
                              </pic:blipFill>
                              <pic:spPr>
                                <a:xfrm>
                                  <a:off x="0" y="0"/>
                                  <a:ext cx="962025" cy="858520"/>
                                </a:xfrm>
                                <a:prstGeom prst="rect">
                                  <a:avLst/>
                                </a:prstGeom>
                                <a:noFill/>
                                <a:ln w="9525">
                                  <a:noFill/>
                                  <a:miter lim="800000"/>
                                  <a:headEnd/>
                                  <a:tailEnd/>
                                </a:ln>
                              </pic:spPr>
                            </pic:pic>
                          </a:graphicData>
                        </a:graphic>
                      </wp:inline>
                    </w:drawing>
                  </w:r>
                </w:p>
              </w:tc>
              <w:tc>
                <w:tcPr>
                  <w:tcW w:w="1095" w:type="pct"/>
                  <w:tcBorders>
                    <w:tl2br w:val="nil"/>
                    <w:tr2bl w:val="nil"/>
                  </w:tcBorders>
                  <w:vAlign w:val="center"/>
                </w:tcPr>
                <w:p>
                  <w:pPr>
                    <w:spacing w:line="276" w:lineRule="auto"/>
                    <w:jc w:val="center"/>
                    <w:rPr>
                      <w:rFonts w:ascii="Times New Roman" w:hAnsi="Times New Roman" w:eastAsia="宋体" w:cs="Times New Roman"/>
                      <w:color w:val="auto"/>
                      <w:spacing w:val="-2"/>
                      <w:sz w:val="18"/>
                      <w:szCs w:val="18"/>
                      <w:highlight w:val="none"/>
                    </w:rPr>
                  </w:pPr>
                  <w:r>
                    <w:rPr>
                      <w:rFonts w:ascii="Times New Roman" w:hAnsi="Times New Roman" w:eastAsia="宋体" w:cs="Times New Roman"/>
                      <w:color w:val="auto"/>
                      <w:sz w:val="18"/>
                      <w:szCs w:val="18"/>
                      <w:highlight w:val="none"/>
                    </w:rPr>
                    <w:t>噪声排放源</w:t>
                  </w:r>
                </w:p>
              </w:tc>
              <w:tc>
                <w:tcPr>
                  <w:tcW w:w="1124" w:type="pct"/>
                  <w:tcBorders>
                    <w:tl2br w:val="nil"/>
                    <w:tr2bl w:val="nil"/>
                  </w:tcBorders>
                  <w:vAlign w:val="center"/>
                </w:tcPr>
                <w:p>
                  <w:pPr>
                    <w:spacing w:line="276" w:lineRule="auto"/>
                    <w:jc w:val="center"/>
                    <w:rPr>
                      <w:rFonts w:ascii="Times New Roman" w:hAnsi="Times New Roman" w:eastAsia="宋体" w:cs="Times New Roman"/>
                      <w:color w:val="auto"/>
                      <w:spacing w:val="-2"/>
                      <w:sz w:val="18"/>
                      <w:szCs w:val="18"/>
                      <w:highlight w:val="none"/>
                    </w:rPr>
                  </w:pPr>
                  <w:r>
                    <w:rPr>
                      <w:rFonts w:ascii="Times New Roman" w:hAnsi="Times New Roman" w:eastAsia="宋体" w:cs="Times New Roman"/>
                      <w:color w:val="auto"/>
                      <w:sz w:val="18"/>
                      <w:szCs w:val="18"/>
                      <w:highlight w:val="none"/>
                    </w:rPr>
                    <w:t>表示噪声向</w:t>
                  </w:r>
                </w:p>
                <w:p>
                  <w:pPr>
                    <w:spacing w:line="276" w:lineRule="auto"/>
                    <w:jc w:val="center"/>
                    <w:rPr>
                      <w:rFonts w:ascii="Times New Roman" w:hAnsi="Times New Roman" w:eastAsia="宋体" w:cs="Times New Roman"/>
                      <w:color w:val="auto"/>
                      <w:spacing w:val="-2"/>
                      <w:sz w:val="18"/>
                      <w:szCs w:val="18"/>
                      <w:highlight w:val="none"/>
                    </w:rPr>
                  </w:pPr>
                  <w:r>
                    <w:rPr>
                      <w:rFonts w:ascii="Times New Roman" w:hAnsi="Times New Roman" w:eastAsia="宋体" w:cs="Times New Roman"/>
                      <w:color w:val="auto"/>
                      <w:sz w:val="18"/>
                      <w:szCs w:val="18"/>
                      <w:highlight w:val="none"/>
                    </w:rPr>
                    <w:t>外环境排放</w:t>
                  </w:r>
                </w:p>
              </w:tc>
            </w:tr>
          </w:tbl>
          <w:p>
            <w:pPr>
              <w:adjustRightInd w:val="0"/>
              <w:spacing w:line="324" w:lineRule="auto"/>
              <w:jc w:val="center"/>
              <w:rPr>
                <w:rFonts w:ascii="Times New Roman" w:hAnsi="Times New Roman" w:eastAsia="黑体" w:cs="Times New Roman"/>
                <w:color w:val="auto"/>
                <w:sz w:val="24"/>
                <w:highlight w:val="none"/>
              </w:rPr>
            </w:pPr>
            <w:r>
              <w:rPr>
                <w:rFonts w:ascii="Times New Roman" w:hAnsi="Times New Roman" w:eastAsia="黑体" w:cs="Times New Roman"/>
                <w:color w:val="auto"/>
                <w:sz w:val="24"/>
                <w:highlight w:val="none"/>
              </w:rPr>
              <w:t>表4-18  环境保护图形标志的形状及颜色表</w:t>
            </w:r>
          </w:p>
          <w:tbl>
            <w:tblPr>
              <w:tblStyle w:val="17"/>
              <w:tblW w:w="4998" w:type="pct"/>
              <w:tblInd w:w="0" w:type="dxa"/>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Layout w:type="autofit"/>
              <w:tblCellMar>
                <w:top w:w="0" w:type="dxa"/>
                <w:left w:w="108" w:type="dxa"/>
                <w:bottom w:w="0" w:type="dxa"/>
                <w:right w:w="108" w:type="dxa"/>
              </w:tblCellMar>
            </w:tblPr>
            <w:tblGrid>
              <w:gridCol w:w="1974"/>
              <w:gridCol w:w="1975"/>
              <w:gridCol w:w="1977"/>
              <w:gridCol w:w="1977"/>
            </w:tblGrid>
            <w:tr>
              <w:tblPrEx>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0" w:hRule="atLeast"/>
              </w:trPr>
              <w:tc>
                <w:tcPr>
                  <w:tcW w:w="1249" w:type="pct"/>
                  <w:tcBorders>
                    <w:tl2br w:val="nil"/>
                    <w:tr2bl w:val="nil"/>
                  </w:tcBorders>
                  <w:vAlign w:val="center"/>
                </w:tcPr>
                <w:p>
                  <w:pPr>
                    <w:spacing w:line="276" w:lineRule="auto"/>
                    <w:jc w:val="center"/>
                    <w:rPr>
                      <w:rFonts w:ascii="Times New Roman" w:hAnsi="Times New Roman" w:eastAsia="宋体" w:cs="Times New Roman"/>
                      <w:b/>
                      <w:color w:val="auto"/>
                      <w:spacing w:val="-2"/>
                      <w:sz w:val="18"/>
                      <w:szCs w:val="18"/>
                      <w:highlight w:val="none"/>
                    </w:rPr>
                  </w:pPr>
                  <w:r>
                    <w:rPr>
                      <w:rFonts w:ascii="Times New Roman" w:hAnsi="Times New Roman" w:eastAsia="宋体" w:cs="Times New Roman"/>
                      <w:b/>
                      <w:color w:val="auto"/>
                      <w:sz w:val="18"/>
                      <w:szCs w:val="18"/>
                      <w:highlight w:val="none"/>
                    </w:rPr>
                    <w:t>标志名称</w:t>
                  </w:r>
                </w:p>
              </w:tc>
              <w:tc>
                <w:tcPr>
                  <w:tcW w:w="1249" w:type="pct"/>
                  <w:tcBorders>
                    <w:tl2br w:val="nil"/>
                    <w:tr2bl w:val="nil"/>
                  </w:tcBorders>
                  <w:vAlign w:val="center"/>
                </w:tcPr>
                <w:p>
                  <w:pPr>
                    <w:spacing w:line="276" w:lineRule="auto"/>
                    <w:jc w:val="center"/>
                    <w:rPr>
                      <w:rFonts w:ascii="Times New Roman" w:hAnsi="Times New Roman" w:eastAsia="宋体" w:cs="Times New Roman"/>
                      <w:b/>
                      <w:color w:val="auto"/>
                      <w:spacing w:val="-2"/>
                      <w:sz w:val="18"/>
                      <w:szCs w:val="18"/>
                      <w:highlight w:val="none"/>
                    </w:rPr>
                  </w:pPr>
                  <w:r>
                    <w:rPr>
                      <w:rFonts w:ascii="Times New Roman" w:hAnsi="Times New Roman" w:eastAsia="宋体" w:cs="Times New Roman"/>
                      <w:b/>
                      <w:color w:val="auto"/>
                      <w:sz w:val="18"/>
                      <w:szCs w:val="18"/>
                      <w:highlight w:val="none"/>
                    </w:rPr>
                    <w:t>形状</w:t>
                  </w:r>
                </w:p>
              </w:tc>
              <w:tc>
                <w:tcPr>
                  <w:tcW w:w="1250" w:type="pct"/>
                  <w:tcBorders>
                    <w:tl2br w:val="nil"/>
                    <w:tr2bl w:val="nil"/>
                  </w:tcBorders>
                  <w:vAlign w:val="center"/>
                </w:tcPr>
                <w:p>
                  <w:pPr>
                    <w:spacing w:line="276" w:lineRule="auto"/>
                    <w:jc w:val="center"/>
                    <w:rPr>
                      <w:rFonts w:ascii="Times New Roman" w:hAnsi="Times New Roman" w:eastAsia="宋体" w:cs="Times New Roman"/>
                      <w:b/>
                      <w:color w:val="auto"/>
                      <w:spacing w:val="-2"/>
                      <w:sz w:val="18"/>
                      <w:szCs w:val="18"/>
                      <w:highlight w:val="none"/>
                    </w:rPr>
                  </w:pPr>
                  <w:r>
                    <w:rPr>
                      <w:rFonts w:ascii="Times New Roman" w:hAnsi="Times New Roman" w:eastAsia="宋体" w:cs="Times New Roman"/>
                      <w:b/>
                      <w:color w:val="auto"/>
                      <w:sz w:val="18"/>
                      <w:szCs w:val="18"/>
                      <w:highlight w:val="none"/>
                    </w:rPr>
                    <w:t>背景颜色</w:t>
                  </w:r>
                </w:p>
              </w:tc>
              <w:tc>
                <w:tcPr>
                  <w:tcW w:w="1250" w:type="pct"/>
                  <w:tcBorders>
                    <w:tl2br w:val="nil"/>
                    <w:tr2bl w:val="nil"/>
                  </w:tcBorders>
                  <w:vAlign w:val="center"/>
                </w:tcPr>
                <w:p>
                  <w:pPr>
                    <w:spacing w:line="276" w:lineRule="auto"/>
                    <w:jc w:val="center"/>
                    <w:rPr>
                      <w:rFonts w:ascii="Times New Roman" w:hAnsi="Times New Roman" w:eastAsia="宋体" w:cs="Times New Roman"/>
                      <w:b/>
                      <w:color w:val="auto"/>
                      <w:spacing w:val="-2"/>
                      <w:sz w:val="18"/>
                      <w:szCs w:val="18"/>
                      <w:highlight w:val="none"/>
                    </w:rPr>
                  </w:pPr>
                  <w:r>
                    <w:rPr>
                      <w:rFonts w:ascii="Times New Roman" w:hAnsi="Times New Roman" w:eastAsia="宋体" w:cs="Times New Roman"/>
                      <w:b/>
                      <w:color w:val="auto"/>
                      <w:sz w:val="18"/>
                      <w:szCs w:val="18"/>
                      <w:highlight w:val="none"/>
                    </w:rPr>
                    <w:t>图形颜色</w:t>
                  </w:r>
                </w:p>
              </w:tc>
            </w:tr>
            <w:tr>
              <w:tblPrEx>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60" w:hRule="atLeast"/>
              </w:trPr>
              <w:tc>
                <w:tcPr>
                  <w:tcW w:w="1249" w:type="pct"/>
                  <w:tcBorders>
                    <w:tl2br w:val="nil"/>
                    <w:tr2bl w:val="nil"/>
                  </w:tcBorders>
                  <w:vAlign w:val="center"/>
                </w:tcPr>
                <w:p>
                  <w:pPr>
                    <w:spacing w:line="276" w:lineRule="auto"/>
                    <w:jc w:val="center"/>
                    <w:rPr>
                      <w:rFonts w:ascii="Times New Roman" w:hAnsi="Times New Roman" w:eastAsia="宋体" w:cs="Times New Roman"/>
                      <w:color w:val="auto"/>
                      <w:spacing w:val="-2"/>
                      <w:sz w:val="18"/>
                      <w:szCs w:val="18"/>
                      <w:highlight w:val="none"/>
                    </w:rPr>
                  </w:pPr>
                  <w:r>
                    <w:rPr>
                      <w:rFonts w:ascii="Times New Roman" w:hAnsi="Times New Roman" w:eastAsia="宋体" w:cs="Times New Roman"/>
                      <w:color w:val="auto"/>
                      <w:sz w:val="18"/>
                      <w:szCs w:val="18"/>
                      <w:highlight w:val="none"/>
                    </w:rPr>
                    <w:t>警告标志</w:t>
                  </w:r>
                </w:p>
              </w:tc>
              <w:tc>
                <w:tcPr>
                  <w:tcW w:w="1249" w:type="pct"/>
                  <w:tcBorders>
                    <w:tl2br w:val="nil"/>
                    <w:tr2bl w:val="nil"/>
                  </w:tcBorders>
                  <w:vAlign w:val="center"/>
                </w:tcPr>
                <w:p>
                  <w:pPr>
                    <w:spacing w:line="276" w:lineRule="auto"/>
                    <w:jc w:val="center"/>
                    <w:rPr>
                      <w:rFonts w:ascii="Times New Roman" w:hAnsi="Times New Roman" w:eastAsia="宋体" w:cs="Times New Roman"/>
                      <w:color w:val="auto"/>
                      <w:spacing w:val="-2"/>
                      <w:sz w:val="18"/>
                      <w:szCs w:val="18"/>
                      <w:highlight w:val="none"/>
                    </w:rPr>
                  </w:pPr>
                  <w:r>
                    <w:rPr>
                      <w:rFonts w:ascii="Times New Roman" w:hAnsi="Times New Roman" w:eastAsia="宋体" w:cs="Times New Roman"/>
                      <w:color w:val="auto"/>
                      <w:sz w:val="18"/>
                      <w:szCs w:val="18"/>
                      <w:highlight w:val="none"/>
                    </w:rPr>
                    <w:t>三角形边框</w:t>
                  </w:r>
                </w:p>
              </w:tc>
              <w:tc>
                <w:tcPr>
                  <w:tcW w:w="1250" w:type="pct"/>
                  <w:tcBorders>
                    <w:tl2br w:val="nil"/>
                    <w:tr2bl w:val="nil"/>
                  </w:tcBorders>
                  <w:vAlign w:val="center"/>
                </w:tcPr>
                <w:p>
                  <w:pPr>
                    <w:spacing w:line="276" w:lineRule="auto"/>
                    <w:jc w:val="center"/>
                    <w:rPr>
                      <w:rFonts w:ascii="Times New Roman" w:hAnsi="Times New Roman" w:eastAsia="宋体" w:cs="Times New Roman"/>
                      <w:color w:val="auto"/>
                      <w:spacing w:val="-2"/>
                      <w:sz w:val="18"/>
                      <w:szCs w:val="18"/>
                      <w:highlight w:val="none"/>
                    </w:rPr>
                  </w:pPr>
                  <w:r>
                    <w:rPr>
                      <w:rFonts w:ascii="Times New Roman" w:hAnsi="Times New Roman" w:eastAsia="宋体" w:cs="Times New Roman"/>
                      <w:color w:val="auto"/>
                      <w:sz w:val="18"/>
                      <w:szCs w:val="18"/>
                      <w:highlight w:val="none"/>
                    </w:rPr>
                    <w:t>黄色</w:t>
                  </w:r>
                </w:p>
              </w:tc>
              <w:tc>
                <w:tcPr>
                  <w:tcW w:w="1250" w:type="pct"/>
                  <w:tcBorders>
                    <w:tl2br w:val="nil"/>
                    <w:tr2bl w:val="nil"/>
                  </w:tcBorders>
                  <w:vAlign w:val="center"/>
                </w:tcPr>
                <w:p>
                  <w:pPr>
                    <w:spacing w:line="276" w:lineRule="auto"/>
                    <w:jc w:val="center"/>
                    <w:rPr>
                      <w:rFonts w:ascii="Times New Roman" w:hAnsi="Times New Roman" w:eastAsia="宋体" w:cs="Times New Roman"/>
                      <w:color w:val="auto"/>
                      <w:spacing w:val="-2"/>
                      <w:sz w:val="18"/>
                      <w:szCs w:val="18"/>
                      <w:highlight w:val="none"/>
                    </w:rPr>
                  </w:pPr>
                  <w:r>
                    <w:rPr>
                      <w:rFonts w:ascii="Times New Roman" w:hAnsi="Times New Roman" w:eastAsia="宋体" w:cs="Times New Roman"/>
                      <w:color w:val="auto"/>
                      <w:sz w:val="18"/>
                      <w:szCs w:val="18"/>
                      <w:highlight w:val="none"/>
                    </w:rPr>
                    <w:t>黑色</w:t>
                  </w:r>
                </w:p>
              </w:tc>
            </w:tr>
            <w:tr>
              <w:tblPrEx>
                <w:tblBorders>
                  <w:top w:val="single" w:color="000000" w:sz="8" w:space="0"/>
                  <w:left w:val="none" w:color="auto" w:sz="0" w:space="0"/>
                  <w:bottom w:val="single" w:color="000000" w:sz="8"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60" w:hRule="atLeast"/>
              </w:trPr>
              <w:tc>
                <w:tcPr>
                  <w:tcW w:w="1249" w:type="pct"/>
                  <w:tcBorders>
                    <w:tl2br w:val="nil"/>
                    <w:tr2bl w:val="nil"/>
                  </w:tcBorders>
                  <w:vAlign w:val="center"/>
                </w:tcPr>
                <w:p>
                  <w:pPr>
                    <w:spacing w:line="276" w:lineRule="auto"/>
                    <w:jc w:val="center"/>
                    <w:rPr>
                      <w:rFonts w:ascii="Times New Roman" w:hAnsi="Times New Roman" w:eastAsia="宋体" w:cs="Times New Roman"/>
                      <w:color w:val="auto"/>
                      <w:spacing w:val="-2"/>
                      <w:sz w:val="18"/>
                      <w:szCs w:val="18"/>
                      <w:highlight w:val="none"/>
                    </w:rPr>
                  </w:pPr>
                  <w:r>
                    <w:rPr>
                      <w:rFonts w:ascii="Times New Roman" w:hAnsi="Times New Roman" w:eastAsia="宋体" w:cs="Times New Roman"/>
                      <w:color w:val="auto"/>
                      <w:sz w:val="18"/>
                      <w:szCs w:val="18"/>
                      <w:highlight w:val="none"/>
                    </w:rPr>
                    <w:t>提示标志</w:t>
                  </w:r>
                </w:p>
              </w:tc>
              <w:tc>
                <w:tcPr>
                  <w:tcW w:w="1249" w:type="pct"/>
                  <w:tcBorders>
                    <w:tl2br w:val="nil"/>
                    <w:tr2bl w:val="nil"/>
                  </w:tcBorders>
                  <w:vAlign w:val="center"/>
                </w:tcPr>
                <w:p>
                  <w:pPr>
                    <w:spacing w:line="276" w:lineRule="auto"/>
                    <w:jc w:val="center"/>
                    <w:rPr>
                      <w:rFonts w:ascii="Times New Roman" w:hAnsi="Times New Roman" w:eastAsia="宋体" w:cs="Times New Roman"/>
                      <w:color w:val="auto"/>
                      <w:spacing w:val="-2"/>
                      <w:sz w:val="18"/>
                      <w:szCs w:val="18"/>
                      <w:highlight w:val="none"/>
                    </w:rPr>
                  </w:pPr>
                  <w:r>
                    <w:rPr>
                      <w:rFonts w:ascii="Times New Roman" w:hAnsi="Times New Roman" w:eastAsia="宋体" w:cs="Times New Roman"/>
                      <w:color w:val="auto"/>
                      <w:sz w:val="18"/>
                      <w:szCs w:val="18"/>
                      <w:highlight w:val="none"/>
                    </w:rPr>
                    <w:t>正方形边框</w:t>
                  </w:r>
                </w:p>
              </w:tc>
              <w:tc>
                <w:tcPr>
                  <w:tcW w:w="1250" w:type="pct"/>
                  <w:tcBorders>
                    <w:tl2br w:val="nil"/>
                    <w:tr2bl w:val="nil"/>
                  </w:tcBorders>
                  <w:vAlign w:val="center"/>
                </w:tcPr>
                <w:p>
                  <w:pPr>
                    <w:spacing w:line="276" w:lineRule="auto"/>
                    <w:jc w:val="center"/>
                    <w:rPr>
                      <w:rFonts w:ascii="Times New Roman" w:hAnsi="Times New Roman" w:eastAsia="宋体" w:cs="Times New Roman"/>
                      <w:color w:val="auto"/>
                      <w:spacing w:val="-2"/>
                      <w:sz w:val="18"/>
                      <w:szCs w:val="18"/>
                      <w:highlight w:val="none"/>
                    </w:rPr>
                  </w:pPr>
                  <w:r>
                    <w:rPr>
                      <w:rFonts w:ascii="Times New Roman" w:hAnsi="Times New Roman" w:eastAsia="宋体" w:cs="Times New Roman"/>
                      <w:color w:val="auto"/>
                      <w:sz w:val="18"/>
                      <w:szCs w:val="18"/>
                      <w:highlight w:val="none"/>
                    </w:rPr>
                    <w:t>绿色</w:t>
                  </w:r>
                </w:p>
              </w:tc>
              <w:tc>
                <w:tcPr>
                  <w:tcW w:w="1250" w:type="pct"/>
                  <w:tcBorders>
                    <w:tl2br w:val="nil"/>
                    <w:tr2bl w:val="nil"/>
                  </w:tcBorders>
                  <w:vAlign w:val="center"/>
                </w:tcPr>
                <w:p>
                  <w:pPr>
                    <w:spacing w:line="276" w:lineRule="auto"/>
                    <w:jc w:val="center"/>
                    <w:rPr>
                      <w:rFonts w:ascii="Times New Roman" w:hAnsi="Times New Roman" w:eastAsia="宋体" w:cs="Times New Roman"/>
                      <w:color w:val="auto"/>
                      <w:spacing w:val="-2"/>
                      <w:sz w:val="18"/>
                      <w:szCs w:val="18"/>
                      <w:highlight w:val="none"/>
                    </w:rPr>
                  </w:pPr>
                  <w:r>
                    <w:rPr>
                      <w:rFonts w:ascii="Times New Roman" w:hAnsi="Times New Roman" w:eastAsia="宋体" w:cs="Times New Roman"/>
                      <w:color w:val="auto"/>
                      <w:sz w:val="18"/>
                      <w:szCs w:val="18"/>
                      <w:highlight w:val="none"/>
                    </w:rPr>
                    <w:t>白色</w:t>
                  </w:r>
                </w:p>
              </w:tc>
            </w:tr>
          </w:tbl>
          <w:p>
            <w:pPr>
              <w:spacing w:line="360" w:lineRule="auto"/>
              <w:rPr>
                <w:rFonts w:ascii="Times New Roman" w:hAnsi="Times New Roman" w:eastAsia="宋体" w:cs="Times New Roman"/>
                <w:color w:val="auto"/>
                <w:sz w:val="24"/>
                <w:szCs w:val="24"/>
                <w:highlight w:val="none"/>
              </w:rPr>
            </w:pPr>
          </w:p>
          <w:p>
            <w:pPr>
              <w:spacing w:line="360" w:lineRule="auto"/>
              <w:rPr>
                <w:rFonts w:ascii="Times New Roman" w:hAnsi="Times New Roman" w:eastAsia="宋体" w:cs="Times New Roman"/>
                <w:color w:val="auto"/>
                <w:sz w:val="24"/>
                <w:szCs w:val="24"/>
                <w:highlight w:val="none"/>
              </w:rPr>
            </w:pPr>
          </w:p>
          <w:p>
            <w:pPr>
              <w:spacing w:line="360" w:lineRule="auto"/>
              <w:rPr>
                <w:rFonts w:ascii="Times New Roman" w:hAnsi="Times New Roman" w:eastAsia="宋体" w:cs="Times New Roman"/>
                <w:color w:val="auto"/>
                <w:sz w:val="24"/>
                <w:szCs w:val="24"/>
                <w:highlight w:val="none"/>
              </w:rPr>
            </w:pPr>
          </w:p>
          <w:p>
            <w:pPr>
              <w:spacing w:line="360" w:lineRule="auto"/>
              <w:rPr>
                <w:rFonts w:ascii="Times New Roman" w:hAnsi="Times New Roman" w:eastAsia="宋体" w:cs="Times New Roman"/>
                <w:color w:val="auto"/>
                <w:sz w:val="24"/>
                <w:szCs w:val="24"/>
                <w:highlight w:val="none"/>
              </w:rPr>
            </w:pPr>
          </w:p>
          <w:p>
            <w:pPr>
              <w:spacing w:line="360" w:lineRule="auto"/>
              <w:rPr>
                <w:rFonts w:ascii="Times New Roman" w:hAnsi="Times New Roman" w:eastAsia="宋体" w:cs="Times New Roman"/>
                <w:color w:val="auto"/>
                <w:sz w:val="24"/>
                <w:szCs w:val="24"/>
                <w:highlight w:val="none"/>
              </w:rPr>
            </w:pPr>
          </w:p>
          <w:p>
            <w:pPr>
              <w:spacing w:line="360" w:lineRule="auto"/>
              <w:rPr>
                <w:rFonts w:ascii="Times New Roman" w:hAnsi="Times New Roman" w:eastAsia="宋体" w:cs="Times New Roman"/>
                <w:color w:val="auto"/>
                <w:sz w:val="24"/>
                <w:szCs w:val="24"/>
                <w:highlight w:val="none"/>
              </w:rPr>
            </w:pPr>
          </w:p>
        </w:tc>
      </w:tr>
    </w:tbl>
    <w:p>
      <w:pPr>
        <w:widowControl/>
        <w:spacing w:before="100" w:beforeAutospacing="1" w:after="100" w:afterAutospacing="1"/>
        <w:jc w:val="center"/>
        <w:outlineLvl w:val="0"/>
        <w:rPr>
          <w:rFonts w:ascii="Times New Roman" w:hAnsi="Times New Roman" w:eastAsia="宋体" w:cs="Times New Roman"/>
          <w:snapToGrid w:val="0"/>
          <w:kern w:val="0"/>
          <w:sz w:val="30"/>
          <w:szCs w:val="30"/>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widowControl/>
        <w:spacing w:before="100" w:beforeAutospacing="1" w:after="100" w:afterAutospacing="1"/>
        <w:jc w:val="center"/>
        <w:outlineLvl w:val="0"/>
        <w:rPr>
          <w:rFonts w:ascii="Times New Roman" w:hAnsi="Times New Roman" w:eastAsia="宋体" w:cs="Times New Roman"/>
          <w:snapToGrid w:val="0"/>
          <w:kern w:val="0"/>
          <w:sz w:val="30"/>
          <w:szCs w:val="30"/>
        </w:rPr>
      </w:pPr>
      <w:r>
        <w:rPr>
          <w:rFonts w:ascii="Times New Roman" w:hAnsi="Times New Roman" w:eastAsia="宋体" w:cs="Times New Roman"/>
          <w:snapToGrid w:val="0"/>
          <w:kern w:val="0"/>
          <w:sz w:val="30"/>
          <w:szCs w:val="30"/>
        </w:rPr>
        <w:t>五、</w:t>
      </w:r>
      <w:bookmarkStart w:id="5" w:name="_Hlk54167917"/>
      <w:r>
        <w:rPr>
          <w:rFonts w:ascii="Times New Roman" w:hAnsi="Times New Roman" w:eastAsia="宋体" w:cs="Times New Roman"/>
          <w:snapToGrid w:val="0"/>
          <w:kern w:val="0"/>
          <w:sz w:val="30"/>
          <w:szCs w:val="30"/>
        </w:rPr>
        <w:t>环境保护措施监督检查清单</w:t>
      </w:r>
      <w:bookmarkEnd w:id="5"/>
    </w:p>
    <w:tbl>
      <w:tblPr>
        <w:tblStyle w:val="17"/>
        <w:tblW w:w="8800"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956"/>
        <w:gridCol w:w="1420"/>
        <w:gridCol w:w="1296"/>
        <w:gridCol w:w="3109"/>
        <w:gridCol w:w="2019"/>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94" w:hRule="atLeast"/>
          <w:jc w:val="center"/>
        </w:trPr>
        <w:tc>
          <w:tcPr>
            <w:tcW w:w="956" w:type="dxa"/>
            <w:tcBorders>
              <w:tl2br w:val="single" w:color="auto" w:sz="4" w:space="0"/>
            </w:tcBorders>
          </w:tcPr>
          <w:p>
            <w:pPr>
              <w:snapToGrid w:val="0"/>
              <w:spacing w:line="276" w:lineRule="auto"/>
              <w:jc w:val="right"/>
              <w:rPr>
                <w:rFonts w:ascii="Times New Roman" w:hAnsi="Times New Roman" w:eastAsia="宋体" w:cs="Times New Roman"/>
                <w:b/>
                <w:color w:val="auto"/>
                <w:szCs w:val="21"/>
                <w:highlight w:val="none"/>
              </w:rPr>
            </w:pPr>
            <w:r>
              <w:rPr>
                <w:rFonts w:ascii="Times New Roman" w:hAnsi="Times New Roman" w:eastAsia="宋体" w:cs="Times New Roman"/>
                <w:b/>
                <w:color w:val="auto"/>
                <w:szCs w:val="21"/>
                <w:highlight w:val="none"/>
              </w:rPr>
              <w:t>内容</w:t>
            </w:r>
          </w:p>
          <w:p>
            <w:pPr>
              <w:snapToGrid w:val="0"/>
              <w:spacing w:line="276" w:lineRule="auto"/>
              <w:rPr>
                <w:rFonts w:ascii="Times New Roman" w:hAnsi="Times New Roman" w:eastAsia="宋体" w:cs="Times New Roman"/>
                <w:b/>
                <w:color w:val="auto"/>
                <w:szCs w:val="21"/>
                <w:highlight w:val="none"/>
              </w:rPr>
            </w:pPr>
          </w:p>
          <w:p>
            <w:pPr>
              <w:snapToGrid w:val="0"/>
              <w:spacing w:line="276" w:lineRule="auto"/>
              <w:jc w:val="left"/>
              <w:rPr>
                <w:rFonts w:ascii="Times New Roman" w:hAnsi="Times New Roman" w:eastAsia="宋体" w:cs="Times New Roman"/>
                <w:b/>
                <w:color w:val="auto"/>
                <w:szCs w:val="21"/>
                <w:highlight w:val="none"/>
              </w:rPr>
            </w:pPr>
            <w:r>
              <w:rPr>
                <w:rFonts w:ascii="Times New Roman" w:hAnsi="Times New Roman" w:eastAsia="宋体" w:cs="Times New Roman"/>
                <w:b/>
                <w:color w:val="auto"/>
                <w:szCs w:val="21"/>
                <w:highlight w:val="none"/>
              </w:rPr>
              <w:t>要素</w:t>
            </w:r>
          </w:p>
        </w:tc>
        <w:tc>
          <w:tcPr>
            <w:tcW w:w="1420" w:type="dxa"/>
            <w:vAlign w:val="center"/>
          </w:tcPr>
          <w:p>
            <w:pPr>
              <w:snapToGrid w:val="0"/>
              <w:spacing w:line="276" w:lineRule="auto"/>
              <w:jc w:val="center"/>
              <w:rPr>
                <w:rFonts w:ascii="Times New Roman" w:hAnsi="Times New Roman" w:eastAsia="宋体" w:cs="Times New Roman"/>
                <w:b/>
                <w:color w:val="auto"/>
                <w:szCs w:val="21"/>
                <w:highlight w:val="none"/>
              </w:rPr>
            </w:pPr>
            <w:r>
              <w:rPr>
                <w:rFonts w:ascii="Times New Roman" w:hAnsi="Times New Roman" w:eastAsia="宋体" w:cs="Times New Roman"/>
                <w:b/>
                <w:color w:val="auto"/>
                <w:szCs w:val="21"/>
                <w:highlight w:val="none"/>
              </w:rPr>
              <w:t>排放口(编号、名称)/污染源</w:t>
            </w:r>
          </w:p>
        </w:tc>
        <w:tc>
          <w:tcPr>
            <w:tcW w:w="1296" w:type="dxa"/>
            <w:vAlign w:val="center"/>
          </w:tcPr>
          <w:p>
            <w:pPr>
              <w:snapToGrid w:val="0"/>
              <w:spacing w:line="276" w:lineRule="auto"/>
              <w:jc w:val="center"/>
              <w:rPr>
                <w:rFonts w:ascii="Times New Roman" w:hAnsi="Times New Roman" w:eastAsia="宋体" w:cs="Times New Roman"/>
                <w:b/>
                <w:color w:val="auto"/>
                <w:szCs w:val="21"/>
                <w:highlight w:val="none"/>
              </w:rPr>
            </w:pPr>
            <w:r>
              <w:rPr>
                <w:rFonts w:ascii="Times New Roman" w:hAnsi="Times New Roman" w:eastAsia="宋体" w:cs="Times New Roman"/>
                <w:b/>
                <w:color w:val="auto"/>
                <w:szCs w:val="21"/>
                <w:highlight w:val="none"/>
              </w:rPr>
              <w:t>污染物项目</w:t>
            </w:r>
          </w:p>
        </w:tc>
        <w:tc>
          <w:tcPr>
            <w:tcW w:w="3109" w:type="dxa"/>
            <w:vAlign w:val="center"/>
          </w:tcPr>
          <w:p>
            <w:pPr>
              <w:snapToGrid w:val="0"/>
              <w:spacing w:line="276" w:lineRule="auto"/>
              <w:jc w:val="center"/>
              <w:rPr>
                <w:rFonts w:ascii="Times New Roman" w:hAnsi="Times New Roman" w:eastAsia="宋体" w:cs="Times New Roman"/>
                <w:b/>
                <w:color w:val="auto"/>
                <w:szCs w:val="21"/>
                <w:highlight w:val="none"/>
              </w:rPr>
            </w:pPr>
            <w:r>
              <w:rPr>
                <w:rFonts w:ascii="Times New Roman" w:hAnsi="Times New Roman" w:eastAsia="宋体" w:cs="Times New Roman"/>
                <w:b/>
                <w:color w:val="auto"/>
                <w:szCs w:val="21"/>
                <w:highlight w:val="none"/>
              </w:rPr>
              <w:t>环境保护措施</w:t>
            </w:r>
          </w:p>
        </w:tc>
        <w:tc>
          <w:tcPr>
            <w:tcW w:w="2019" w:type="dxa"/>
            <w:vAlign w:val="center"/>
          </w:tcPr>
          <w:p>
            <w:pPr>
              <w:snapToGrid w:val="0"/>
              <w:spacing w:line="276" w:lineRule="auto"/>
              <w:jc w:val="center"/>
              <w:rPr>
                <w:rFonts w:ascii="Times New Roman" w:hAnsi="Times New Roman" w:eastAsia="宋体" w:cs="Times New Roman"/>
                <w:b/>
                <w:color w:val="auto"/>
                <w:szCs w:val="21"/>
                <w:highlight w:val="none"/>
              </w:rPr>
            </w:pPr>
            <w:r>
              <w:rPr>
                <w:rFonts w:ascii="Times New Roman" w:hAnsi="Times New Roman" w:eastAsia="宋体" w:cs="Times New Roman"/>
                <w:b/>
                <w:color w:val="auto"/>
                <w:szCs w:val="21"/>
                <w:highlight w:val="none"/>
              </w:rPr>
              <w:t>执行标准</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94" w:hRule="atLeast"/>
          <w:jc w:val="center"/>
        </w:trPr>
        <w:tc>
          <w:tcPr>
            <w:tcW w:w="956" w:type="dxa"/>
            <w:vMerge w:val="restart"/>
            <w:vAlign w:val="center"/>
          </w:tcPr>
          <w:p>
            <w:pPr>
              <w:snapToGrid w:val="0"/>
              <w:spacing w:line="276" w:lineRule="auto"/>
              <w:jc w:val="center"/>
              <w:rPr>
                <w:rFonts w:ascii="Times New Roman" w:hAnsi="Times New Roman" w:eastAsia="宋体" w:cs="Times New Roman"/>
                <w:color w:val="auto"/>
                <w:szCs w:val="21"/>
                <w:highlight w:val="none"/>
              </w:rPr>
            </w:pPr>
            <w:r>
              <w:rPr>
                <w:rFonts w:ascii="Times New Roman" w:hAnsi="Times New Roman" w:eastAsia="宋体" w:cs="Times New Roman"/>
                <w:color w:val="auto"/>
                <w:szCs w:val="21"/>
                <w:highlight w:val="none"/>
              </w:rPr>
              <w:t>大气环境</w:t>
            </w:r>
          </w:p>
        </w:tc>
        <w:tc>
          <w:tcPr>
            <w:tcW w:w="1420" w:type="dxa"/>
            <w:vAlign w:val="center"/>
          </w:tcPr>
          <w:p>
            <w:pPr>
              <w:snapToGrid w:val="0"/>
              <w:spacing w:line="276" w:lineRule="auto"/>
              <w:jc w:val="center"/>
              <w:rPr>
                <w:rFonts w:ascii="Times New Roman" w:hAnsi="Times New Roman" w:eastAsia="宋体" w:cs="Times New Roman"/>
                <w:color w:val="auto"/>
                <w:szCs w:val="21"/>
                <w:highlight w:val="none"/>
              </w:rPr>
            </w:pPr>
            <w:r>
              <w:rPr>
                <w:rFonts w:hint="eastAsia" w:ascii="Times New Roman" w:hAnsi="Times New Roman" w:eastAsia="宋体" w:cs="Times New Roman"/>
                <w:color w:val="auto"/>
                <w:szCs w:val="21"/>
                <w:highlight w:val="none"/>
                <w:lang w:val="en-US" w:eastAsia="zh-CN"/>
              </w:rPr>
              <w:t>DA001</w:t>
            </w:r>
            <w:r>
              <w:rPr>
                <w:rFonts w:ascii="Times New Roman" w:hAnsi="Times New Roman" w:eastAsia="宋体" w:cs="Times New Roman"/>
                <w:color w:val="auto"/>
                <w:szCs w:val="21"/>
                <w:highlight w:val="none"/>
              </w:rPr>
              <w:t>排气筒</w:t>
            </w:r>
          </w:p>
        </w:tc>
        <w:tc>
          <w:tcPr>
            <w:tcW w:w="1296" w:type="dxa"/>
            <w:vAlign w:val="center"/>
          </w:tcPr>
          <w:p>
            <w:pPr>
              <w:snapToGrid w:val="0"/>
              <w:spacing w:line="276" w:lineRule="auto"/>
              <w:jc w:val="center"/>
              <w:rPr>
                <w:rFonts w:ascii="Times New Roman" w:hAnsi="Times New Roman" w:eastAsia="宋体" w:cs="Times New Roman"/>
                <w:color w:val="auto"/>
                <w:szCs w:val="21"/>
                <w:highlight w:val="none"/>
              </w:rPr>
            </w:pPr>
            <w:r>
              <w:rPr>
                <w:rFonts w:ascii="Times New Roman" w:hAnsi="Times New Roman" w:eastAsia="宋体" w:cs="Times New Roman"/>
                <w:color w:val="auto"/>
                <w:szCs w:val="21"/>
                <w:highlight w:val="none"/>
              </w:rPr>
              <w:t>颗粒物</w:t>
            </w:r>
          </w:p>
        </w:tc>
        <w:tc>
          <w:tcPr>
            <w:tcW w:w="3109" w:type="dxa"/>
            <w:vAlign w:val="center"/>
          </w:tcPr>
          <w:p>
            <w:pPr>
              <w:snapToGrid w:val="0"/>
              <w:spacing w:line="276" w:lineRule="auto"/>
              <w:jc w:val="center"/>
              <w:rPr>
                <w:rFonts w:ascii="Times New Roman" w:hAnsi="Times New Roman" w:eastAsia="宋体" w:cs="Times New Roman"/>
                <w:color w:val="auto"/>
                <w:szCs w:val="21"/>
                <w:highlight w:val="none"/>
              </w:rPr>
            </w:pPr>
            <w:r>
              <w:rPr>
                <w:rFonts w:ascii="Times New Roman" w:hAnsi="Times New Roman" w:eastAsia="宋体" w:cs="Times New Roman"/>
                <w:color w:val="auto"/>
                <w:szCs w:val="21"/>
                <w:highlight w:val="none"/>
              </w:rPr>
              <w:t>经袋式除尘装置处理后通过15m高</w:t>
            </w:r>
            <w:r>
              <w:rPr>
                <w:rFonts w:hint="eastAsia" w:ascii="Times New Roman" w:hAnsi="Times New Roman" w:eastAsia="宋体" w:cs="Times New Roman"/>
                <w:color w:val="auto"/>
                <w:szCs w:val="21"/>
                <w:highlight w:val="none"/>
                <w:lang w:val="en-US" w:eastAsia="zh-CN"/>
              </w:rPr>
              <w:t>DA001</w:t>
            </w:r>
            <w:r>
              <w:rPr>
                <w:rFonts w:ascii="Times New Roman" w:hAnsi="Times New Roman" w:eastAsia="宋体" w:cs="Times New Roman"/>
                <w:color w:val="auto"/>
                <w:szCs w:val="21"/>
                <w:highlight w:val="none"/>
              </w:rPr>
              <w:t>排气筒排放（风量10000m³/h）</w:t>
            </w:r>
          </w:p>
        </w:tc>
        <w:tc>
          <w:tcPr>
            <w:tcW w:w="2019" w:type="dxa"/>
            <w:vAlign w:val="center"/>
          </w:tcPr>
          <w:p>
            <w:pPr>
              <w:snapToGrid w:val="0"/>
              <w:spacing w:line="276" w:lineRule="auto"/>
              <w:jc w:val="center"/>
              <w:rPr>
                <w:rFonts w:ascii="Times New Roman" w:hAnsi="Times New Roman" w:eastAsia="宋体" w:cs="Times New Roman"/>
                <w:color w:val="auto"/>
                <w:szCs w:val="21"/>
                <w:highlight w:val="none"/>
              </w:rPr>
            </w:pPr>
            <w:r>
              <w:rPr>
                <w:rFonts w:ascii="Times New Roman" w:hAnsi="Times New Roman" w:eastAsia="宋体" w:cs="Times New Roman"/>
                <w:color w:val="auto"/>
                <w:szCs w:val="21"/>
                <w:highlight w:val="none"/>
              </w:rPr>
              <w:t>《大气污染物综合排放标准》（GB16297-1996）</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94" w:hRule="atLeast"/>
          <w:jc w:val="center"/>
        </w:trPr>
        <w:tc>
          <w:tcPr>
            <w:tcW w:w="956" w:type="dxa"/>
            <w:vMerge w:val="continue"/>
            <w:vAlign w:val="center"/>
          </w:tcPr>
          <w:p>
            <w:pPr>
              <w:snapToGrid w:val="0"/>
              <w:spacing w:line="276" w:lineRule="auto"/>
              <w:jc w:val="center"/>
              <w:rPr>
                <w:rFonts w:ascii="Times New Roman" w:hAnsi="Times New Roman" w:eastAsia="宋体" w:cs="Times New Roman"/>
                <w:color w:val="auto"/>
                <w:szCs w:val="21"/>
                <w:highlight w:val="none"/>
              </w:rPr>
            </w:pPr>
          </w:p>
        </w:tc>
        <w:tc>
          <w:tcPr>
            <w:tcW w:w="1420" w:type="dxa"/>
            <w:vAlign w:val="center"/>
          </w:tcPr>
          <w:p>
            <w:pPr>
              <w:snapToGrid w:val="0"/>
              <w:spacing w:line="276" w:lineRule="auto"/>
              <w:jc w:val="center"/>
              <w:rPr>
                <w:rFonts w:ascii="Times New Roman" w:hAnsi="Times New Roman" w:eastAsia="宋体" w:cs="Times New Roman"/>
                <w:color w:val="auto"/>
                <w:szCs w:val="21"/>
                <w:highlight w:val="none"/>
              </w:rPr>
            </w:pPr>
            <w:r>
              <w:rPr>
                <w:rFonts w:hint="eastAsia" w:ascii="Times New Roman" w:hAnsi="Times New Roman" w:eastAsia="宋体" w:cs="Times New Roman"/>
                <w:color w:val="auto"/>
                <w:szCs w:val="21"/>
                <w:highlight w:val="none"/>
                <w:lang w:val="en-US" w:eastAsia="zh-CN"/>
              </w:rPr>
              <w:t>DA001</w:t>
            </w:r>
            <w:r>
              <w:rPr>
                <w:rFonts w:ascii="Times New Roman" w:hAnsi="Times New Roman" w:eastAsia="宋体" w:cs="Times New Roman"/>
                <w:color w:val="auto"/>
                <w:szCs w:val="21"/>
                <w:highlight w:val="none"/>
              </w:rPr>
              <w:t>排气筒</w:t>
            </w:r>
          </w:p>
        </w:tc>
        <w:tc>
          <w:tcPr>
            <w:tcW w:w="1296" w:type="dxa"/>
            <w:vAlign w:val="center"/>
          </w:tcPr>
          <w:p>
            <w:pPr>
              <w:snapToGrid w:val="0"/>
              <w:spacing w:line="276" w:lineRule="auto"/>
              <w:jc w:val="center"/>
              <w:rPr>
                <w:rFonts w:ascii="Times New Roman" w:hAnsi="Times New Roman" w:eastAsia="宋体" w:cs="Times New Roman"/>
                <w:color w:val="auto"/>
                <w:szCs w:val="21"/>
                <w:highlight w:val="none"/>
              </w:rPr>
            </w:pPr>
            <w:r>
              <w:rPr>
                <w:rFonts w:ascii="Times New Roman" w:hAnsi="Times New Roman" w:eastAsia="宋体" w:cs="Times New Roman"/>
                <w:color w:val="auto"/>
                <w:szCs w:val="21"/>
                <w:highlight w:val="none"/>
              </w:rPr>
              <w:t>非甲烷总烃</w:t>
            </w:r>
          </w:p>
        </w:tc>
        <w:tc>
          <w:tcPr>
            <w:tcW w:w="3109" w:type="dxa"/>
            <w:vAlign w:val="center"/>
          </w:tcPr>
          <w:p>
            <w:pPr>
              <w:snapToGrid w:val="0"/>
              <w:spacing w:line="276" w:lineRule="auto"/>
              <w:jc w:val="center"/>
              <w:rPr>
                <w:rFonts w:ascii="Times New Roman" w:hAnsi="Times New Roman" w:eastAsia="宋体" w:cs="Times New Roman"/>
                <w:color w:val="auto"/>
                <w:szCs w:val="21"/>
                <w:highlight w:val="none"/>
              </w:rPr>
            </w:pPr>
            <w:r>
              <w:rPr>
                <w:rFonts w:ascii="Times New Roman" w:hAnsi="Times New Roman" w:eastAsia="宋体" w:cs="Times New Roman"/>
                <w:color w:val="auto"/>
                <w:szCs w:val="21"/>
                <w:highlight w:val="none"/>
              </w:rPr>
              <w:t>经二级活性炭吸附装置处理后通过15m高</w:t>
            </w:r>
            <w:r>
              <w:rPr>
                <w:rFonts w:hint="eastAsia" w:ascii="Times New Roman" w:hAnsi="Times New Roman" w:eastAsia="宋体" w:cs="Times New Roman"/>
                <w:color w:val="auto"/>
                <w:szCs w:val="21"/>
                <w:highlight w:val="none"/>
                <w:lang w:val="en-US" w:eastAsia="zh-CN"/>
              </w:rPr>
              <w:t>DA0012</w:t>
            </w:r>
            <w:r>
              <w:rPr>
                <w:rFonts w:ascii="Times New Roman" w:hAnsi="Times New Roman" w:eastAsia="宋体" w:cs="Times New Roman"/>
                <w:color w:val="auto"/>
                <w:szCs w:val="21"/>
                <w:highlight w:val="none"/>
              </w:rPr>
              <w:t>排气筒排放（风量5000m³/h）</w:t>
            </w:r>
          </w:p>
        </w:tc>
        <w:tc>
          <w:tcPr>
            <w:tcW w:w="2019" w:type="dxa"/>
            <w:vAlign w:val="center"/>
          </w:tcPr>
          <w:p>
            <w:pPr>
              <w:snapToGrid w:val="0"/>
              <w:spacing w:line="276" w:lineRule="auto"/>
              <w:jc w:val="center"/>
              <w:rPr>
                <w:rFonts w:ascii="Times New Roman" w:hAnsi="Times New Roman" w:eastAsia="宋体" w:cs="Times New Roman"/>
                <w:color w:val="auto"/>
                <w:szCs w:val="21"/>
                <w:highlight w:val="none"/>
              </w:rPr>
            </w:pPr>
            <w:r>
              <w:rPr>
                <w:rFonts w:ascii="Times New Roman" w:hAnsi="Times New Roman" w:eastAsia="宋体" w:cs="Times New Roman"/>
                <w:color w:val="auto"/>
                <w:szCs w:val="21"/>
                <w:highlight w:val="none"/>
              </w:rPr>
              <w:t>《合成树脂工业污染物排放标准》（GB31572-2015）</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89" w:hRule="atLeast"/>
          <w:jc w:val="center"/>
        </w:trPr>
        <w:tc>
          <w:tcPr>
            <w:tcW w:w="956" w:type="dxa"/>
            <w:vMerge w:val="continue"/>
            <w:vAlign w:val="center"/>
          </w:tcPr>
          <w:p>
            <w:pPr>
              <w:snapToGrid w:val="0"/>
              <w:spacing w:line="276" w:lineRule="auto"/>
              <w:jc w:val="center"/>
              <w:rPr>
                <w:rFonts w:ascii="Times New Roman" w:hAnsi="Times New Roman" w:eastAsia="宋体" w:cs="Times New Roman"/>
                <w:color w:val="auto"/>
                <w:szCs w:val="21"/>
                <w:highlight w:val="none"/>
              </w:rPr>
            </w:pPr>
          </w:p>
        </w:tc>
        <w:tc>
          <w:tcPr>
            <w:tcW w:w="1420" w:type="dxa"/>
            <w:vAlign w:val="center"/>
          </w:tcPr>
          <w:p>
            <w:pPr>
              <w:snapToGrid w:val="0"/>
              <w:spacing w:line="276" w:lineRule="auto"/>
              <w:jc w:val="center"/>
              <w:rPr>
                <w:rFonts w:ascii="Times New Roman" w:hAnsi="Times New Roman" w:eastAsia="宋体" w:cs="Times New Roman"/>
                <w:color w:val="auto"/>
                <w:szCs w:val="21"/>
                <w:highlight w:val="none"/>
              </w:rPr>
            </w:pPr>
            <w:r>
              <w:rPr>
                <w:rFonts w:ascii="Times New Roman" w:hAnsi="Times New Roman" w:eastAsia="宋体" w:cs="Times New Roman"/>
                <w:color w:val="auto"/>
                <w:szCs w:val="21"/>
                <w:highlight w:val="none"/>
              </w:rPr>
              <w:t>厂区无组织</w:t>
            </w:r>
          </w:p>
        </w:tc>
        <w:tc>
          <w:tcPr>
            <w:tcW w:w="1296" w:type="dxa"/>
            <w:tcBorders>
              <w:bottom w:val="single" w:color="000000" w:sz="4" w:space="0"/>
            </w:tcBorders>
            <w:vAlign w:val="center"/>
          </w:tcPr>
          <w:p>
            <w:pPr>
              <w:snapToGrid w:val="0"/>
              <w:spacing w:line="276" w:lineRule="auto"/>
              <w:jc w:val="center"/>
              <w:rPr>
                <w:rFonts w:ascii="Times New Roman" w:hAnsi="Times New Roman" w:eastAsia="宋体" w:cs="Times New Roman"/>
                <w:color w:val="auto"/>
                <w:szCs w:val="21"/>
                <w:highlight w:val="none"/>
              </w:rPr>
            </w:pPr>
            <w:r>
              <w:rPr>
                <w:rFonts w:ascii="Times New Roman" w:hAnsi="Times New Roman" w:eastAsia="宋体" w:cs="Times New Roman"/>
                <w:color w:val="auto"/>
                <w:szCs w:val="21"/>
                <w:highlight w:val="none"/>
              </w:rPr>
              <w:t>颗粒物</w:t>
            </w:r>
          </w:p>
        </w:tc>
        <w:tc>
          <w:tcPr>
            <w:tcW w:w="3109" w:type="dxa"/>
            <w:tcBorders>
              <w:bottom w:val="single" w:color="000000" w:sz="4" w:space="0"/>
            </w:tcBorders>
            <w:vAlign w:val="center"/>
          </w:tcPr>
          <w:p>
            <w:pPr>
              <w:snapToGrid w:val="0"/>
              <w:spacing w:line="276" w:lineRule="auto"/>
              <w:jc w:val="center"/>
              <w:rPr>
                <w:rFonts w:ascii="Times New Roman" w:hAnsi="Times New Roman" w:eastAsia="宋体" w:cs="Times New Roman"/>
                <w:color w:val="auto"/>
                <w:szCs w:val="21"/>
                <w:highlight w:val="none"/>
              </w:rPr>
            </w:pPr>
            <w:r>
              <w:rPr>
                <w:rFonts w:ascii="Times New Roman" w:hAnsi="Times New Roman" w:eastAsia="宋体" w:cs="Times New Roman"/>
                <w:color w:val="auto"/>
                <w:szCs w:val="21"/>
                <w:highlight w:val="none"/>
              </w:rPr>
              <w:t>加强车间通风</w:t>
            </w:r>
          </w:p>
        </w:tc>
        <w:tc>
          <w:tcPr>
            <w:tcW w:w="2019" w:type="dxa"/>
            <w:vAlign w:val="center"/>
          </w:tcPr>
          <w:p>
            <w:pPr>
              <w:snapToGrid w:val="0"/>
              <w:spacing w:line="276" w:lineRule="auto"/>
              <w:jc w:val="center"/>
              <w:rPr>
                <w:rFonts w:ascii="Times New Roman" w:hAnsi="Times New Roman" w:eastAsia="宋体" w:cs="Times New Roman"/>
                <w:color w:val="auto"/>
                <w:szCs w:val="21"/>
                <w:highlight w:val="none"/>
              </w:rPr>
            </w:pPr>
            <w:r>
              <w:rPr>
                <w:rFonts w:ascii="Times New Roman" w:hAnsi="Times New Roman" w:eastAsia="宋体" w:cs="Times New Roman"/>
                <w:color w:val="auto"/>
                <w:szCs w:val="21"/>
                <w:highlight w:val="none"/>
              </w:rPr>
              <w:t>《大气污染物综合排放标准》（GB16297-1996）</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94" w:hRule="atLeast"/>
          <w:jc w:val="center"/>
        </w:trPr>
        <w:tc>
          <w:tcPr>
            <w:tcW w:w="956" w:type="dxa"/>
            <w:vAlign w:val="center"/>
          </w:tcPr>
          <w:p>
            <w:pPr>
              <w:snapToGrid w:val="0"/>
              <w:spacing w:line="276" w:lineRule="auto"/>
              <w:jc w:val="center"/>
              <w:rPr>
                <w:rFonts w:ascii="Times New Roman" w:hAnsi="Times New Roman" w:eastAsia="宋体" w:cs="Times New Roman"/>
                <w:color w:val="auto"/>
                <w:szCs w:val="21"/>
                <w:highlight w:val="none"/>
              </w:rPr>
            </w:pPr>
            <w:r>
              <w:rPr>
                <w:rFonts w:ascii="Times New Roman" w:hAnsi="Times New Roman" w:eastAsia="宋体" w:cs="Times New Roman"/>
                <w:color w:val="auto"/>
                <w:szCs w:val="21"/>
                <w:highlight w:val="none"/>
              </w:rPr>
              <w:t>地表水环境</w:t>
            </w:r>
          </w:p>
        </w:tc>
        <w:tc>
          <w:tcPr>
            <w:tcW w:w="1420" w:type="dxa"/>
            <w:vAlign w:val="center"/>
          </w:tcPr>
          <w:p>
            <w:pPr>
              <w:snapToGrid w:val="0"/>
              <w:spacing w:line="276" w:lineRule="auto"/>
              <w:jc w:val="center"/>
              <w:rPr>
                <w:rFonts w:ascii="Times New Roman" w:hAnsi="Times New Roman" w:eastAsia="宋体" w:cs="Times New Roman"/>
                <w:color w:val="auto"/>
                <w:szCs w:val="21"/>
                <w:highlight w:val="none"/>
              </w:rPr>
            </w:pPr>
            <w:r>
              <w:rPr>
                <w:rFonts w:ascii="Times New Roman" w:hAnsi="Times New Roman" w:eastAsia="宋体" w:cs="Times New Roman"/>
                <w:color w:val="auto"/>
                <w:szCs w:val="21"/>
                <w:highlight w:val="none"/>
              </w:rPr>
              <w:t>生活污水</w:t>
            </w:r>
          </w:p>
        </w:tc>
        <w:tc>
          <w:tcPr>
            <w:tcW w:w="1296" w:type="dxa"/>
            <w:vAlign w:val="center"/>
          </w:tcPr>
          <w:p>
            <w:pPr>
              <w:snapToGrid w:val="0"/>
              <w:spacing w:line="276" w:lineRule="auto"/>
              <w:jc w:val="center"/>
              <w:rPr>
                <w:rFonts w:ascii="Times New Roman" w:hAnsi="Times New Roman" w:eastAsia="宋体" w:cs="Times New Roman"/>
                <w:color w:val="auto"/>
                <w:szCs w:val="21"/>
                <w:highlight w:val="none"/>
              </w:rPr>
            </w:pPr>
            <w:r>
              <w:rPr>
                <w:rFonts w:ascii="Times New Roman" w:hAnsi="Times New Roman" w:eastAsia="宋体" w:cs="Times New Roman"/>
                <w:color w:val="auto"/>
                <w:szCs w:val="21"/>
                <w:highlight w:val="none"/>
              </w:rPr>
              <w:t>COD</w:t>
            </w:r>
            <w:r>
              <w:rPr>
                <w:rFonts w:ascii="Times New Roman" w:hAnsi="Times New Roman" w:eastAsia="宋体" w:cs="Times New Roman"/>
                <w:color w:val="auto"/>
                <w:szCs w:val="21"/>
                <w:highlight w:val="none"/>
                <w:vertAlign w:val="subscript"/>
              </w:rPr>
              <w:t>Cr</w:t>
            </w:r>
            <w:r>
              <w:rPr>
                <w:rFonts w:ascii="Times New Roman" w:hAnsi="Times New Roman" w:eastAsia="宋体" w:cs="Times New Roman"/>
                <w:color w:val="auto"/>
                <w:szCs w:val="21"/>
                <w:highlight w:val="none"/>
              </w:rPr>
              <w:t>、BOD</w:t>
            </w:r>
            <w:r>
              <w:rPr>
                <w:rFonts w:ascii="Times New Roman" w:hAnsi="Times New Roman" w:eastAsia="宋体" w:cs="Times New Roman"/>
                <w:color w:val="auto"/>
                <w:szCs w:val="21"/>
                <w:highlight w:val="none"/>
                <w:vertAlign w:val="subscript"/>
              </w:rPr>
              <w:t>5</w:t>
            </w:r>
            <w:r>
              <w:rPr>
                <w:rFonts w:ascii="Times New Roman" w:hAnsi="Times New Roman" w:eastAsia="宋体" w:cs="Times New Roman"/>
                <w:color w:val="auto"/>
                <w:szCs w:val="21"/>
                <w:highlight w:val="none"/>
              </w:rPr>
              <w:t>、SS、NH</w:t>
            </w:r>
            <w:r>
              <w:rPr>
                <w:rFonts w:ascii="Times New Roman" w:hAnsi="Times New Roman" w:eastAsia="宋体" w:cs="Times New Roman"/>
                <w:color w:val="auto"/>
                <w:szCs w:val="21"/>
                <w:highlight w:val="none"/>
                <w:vertAlign w:val="subscript"/>
              </w:rPr>
              <w:t>3</w:t>
            </w:r>
            <w:r>
              <w:rPr>
                <w:rFonts w:ascii="Times New Roman" w:hAnsi="Times New Roman" w:eastAsia="宋体" w:cs="Times New Roman"/>
                <w:color w:val="auto"/>
                <w:szCs w:val="21"/>
                <w:highlight w:val="none"/>
              </w:rPr>
              <w:t>-N</w:t>
            </w:r>
          </w:p>
        </w:tc>
        <w:tc>
          <w:tcPr>
            <w:tcW w:w="3109" w:type="dxa"/>
            <w:vAlign w:val="center"/>
          </w:tcPr>
          <w:p>
            <w:pPr>
              <w:snapToGrid w:val="0"/>
              <w:spacing w:line="276" w:lineRule="auto"/>
              <w:jc w:val="center"/>
              <w:rPr>
                <w:rFonts w:ascii="Times New Roman" w:hAnsi="Times New Roman" w:eastAsia="宋体" w:cs="Times New Roman"/>
                <w:color w:val="auto"/>
                <w:szCs w:val="21"/>
                <w:highlight w:val="none"/>
              </w:rPr>
            </w:pPr>
            <w:r>
              <w:rPr>
                <w:rFonts w:ascii="Times New Roman" w:hAnsi="Times New Roman" w:eastAsia="宋体" w:cs="Times New Roman"/>
                <w:bCs/>
                <w:color w:val="auto"/>
                <w:szCs w:val="21"/>
                <w:highlight w:val="none"/>
                <w:lang w:val="en-GB"/>
              </w:rPr>
              <w:t>生活污水</w:t>
            </w:r>
            <w:r>
              <w:rPr>
                <w:rFonts w:ascii="Times New Roman" w:hAnsi="Times New Roman" w:eastAsia="宋体" w:cs="Times New Roman"/>
                <w:bCs/>
                <w:color w:val="auto"/>
                <w:szCs w:val="21"/>
                <w:highlight w:val="none"/>
              </w:rPr>
              <w:t>经</w:t>
            </w:r>
            <w:r>
              <w:rPr>
                <w:rFonts w:ascii="Times New Roman" w:hAnsi="Times New Roman" w:eastAsia="宋体" w:cs="Times New Roman"/>
                <w:bCs/>
                <w:color w:val="auto"/>
                <w:szCs w:val="21"/>
                <w:highlight w:val="none"/>
                <w:lang w:val="en-GB"/>
              </w:rPr>
              <w:t>化粪池</w:t>
            </w:r>
            <w:r>
              <w:rPr>
                <w:rFonts w:ascii="Times New Roman" w:hAnsi="Times New Roman" w:eastAsia="宋体" w:cs="Times New Roman"/>
                <w:bCs/>
                <w:color w:val="auto"/>
                <w:szCs w:val="21"/>
                <w:highlight w:val="none"/>
              </w:rPr>
              <w:t>处理</w:t>
            </w:r>
            <w:r>
              <w:rPr>
                <w:rFonts w:ascii="Times New Roman" w:hAnsi="Times New Roman" w:eastAsia="宋体" w:cs="Times New Roman"/>
                <w:bCs/>
                <w:color w:val="auto"/>
                <w:szCs w:val="21"/>
                <w:highlight w:val="none"/>
                <w:lang w:val="en-GB"/>
              </w:rPr>
              <w:t>后，</w:t>
            </w:r>
            <w:r>
              <w:rPr>
                <w:rFonts w:ascii="Times New Roman" w:hAnsi="Times New Roman" w:eastAsia="宋体" w:cs="Times New Roman"/>
                <w:bCs/>
                <w:color w:val="auto"/>
                <w:szCs w:val="21"/>
                <w:highlight w:val="none"/>
              </w:rPr>
              <w:t>接管至市政污水管网送至八公山污水处理厂处理后排放至淮河</w:t>
            </w:r>
          </w:p>
        </w:tc>
        <w:tc>
          <w:tcPr>
            <w:tcW w:w="2019" w:type="dxa"/>
            <w:vAlign w:val="center"/>
          </w:tcPr>
          <w:p>
            <w:pPr>
              <w:snapToGrid w:val="0"/>
              <w:spacing w:line="276" w:lineRule="auto"/>
              <w:jc w:val="center"/>
              <w:rPr>
                <w:rFonts w:ascii="Times New Roman" w:hAnsi="Times New Roman" w:eastAsia="宋体" w:cs="Times New Roman"/>
                <w:color w:val="auto"/>
                <w:szCs w:val="21"/>
                <w:highlight w:val="none"/>
              </w:rPr>
            </w:pPr>
            <w:r>
              <w:rPr>
                <w:rFonts w:ascii="Times New Roman" w:hAnsi="Times New Roman" w:eastAsia="宋体" w:cs="Times New Roman"/>
                <w:bCs/>
                <w:color w:val="auto"/>
                <w:szCs w:val="21"/>
                <w:highlight w:val="none"/>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94" w:hRule="atLeast"/>
          <w:jc w:val="center"/>
        </w:trPr>
        <w:tc>
          <w:tcPr>
            <w:tcW w:w="956" w:type="dxa"/>
            <w:vAlign w:val="center"/>
          </w:tcPr>
          <w:p>
            <w:pPr>
              <w:snapToGrid w:val="0"/>
              <w:spacing w:line="276" w:lineRule="auto"/>
              <w:jc w:val="center"/>
              <w:rPr>
                <w:rFonts w:ascii="Times New Roman" w:hAnsi="Times New Roman" w:eastAsia="宋体" w:cs="Times New Roman"/>
                <w:color w:val="auto"/>
                <w:szCs w:val="21"/>
                <w:highlight w:val="none"/>
              </w:rPr>
            </w:pPr>
            <w:r>
              <w:rPr>
                <w:rFonts w:ascii="Times New Roman" w:hAnsi="Times New Roman" w:eastAsia="宋体" w:cs="Times New Roman"/>
                <w:color w:val="auto"/>
                <w:szCs w:val="21"/>
                <w:highlight w:val="none"/>
              </w:rPr>
              <w:t>声环境</w:t>
            </w:r>
          </w:p>
        </w:tc>
        <w:tc>
          <w:tcPr>
            <w:tcW w:w="1420" w:type="dxa"/>
            <w:vAlign w:val="center"/>
          </w:tcPr>
          <w:p>
            <w:pPr>
              <w:snapToGrid w:val="0"/>
              <w:spacing w:line="276" w:lineRule="auto"/>
              <w:jc w:val="center"/>
              <w:rPr>
                <w:rFonts w:ascii="Times New Roman" w:hAnsi="Times New Roman" w:eastAsia="宋体" w:cs="Times New Roman"/>
                <w:color w:val="auto"/>
                <w:szCs w:val="21"/>
                <w:highlight w:val="none"/>
              </w:rPr>
            </w:pPr>
            <w:r>
              <w:rPr>
                <w:rFonts w:ascii="Times New Roman" w:hAnsi="Times New Roman" w:eastAsia="宋体" w:cs="Times New Roman"/>
                <w:color w:val="auto"/>
                <w:szCs w:val="21"/>
                <w:highlight w:val="none"/>
              </w:rPr>
              <w:t>设备噪声</w:t>
            </w:r>
          </w:p>
        </w:tc>
        <w:tc>
          <w:tcPr>
            <w:tcW w:w="1296" w:type="dxa"/>
            <w:vAlign w:val="center"/>
          </w:tcPr>
          <w:p>
            <w:pPr>
              <w:snapToGrid w:val="0"/>
              <w:spacing w:line="276" w:lineRule="auto"/>
              <w:jc w:val="center"/>
              <w:rPr>
                <w:rFonts w:ascii="Times New Roman" w:hAnsi="Times New Roman" w:eastAsia="宋体" w:cs="Times New Roman"/>
                <w:color w:val="auto"/>
                <w:szCs w:val="21"/>
                <w:highlight w:val="none"/>
              </w:rPr>
            </w:pPr>
            <w:r>
              <w:rPr>
                <w:rFonts w:ascii="Times New Roman" w:hAnsi="Times New Roman" w:eastAsia="宋体" w:cs="Times New Roman"/>
                <w:color w:val="auto"/>
                <w:szCs w:val="21"/>
                <w:highlight w:val="none"/>
              </w:rPr>
              <w:t>噪声</w:t>
            </w:r>
          </w:p>
        </w:tc>
        <w:tc>
          <w:tcPr>
            <w:tcW w:w="3109" w:type="dxa"/>
            <w:vAlign w:val="center"/>
          </w:tcPr>
          <w:p>
            <w:pPr>
              <w:snapToGrid w:val="0"/>
              <w:spacing w:line="276" w:lineRule="auto"/>
              <w:jc w:val="center"/>
              <w:rPr>
                <w:rFonts w:ascii="Times New Roman" w:hAnsi="Times New Roman" w:eastAsia="宋体" w:cs="Times New Roman"/>
                <w:color w:val="auto"/>
                <w:szCs w:val="21"/>
                <w:highlight w:val="none"/>
              </w:rPr>
            </w:pPr>
            <w:r>
              <w:rPr>
                <w:rFonts w:ascii="Times New Roman" w:hAnsi="Times New Roman" w:eastAsia="宋体" w:cs="Times New Roman"/>
                <w:color w:val="auto"/>
                <w:kern w:val="0"/>
                <w:szCs w:val="21"/>
                <w:highlight w:val="none"/>
              </w:rPr>
              <w:t>减振、消声</w:t>
            </w:r>
          </w:p>
        </w:tc>
        <w:tc>
          <w:tcPr>
            <w:tcW w:w="2019" w:type="dxa"/>
            <w:vAlign w:val="center"/>
          </w:tcPr>
          <w:p>
            <w:pPr>
              <w:snapToGrid w:val="0"/>
              <w:spacing w:line="276" w:lineRule="auto"/>
              <w:ind w:right="-105" w:rightChars="-50"/>
              <w:jc w:val="center"/>
              <w:rPr>
                <w:rFonts w:ascii="Times New Roman" w:hAnsi="Times New Roman" w:eastAsia="宋体" w:cs="Times New Roman"/>
                <w:color w:val="auto"/>
                <w:szCs w:val="21"/>
                <w:highlight w:val="none"/>
              </w:rPr>
            </w:pPr>
            <w:r>
              <w:rPr>
                <w:rFonts w:ascii="Times New Roman" w:hAnsi="Times New Roman" w:eastAsia="宋体" w:cs="Times New Roman"/>
                <w:color w:val="auto"/>
                <w:szCs w:val="21"/>
                <w:highlight w:val="none"/>
              </w:rPr>
              <w:t>《工业企业厂界环境噪声排放标准》（GB12348-2008）中2类标准</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94" w:hRule="atLeast"/>
          <w:jc w:val="center"/>
        </w:trPr>
        <w:tc>
          <w:tcPr>
            <w:tcW w:w="956" w:type="dxa"/>
            <w:vAlign w:val="center"/>
          </w:tcPr>
          <w:p>
            <w:pPr>
              <w:snapToGrid w:val="0"/>
              <w:spacing w:line="276" w:lineRule="auto"/>
              <w:jc w:val="center"/>
              <w:rPr>
                <w:rFonts w:ascii="Times New Roman" w:hAnsi="Times New Roman" w:eastAsia="宋体" w:cs="Times New Roman"/>
                <w:color w:val="auto"/>
                <w:szCs w:val="21"/>
                <w:highlight w:val="none"/>
              </w:rPr>
            </w:pPr>
            <w:r>
              <w:rPr>
                <w:rFonts w:ascii="Times New Roman" w:hAnsi="Times New Roman" w:eastAsia="宋体" w:cs="Times New Roman"/>
                <w:color w:val="auto"/>
                <w:szCs w:val="21"/>
                <w:highlight w:val="none"/>
              </w:rPr>
              <w:t>固体废物</w:t>
            </w:r>
          </w:p>
        </w:tc>
        <w:tc>
          <w:tcPr>
            <w:tcW w:w="7844" w:type="dxa"/>
            <w:gridSpan w:val="4"/>
          </w:tcPr>
          <w:p>
            <w:pPr>
              <w:snapToGrid w:val="0"/>
              <w:spacing w:line="276" w:lineRule="auto"/>
              <w:ind w:firstLine="420" w:firstLineChars="200"/>
              <w:rPr>
                <w:rFonts w:ascii="Times New Roman" w:hAnsi="Times New Roman" w:eastAsia="宋体" w:cs="Times New Roman"/>
                <w:color w:val="auto"/>
                <w:szCs w:val="21"/>
                <w:highlight w:val="none"/>
              </w:rPr>
            </w:pPr>
            <w:r>
              <w:rPr>
                <w:rFonts w:ascii="Times New Roman" w:hAnsi="Times New Roman" w:eastAsia="宋体" w:cs="Times New Roman"/>
                <w:color w:val="auto"/>
                <w:szCs w:val="21"/>
                <w:highlight w:val="none"/>
              </w:rPr>
              <w:t>建设一座20m</w:t>
            </w:r>
            <w:r>
              <w:rPr>
                <w:rFonts w:ascii="Times New Roman" w:hAnsi="Times New Roman" w:eastAsia="宋体" w:cs="Times New Roman"/>
                <w:color w:val="auto"/>
                <w:szCs w:val="21"/>
                <w:highlight w:val="none"/>
                <w:vertAlign w:val="superscript"/>
              </w:rPr>
              <w:t>2</w:t>
            </w:r>
            <w:r>
              <w:rPr>
                <w:rFonts w:ascii="Times New Roman" w:hAnsi="Times New Roman" w:eastAsia="宋体" w:cs="Times New Roman"/>
                <w:color w:val="auto"/>
                <w:szCs w:val="21"/>
                <w:highlight w:val="none"/>
              </w:rPr>
              <w:t>危废暂存库，废活性炭、废机油和机油桶暂存于危废暂存库，定期委托有资质的单位处置；</w:t>
            </w:r>
          </w:p>
          <w:p>
            <w:pPr>
              <w:snapToGrid w:val="0"/>
              <w:spacing w:line="276" w:lineRule="auto"/>
              <w:ind w:firstLine="420" w:firstLineChars="200"/>
              <w:rPr>
                <w:rFonts w:ascii="Times New Roman" w:hAnsi="Times New Roman" w:eastAsia="宋体" w:cs="Times New Roman"/>
                <w:color w:val="auto"/>
                <w:szCs w:val="21"/>
                <w:highlight w:val="none"/>
              </w:rPr>
            </w:pPr>
            <w:r>
              <w:rPr>
                <w:rFonts w:ascii="Times New Roman" w:hAnsi="Times New Roman" w:eastAsia="宋体" w:cs="Times New Roman"/>
                <w:color w:val="auto"/>
                <w:szCs w:val="21"/>
                <w:highlight w:val="none"/>
              </w:rPr>
              <w:t>建设一座20m</w:t>
            </w:r>
            <w:r>
              <w:rPr>
                <w:rFonts w:ascii="Times New Roman" w:hAnsi="Times New Roman" w:eastAsia="宋体" w:cs="Times New Roman"/>
                <w:color w:val="auto"/>
                <w:szCs w:val="21"/>
                <w:highlight w:val="none"/>
                <w:vertAlign w:val="superscript"/>
              </w:rPr>
              <w:t>2</w:t>
            </w:r>
            <w:r>
              <w:rPr>
                <w:rFonts w:ascii="Times New Roman" w:hAnsi="Times New Roman" w:eastAsia="宋体" w:cs="Times New Roman"/>
                <w:color w:val="auto"/>
                <w:szCs w:val="21"/>
                <w:highlight w:val="none"/>
              </w:rPr>
              <w:t>一般固废暂存间，废塑粉、废包装物、边角料和焊渣统一收集在一般固废暂存间，定期外售；</w:t>
            </w:r>
          </w:p>
          <w:p>
            <w:pPr>
              <w:snapToGrid w:val="0"/>
              <w:spacing w:line="276" w:lineRule="auto"/>
              <w:ind w:firstLine="420" w:firstLineChars="200"/>
              <w:rPr>
                <w:rFonts w:ascii="Times New Roman" w:hAnsi="Times New Roman" w:eastAsia="宋体" w:cs="Times New Roman"/>
                <w:color w:val="auto"/>
                <w:szCs w:val="21"/>
                <w:highlight w:val="none"/>
              </w:rPr>
            </w:pPr>
            <w:r>
              <w:rPr>
                <w:rFonts w:ascii="Times New Roman" w:hAnsi="Times New Roman" w:eastAsia="宋体" w:cs="Times New Roman"/>
                <w:color w:val="auto"/>
                <w:szCs w:val="21"/>
                <w:highlight w:val="none"/>
              </w:rPr>
              <w:t>生活垃圾集中收集后由当地环卫部门统一清运；</w:t>
            </w:r>
          </w:p>
          <w:p>
            <w:pPr>
              <w:snapToGrid w:val="0"/>
              <w:spacing w:line="276" w:lineRule="auto"/>
              <w:ind w:firstLine="420" w:firstLineChars="200"/>
              <w:rPr>
                <w:rFonts w:ascii="Times New Roman" w:hAnsi="Times New Roman" w:eastAsia="宋体" w:cs="Times New Roman"/>
                <w:snapToGrid w:val="0"/>
                <w:color w:val="auto"/>
                <w:kern w:val="0"/>
                <w:szCs w:val="21"/>
                <w:highlight w:val="none"/>
              </w:rPr>
            </w:pPr>
            <w:r>
              <w:rPr>
                <w:rFonts w:ascii="Times New Roman" w:hAnsi="Times New Roman" w:eastAsia="宋体" w:cs="Times New Roman"/>
                <w:color w:val="auto"/>
                <w:szCs w:val="21"/>
                <w:highlight w:val="none"/>
              </w:rPr>
              <w:t>危险废物执行《危险废物贮存污染控制标准》（GB18597-2023），</w:t>
            </w:r>
            <w:r>
              <w:rPr>
                <w:rFonts w:ascii="Times New Roman" w:hAnsi="Times New Roman" w:eastAsia="宋体" w:cs="Times New Roman"/>
                <w:snapToGrid w:val="0"/>
                <w:color w:val="auto"/>
                <w:kern w:val="0"/>
                <w:szCs w:val="21"/>
                <w:highlight w:val="none"/>
              </w:rPr>
              <w:t>一般工业固体废物贮存、处置执行《一般工业固体废物贮存和填埋污染控制标准》（GB18599-2020）中有关规定</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94" w:hRule="atLeast"/>
          <w:jc w:val="center"/>
        </w:trPr>
        <w:tc>
          <w:tcPr>
            <w:tcW w:w="956" w:type="dxa"/>
            <w:vAlign w:val="center"/>
          </w:tcPr>
          <w:p>
            <w:pPr>
              <w:snapToGrid w:val="0"/>
              <w:spacing w:line="276" w:lineRule="auto"/>
              <w:jc w:val="center"/>
              <w:rPr>
                <w:rFonts w:ascii="Times New Roman" w:hAnsi="Times New Roman" w:eastAsia="宋体" w:cs="Times New Roman"/>
                <w:color w:val="auto"/>
                <w:szCs w:val="21"/>
                <w:highlight w:val="none"/>
              </w:rPr>
            </w:pPr>
            <w:r>
              <w:rPr>
                <w:rFonts w:ascii="Times New Roman" w:hAnsi="Times New Roman" w:eastAsia="宋体" w:cs="Times New Roman"/>
                <w:color w:val="auto"/>
                <w:szCs w:val="21"/>
                <w:highlight w:val="none"/>
              </w:rPr>
              <w:t>土壤及地下水</w:t>
            </w:r>
          </w:p>
          <w:p>
            <w:pPr>
              <w:snapToGrid w:val="0"/>
              <w:spacing w:line="276" w:lineRule="auto"/>
              <w:jc w:val="center"/>
              <w:rPr>
                <w:rFonts w:ascii="Times New Roman" w:hAnsi="Times New Roman" w:eastAsia="宋体" w:cs="Times New Roman"/>
                <w:color w:val="auto"/>
                <w:szCs w:val="21"/>
                <w:highlight w:val="none"/>
              </w:rPr>
            </w:pPr>
            <w:r>
              <w:rPr>
                <w:rFonts w:ascii="Times New Roman" w:hAnsi="Times New Roman" w:eastAsia="宋体" w:cs="Times New Roman"/>
                <w:color w:val="auto"/>
                <w:szCs w:val="21"/>
                <w:highlight w:val="none"/>
              </w:rPr>
              <w:t>污染防治措施</w:t>
            </w:r>
          </w:p>
        </w:tc>
        <w:tc>
          <w:tcPr>
            <w:tcW w:w="7844" w:type="dxa"/>
            <w:gridSpan w:val="4"/>
          </w:tcPr>
          <w:p>
            <w:pPr>
              <w:snapToGrid w:val="0"/>
              <w:spacing w:line="276" w:lineRule="auto"/>
              <w:ind w:firstLine="420" w:firstLineChars="200"/>
              <w:rPr>
                <w:rFonts w:ascii="Times New Roman" w:hAnsi="Times New Roman" w:eastAsia="宋体" w:cs="Times New Roman"/>
                <w:color w:val="auto"/>
                <w:szCs w:val="21"/>
                <w:highlight w:val="none"/>
              </w:rPr>
            </w:pPr>
            <w:r>
              <w:rPr>
                <w:rFonts w:ascii="Times New Roman" w:hAnsi="Times New Roman" w:eastAsia="宋体" w:cs="Times New Roman"/>
                <w:color w:val="auto"/>
                <w:szCs w:val="21"/>
                <w:highlight w:val="none"/>
              </w:rPr>
              <w:t>重点防渗区：主要为危废暂存库区域。重点防渗区的防渗技术要求：等效黏土防渗层Mb≥6.0m，K≤10</w:t>
            </w:r>
            <w:r>
              <w:rPr>
                <w:rFonts w:ascii="Times New Roman" w:hAnsi="Times New Roman" w:eastAsia="宋体" w:cs="Times New Roman"/>
                <w:color w:val="auto"/>
                <w:szCs w:val="21"/>
                <w:highlight w:val="none"/>
                <w:vertAlign w:val="superscript"/>
              </w:rPr>
              <w:t>-7</w:t>
            </w:r>
            <w:r>
              <w:rPr>
                <w:rFonts w:ascii="Times New Roman" w:hAnsi="Times New Roman" w:eastAsia="宋体" w:cs="Times New Roman"/>
                <w:color w:val="auto"/>
                <w:szCs w:val="21"/>
                <w:highlight w:val="none"/>
              </w:rPr>
              <w:t>cm/s。其中危废暂存库还需要满足《危险废物贮存污染控制标准》（GB18597-2023）中防渗要求：基础必须防渗，防渗层为至少1m厚粘土层（渗透系数K≤10</w:t>
            </w:r>
            <w:r>
              <w:rPr>
                <w:rFonts w:ascii="Times New Roman" w:hAnsi="Times New Roman" w:eastAsia="宋体" w:cs="Times New Roman"/>
                <w:color w:val="auto"/>
                <w:szCs w:val="21"/>
                <w:highlight w:val="none"/>
                <w:vertAlign w:val="superscript"/>
              </w:rPr>
              <w:t>-7</w:t>
            </w:r>
            <w:r>
              <w:rPr>
                <w:rFonts w:ascii="Times New Roman" w:hAnsi="Times New Roman" w:eastAsia="宋体" w:cs="Times New Roman"/>
                <w:color w:val="auto"/>
                <w:szCs w:val="21"/>
                <w:highlight w:val="none"/>
              </w:rPr>
              <w:t>cm/s），或2mm厚高密度聚乙烯，或至少2mm厚的其它人工材料，渗透系数K≤10</w:t>
            </w:r>
            <w:r>
              <w:rPr>
                <w:rFonts w:ascii="Times New Roman" w:hAnsi="Times New Roman" w:eastAsia="宋体" w:cs="Times New Roman"/>
                <w:color w:val="auto"/>
                <w:szCs w:val="21"/>
                <w:highlight w:val="none"/>
                <w:vertAlign w:val="superscript"/>
              </w:rPr>
              <w:t>-10</w:t>
            </w:r>
            <w:r>
              <w:rPr>
                <w:rFonts w:ascii="Times New Roman" w:hAnsi="Times New Roman" w:eastAsia="宋体" w:cs="Times New Roman"/>
                <w:color w:val="auto"/>
                <w:szCs w:val="21"/>
                <w:highlight w:val="none"/>
              </w:rPr>
              <w:t>cm/s；</w:t>
            </w:r>
          </w:p>
          <w:p>
            <w:pPr>
              <w:snapToGrid w:val="0"/>
              <w:spacing w:line="276" w:lineRule="auto"/>
              <w:ind w:firstLine="420" w:firstLineChars="200"/>
              <w:rPr>
                <w:rFonts w:ascii="Times New Roman" w:hAnsi="Times New Roman" w:eastAsia="宋体" w:cs="Times New Roman"/>
                <w:color w:val="auto"/>
                <w:szCs w:val="21"/>
                <w:highlight w:val="none"/>
              </w:rPr>
            </w:pPr>
            <w:r>
              <w:rPr>
                <w:rFonts w:ascii="Times New Roman" w:hAnsi="Times New Roman" w:eastAsia="宋体" w:cs="Times New Roman"/>
                <w:color w:val="auto"/>
                <w:szCs w:val="21"/>
                <w:highlight w:val="none"/>
              </w:rPr>
              <w:t>一般防渗区：生产车间、一般固废暂存间、化粪池设为一般防渗区。一般防渗区的防渗技术要求：等效黏土防渗层Mb≥1.5m，K≤10</w:t>
            </w:r>
            <w:r>
              <w:rPr>
                <w:rFonts w:ascii="Times New Roman" w:hAnsi="Times New Roman" w:eastAsia="宋体" w:cs="Times New Roman"/>
                <w:color w:val="auto"/>
                <w:szCs w:val="21"/>
                <w:highlight w:val="none"/>
                <w:vertAlign w:val="superscript"/>
              </w:rPr>
              <w:t>-7</w:t>
            </w:r>
            <w:r>
              <w:rPr>
                <w:rFonts w:ascii="Times New Roman" w:hAnsi="Times New Roman" w:eastAsia="宋体" w:cs="Times New Roman"/>
                <w:color w:val="auto"/>
                <w:szCs w:val="21"/>
                <w:highlight w:val="none"/>
              </w:rPr>
              <w:t>cm/s</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94" w:hRule="atLeast"/>
          <w:jc w:val="center"/>
        </w:trPr>
        <w:tc>
          <w:tcPr>
            <w:tcW w:w="956" w:type="dxa"/>
            <w:vAlign w:val="center"/>
          </w:tcPr>
          <w:p>
            <w:pPr>
              <w:snapToGrid w:val="0"/>
              <w:spacing w:line="276" w:lineRule="auto"/>
              <w:jc w:val="center"/>
              <w:rPr>
                <w:rFonts w:ascii="Times New Roman" w:hAnsi="Times New Roman" w:eastAsia="宋体" w:cs="Times New Roman"/>
                <w:color w:val="auto"/>
                <w:szCs w:val="21"/>
                <w:highlight w:val="none"/>
              </w:rPr>
            </w:pPr>
            <w:r>
              <w:rPr>
                <w:rFonts w:ascii="Times New Roman" w:hAnsi="Times New Roman" w:eastAsia="宋体" w:cs="Times New Roman"/>
                <w:color w:val="auto"/>
                <w:szCs w:val="21"/>
                <w:highlight w:val="none"/>
              </w:rPr>
              <w:t>生态保护措施</w:t>
            </w:r>
          </w:p>
        </w:tc>
        <w:tc>
          <w:tcPr>
            <w:tcW w:w="7844" w:type="dxa"/>
            <w:gridSpan w:val="4"/>
            <w:vAlign w:val="center"/>
          </w:tcPr>
          <w:p>
            <w:pPr>
              <w:snapToGrid w:val="0"/>
              <w:spacing w:line="276" w:lineRule="auto"/>
              <w:ind w:firstLine="420" w:firstLineChars="200"/>
              <w:rPr>
                <w:rFonts w:ascii="Times New Roman" w:hAnsi="Times New Roman" w:eastAsia="宋体" w:cs="Times New Roman"/>
                <w:color w:val="auto"/>
                <w:szCs w:val="21"/>
                <w:highlight w:val="none"/>
              </w:rPr>
            </w:pPr>
            <w:r>
              <w:rPr>
                <w:rFonts w:ascii="Times New Roman" w:hAnsi="Times New Roman" w:eastAsia="宋体" w:cs="Times New Roman"/>
                <w:color w:val="auto"/>
                <w:szCs w:val="21"/>
                <w:highlight w:val="none"/>
              </w:rPr>
              <w:t>本项目所属用地为工业用地，区域内无珍稀动物、植物，无文物古迹保护对象，对区域内生态环境产生破坏和影响较小</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56" w:type="dxa"/>
            <w:vAlign w:val="center"/>
          </w:tcPr>
          <w:p>
            <w:pPr>
              <w:snapToGrid w:val="0"/>
              <w:spacing w:line="276" w:lineRule="auto"/>
              <w:jc w:val="center"/>
              <w:rPr>
                <w:rFonts w:ascii="Times New Roman" w:hAnsi="Times New Roman" w:eastAsia="宋体" w:cs="Times New Roman"/>
                <w:color w:val="auto"/>
                <w:spacing w:val="-8"/>
                <w:szCs w:val="21"/>
                <w:highlight w:val="none"/>
              </w:rPr>
            </w:pPr>
            <w:r>
              <w:rPr>
                <w:rFonts w:ascii="Times New Roman" w:hAnsi="Times New Roman" w:eastAsia="宋体" w:cs="Times New Roman"/>
                <w:color w:val="auto"/>
                <w:spacing w:val="-8"/>
                <w:szCs w:val="21"/>
                <w:highlight w:val="none"/>
              </w:rPr>
              <w:t>环境风险防范措施</w:t>
            </w:r>
          </w:p>
        </w:tc>
        <w:tc>
          <w:tcPr>
            <w:tcW w:w="7844" w:type="dxa"/>
            <w:gridSpan w:val="4"/>
            <w:vAlign w:val="center"/>
          </w:tcPr>
          <w:p>
            <w:pPr>
              <w:snapToGrid w:val="0"/>
              <w:spacing w:line="276" w:lineRule="auto"/>
              <w:ind w:firstLine="420" w:firstLineChars="200"/>
              <w:rPr>
                <w:rFonts w:ascii="Times New Roman" w:hAnsi="Times New Roman" w:eastAsia="宋体" w:cs="Times New Roman"/>
                <w:bCs/>
                <w:color w:val="auto"/>
                <w:szCs w:val="21"/>
                <w:highlight w:val="none"/>
              </w:rPr>
            </w:pPr>
            <w:r>
              <w:rPr>
                <w:rFonts w:ascii="Times New Roman" w:hAnsi="Times New Roman" w:eastAsia="宋体" w:cs="Times New Roman"/>
                <w:bCs/>
                <w:color w:val="auto"/>
                <w:szCs w:val="21"/>
                <w:highlight w:val="none"/>
              </w:rPr>
              <w:t>原料堆放区采取防腐防渗措施，机油采用桶装，设置在集液托盘内，并安装有火灾报警系统和视频监控设施；</w:t>
            </w:r>
          </w:p>
          <w:p>
            <w:pPr>
              <w:snapToGrid w:val="0"/>
              <w:spacing w:line="276" w:lineRule="auto"/>
              <w:ind w:firstLine="420" w:firstLineChars="200"/>
              <w:rPr>
                <w:rFonts w:ascii="Times New Roman" w:hAnsi="Times New Roman" w:eastAsia="宋体" w:cs="Times New Roman"/>
                <w:bCs/>
                <w:color w:val="auto"/>
                <w:szCs w:val="21"/>
                <w:highlight w:val="none"/>
              </w:rPr>
            </w:pPr>
            <w:r>
              <w:rPr>
                <w:rFonts w:ascii="Times New Roman" w:hAnsi="Times New Roman" w:eastAsia="宋体" w:cs="Times New Roman"/>
                <w:bCs/>
                <w:color w:val="auto"/>
                <w:szCs w:val="21"/>
                <w:highlight w:val="none"/>
              </w:rPr>
              <w:t>危废暂存库设置集液托盘，并将废机油置于集液托盘内，单层码放；</w:t>
            </w:r>
          </w:p>
          <w:p>
            <w:pPr>
              <w:snapToGrid w:val="0"/>
              <w:spacing w:line="276" w:lineRule="auto"/>
              <w:ind w:firstLine="420" w:firstLineChars="200"/>
              <w:rPr>
                <w:rFonts w:ascii="Times New Roman" w:hAnsi="Times New Roman" w:eastAsia="宋体" w:cs="Times New Roman"/>
                <w:color w:val="auto"/>
                <w:szCs w:val="21"/>
                <w:highlight w:val="none"/>
              </w:rPr>
            </w:pPr>
            <w:r>
              <w:rPr>
                <w:rFonts w:ascii="Times New Roman" w:hAnsi="Times New Roman" w:eastAsia="宋体" w:cs="Times New Roman"/>
                <w:bCs/>
                <w:color w:val="auto"/>
                <w:szCs w:val="21"/>
                <w:highlight w:val="none"/>
              </w:rPr>
              <w:t>定期检修设备，加强日常维护保养</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94" w:hRule="atLeast"/>
          <w:jc w:val="center"/>
        </w:trPr>
        <w:tc>
          <w:tcPr>
            <w:tcW w:w="956" w:type="dxa"/>
            <w:vAlign w:val="center"/>
          </w:tcPr>
          <w:p>
            <w:pPr>
              <w:snapToGrid w:val="0"/>
              <w:spacing w:line="276" w:lineRule="auto"/>
              <w:jc w:val="center"/>
              <w:rPr>
                <w:rFonts w:ascii="Times New Roman" w:hAnsi="Times New Roman" w:eastAsia="宋体" w:cs="Times New Roman"/>
                <w:color w:val="auto"/>
                <w:spacing w:val="-8"/>
                <w:szCs w:val="21"/>
                <w:highlight w:val="none"/>
              </w:rPr>
            </w:pPr>
            <w:r>
              <w:rPr>
                <w:rFonts w:ascii="Times New Roman" w:hAnsi="Times New Roman" w:eastAsia="宋体" w:cs="Times New Roman"/>
                <w:bCs/>
                <w:color w:val="auto"/>
                <w:szCs w:val="21"/>
                <w:highlight w:val="none"/>
              </w:rPr>
              <w:t>其他环境管理要求</w:t>
            </w:r>
          </w:p>
        </w:tc>
        <w:tc>
          <w:tcPr>
            <w:tcW w:w="7844" w:type="dxa"/>
            <w:gridSpan w:val="4"/>
          </w:tcPr>
          <w:p>
            <w:pPr>
              <w:snapToGrid w:val="0"/>
              <w:spacing w:line="276" w:lineRule="auto"/>
              <w:ind w:firstLine="420" w:firstLineChars="200"/>
              <w:rPr>
                <w:rFonts w:ascii="Times New Roman" w:hAnsi="Times New Roman" w:eastAsia="宋体" w:cs="Times New Roman"/>
                <w:color w:val="auto"/>
                <w:szCs w:val="21"/>
                <w:highlight w:val="none"/>
              </w:rPr>
            </w:pPr>
            <w:r>
              <w:rPr>
                <w:rFonts w:ascii="Times New Roman" w:hAnsi="Times New Roman" w:eastAsia="宋体" w:cs="Times New Roman"/>
                <w:color w:val="auto"/>
                <w:szCs w:val="21"/>
                <w:highlight w:val="none"/>
              </w:rPr>
              <w:t>项目需遵守下列要求：</w:t>
            </w:r>
          </w:p>
          <w:p>
            <w:pPr>
              <w:snapToGrid w:val="0"/>
              <w:spacing w:line="276" w:lineRule="auto"/>
              <w:ind w:firstLine="420" w:firstLineChars="200"/>
              <w:rPr>
                <w:rFonts w:ascii="Times New Roman" w:hAnsi="Times New Roman" w:eastAsia="宋体" w:cs="Times New Roman"/>
                <w:color w:val="auto"/>
                <w:szCs w:val="21"/>
                <w:highlight w:val="none"/>
              </w:rPr>
            </w:pPr>
            <w:r>
              <w:rPr>
                <w:rFonts w:ascii="Times New Roman" w:hAnsi="Times New Roman" w:eastAsia="宋体" w:cs="Times New Roman"/>
                <w:color w:val="auto"/>
                <w:szCs w:val="21"/>
                <w:highlight w:val="none"/>
              </w:rPr>
              <w:t>（1）项目实际的生产地点、主要生产单元、生产工艺、生产设施、污染防治设施应与排污许可证相符，实际情况与排污许可证载明的规模、参数等信息基本相符。所有有组织排放口的个数、类别、排放方式和去向等与排污许可证载明信息一致</w:t>
            </w:r>
          </w:p>
          <w:p>
            <w:pPr>
              <w:snapToGrid w:val="0"/>
              <w:spacing w:line="276" w:lineRule="auto"/>
              <w:ind w:firstLine="420" w:firstLineChars="200"/>
              <w:rPr>
                <w:rFonts w:ascii="Times New Roman" w:hAnsi="Times New Roman" w:eastAsia="宋体" w:cs="Times New Roman"/>
                <w:color w:val="auto"/>
                <w:szCs w:val="21"/>
                <w:highlight w:val="none"/>
              </w:rPr>
            </w:pPr>
            <w:r>
              <w:rPr>
                <w:rFonts w:ascii="Times New Roman" w:hAnsi="Times New Roman" w:eastAsia="宋体" w:cs="Times New Roman"/>
                <w:color w:val="auto"/>
                <w:szCs w:val="21"/>
                <w:highlight w:val="none"/>
              </w:rPr>
              <w:t>（2）企业应强化对环保设施运行监督、管理的职能，建立全厂完善的环保设施运行、维护、维修等技术档案，以及加强对环保设施操作人员的技术培训，确保环保设施处于正常运行情况，污染物排放连续达标。</w:t>
            </w:r>
          </w:p>
          <w:p>
            <w:pPr>
              <w:snapToGrid w:val="0"/>
              <w:spacing w:line="276" w:lineRule="auto"/>
              <w:ind w:firstLine="420" w:firstLineChars="200"/>
              <w:rPr>
                <w:rFonts w:ascii="Times New Roman" w:hAnsi="Times New Roman" w:eastAsia="宋体" w:cs="Times New Roman"/>
                <w:color w:val="auto"/>
                <w:szCs w:val="21"/>
                <w:highlight w:val="none"/>
              </w:rPr>
            </w:pPr>
            <w:r>
              <w:rPr>
                <w:rFonts w:ascii="Times New Roman" w:hAnsi="Times New Roman" w:eastAsia="宋体" w:cs="Times New Roman"/>
                <w:color w:val="auto"/>
                <w:szCs w:val="21"/>
                <w:highlight w:val="none"/>
              </w:rPr>
              <w:t>（3）企业应按照《排污单位自行监测技术指南总则》（HU 819-2017）中的要求落实运营期自行监测计划，主动公开项目环评文件和验收报告，接受社会监督。</w:t>
            </w:r>
          </w:p>
        </w:tc>
      </w:tr>
    </w:tbl>
    <w:p>
      <w:pPr>
        <w:widowControl/>
        <w:spacing w:before="100" w:beforeAutospacing="1" w:after="100" w:afterAutospacing="1" w:line="240" w:lineRule="atLeast"/>
        <w:jc w:val="center"/>
        <w:outlineLvl w:val="0"/>
        <w:rPr>
          <w:rFonts w:ascii="Times New Roman" w:hAnsi="Times New Roman" w:eastAsia="宋体" w:cs="Times New Roman"/>
          <w:snapToGrid w:val="0"/>
          <w:kern w:val="0"/>
          <w:sz w:val="30"/>
          <w:szCs w:val="30"/>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widowControl/>
        <w:spacing w:before="100" w:beforeAutospacing="1" w:after="100" w:afterAutospacing="1"/>
        <w:jc w:val="center"/>
        <w:outlineLvl w:val="0"/>
        <w:rPr>
          <w:rFonts w:ascii="Times New Roman" w:hAnsi="Times New Roman" w:eastAsia="宋体" w:cs="Times New Roman"/>
          <w:snapToGrid w:val="0"/>
          <w:kern w:val="0"/>
          <w:sz w:val="30"/>
          <w:szCs w:val="30"/>
        </w:rPr>
      </w:pPr>
      <w:r>
        <w:rPr>
          <w:rFonts w:ascii="Times New Roman" w:hAnsi="Times New Roman" w:eastAsia="宋体" w:cs="Times New Roman"/>
          <w:snapToGrid w:val="0"/>
          <w:kern w:val="0"/>
          <w:sz w:val="30"/>
          <w:szCs w:val="30"/>
        </w:rPr>
        <w:t>六、结论</w:t>
      </w:r>
    </w:p>
    <w:tbl>
      <w:tblPr>
        <w:tblStyle w:val="18"/>
        <w:tblW w:w="8522" w:type="dxa"/>
        <w:tblInd w:w="0" w:type="dxa"/>
        <w:tblBorders>
          <w:top w:val="single" w:color="000000" w:themeColor="text1" w:sz="8" w:space="0"/>
          <w:left w:val="single" w:color="000000" w:themeColor="text1" w:sz="8" w:space="0"/>
          <w:bottom w:val="single" w:color="000000" w:themeColor="text1" w:sz="8" w:space="0"/>
          <w:right w:val="single" w:color="000000" w:themeColor="text1" w:sz="8" w:space="0"/>
          <w:insideH w:val="none" w:color="auto" w:sz="0" w:space="0"/>
          <w:insideV w:val="none" w:color="auto" w:sz="0" w:space="0"/>
        </w:tblBorders>
        <w:tblLayout w:type="fixed"/>
        <w:tblCellMar>
          <w:top w:w="0" w:type="dxa"/>
          <w:left w:w="108" w:type="dxa"/>
          <w:bottom w:w="0" w:type="dxa"/>
          <w:right w:w="108" w:type="dxa"/>
        </w:tblCellMar>
      </w:tblPr>
      <w:tblGrid>
        <w:gridCol w:w="8522"/>
      </w:tblGrid>
      <w:tr>
        <w:tblPrEx>
          <w:tblBorders>
            <w:top w:val="single" w:color="000000" w:themeColor="text1" w:sz="8" w:space="0"/>
            <w:left w:val="single" w:color="000000" w:themeColor="text1" w:sz="8" w:space="0"/>
            <w:bottom w:val="single" w:color="000000" w:themeColor="text1" w:sz="8" w:space="0"/>
            <w:right w:val="single" w:color="000000" w:themeColor="text1" w:sz="8" w:space="0"/>
            <w:insideH w:val="none" w:color="auto" w:sz="0" w:space="0"/>
            <w:insideV w:val="none" w:color="auto" w:sz="0" w:space="0"/>
          </w:tblBorders>
          <w:tblCellMar>
            <w:top w:w="0" w:type="dxa"/>
            <w:left w:w="108" w:type="dxa"/>
            <w:bottom w:w="0" w:type="dxa"/>
            <w:right w:w="108" w:type="dxa"/>
          </w:tblCellMar>
        </w:tblPrEx>
        <w:trPr>
          <w:trHeight w:val="12563" w:hRule="atLeast"/>
        </w:trPr>
        <w:tc>
          <w:tcPr>
            <w:tcW w:w="8522" w:type="dxa"/>
            <w:tcBorders>
              <w:tl2br w:val="nil"/>
              <w:tr2bl w:val="nil"/>
            </w:tcBorders>
          </w:tcPr>
          <w:p>
            <w:pPr>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本评价报告认为，项目的建设符合国家及地方产业政策,选址符合用地规划，布局基本合理；项目污染防治措施可行，在建设单位在严格落实环境保护“三同时制度”并加强污染治理设施运行管理的前提下，各项污染物可做到达标排放。因此，从环境保护的角度而言，项目的建设是可行的。</w:t>
            </w:r>
          </w:p>
        </w:tc>
      </w:tr>
    </w:tbl>
    <w:p>
      <w:pPr>
        <w:widowControl/>
        <w:jc w:val="left"/>
        <w:rPr>
          <w:rFonts w:ascii="Times New Roman" w:hAnsi="Times New Roman" w:eastAsia="宋体" w:cs="Times New Roman"/>
          <w:sz w:val="24"/>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widowControl/>
        <w:spacing w:after="100" w:afterAutospacing="1" w:line="360" w:lineRule="auto"/>
        <w:jc w:val="center"/>
        <w:outlineLvl w:val="0"/>
        <w:rPr>
          <w:rFonts w:ascii="Times New Roman" w:hAnsi="Times New Roman" w:eastAsia="宋体" w:cs="Times New Roman"/>
          <w:snapToGrid w:val="0"/>
          <w:kern w:val="0"/>
          <w:sz w:val="38"/>
          <w:szCs w:val="38"/>
        </w:rPr>
      </w:pPr>
      <w:r>
        <w:rPr>
          <w:rFonts w:ascii="Times New Roman" w:hAnsi="Times New Roman" w:eastAsia="宋体" w:cs="Times New Roman"/>
          <w:snapToGrid w:val="0"/>
          <w:kern w:val="0"/>
          <w:sz w:val="38"/>
          <w:szCs w:val="38"/>
        </w:rPr>
        <w:t>建设项目污染物排放量汇总表</w:t>
      </w:r>
    </w:p>
    <w:tbl>
      <w:tblPr>
        <w:tblStyle w:val="17"/>
        <w:tblW w:w="13294" w:type="dxa"/>
        <w:tblInd w:w="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446"/>
        <w:gridCol w:w="1080"/>
        <w:gridCol w:w="1757"/>
        <w:gridCol w:w="1417"/>
        <w:gridCol w:w="992"/>
        <w:gridCol w:w="1417"/>
        <w:gridCol w:w="1417"/>
        <w:gridCol w:w="1133"/>
        <w:gridCol w:w="1417"/>
        <w:gridCol w:w="1218"/>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1446" w:type="dxa"/>
            <w:tcBorders>
              <w:tl2br w:val="single" w:color="auto" w:sz="4" w:space="0"/>
            </w:tcBorders>
            <w:tcMar>
              <w:left w:w="28" w:type="dxa"/>
              <w:right w:w="28" w:type="dxa"/>
            </w:tcMar>
            <w:vAlign w:val="center"/>
          </w:tcPr>
          <w:p>
            <w:pPr>
              <w:spacing w:line="269" w:lineRule="auto"/>
              <w:jc w:val="right"/>
              <w:rPr>
                <w:rFonts w:ascii="Times New Roman" w:hAnsi="Times New Roman" w:eastAsia="宋体" w:cs="Times New Roman"/>
                <w:snapToGrid w:val="0"/>
                <w:spacing w:val="-6"/>
                <w:kern w:val="21"/>
                <w:sz w:val="21"/>
                <w:szCs w:val="21"/>
              </w:rPr>
            </w:pPr>
            <w:bookmarkStart w:id="6" w:name="_GoBack"/>
            <w:r>
              <w:rPr>
                <w:rFonts w:ascii="Times New Roman" w:hAnsi="Times New Roman" w:eastAsia="宋体" w:cs="Times New Roman"/>
                <w:snapToGrid w:val="0"/>
                <w:spacing w:val="-6"/>
                <w:kern w:val="21"/>
                <w:sz w:val="21"/>
                <w:szCs w:val="21"/>
              </w:rPr>
              <w:t>项目</w:t>
            </w:r>
          </w:p>
          <w:p>
            <w:pPr>
              <w:spacing w:line="269" w:lineRule="auto"/>
              <w:jc w:val="left"/>
              <w:rPr>
                <w:rFonts w:ascii="Times New Roman" w:hAnsi="Times New Roman" w:eastAsia="宋体" w:cs="Times New Roman"/>
                <w:snapToGrid w:val="0"/>
                <w:spacing w:val="-6"/>
                <w:kern w:val="21"/>
                <w:sz w:val="21"/>
                <w:szCs w:val="21"/>
              </w:rPr>
            </w:pPr>
            <w:r>
              <w:rPr>
                <w:rFonts w:ascii="Times New Roman" w:hAnsi="Times New Roman" w:eastAsia="宋体" w:cs="Times New Roman"/>
                <w:snapToGrid w:val="0"/>
                <w:spacing w:val="-6"/>
                <w:kern w:val="21"/>
                <w:sz w:val="21"/>
                <w:szCs w:val="21"/>
              </w:rPr>
              <w:t>分类</w:t>
            </w:r>
          </w:p>
        </w:tc>
        <w:tc>
          <w:tcPr>
            <w:tcW w:w="2837" w:type="dxa"/>
            <w:gridSpan w:val="2"/>
            <w:tcMar>
              <w:left w:w="28" w:type="dxa"/>
              <w:right w:w="28" w:type="dxa"/>
            </w:tcMar>
            <w:vAlign w:val="center"/>
          </w:tcPr>
          <w:p>
            <w:pPr>
              <w:spacing w:line="269" w:lineRule="auto"/>
              <w:jc w:val="center"/>
              <w:rPr>
                <w:rFonts w:ascii="Times New Roman" w:hAnsi="Times New Roman" w:eastAsia="宋体" w:cs="Times New Roman"/>
                <w:snapToGrid w:val="0"/>
                <w:spacing w:val="-6"/>
                <w:kern w:val="21"/>
                <w:sz w:val="21"/>
                <w:szCs w:val="21"/>
              </w:rPr>
            </w:pPr>
            <w:r>
              <w:rPr>
                <w:rFonts w:ascii="Times New Roman" w:hAnsi="Times New Roman" w:eastAsia="宋体" w:cs="Times New Roman"/>
                <w:snapToGrid w:val="0"/>
                <w:spacing w:val="-6"/>
                <w:kern w:val="21"/>
                <w:sz w:val="21"/>
                <w:szCs w:val="21"/>
              </w:rPr>
              <w:t>污染物名称</w:t>
            </w:r>
          </w:p>
        </w:tc>
        <w:tc>
          <w:tcPr>
            <w:tcW w:w="1417" w:type="dxa"/>
            <w:tcMar>
              <w:left w:w="28" w:type="dxa"/>
              <w:right w:w="28" w:type="dxa"/>
            </w:tcMar>
            <w:vAlign w:val="center"/>
          </w:tcPr>
          <w:p>
            <w:pPr>
              <w:spacing w:line="269" w:lineRule="auto"/>
              <w:jc w:val="center"/>
              <w:rPr>
                <w:rFonts w:ascii="Times New Roman" w:hAnsi="Times New Roman" w:eastAsia="宋体" w:cs="Times New Roman"/>
                <w:snapToGrid w:val="0"/>
                <w:spacing w:val="-6"/>
                <w:kern w:val="21"/>
                <w:sz w:val="21"/>
                <w:szCs w:val="21"/>
              </w:rPr>
            </w:pPr>
            <w:r>
              <w:rPr>
                <w:rFonts w:ascii="Times New Roman" w:hAnsi="Times New Roman" w:eastAsia="宋体" w:cs="Times New Roman"/>
                <w:snapToGrid w:val="0"/>
                <w:spacing w:val="-6"/>
                <w:kern w:val="21"/>
                <w:sz w:val="21"/>
                <w:szCs w:val="21"/>
              </w:rPr>
              <w:t>现有工程</w:t>
            </w:r>
          </w:p>
          <w:p>
            <w:pPr>
              <w:spacing w:line="269" w:lineRule="auto"/>
              <w:jc w:val="center"/>
              <w:rPr>
                <w:rFonts w:ascii="Times New Roman" w:hAnsi="Times New Roman" w:eastAsia="宋体" w:cs="Times New Roman"/>
                <w:snapToGrid w:val="0"/>
                <w:spacing w:val="-6"/>
                <w:kern w:val="21"/>
                <w:sz w:val="21"/>
                <w:szCs w:val="21"/>
              </w:rPr>
            </w:pPr>
            <w:r>
              <w:rPr>
                <w:rFonts w:ascii="Times New Roman" w:hAnsi="Times New Roman" w:eastAsia="宋体" w:cs="Times New Roman"/>
                <w:snapToGrid w:val="0"/>
                <w:spacing w:val="-6"/>
                <w:kern w:val="21"/>
                <w:sz w:val="21"/>
                <w:szCs w:val="21"/>
              </w:rPr>
              <w:t>排放量（固体废物产生量）</w:t>
            </w:r>
            <w:r>
              <w:rPr>
                <w:rFonts w:ascii="Times New Roman" w:hAnsi="Times New Roman" w:eastAsia="宋体" w:cs="Times New Roman"/>
                <w:snapToGrid w:val="0"/>
                <w:spacing w:val="-6"/>
                <w:kern w:val="21"/>
                <w:sz w:val="21"/>
                <w:szCs w:val="21"/>
              </w:rPr>
              <w:fldChar w:fldCharType="begin"/>
            </w:r>
            <w:r>
              <w:rPr>
                <w:rFonts w:ascii="Times New Roman" w:hAnsi="Times New Roman" w:eastAsia="宋体" w:cs="Times New Roman"/>
                <w:snapToGrid w:val="0"/>
                <w:spacing w:val="-6"/>
                <w:kern w:val="21"/>
                <w:sz w:val="21"/>
                <w:szCs w:val="21"/>
              </w:rPr>
              <w:instrText xml:space="preserve"> = 1 \* GB3 \* MERGEFORMAT </w:instrText>
            </w:r>
            <w:r>
              <w:rPr>
                <w:rFonts w:ascii="Times New Roman" w:hAnsi="Times New Roman" w:eastAsia="宋体" w:cs="Times New Roman"/>
                <w:snapToGrid w:val="0"/>
                <w:spacing w:val="-6"/>
                <w:kern w:val="21"/>
                <w:sz w:val="21"/>
                <w:szCs w:val="21"/>
              </w:rPr>
              <w:fldChar w:fldCharType="separate"/>
            </w:r>
            <w:r>
              <w:rPr>
                <w:rFonts w:ascii="Times New Roman" w:hAnsi="Times New Roman" w:eastAsia="宋体" w:cs="Times New Roman"/>
                <w:sz w:val="21"/>
                <w:szCs w:val="21"/>
              </w:rPr>
              <w:t>①</w:t>
            </w:r>
            <w:r>
              <w:rPr>
                <w:rFonts w:ascii="Times New Roman" w:hAnsi="Times New Roman" w:eastAsia="宋体" w:cs="Times New Roman"/>
                <w:snapToGrid w:val="0"/>
                <w:spacing w:val="-6"/>
                <w:kern w:val="21"/>
                <w:sz w:val="21"/>
                <w:szCs w:val="21"/>
              </w:rPr>
              <w:fldChar w:fldCharType="end"/>
            </w:r>
          </w:p>
        </w:tc>
        <w:tc>
          <w:tcPr>
            <w:tcW w:w="992" w:type="dxa"/>
            <w:tcMar>
              <w:left w:w="28" w:type="dxa"/>
              <w:right w:w="28" w:type="dxa"/>
            </w:tcMar>
            <w:vAlign w:val="center"/>
          </w:tcPr>
          <w:p>
            <w:pPr>
              <w:spacing w:line="269" w:lineRule="auto"/>
              <w:jc w:val="center"/>
              <w:rPr>
                <w:rFonts w:ascii="Times New Roman" w:hAnsi="Times New Roman" w:eastAsia="宋体" w:cs="Times New Roman"/>
                <w:snapToGrid w:val="0"/>
                <w:spacing w:val="-6"/>
                <w:kern w:val="21"/>
                <w:sz w:val="21"/>
                <w:szCs w:val="21"/>
              </w:rPr>
            </w:pPr>
            <w:r>
              <w:rPr>
                <w:rFonts w:ascii="Times New Roman" w:hAnsi="Times New Roman" w:eastAsia="宋体" w:cs="Times New Roman"/>
                <w:snapToGrid w:val="0"/>
                <w:spacing w:val="-6"/>
                <w:kern w:val="21"/>
                <w:sz w:val="21"/>
                <w:szCs w:val="21"/>
              </w:rPr>
              <w:t>现有工程</w:t>
            </w:r>
          </w:p>
          <w:p>
            <w:pPr>
              <w:spacing w:line="269" w:lineRule="auto"/>
              <w:jc w:val="center"/>
              <w:rPr>
                <w:rFonts w:ascii="Times New Roman" w:hAnsi="Times New Roman" w:eastAsia="宋体" w:cs="Times New Roman"/>
                <w:snapToGrid w:val="0"/>
                <w:spacing w:val="-6"/>
                <w:kern w:val="21"/>
                <w:sz w:val="21"/>
                <w:szCs w:val="21"/>
              </w:rPr>
            </w:pPr>
            <w:r>
              <w:rPr>
                <w:rFonts w:ascii="Times New Roman" w:hAnsi="Times New Roman" w:eastAsia="宋体" w:cs="Times New Roman"/>
                <w:snapToGrid w:val="0"/>
                <w:spacing w:val="-6"/>
                <w:kern w:val="21"/>
                <w:sz w:val="21"/>
                <w:szCs w:val="21"/>
              </w:rPr>
              <w:t>许可排放量</w:t>
            </w:r>
            <w:r>
              <w:rPr>
                <w:rFonts w:ascii="Times New Roman" w:hAnsi="Times New Roman" w:eastAsia="宋体" w:cs="Times New Roman"/>
                <w:snapToGrid w:val="0"/>
                <w:spacing w:val="-6"/>
                <w:kern w:val="21"/>
                <w:sz w:val="21"/>
                <w:szCs w:val="21"/>
              </w:rPr>
              <w:fldChar w:fldCharType="begin"/>
            </w:r>
            <w:r>
              <w:rPr>
                <w:rFonts w:ascii="Times New Roman" w:hAnsi="Times New Roman" w:eastAsia="宋体" w:cs="Times New Roman"/>
                <w:snapToGrid w:val="0"/>
                <w:spacing w:val="-6"/>
                <w:kern w:val="21"/>
                <w:sz w:val="21"/>
                <w:szCs w:val="21"/>
              </w:rPr>
              <w:instrText xml:space="preserve"> = 2 \* GB3 \* MERGEFORMAT </w:instrText>
            </w:r>
            <w:r>
              <w:rPr>
                <w:rFonts w:ascii="Times New Roman" w:hAnsi="Times New Roman" w:eastAsia="宋体" w:cs="Times New Roman"/>
                <w:snapToGrid w:val="0"/>
                <w:spacing w:val="-6"/>
                <w:kern w:val="21"/>
                <w:sz w:val="21"/>
                <w:szCs w:val="21"/>
              </w:rPr>
              <w:fldChar w:fldCharType="separate"/>
            </w:r>
            <w:r>
              <w:rPr>
                <w:rFonts w:ascii="Times New Roman" w:hAnsi="Times New Roman" w:eastAsia="宋体" w:cs="Times New Roman"/>
                <w:snapToGrid w:val="0"/>
                <w:spacing w:val="-6"/>
                <w:kern w:val="21"/>
                <w:sz w:val="21"/>
                <w:szCs w:val="21"/>
              </w:rPr>
              <w:t>②</w:t>
            </w:r>
            <w:r>
              <w:rPr>
                <w:rFonts w:ascii="Times New Roman" w:hAnsi="Times New Roman" w:eastAsia="宋体" w:cs="Times New Roman"/>
                <w:snapToGrid w:val="0"/>
                <w:spacing w:val="-6"/>
                <w:kern w:val="21"/>
                <w:sz w:val="21"/>
                <w:szCs w:val="21"/>
              </w:rPr>
              <w:fldChar w:fldCharType="end"/>
            </w:r>
          </w:p>
        </w:tc>
        <w:tc>
          <w:tcPr>
            <w:tcW w:w="1417" w:type="dxa"/>
            <w:tcMar>
              <w:left w:w="28" w:type="dxa"/>
              <w:right w:w="28" w:type="dxa"/>
            </w:tcMar>
            <w:vAlign w:val="center"/>
          </w:tcPr>
          <w:p>
            <w:pPr>
              <w:spacing w:line="269" w:lineRule="auto"/>
              <w:jc w:val="center"/>
              <w:rPr>
                <w:rFonts w:ascii="Times New Roman" w:hAnsi="Times New Roman" w:eastAsia="宋体" w:cs="Times New Roman"/>
                <w:snapToGrid w:val="0"/>
                <w:spacing w:val="-6"/>
                <w:kern w:val="21"/>
                <w:sz w:val="21"/>
                <w:szCs w:val="21"/>
              </w:rPr>
            </w:pPr>
            <w:r>
              <w:rPr>
                <w:rFonts w:ascii="Times New Roman" w:hAnsi="Times New Roman" w:eastAsia="宋体" w:cs="Times New Roman"/>
                <w:snapToGrid w:val="0"/>
                <w:spacing w:val="-6"/>
                <w:kern w:val="21"/>
                <w:sz w:val="21"/>
                <w:szCs w:val="21"/>
              </w:rPr>
              <w:t>在建工程</w:t>
            </w:r>
          </w:p>
          <w:p>
            <w:pPr>
              <w:spacing w:line="269" w:lineRule="auto"/>
              <w:jc w:val="center"/>
              <w:rPr>
                <w:rFonts w:ascii="Times New Roman" w:hAnsi="Times New Roman" w:eastAsia="宋体" w:cs="Times New Roman"/>
                <w:snapToGrid w:val="0"/>
                <w:spacing w:val="-6"/>
                <w:kern w:val="21"/>
                <w:sz w:val="21"/>
                <w:szCs w:val="21"/>
              </w:rPr>
            </w:pPr>
            <w:r>
              <w:rPr>
                <w:rFonts w:ascii="Times New Roman" w:hAnsi="Times New Roman" w:eastAsia="宋体" w:cs="Times New Roman"/>
                <w:snapToGrid w:val="0"/>
                <w:spacing w:val="-6"/>
                <w:kern w:val="21"/>
                <w:sz w:val="21"/>
                <w:szCs w:val="21"/>
              </w:rPr>
              <w:t>排放量（固体废物产生量）</w:t>
            </w:r>
            <w:r>
              <w:rPr>
                <w:rFonts w:ascii="Times New Roman" w:hAnsi="Times New Roman" w:eastAsia="宋体" w:cs="Times New Roman"/>
                <w:snapToGrid w:val="0"/>
                <w:spacing w:val="-6"/>
                <w:kern w:val="21"/>
                <w:sz w:val="21"/>
                <w:szCs w:val="21"/>
              </w:rPr>
              <w:fldChar w:fldCharType="begin"/>
            </w:r>
            <w:r>
              <w:rPr>
                <w:rFonts w:ascii="Times New Roman" w:hAnsi="Times New Roman" w:eastAsia="宋体" w:cs="Times New Roman"/>
                <w:snapToGrid w:val="0"/>
                <w:spacing w:val="-6"/>
                <w:kern w:val="21"/>
                <w:sz w:val="21"/>
                <w:szCs w:val="21"/>
              </w:rPr>
              <w:instrText xml:space="preserve"> = 3 \* GB3 \* MERGEFORMAT </w:instrText>
            </w:r>
            <w:r>
              <w:rPr>
                <w:rFonts w:ascii="Times New Roman" w:hAnsi="Times New Roman" w:eastAsia="宋体" w:cs="Times New Roman"/>
                <w:snapToGrid w:val="0"/>
                <w:spacing w:val="-6"/>
                <w:kern w:val="21"/>
                <w:sz w:val="21"/>
                <w:szCs w:val="21"/>
              </w:rPr>
              <w:fldChar w:fldCharType="separate"/>
            </w:r>
            <w:r>
              <w:rPr>
                <w:rFonts w:ascii="Times New Roman" w:hAnsi="Times New Roman" w:eastAsia="宋体" w:cs="Times New Roman"/>
                <w:sz w:val="21"/>
                <w:szCs w:val="21"/>
              </w:rPr>
              <w:t>③</w:t>
            </w:r>
            <w:r>
              <w:rPr>
                <w:rFonts w:ascii="Times New Roman" w:hAnsi="Times New Roman" w:eastAsia="宋体" w:cs="Times New Roman"/>
                <w:snapToGrid w:val="0"/>
                <w:spacing w:val="-6"/>
                <w:kern w:val="21"/>
                <w:sz w:val="21"/>
                <w:szCs w:val="21"/>
              </w:rPr>
              <w:fldChar w:fldCharType="end"/>
            </w:r>
          </w:p>
        </w:tc>
        <w:tc>
          <w:tcPr>
            <w:tcW w:w="1417" w:type="dxa"/>
            <w:tcMar>
              <w:left w:w="28" w:type="dxa"/>
              <w:right w:w="28" w:type="dxa"/>
            </w:tcMar>
            <w:vAlign w:val="center"/>
          </w:tcPr>
          <w:p>
            <w:pPr>
              <w:spacing w:line="269" w:lineRule="auto"/>
              <w:jc w:val="center"/>
              <w:rPr>
                <w:rFonts w:ascii="Times New Roman" w:hAnsi="Times New Roman" w:eastAsia="宋体" w:cs="Times New Roman"/>
                <w:snapToGrid w:val="0"/>
                <w:spacing w:val="-6"/>
                <w:kern w:val="21"/>
                <w:sz w:val="21"/>
                <w:szCs w:val="21"/>
              </w:rPr>
            </w:pPr>
            <w:r>
              <w:rPr>
                <w:rFonts w:ascii="Times New Roman" w:hAnsi="Times New Roman" w:eastAsia="宋体" w:cs="Times New Roman"/>
                <w:snapToGrid w:val="0"/>
                <w:spacing w:val="-6"/>
                <w:kern w:val="21"/>
                <w:sz w:val="21"/>
                <w:szCs w:val="21"/>
              </w:rPr>
              <w:t>本项目</w:t>
            </w:r>
          </w:p>
          <w:p>
            <w:pPr>
              <w:spacing w:line="269" w:lineRule="auto"/>
              <w:jc w:val="center"/>
              <w:rPr>
                <w:rFonts w:ascii="Times New Roman" w:hAnsi="Times New Roman" w:eastAsia="宋体" w:cs="Times New Roman"/>
                <w:snapToGrid w:val="0"/>
                <w:spacing w:val="-6"/>
                <w:kern w:val="21"/>
                <w:sz w:val="21"/>
                <w:szCs w:val="21"/>
              </w:rPr>
            </w:pPr>
            <w:r>
              <w:rPr>
                <w:rFonts w:ascii="Times New Roman" w:hAnsi="Times New Roman" w:eastAsia="宋体" w:cs="Times New Roman"/>
                <w:snapToGrid w:val="0"/>
                <w:spacing w:val="-6"/>
                <w:kern w:val="21"/>
                <w:sz w:val="21"/>
                <w:szCs w:val="21"/>
              </w:rPr>
              <w:t>排放量（固体废物产生量）</w:t>
            </w:r>
            <w:r>
              <w:rPr>
                <w:rFonts w:ascii="Times New Roman" w:hAnsi="Times New Roman" w:eastAsia="宋体" w:cs="Times New Roman"/>
                <w:snapToGrid w:val="0"/>
                <w:spacing w:val="-6"/>
                <w:kern w:val="21"/>
                <w:sz w:val="21"/>
                <w:szCs w:val="21"/>
              </w:rPr>
              <w:fldChar w:fldCharType="begin"/>
            </w:r>
            <w:r>
              <w:rPr>
                <w:rFonts w:ascii="Times New Roman" w:hAnsi="Times New Roman" w:eastAsia="宋体" w:cs="Times New Roman"/>
                <w:snapToGrid w:val="0"/>
                <w:spacing w:val="-6"/>
                <w:kern w:val="21"/>
                <w:sz w:val="21"/>
                <w:szCs w:val="21"/>
              </w:rPr>
              <w:instrText xml:space="preserve"> = 4 \* GB3 \* MERGEFORMAT </w:instrText>
            </w:r>
            <w:r>
              <w:rPr>
                <w:rFonts w:ascii="Times New Roman" w:hAnsi="Times New Roman" w:eastAsia="宋体" w:cs="Times New Roman"/>
                <w:snapToGrid w:val="0"/>
                <w:spacing w:val="-6"/>
                <w:kern w:val="21"/>
                <w:sz w:val="21"/>
                <w:szCs w:val="21"/>
              </w:rPr>
              <w:fldChar w:fldCharType="separate"/>
            </w:r>
            <w:r>
              <w:rPr>
                <w:rFonts w:ascii="Times New Roman" w:hAnsi="Times New Roman" w:eastAsia="宋体" w:cs="Times New Roman"/>
                <w:sz w:val="21"/>
                <w:szCs w:val="21"/>
              </w:rPr>
              <w:t>④</w:t>
            </w:r>
            <w:r>
              <w:rPr>
                <w:rFonts w:ascii="Times New Roman" w:hAnsi="Times New Roman" w:eastAsia="宋体" w:cs="Times New Roman"/>
                <w:snapToGrid w:val="0"/>
                <w:spacing w:val="-6"/>
                <w:kern w:val="21"/>
                <w:sz w:val="21"/>
                <w:szCs w:val="21"/>
              </w:rPr>
              <w:fldChar w:fldCharType="end"/>
            </w:r>
          </w:p>
        </w:tc>
        <w:tc>
          <w:tcPr>
            <w:tcW w:w="1133" w:type="dxa"/>
            <w:tcMar>
              <w:left w:w="28" w:type="dxa"/>
              <w:right w:w="28" w:type="dxa"/>
            </w:tcMar>
            <w:vAlign w:val="center"/>
          </w:tcPr>
          <w:p>
            <w:pPr>
              <w:spacing w:line="269" w:lineRule="auto"/>
              <w:jc w:val="center"/>
              <w:rPr>
                <w:rFonts w:ascii="Times New Roman" w:hAnsi="Times New Roman" w:eastAsia="宋体" w:cs="Times New Roman"/>
                <w:snapToGrid w:val="0"/>
                <w:spacing w:val="-16"/>
                <w:kern w:val="21"/>
                <w:sz w:val="21"/>
                <w:szCs w:val="21"/>
              </w:rPr>
            </w:pPr>
            <w:r>
              <w:rPr>
                <w:rFonts w:ascii="Times New Roman" w:hAnsi="Times New Roman" w:eastAsia="宋体" w:cs="Times New Roman"/>
                <w:snapToGrid w:val="0"/>
                <w:spacing w:val="-16"/>
                <w:kern w:val="21"/>
                <w:sz w:val="21"/>
                <w:szCs w:val="21"/>
              </w:rPr>
              <w:t>以新带老削减量（新建项目不填）</w:t>
            </w:r>
            <w:r>
              <w:rPr>
                <w:rFonts w:ascii="Times New Roman" w:hAnsi="Times New Roman" w:eastAsia="宋体" w:cs="Times New Roman"/>
                <w:snapToGrid w:val="0"/>
                <w:spacing w:val="-16"/>
                <w:kern w:val="21"/>
                <w:sz w:val="21"/>
                <w:szCs w:val="21"/>
              </w:rPr>
              <w:fldChar w:fldCharType="begin"/>
            </w:r>
            <w:r>
              <w:rPr>
                <w:rFonts w:ascii="Times New Roman" w:hAnsi="Times New Roman" w:eastAsia="宋体" w:cs="Times New Roman"/>
                <w:snapToGrid w:val="0"/>
                <w:spacing w:val="-16"/>
                <w:kern w:val="21"/>
                <w:sz w:val="21"/>
                <w:szCs w:val="21"/>
              </w:rPr>
              <w:instrText xml:space="preserve"> = 5 \* GB3 \* MERGEFORMAT </w:instrText>
            </w:r>
            <w:r>
              <w:rPr>
                <w:rFonts w:ascii="Times New Roman" w:hAnsi="Times New Roman" w:eastAsia="宋体" w:cs="Times New Roman"/>
                <w:snapToGrid w:val="0"/>
                <w:spacing w:val="-16"/>
                <w:kern w:val="21"/>
                <w:sz w:val="21"/>
                <w:szCs w:val="21"/>
              </w:rPr>
              <w:fldChar w:fldCharType="separate"/>
            </w:r>
            <w:r>
              <w:rPr>
                <w:rFonts w:ascii="Times New Roman" w:hAnsi="Times New Roman" w:eastAsia="宋体" w:cs="Times New Roman"/>
                <w:sz w:val="21"/>
                <w:szCs w:val="21"/>
              </w:rPr>
              <w:t>⑤</w:t>
            </w:r>
            <w:r>
              <w:rPr>
                <w:rFonts w:ascii="Times New Roman" w:hAnsi="Times New Roman" w:eastAsia="宋体" w:cs="Times New Roman"/>
                <w:snapToGrid w:val="0"/>
                <w:spacing w:val="-16"/>
                <w:kern w:val="21"/>
                <w:sz w:val="21"/>
                <w:szCs w:val="21"/>
              </w:rPr>
              <w:fldChar w:fldCharType="end"/>
            </w:r>
          </w:p>
        </w:tc>
        <w:tc>
          <w:tcPr>
            <w:tcW w:w="1417" w:type="dxa"/>
            <w:tcMar>
              <w:left w:w="28" w:type="dxa"/>
              <w:right w:w="28" w:type="dxa"/>
            </w:tcMar>
            <w:vAlign w:val="center"/>
          </w:tcPr>
          <w:p>
            <w:pPr>
              <w:spacing w:line="269" w:lineRule="auto"/>
              <w:jc w:val="center"/>
              <w:rPr>
                <w:rFonts w:ascii="Times New Roman" w:hAnsi="Times New Roman" w:eastAsia="宋体" w:cs="Times New Roman"/>
                <w:snapToGrid w:val="0"/>
                <w:spacing w:val="-16"/>
                <w:kern w:val="21"/>
                <w:sz w:val="21"/>
                <w:szCs w:val="21"/>
              </w:rPr>
            </w:pPr>
            <w:r>
              <w:rPr>
                <w:rFonts w:ascii="Times New Roman" w:hAnsi="Times New Roman" w:eastAsia="宋体" w:cs="Times New Roman"/>
                <w:snapToGrid w:val="0"/>
                <w:spacing w:val="-16"/>
                <w:kern w:val="21"/>
                <w:sz w:val="21"/>
                <w:szCs w:val="21"/>
              </w:rPr>
              <w:t>本项目建成后</w:t>
            </w:r>
          </w:p>
          <w:p>
            <w:pPr>
              <w:spacing w:line="269" w:lineRule="auto"/>
              <w:jc w:val="center"/>
              <w:rPr>
                <w:rFonts w:ascii="Times New Roman" w:hAnsi="Times New Roman" w:eastAsia="宋体" w:cs="Times New Roman"/>
                <w:snapToGrid w:val="0"/>
                <w:spacing w:val="-16"/>
                <w:kern w:val="21"/>
                <w:sz w:val="21"/>
                <w:szCs w:val="21"/>
              </w:rPr>
            </w:pPr>
            <w:r>
              <w:rPr>
                <w:rFonts w:ascii="Times New Roman" w:hAnsi="Times New Roman" w:eastAsia="宋体" w:cs="Times New Roman"/>
                <w:snapToGrid w:val="0"/>
                <w:spacing w:val="-16"/>
                <w:kern w:val="21"/>
                <w:sz w:val="21"/>
                <w:szCs w:val="21"/>
              </w:rPr>
              <w:t>全厂排放量（固体废物产生量）</w:t>
            </w:r>
            <w:r>
              <w:rPr>
                <w:rFonts w:ascii="Times New Roman" w:hAnsi="Times New Roman" w:eastAsia="宋体" w:cs="Times New Roman"/>
                <w:snapToGrid w:val="0"/>
                <w:spacing w:val="-16"/>
                <w:kern w:val="21"/>
                <w:sz w:val="21"/>
                <w:szCs w:val="21"/>
              </w:rPr>
              <w:fldChar w:fldCharType="begin"/>
            </w:r>
            <w:r>
              <w:rPr>
                <w:rFonts w:ascii="Times New Roman" w:hAnsi="Times New Roman" w:eastAsia="宋体" w:cs="Times New Roman"/>
                <w:snapToGrid w:val="0"/>
                <w:spacing w:val="-16"/>
                <w:kern w:val="21"/>
                <w:sz w:val="21"/>
                <w:szCs w:val="21"/>
              </w:rPr>
              <w:instrText xml:space="preserve"> = 6 \* GB3 \* MERGEFORMAT </w:instrText>
            </w:r>
            <w:r>
              <w:rPr>
                <w:rFonts w:ascii="Times New Roman" w:hAnsi="Times New Roman" w:eastAsia="宋体" w:cs="Times New Roman"/>
                <w:snapToGrid w:val="0"/>
                <w:spacing w:val="-16"/>
                <w:kern w:val="21"/>
                <w:sz w:val="21"/>
                <w:szCs w:val="21"/>
              </w:rPr>
              <w:fldChar w:fldCharType="separate"/>
            </w:r>
            <w:r>
              <w:rPr>
                <w:rFonts w:ascii="Times New Roman" w:hAnsi="Times New Roman" w:eastAsia="宋体" w:cs="Times New Roman"/>
                <w:sz w:val="21"/>
                <w:szCs w:val="21"/>
              </w:rPr>
              <w:t>⑥</w:t>
            </w:r>
            <w:r>
              <w:rPr>
                <w:rFonts w:ascii="Times New Roman" w:hAnsi="Times New Roman" w:eastAsia="宋体" w:cs="Times New Roman"/>
                <w:snapToGrid w:val="0"/>
                <w:spacing w:val="-16"/>
                <w:kern w:val="21"/>
                <w:sz w:val="21"/>
                <w:szCs w:val="21"/>
              </w:rPr>
              <w:fldChar w:fldCharType="end"/>
            </w:r>
          </w:p>
        </w:tc>
        <w:tc>
          <w:tcPr>
            <w:tcW w:w="1218" w:type="dxa"/>
            <w:tcMar>
              <w:left w:w="28" w:type="dxa"/>
              <w:right w:w="28" w:type="dxa"/>
            </w:tcMar>
            <w:vAlign w:val="center"/>
          </w:tcPr>
          <w:p>
            <w:pPr>
              <w:spacing w:line="269" w:lineRule="auto"/>
              <w:jc w:val="center"/>
              <w:rPr>
                <w:rFonts w:ascii="Times New Roman" w:hAnsi="Times New Roman" w:eastAsia="宋体" w:cs="Times New Roman"/>
                <w:snapToGrid w:val="0"/>
                <w:spacing w:val="-6"/>
                <w:kern w:val="21"/>
                <w:sz w:val="21"/>
                <w:szCs w:val="21"/>
              </w:rPr>
            </w:pPr>
            <w:r>
              <w:rPr>
                <w:rFonts w:ascii="Times New Roman" w:hAnsi="Times New Roman" w:eastAsia="宋体" w:cs="Times New Roman"/>
                <w:snapToGrid w:val="0"/>
                <w:spacing w:val="-6"/>
                <w:kern w:val="21"/>
                <w:sz w:val="21"/>
                <w:szCs w:val="21"/>
              </w:rPr>
              <w:t>变化量</w:t>
            </w:r>
            <w:r>
              <w:rPr>
                <w:rFonts w:ascii="Times New Roman" w:hAnsi="Times New Roman" w:eastAsia="宋体" w:cs="Times New Roman"/>
                <w:snapToGrid w:val="0"/>
                <w:spacing w:val="-6"/>
                <w:kern w:val="21"/>
                <w:sz w:val="21"/>
                <w:szCs w:val="21"/>
              </w:rPr>
              <w:fldChar w:fldCharType="begin"/>
            </w:r>
            <w:r>
              <w:rPr>
                <w:rFonts w:ascii="Times New Roman" w:hAnsi="Times New Roman" w:eastAsia="宋体" w:cs="Times New Roman"/>
                <w:snapToGrid w:val="0"/>
                <w:spacing w:val="-6"/>
                <w:kern w:val="21"/>
                <w:sz w:val="21"/>
                <w:szCs w:val="21"/>
              </w:rPr>
              <w:instrText xml:space="preserve"> = 7 \* GB3 \* MERGEFORMAT </w:instrText>
            </w:r>
            <w:r>
              <w:rPr>
                <w:rFonts w:ascii="Times New Roman" w:hAnsi="Times New Roman" w:eastAsia="宋体" w:cs="Times New Roman"/>
                <w:snapToGrid w:val="0"/>
                <w:spacing w:val="-6"/>
                <w:kern w:val="21"/>
                <w:sz w:val="21"/>
                <w:szCs w:val="21"/>
              </w:rPr>
              <w:fldChar w:fldCharType="separate"/>
            </w:r>
            <w:r>
              <w:rPr>
                <w:rFonts w:ascii="Times New Roman" w:hAnsi="Times New Roman" w:eastAsia="宋体" w:cs="Times New Roman"/>
                <w:sz w:val="21"/>
                <w:szCs w:val="21"/>
              </w:rPr>
              <w:t>⑦</w:t>
            </w:r>
            <w:r>
              <w:rPr>
                <w:rFonts w:ascii="Times New Roman" w:hAnsi="Times New Roman" w:eastAsia="宋体" w:cs="Times New Roman"/>
                <w:snapToGrid w:val="0"/>
                <w:spacing w:val="-6"/>
                <w:kern w:val="21"/>
                <w:sz w:val="21"/>
                <w:szCs w:val="21"/>
              </w:rPr>
              <w:fldChar w:fldCharType="end"/>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1446" w:type="dxa"/>
            <w:vMerge w:val="restart"/>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废气</w:t>
            </w:r>
          </w:p>
        </w:tc>
        <w:tc>
          <w:tcPr>
            <w:tcW w:w="1080" w:type="dxa"/>
            <w:vMerge w:val="restart"/>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有组织</w:t>
            </w:r>
          </w:p>
        </w:tc>
        <w:tc>
          <w:tcPr>
            <w:tcW w:w="1757"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颗粒物</w:t>
            </w:r>
          </w:p>
        </w:tc>
        <w:tc>
          <w:tcPr>
            <w:tcW w:w="1417"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992"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spacing w:line="269" w:lineRule="auto"/>
              <w:jc w:val="center"/>
              <w:rPr>
                <w:rFonts w:ascii="Times New Roman" w:hAnsi="Times New Roman" w:eastAsia="宋体" w:cs="Times New Roman"/>
                <w:sz w:val="21"/>
                <w:szCs w:val="21"/>
              </w:rPr>
            </w:pPr>
            <w:r>
              <w:rPr>
                <w:rFonts w:hint="eastAsia" w:ascii="Times New Roman" w:hAnsi="Times New Roman" w:eastAsia="宋体" w:cs="Times New Roman"/>
                <w:snapToGrid w:val="0"/>
                <w:kern w:val="21"/>
                <w:sz w:val="21"/>
                <w:szCs w:val="21"/>
              </w:rPr>
              <w:t>0.012</w:t>
            </w:r>
            <w:r>
              <w:rPr>
                <w:rFonts w:ascii="Times New Roman" w:hAnsi="Times New Roman" w:eastAsia="宋体" w:cs="Times New Roman"/>
                <w:sz w:val="21"/>
                <w:szCs w:val="21"/>
              </w:rPr>
              <w:t>t/a</w:t>
            </w:r>
          </w:p>
        </w:tc>
        <w:tc>
          <w:tcPr>
            <w:tcW w:w="1133"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spacing w:line="269" w:lineRule="auto"/>
              <w:jc w:val="center"/>
              <w:rPr>
                <w:rFonts w:ascii="Times New Roman" w:hAnsi="Times New Roman" w:eastAsia="宋体" w:cs="Times New Roman"/>
                <w:sz w:val="21"/>
                <w:szCs w:val="21"/>
              </w:rPr>
            </w:pPr>
            <w:r>
              <w:rPr>
                <w:rFonts w:hint="eastAsia" w:ascii="Times New Roman" w:hAnsi="Times New Roman" w:eastAsia="宋体" w:cs="Times New Roman"/>
                <w:snapToGrid w:val="0"/>
                <w:kern w:val="21"/>
                <w:sz w:val="21"/>
                <w:szCs w:val="21"/>
              </w:rPr>
              <w:t>0.012</w:t>
            </w:r>
            <w:r>
              <w:rPr>
                <w:rFonts w:ascii="Times New Roman" w:hAnsi="Times New Roman" w:eastAsia="宋体" w:cs="Times New Roman"/>
                <w:sz w:val="21"/>
                <w:szCs w:val="21"/>
              </w:rPr>
              <w:t>t/a</w:t>
            </w:r>
          </w:p>
        </w:tc>
        <w:tc>
          <w:tcPr>
            <w:tcW w:w="1218" w:type="dxa"/>
            <w:vAlign w:val="center"/>
          </w:tcPr>
          <w:p>
            <w:pPr>
              <w:spacing w:line="269" w:lineRule="auto"/>
              <w:jc w:val="center"/>
              <w:rPr>
                <w:rFonts w:ascii="Times New Roman" w:hAnsi="Times New Roman" w:eastAsia="宋体" w:cs="Times New Roman"/>
                <w:sz w:val="21"/>
                <w:szCs w:val="21"/>
              </w:rPr>
            </w:pPr>
            <w:r>
              <w:rPr>
                <w:rFonts w:hint="eastAsia" w:ascii="Times New Roman" w:hAnsi="Times New Roman" w:eastAsia="宋体" w:cs="Times New Roman"/>
                <w:snapToGrid w:val="0"/>
                <w:kern w:val="21"/>
                <w:sz w:val="21"/>
                <w:szCs w:val="21"/>
              </w:rPr>
              <w:t>+0.012</w:t>
            </w:r>
            <w:r>
              <w:rPr>
                <w:rFonts w:ascii="Times New Roman" w:hAnsi="Times New Roman" w:eastAsia="宋体" w:cs="Times New Roman"/>
                <w:sz w:val="21"/>
                <w:szCs w:val="21"/>
              </w:rPr>
              <w:t>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1446" w:type="dxa"/>
            <w:vMerge w:val="continue"/>
            <w:vAlign w:val="center"/>
          </w:tcPr>
          <w:p>
            <w:pPr>
              <w:spacing w:line="269" w:lineRule="auto"/>
              <w:jc w:val="center"/>
              <w:rPr>
                <w:rFonts w:ascii="Times New Roman" w:hAnsi="Times New Roman" w:eastAsia="宋体" w:cs="Times New Roman"/>
                <w:snapToGrid w:val="0"/>
                <w:kern w:val="21"/>
                <w:sz w:val="21"/>
                <w:szCs w:val="21"/>
              </w:rPr>
            </w:pPr>
          </w:p>
        </w:tc>
        <w:tc>
          <w:tcPr>
            <w:tcW w:w="1080" w:type="dxa"/>
            <w:vMerge w:val="continue"/>
            <w:vAlign w:val="center"/>
          </w:tcPr>
          <w:p>
            <w:pPr>
              <w:spacing w:line="269" w:lineRule="auto"/>
              <w:jc w:val="center"/>
              <w:rPr>
                <w:rFonts w:ascii="Times New Roman" w:hAnsi="Times New Roman" w:eastAsia="宋体" w:cs="Times New Roman"/>
                <w:snapToGrid w:val="0"/>
                <w:kern w:val="21"/>
                <w:sz w:val="21"/>
                <w:szCs w:val="21"/>
              </w:rPr>
            </w:pPr>
          </w:p>
        </w:tc>
        <w:tc>
          <w:tcPr>
            <w:tcW w:w="1757" w:type="dxa"/>
            <w:vAlign w:val="center"/>
          </w:tcPr>
          <w:p>
            <w:pPr>
              <w:spacing w:line="269" w:lineRule="auto"/>
              <w:jc w:val="center"/>
              <w:rPr>
                <w:rFonts w:ascii="Times New Roman" w:hAnsi="Times New Roman" w:eastAsia="宋体" w:cs="Times New Roman"/>
                <w:snapToGrid w:val="0"/>
                <w:kern w:val="21"/>
                <w:sz w:val="21"/>
                <w:szCs w:val="21"/>
              </w:rPr>
            </w:pPr>
            <w:r>
              <w:rPr>
                <w:rFonts w:hint="eastAsia" w:ascii="Times New Roman" w:hAnsi="Times New Roman" w:eastAsia="宋体" w:cs="Times New Roman"/>
                <w:snapToGrid w:val="0"/>
                <w:kern w:val="21"/>
                <w:sz w:val="21"/>
                <w:szCs w:val="21"/>
              </w:rPr>
              <w:t>非甲烷总烃</w:t>
            </w:r>
          </w:p>
        </w:tc>
        <w:tc>
          <w:tcPr>
            <w:tcW w:w="1417" w:type="dxa"/>
            <w:vAlign w:val="center"/>
          </w:tcPr>
          <w:p>
            <w:pPr>
              <w:spacing w:line="269" w:lineRule="auto"/>
              <w:jc w:val="center"/>
              <w:rPr>
                <w:rFonts w:ascii="Times New Roman" w:hAnsi="Times New Roman" w:eastAsia="宋体" w:cs="Times New Roman"/>
                <w:snapToGrid w:val="0"/>
                <w:kern w:val="21"/>
                <w:sz w:val="21"/>
                <w:szCs w:val="21"/>
              </w:rPr>
            </w:pPr>
            <w:r>
              <w:rPr>
                <w:rFonts w:hint="eastAsia" w:ascii="Times New Roman" w:hAnsi="Times New Roman" w:eastAsia="宋体" w:cs="Times New Roman"/>
                <w:snapToGrid w:val="0"/>
                <w:kern w:val="21"/>
                <w:sz w:val="21"/>
                <w:szCs w:val="21"/>
              </w:rPr>
              <w:t>/</w:t>
            </w:r>
          </w:p>
        </w:tc>
        <w:tc>
          <w:tcPr>
            <w:tcW w:w="992" w:type="dxa"/>
            <w:vAlign w:val="center"/>
          </w:tcPr>
          <w:p>
            <w:pPr>
              <w:spacing w:line="269" w:lineRule="auto"/>
              <w:jc w:val="center"/>
              <w:rPr>
                <w:rFonts w:ascii="Times New Roman" w:hAnsi="Times New Roman" w:eastAsia="宋体" w:cs="Times New Roman"/>
                <w:snapToGrid w:val="0"/>
                <w:kern w:val="21"/>
                <w:sz w:val="21"/>
                <w:szCs w:val="21"/>
              </w:rPr>
            </w:pPr>
            <w:r>
              <w:rPr>
                <w:rFonts w:hint="eastAsia" w:ascii="Times New Roman" w:hAnsi="Times New Roman" w:eastAsia="宋体" w:cs="Times New Roman"/>
                <w:snapToGrid w:val="0"/>
                <w:kern w:val="21"/>
                <w:sz w:val="21"/>
                <w:szCs w:val="21"/>
              </w:rPr>
              <w:t>/</w:t>
            </w:r>
          </w:p>
        </w:tc>
        <w:tc>
          <w:tcPr>
            <w:tcW w:w="1417" w:type="dxa"/>
            <w:vAlign w:val="center"/>
          </w:tcPr>
          <w:p>
            <w:pPr>
              <w:spacing w:line="269" w:lineRule="auto"/>
              <w:jc w:val="center"/>
              <w:rPr>
                <w:rFonts w:ascii="Times New Roman" w:hAnsi="Times New Roman" w:eastAsia="宋体" w:cs="Times New Roman"/>
                <w:snapToGrid w:val="0"/>
                <w:kern w:val="21"/>
                <w:sz w:val="21"/>
                <w:szCs w:val="21"/>
              </w:rPr>
            </w:pPr>
            <w:r>
              <w:rPr>
                <w:rFonts w:hint="eastAsia" w:ascii="Times New Roman" w:hAnsi="Times New Roman" w:eastAsia="宋体" w:cs="Times New Roman"/>
                <w:snapToGrid w:val="0"/>
                <w:kern w:val="21"/>
                <w:sz w:val="21"/>
                <w:szCs w:val="21"/>
              </w:rPr>
              <w:t>/</w:t>
            </w:r>
          </w:p>
        </w:tc>
        <w:tc>
          <w:tcPr>
            <w:tcW w:w="1417"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0.0</w:t>
            </w:r>
            <w:r>
              <w:rPr>
                <w:rFonts w:hint="eastAsia" w:ascii="Times New Roman" w:hAnsi="Times New Roman" w:eastAsia="宋体" w:cs="Times New Roman"/>
                <w:snapToGrid w:val="0"/>
                <w:kern w:val="21"/>
                <w:sz w:val="21"/>
                <w:szCs w:val="21"/>
              </w:rPr>
              <w:t>0</w:t>
            </w:r>
            <w:r>
              <w:rPr>
                <w:rFonts w:ascii="Times New Roman" w:hAnsi="Times New Roman" w:eastAsia="宋体" w:cs="Times New Roman"/>
                <w:snapToGrid w:val="0"/>
                <w:kern w:val="21"/>
                <w:sz w:val="21"/>
                <w:szCs w:val="21"/>
              </w:rPr>
              <w:t>12t/a</w:t>
            </w:r>
          </w:p>
        </w:tc>
        <w:tc>
          <w:tcPr>
            <w:tcW w:w="1133" w:type="dxa"/>
            <w:vAlign w:val="center"/>
          </w:tcPr>
          <w:p>
            <w:pPr>
              <w:spacing w:line="269" w:lineRule="auto"/>
              <w:jc w:val="center"/>
              <w:rPr>
                <w:rFonts w:ascii="Times New Roman" w:hAnsi="Times New Roman" w:eastAsia="宋体" w:cs="Times New Roman"/>
                <w:snapToGrid w:val="0"/>
                <w:kern w:val="21"/>
                <w:sz w:val="21"/>
                <w:szCs w:val="21"/>
              </w:rPr>
            </w:pPr>
            <w:r>
              <w:rPr>
                <w:rFonts w:hint="eastAsia" w:ascii="Times New Roman" w:hAnsi="Times New Roman" w:eastAsia="宋体" w:cs="Times New Roman"/>
                <w:snapToGrid w:val="0"/>
                <w:kern w:val="21"/>
                <w:sz w:val="21"/>
                <w:szCs w:val="21"/>
              </w:rPr>
              <w:t>/</w:t>
            </w:r>
          </w:p>
        </w:tc>
        <w:tc>
          <w:tcPr>
            <w:tcW w:w="1417"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0.0</w:t>
            </w:r>
            <w:r>
              <w:rPr>
                <w:rFonts w:hint="eastAsia" w:ascii="Times New Roman" w:hAnsi="Times New Roman" w:eastAsia="宋体" w:cs="Times New Roman"/>
                <w:snapToGrid w:val="0"/>
                <w:kern w:val="21"/>
                <w:sz w:val="21"/>
                <w:szCs w:val="21"/>
              </w:rPr>
              <w:t>0</w:t>
            </w:r>
            <w:r>
              <w:rPr>
                <w:rFonts w:ascii="Times New Roman" w:hAnsi="Times New Roman" w:eastAsia="宋体" w:cs="Times New Roman"/>
                <w:snapToGrid w:val="0"/>
                <w:kern w:val="21"/>
                <w:sz w:val="21"/>
                <w:szCs w:val="21"/>
              </w:rPr>
              <w:t>12t/a</w:t>
            </w:r>
          </w:p>
        </w:tc>
        <w:tc>
          <w:tcPr>
            <w:tcW w:w="1218" w:type="dxa"/>
            <w:vAlign w:val="center"/>
          </w:tcPr>
          <w:p>
            <w:pPr>
              <w:spacing w:line="269" w:lineRule="auto"/>
              <w:jc w:val="center"/>
              <w:rPr>
                <w:rFonts w:ascii="Times New Roman" w:hAnsi="Times New Roman" w:eastAsia="宋体" w:cs="Times New Roman"/>
                <w:snapToGrid w:val="0"/>
                <w:kern w:val="21"/>
                <w:sz w:val="21"/>
                <w:szCs w:val="21"/>
              </w:rPr>
            </w:pPr>
            <w:r>
              <w:rPr>
                <w:rFonts w:hint="eastAsia" w:ascii="Times New Roman" w:hAnsi="Times New Roman" w:eastAsia="宋体" w:cs="Times New Roman"/>
                <w:snapToGrid w:val="0"/>
                <w:kern w:val="21"/>
                <w:sz w:val="21"/>
                <w:szCs w:val="21"/>
              </w:rPr>
              <w:t>+</w:t>
            </w:r>
            <w:r>
              <w:rPr>
                <w:rFonts w:ascii="Times New Roman" w:hAnsi="Times New Roman" w:eastAsia="宋体" w:cs="Times New Roman"/>
                <w:snapToGrid w:val="0"/>
                <w:kern w:val="21"/>
                <w:sz w:val="21"/>
                <w:szCs w:val="21"/>
              </w:rPr>
              <w:t>0.0</w:t>
            </w:r>
            <w:r>
              <w:rPr>
                <w:rFonts w:hint="eastAsia" w:ascii="Times New Roman" w:hAnsi="Times New Roman" w:eastAsia="宋体" w:cs="Times New Roman"/>
                <w:snapToGrid w:val="0"/>
                <w:kern w:val="21"/>
                <w:sz w:val="21"/>
                <w:szCs w:val="21"/>
              </w:rPr>
              <w:t>0</w:t>
            </w:r>
            <w:r>
              <w:rPr>
                <w:rFonts w:ascii="Times New Roman" w:hAnsi="Times New Roman" w:eastAsia="宋体" w:cs="Times New Roman"/>
                <w:snapToGrid w:val="0"/>
                <w:kern w:val="21"/>
                <w:sz w:val="21"/>
                <w:szCs w:val="21"/>
              </w:rPr>
              <w:t>12t/a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1446" w:type="dxa"/>
            <w:vMerge w:val="continue"/>
            <w:vAlign w:val="center"/>
          </w:tcPr>
          <w:p>
            <w:pPr>
              <w:spacing w:line="269" w:lineRule="auto"/>
              <w:jc w:val="center"/>
              <w:rPr>
                <w:rFonts w:ascii="Times New Roman" w:hAnsi="Times New Roman" w:eastAsia="宋体" w:cs="Times New Roman"/>
                <w:snapToGrid w:val="0"/>
                <w:kern w:val="21"/>
                <w:sz w:val="21"/>
                <w:szCs w:val="21"/>
              </w:rPr>
            </w:pPr>
          </w:p>
        </w:tc>
        <w:tc>
          <w:tcPr>
            <w:tcW w:w="1080"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无组织</w:t>
            </w:r>
          </w:p>
        </w:tc>
        <w:tc>
          <w:tcPr>
            <w:tcW w:w="1757"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颗粒物</w:t>
            </w:r>
          </w:p>
        </w:tc>
        <w:tc>
          <w:tcPr>
            <w:tcW w:w="1417"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992"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spacing w:line="269" w:lineRule="auto"/>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0.4305</w:t>
            </w:r>
            <w:r>
              <w:rPr>
                <w:rFonts w:ascii="Times New Roman" w:hAnsi="Times New Roman" w:eastAsia="宋体" w:cs="Times New Roman"/>
                <w:sz w:val="21"/>
                <w:szCs w:val="21"/>
              </w:rPr>
              <w:t>t/a</w:t>
            </w:r>
          </w:p>
        </w:tc>
        <w:tc>
          <w:tcPr>
            <w:tcW w:w="1133"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spacing w:line="269" w:lineRule="auto"/>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0.4305</w:t>
            </w:r>
            <w:r>
              <w:rPr>
                <w:rFonts w:ascii="Times New Roman" w:hAnsi="Times New Roman" w:eastAsia="宋体" w:cs="Times New Roman"/>
                <w:sz w:val="21"/>
                <w:szCs w:val="21"/>
              </w:rPr>
              <w:t>t/a</w:t>
            </w:r>
          </w:p>
        </w:tc>
        <w:tc>
          <w:tcPr>
            <w:tcW w:w="1218" w:type="dxa"/>
            <w:vAlign w:val="center"/>
          </w:tcPr>
          <w:p>
            <w:pPr>
              <w:spacing w:line="269" w:lineRule="auto"/>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+0.4305</w:t>
            </w:r>
            <w:r>
              <w:rPr>
                <w:rFonts w:ascii="Times New Roman" w:hAnsi="Times New Roman" w:eastAsia="宋体" w:cs="Times New Roman"/>
                <w:sz w:val="21"/>
                <w:szCs w:val="21"/>
              </w:rPr>
              <w:t>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1446" w:type="dxa"/>
            <w:vMerge w:val="restart"/>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废水</w:t>
            </w:r>
          </w:p>
        </w:tc>
        <w:tc>
          <w:tcPr>
            <w:tcW w:w="2837" w:type="dxa"/>
            <w:gridSpan w:val="2"/>
            <w:vAlign w:val="center"/>
          </w:tcPr>
          <w:p>
            <w:pPr>
              <w:keepNext w:val="0"/>
              <w:keepLines w:val="0"/>
              <w:widowControl/>
              <w:suppressLineNumbers w:val="0"/>
              <w:jc w:val="center"/>
              <w:textAlignment w:val="center"/>
              <w:rPr>
                <w:rFonts w:ascii="Times New Roman" w:hAnsi="Times New Roman" w:eastAsia="宋体" w:cs="Times New Roman"/>
                <w:snapToGrid w:val="0"/>
                <w:kern w:val="21"/>
                <w:sz w:val="21"/>
                <w:szCs w:val="21"/>
              </w:rPr>
            </w:pPr>
            <w:r>
              <w:rPr>
                <w:rFonts w:hint="default" w:ascii="Times New Roman" w:hAnsi="Times New Roman" w:eastAsia="宋体" w:cs="Times New Roman"/>
                <w:i w:val="0"/>
                <w:iCs w:val="0"/>
                <w:color w:val="auto"/>
                <w:kern w:val="0"/>
                <w:sz w:val="21"/>
                <w:szCs w:val="21"/>
                <w:u w:val="none"/>
                <w:lang w:val="en-US" w:eastAsia="zh-CN" w:bidi="ar"/>
              </w:rPr>
              <w:t>pH</w:t>
            </w:r>
          </w:p>
        </w:tc>
        <w:tc>
          <w:tcPr>
            <w:tcW w:w="1417"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992"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133"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218"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1446" w:type="dxa"/>
            <w:vMerge w:val="continue"/>
            <w:vAlign w:val="center"/>
          </w:tcPr>
          <w:p>
            <w:pPr>
              <w:spacing w:line="269" w:lineRule="auto"/>
              <w:jc w:val="center"/>
              <w:rPr>
                <w:rFonts w:ascii="Times New Roman" w:hAnsi="Times New Roman" w:eastAsia="宋体" w:cs="Times New Roman"/>
                <w:snapToGrid w:val="0"/>
                <w:kern w:val="21"/>
                <w:sz w:val="21"/>
                <w:szCs w:val="21"/>
              </w:rPr>
            </w:pPr>
          </w:p>
        </w:tc>
        <w:tc>
          <w:tcPr>
            <w:tcW w:w="2837" w:type="dxa"/>
            <w:gridSpan w:val="2"/>
            <w:vAlign w:val="center"/>
          </w:tcPr>
          <w:p>
            <w:pPr>
              <w:keepNext w:val="0"/>
              <w:keepLines w:val="0"/>
              <w:widowControl/>
              <w:suppressLineNumbers w:val="0"/>
              <w:jc w:val="center"/>
              <w:textAlignment w:val="center"/>
              <w:rPr>
                <w:rFonts w:ascii="Times New Roman" w:hAnsi="Times New Roman" w:eastAsia="宋体" w:cs="Times New Roman"/>
                <w:snapToGrid w:val="0"/>
                <w:kern w:val="21"/>
                <w:sz w:val="21"/>
                <w:szCs w:val="21"/>
              </w:rPr>
            </w:pPr>
            <w:r>
              <w:rPr>
                <w:rFonts w:hint="default" w:ascii="Times New Roman" w:hAnsi="Times New Roman" w:eastAsia="宋体" w:cs="Times New Roman"/>
                <w:i w:val="0"/>
                <w:iCs w:val="0"/>
                <w:color w:val="auto"/>
                <w:kern w:val="0"/>
                <w:sz w:val="21"/>
                <w:szCs w:val="21"/>
                <w:u w:val="none"/>
                <w:lang w:val="en-US" w:eastAsia="zh-CN" w:bidi="ar"/>
              </w:rPr>
              <w:t>COD</w:t>
            </w:r>
          </w:p>
        </w:tc>
        <w:tc>
          <w:tcPr>
            <w:tcW w:w="1417"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992"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widowControl/>
              <w:jc w:val="center"/>
              <w:textAlignment w:val="center"/>
              <w:rPr>
                <w:rFonts w:ascii="Times New Roman" w:hAnsi="Times New Roman" w:eastAsia="宋体" w:cs="Times New Roman"/>
                <w:snapToGrid w:val="0"/>
                <w:kern w:val="21"/>
                <w:sz w:val="21"/>
                <w:szCs w:val="21"/>
              </w:rPr>
            </w:pPr>
            <w:r>
              <w:rPr>
                <w:rFonts w:ascii="Times New Roman" w:hAnsi="Times New Roman" w:eastAsia="宋体" w:cs="Times New Roman"/>
                <w:color w:val="auto"/>
                <w:kern w:val="0"/>
                <w:sz w:val="21"/>
                <w:szCs w:val="21"/>
              </w:rPr>
              <w:t>0.162</w:t>
            </w:r>
            <w:r>
              <w:rPr>
                <w:rFonts w:ascii="Times New Roman" w:hAnsi="Times New Roman" w:eastAsia="宋体" w:cs="Times New Roman"/>
                <w:color w:val="auto"/>
                <w:kern w:val="0"/>
                <w:sz w:val="21"/>
                <w:szCs w:val="21"/>
                <w:highlight w:val="none"/>
              </w:rPr>
              <w:t>t/a</w:t>
            </w:r>
          </w:p>
        </w:tc>
        <w:tc>
          <w:tcPr>
            <w:tcW w:w="1133"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widowControl/>
              <w:jc w:val="center"/>
              <w:textAlignment w:val="center"/>
              <w:rPr>
                <w:rFonts w:ascii="Times New Roman" w:hAnsi="Times New Roman" w:eastAsia="宋体" w:cs="Times New Roman"/>
                <w:snapToGrid w:val="0"/>
                <w:kern w:val="21"/>
                <w:sz w:val="21"/>
                <w:szCs w:val="21"/>
              </w:rPr>
            </w:pPr>
            <w:r>
              <w:rPr>
                <w:rFonts w:ascii="Times New Roman" w:hAnsi="Times New Roman" w:eastAsia="宋体" w:cs="Times New Roman"/>
                <w:color w:val="auto"/>
                <w:kern w:val="0"/>
                <w:sz w:val="21"/>
                <w:szCs w:val="21"/>
              </w:rPr>
              <w:t>0.162</w:t>
            </w:r>
            <w:r>
              <w:rPr>
                <w:rFonts w:ascii="Times New Roman" w:hAnsi="Times New Roman" w:eastAsia="宋体" w:cs="Times New Roman"/>
                <w:color w:val="auto"/>
                <w:kern w:val="0"/>
                <w:sz w:val="21"/>
                <w:szCs w:val="21"/>
                <w:highlight w:val="none"/>
              </w:rPr>
              <w:t>t/a</w:t>
            </w:r>
          </w:p>
        </w:tc>
        <w:tc>
          <w:tcPr>
            <w:tcW w:w="1218" w:type="dxa"/>
            <w:vAlign w:val="center"/>
          </w:tcPr>
          <w:p>
            <w:pPr>
              <w:widowControl/>
              <w:jc w:val="center"/>
              <w:textAlignment w:val="center"/>
              <w:rPr>
                <w:rFonts w:ascii="Times New Roman" w:hAnsi="Times New Roman" w:eastAsia="宋体" w:cs="Times New Roman"/>
                <w:snapToGrid w:val="0"/>
                <w:kern w:val="21"/>
                <w:sz w:val="21"/>
                <w:szCs w:val="21"/>
              </w:rPr>
            </w:pPr>
            <w:r>
              <w:rPr>
                <w:rFonts w:ascii="Times New Roman" w:hAnsi="Times New Roman" w:eastAsia="宋体" w:cs="Times New Roman"/>
                <w:kern w:val="0"/>
                <w:sz w:val="21"/>
                <w:szCs w:val="21"/>
              </w:rPr>
              <w:t>+</w:t>
            </w:r>
            <w:r>
              <w:rPr>
                <w:rFonts w:ascii="Times New Roman" w:hAnsi="Times New Roman" w:eastAsia="宋体" w:cs="Times New Roman"/>
                <w:color w:val="auto"/>
                <w:kern w:val="0"/>
                <w:sz w:val="21"/>
                <w:szCs w:val="21"/>
              </w:rPr>
              <w:t>0.162</w:t>
            </w:r>
            <w:r>
              <w:rPr>
                <w:rFonts w:ascii="Times New Roman" w:hAnsi="Times New Roman" w:eastAsia="宋体" w:cs="Times New Roman"/>
                <w:color w:val="auto"/>
                <w:kern w:val="0"/>
                <w:sz w:val="21"/>
                <w:szCs w:val="21"/>
                <w:highlight w:val="none"/>
              </w:rPr>
              <w:t>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1446" w:type="dxa"/>
            <w:vMerge w:val="continue"/>
            <w:vAlign w:val="center"/>
          </w:tcPr>
          <w:p>
            <w:pPr>
              <w:spacing w:line="269" w:lineRule="auto"/>
              <w:jc w:val="center"/>
              <w:rPr>
                <w:rFonts w:ascii="Times New Roman" w:hAnsi="Times New Roman" w:eastAsia="宋体" w:cs="Times New Roman"/>
                <w:snapToGrid w:val="0"/>
                <w:kern w:val="21"/>
                <w:sz w:val="21"/>
                <w:szCs w:val="21"/>
              </w:rPr>
            </w:pPr>
          </w:p>
        </w:tc>
        <w:tc>
          <w:tcPr>
            <w:tcW w:w="2837" w:type="dxa"/>
            <w:gridSpan w:val="2"/>
            <w:vAlign w:val="center"/>
          </w:tcPr>
          <w:p>
            <w:pPr>
              <w:keepNext w:val="0"/>
              <w:keepLines w:val="0"/>
              <w:widowControl/>
              <w:suppressLineNumbers w:val="0"/>
              <w:jc w:val="center"/>
              <w:textAlignment w:val="center"/>
              <w:rPr>
                <w:rFonts w:ascii="Times New Roman" w:hAnsi="Times New Roman" w:eastAsia="宋体" w:cs="Times New Roman"/>
                <w:snapToGrid w:val="0"/>
                <w:kern w:val="21"/>
                <w:sz w:val="21"/>
                <w:szCs w:val="21"/>
              </w:rPr>
            </w:pPr>
            <w:r>
              <w:rPr>
                <w:rFonts w:hint="default" w:ascii="Times New Roman" w:hAnsi="Times New Roman" w:eastAsia="宋体" w:cs="Times New Roman"/>
                <w:i w:val="0"/>
                <w:iCs w:val="0"/>
                <w:color w:val="auto"/>
                <w:kern w:val="0"/>
                <w:sz w:val="21"/>
                <w:szCs w:val="21"/>
                <w:u w:val="none"/>
                <w:lang w:val="en-US" w:eastAsia="zh-CN" w:bidi="ar"/>
              </w:rPr>
              <w:t>BOD</w:t>
            </w:r>
            <w:r>
              <w:rPr>
                <w:rFonts w:hint="default" w:ascii="Times New Roman" w:hAnsi="Times New Roman" w:eastAsia="宋体" w:cs="Times New Roman"/>
                <w:i w:val="0"/>
                <w:iCs w:val="0"/>
                <w:color w:val="auto"/>
                <w:kern w:val="0"/>
                <w:sz w:val="21"/>
                <w:szCs w:val="21"/>
                <w:u w:val="none"/>
                <w:vertAlign w:val="subscript"/>
                <w:lang w:val="en-US" w:eastAsia="zh-CN" w:bidi="ar"/>
              </w:rPr>
              <w:t>5</w:t>
            </w:r>
          </w:p>
        </w:tc>
        <w:tc>
          <w:tcPr>
            <w:tcW w:w="1417"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992"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widowControl/>
              <w:jc w:val="center"/>
              <w:textAlignment w:val="center"/>
              <w:rPr>
                <w:rFonts w:ascii="Times New Roman" w:hAnsi="Times New Roman" w:eastAsia="宋体" w:cs="Times New Roman"/>
                <w:snapToGrid w:val="0"/>
                <w:kern w:val="21"/>
                <w:sz w:val="21"/>
                <w:szCs w:val="21"/>
              </w:rPr>
            </w:pPr>
            <w:r>
              <w:rPr>
                <w:rFonts w:ascii="Times New Roman" w:hAnsi="Times New Roman" w:eastAsia="宋体" w:cs="Times New Roman"/>
                <w:color w:val="auto"/>
                <w:kern w:val="0"/>
                <w:sz w:val="21"/>
                <w:szCs w:val="21"/>
              </w:rPr>
              <w:t>0.097</w:t>
            </w:r>
            <w:r>
              <w:rPr>
                <w:rFonts w:ascii="Times New Roman" w:hAnsi="Times New Roman" w:eastAsia="宋体" w:cs="Times New Roman"/>
                <w:color w:val="auto"/>
                <w:kern w:val="0"/>
                <w:sz w:val="21"/>
                <w:szCs w:val="21"/>
                <w:highlight w:val="none"/>
              </w:rPr>
              <w:t>t/a</w:t>
            </w:r>
          </w:p>
        </w:tc>
        <w:tc>
          <w:tcPr>
            <w:tcW w:w="1133"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widowControl/>
              <w:jc w:val="center"/>
              <w:textAlignment w:val="center"/>
              <w:rPr>
                <w:rFonts w:ascii="Times New Roman" w:hAnsi="Times New Roman" w:eastAsia="宋体" w:cs="Times New Roman"/>
                <w:snapToGrid w:val="0"/>
                <w:kern w:val="21"/>
                <w:sz w:val="21"/>
                <w:szCs w:val="21"/>
              </w:rPr>
            </w:pPr>
            <w:r>
              <w:rPr>
                <w:rFonts w:ascii="Times New Roman" w:hAnsi="Times New Roman" w:eastAsia="宋体" w:cs="Times New Roman"/>
                <w:color w:val="auto"/>
                <w:kern w:val="0"/>
                <w:sz w:val="21"/>
                <w:szCs w:val="21"/>
              </w:rPr>
              <w:t>0.097</w:t>
            </w:r>
            <w:r>
              <w:rPr>
                <w:rFonts w:ascii="Times New Roman" w:hAnsi="Times New Roman" w:eastAsia="宋体" w:cs="Times New Roman"/>
                <w:color w:val="auto"/>
                <w:kern w:val="0"/>
                <w:sz w:val="21"/>
                <w:szCs w:val="21"/>
                <w:highlight w:val="none"/>
              </w:rPr>
              <w:t>t/a</w:t>
            </w:r>
          </w:p>
        </w:tc>
        <w:tc>
          <w:tcPr>
            <w:tcW w:w="1218" w:type="dxa"/>
            <w:vAlign w:val="center"/>
          </w:tcPr>
          <w:p>
            <w:pPr>
              <w:widowControl/>
              <w:jc w:val="center"/>
              <w:textAlignment w:val="center"/>
              <w:rPr>
                <w:rFonts w:ascii="Times New Roman" w:hAnsi="Times New Roman" w:eastAsia="宋体" w:cs="Times New Roman"/>
                <w:snapToGrid w:val="0"/>
                <w:kern w:val="21"/>
                <w:sz w:val="21"/>
                <w:szCs w:val="21"/>
              </w:rPr>
            </w:pPr>
            <w:r>
              <w:rPr>
                <w:rFonts w:ascii="Times New Roman" w:hAnsi="Times New Roman" w:eastAsia="宋体" w:cs="Times New Roman"/>
                <w:kern w:val="0"/>
                <w:sz w:val="21"/>
                <w:szCs w:val="21"/>
              </w:rPr>
              <w:t>+</w:t>
            </w:r>
            <w:r>
              <w:rPr>
                <w:rFonts w:ascii="Times New Roman" w:hAnsi="Times New Roman" w:eastAsia="宋体" w:cs="Times New Roman"/>
                <w:color w:val="auto"/>
                <w:kern w:val="0"/>
                <w:sz w:val="21"/>
                <w:szCs w:val="21"/>
              </w:rPr>
              <w:t>0.097</w:t>
            </w:r>
            <w:r>
              <w:rPr>
                <w:rFonts w:ascii="Times New Roman" w:hAnsi="Times New Roman" w:eastAsia="宋体" w:cs="Times New Roman"/>
                <w:color w:val="auto"/>
                <w:kern w:val="0"/>
                <w:sz w:val="21"/>
                <w:szCs w:val="21"/>
                <w:highlight w:val="none"/>
              </w:rPr>
              <w:t>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1446" w:type="dxa"/>
            <w:vMerge w:val="continue"/>
            <w:vAlign w:val="center"/>
          </w:tcPr>
          <w:p>
            <w:pPr>
              <w:spacing w:line="269" w:lineRule="auto"/>
              <w:jc w:val="center"/>
              <w:rPr>
                <w:rFonts w:ascii="Times New Roman" w:hAnsi="Times New Roman" w:eastAsia="宋体" w:cs="Times New Roman"/>
                <w:snapToGrid w:val="0"/>
                <w:kern w:val="21"/>
                <w:sz w:val="21"/>
                <w:szCs w:val="21"/>
              </w:rPr>
            </w:pPr>
          </w:p>
        </w:tc>
        <w:tc>
          <w:tcPr>
            <w:tcW w:w="2837" w:type="dxa"/>
            <w:gridSpan w:val="2"/>
            <w:vAlign w:val="center"/>
          </w:tcPr>
          <w:p>
            <w:pPr>
              <w:keepNext w:val="0"/>
              <w:keepLines w:val="0"/>
              <w:widowControl/>
              <w:suppressLineNumbers w:val="0"/>
              <w:jc w:val="center"/>
              <w:textAlignment w:val="center"/>
              <w:rPr>
                <w:rFonts w:ascii="Times New Roman" w:hAnsi="Times New Roman" w:eastAsia="宋体" w:cs="Times New Roman"/>
                <w:snapToGrid w:val="0"/>
                <w:kern w:val="21"/>
                <w:sz w:val="21"/>
                <w:szCs w:val="21"/>
              </w:rPr>
            </w:pPr>
            <w:r>
              <w:rPr>
                <w:rFonts w:hint="default" w:ascii="Times New Roman" w:hAnsi="Times New Roman" w:eastAsia="宋体" w:cs="Times New Roman"/>
                <w:i w:val="0"/>
                <w:iCs w:val="0"/>
                <w:color w:val="auto"/>
                <w:kern w:val="0"/>
                <w:sz w:val="21"/>
                <w:szCs w:val="21"/>
                <w:u w:val="none"/>
                <w:lang w:val="en-US" w:eastAsia="zh-CN" w:bidi="ar"/>
              </w:rPr>
              <w:t>SS</w:t>
            </w:r>
          </w:p>
        </w:tc>
        <w:tc>
          <w:tcPr>
            <w:tcW w:w="1417"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992"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widowControl/>
              <w:jc w:val="center"/>
              <w:textAlignment w:val="center"/>
              <w:rPr>
                <w:rFonts w:ascii="Times New Roman" w:hAnsi="Times New Roman" w:eastAsia="宋体" w:cs="Times New Roman"/>
                <w:snapToGrid w:val="0"/>
                <w:kern w:val="21"/>
                <w:sz w:val="21"/>
                <w:szCs w:val="21"/>
              </w:rPr>
            </w:pPr>
            <w:r>
              <w:rPr>
                <w:rFonts w:ascii="Times New Roman" w:hAnsi="Times New Roman" w:eastAsia="宋体" w:cs="Times New Roman"/>
                <w:color w:val="auto"/>
                <w:kern w:val="0"/>
                <w:sz w:val="21"/>
                <w:szCs w:val="21"/>
              </w:rPr>
              <w:t>0.081</w:t>
            </w:r>
            <w:r>
              <w:rPr>
                <w:rFonts w:ascii="Times New Roman" w:hAnsi="Times New Roman" w:eastAsia="宋体" w:cs="Times New Roman"/>
                <w:color w:val="auto"/>
                <w:kern w:val="0"/>
                <w:sz w:val="21"/>
                <w:szCs w:val="21"/>
                <w:highlight w:val="none"/>
              </w:rPr>
              <w:t>t/a</w:t>
            </w:r>
          </w:p>
        </w:tc>
        <w:tc>
          <w:tcPr>
            <w:tcW w:w="1133"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widowControl/>
              <w:jc w:val="center"/>
              <w:textAlignment w:val="center"/>
              <w:rPr>
                <w:rFonts w:ascii="Times New Roman" w:hAnsi="Times New Roman" w:eastAsia="宋体" w:cs="Times New Roman"/>
                <w:snapToGrid w:val="0"/>
                <w:kern w:val="21"/>
                <w:sz w:val="21"/>
                <w:szCs w:val="21"/>
              </w:rPr>
            </w:pPr>
            <w:r>
              <w:rPr>
                <w:rFonts w:ascii="Times New Roman" w:hAnsi="Times New Roman" w:eastAsia="宋体" w:cs="Times New Roman"/>
                <w:color w:val="auto"/>
                <w:kern w:val="0"/>
                <w:sz w:val="21"/>
                <w:szCs w:val="21"/>
              </w:rPr>
              <w:t>0.081</w:t>
            </w:r>
            <w:r>
              <w:rPr>
                <w:rFonts w:ascii="Times New Roman" w:hAnsi="Times New Roman" w:eastAsia="宋体" w:cs="Times New Roman"/>
                <w:color w:val="auto"/>
                <w:kern w:val="0"/>
                <w:sz w:val="21"/>
                <w:szCs w:val="21"/>
                <w:highlight w:val="none"/>
              </w:rPr>
              <w:t>t/a</w:t>
            </w:r>
          </w:p>
        </w:tc>
        <w:tc>
          <w:tcPr>
            <w:tcW w:w="1218" w:type="dxa"/>
            <w:vAlign w:val="center"/>
          </w:tcPr>
          <w:p>
            <w:pPr>
              <w:widowControl/>
              <w:jc w:val="center"/>
              <w:textAlignment w:val="center"/>
              <w:rPr>
                <w:rFonts w:ascii="Times New Roman" w:hAnsi="Times New Roman" w:eastAsia="宋体" w:cs="Times New Roman"/>
                <w:snapToGrid w:val="0"/>
                <w:kern w:val="21"/>
                <w:sz w:val="21"/>
                <w:szCs w:val="21"/>
              </w:rPr>
            </w:pPr>
            <w:r>
              <w:rPr>
                <w:rFonts w:ascii="Times New Roman" w:hAnsi="Times New Roman" w:eastAsia="宋体" w:cs="Times New Roman"/>
                <w:kern w:val="0"/>
                <w:sz w:val="21"/>
                <w:szCs w:val="21"/>
              </w:rPr>
              <w:t>+</w:t>
            </w:r>
            <w:r>
              <w:rPr>
                <w:rFonts w:ascii="Times New Roman" w:hAnsi="Times New Roman" w:eastAsia="宋体" w:cs="Times New Roman"/>
                <w:color w:val="auto"/>
                <w:kern w:val="0"/>
                <w:sz w:val="21"/>
                <w:szCs w:val="21"/>
              </w:rPr>
              <w:t>0.081</w:t>
            </w:r>
            <w:r>
              <w:rPr>
                <w:rFonts w:ascii="Times New Roman" w:hAnsi="Times New Roman" w:eastAsia="宋体" w:cs="Times New Roman"/>
                <w:color w:val="auto"/>
                <w:kern w:val="0"/>
                <w:sz w:val="21"/>
                <w:szCs w:val="21"/>
                <w:highlight w:val="none"/>
              </w:rPr>
              <w:t>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1446" w:type="dxa"/>
            <w:vMerge w:val="continue"/>
            <w:vAlign w:val="center"/>
          </w:tcPr>
          <w:p>
            <w:pPr>
              <w:spacing w:line="269" w:lineRule="auto"/>
              <w:jc w:val="center"/>
              <w:rPr>
                <w:rFonts w:ascii="Times New Roman" w:hAnsi="Times New Roman" w:eastAsia="宋体" w:cs="Times New Roman"/>
                <w:snapToGrid w:val="0"/>
                <w:kern w:val="21"/>
                <w:sz w:val="21"/>
                <w:szCs w:val="21"/>
              </w:rPr>
            </w:pPr>
          </w:p>
        </w:tc>
        <w:tc>
          <w:tcPr>
            <w:tcW w:w="2837" w:type="dxa"/>
            <w:gridSpan w:val="2"/>
            <w:vAlign w:val="center"/>
          </w:tcPr>
          <w:p>
            <w:pPr>
              <w:keepNext w:val="0"/>
              <w:keepLines w:val="0"/>
              <w:widowControl/>
              <w:suppressLineNumbers w:val="0"/>
              <w:jc w:val="center"/>
              <w:textAlignment w:val="center"/>
              <w:rPr>
                <w:rFonts w:ascii="Times New Roman" w:hAnsi="Times New Roman" w:eastAsia="宋体" w:cs="Times New Roman"/>
                <w:snapToGrid w:val="0"/>
                <w:kern w:val="21"/>
                <w:sz w:val="21"/>
                <w:szCs w:val="21"/>
              </w:rPr>
            </w:pPr>
            <w:r>
              <w:rPr>
                <w:rFonts w:hint="default" w:ascii="Times New Roman" w:hAnsi="Times New Roman" w:eastAsia="宋体" w:cs="Times New Roman"/>
                <w:i w:val="0"/>
                <w:iCs w:val="0"/>
                <w:color w:val="auto"/>
                <w:kern w:val="0"/>
                <w:sz w:val="21"/>
                <w:szCs w:val="21"/>
                <w:u w:val="none"/>
                <w:lang w:val="en-US" w:eastAsia="zh-CN" w:bidi="ar"/>
              </w:rPr>
              <w:t>NH</w:t>
            </w:r>
            <w:r>
              <w:rPr>
                <w:rFonts w:hint="default" w:ascii="Times New Roman" w:hAnsi="Times New Roman" w:eastAsia="宋体" w:cs="Times New Roman"/>
                <w:i w:val="0"/>
                <w:iCs w:val="0"/>
                <w:color w:val="auto"/>
                <w:kern w:val="0"/>
                <w:sz w:val="21"/>
                <w:szCs w:val="21"/>
                <w:u w:val="none"/>
                <w:vertAlign w:val="subscript"/>
                <w:lang w:val="en-US" w:eastAsia="zh-CN" w:bidi="ar"/>
              </w:rPr>
              <w:t>3</w:t>
            </w:r>
            <w:r>
              <w:rPr>
                <w:rFonts w:hint="default" w:ascii="Times New Roman" w:hAnsi="Times New Roman" w:eastAsia="宋体" w:cs="Times New Roman"/>
                <w:i w:val="0"/>
                <w:iCs w:val="0"/>
                <w:color w:val="auto"/>
                <w:kern w:val="0"/>
                <w:sz w:val="21"/>
                <w:szCs w:val="21"/>
                <w:u w:val="none"/>
                <w:lang w:val="en-US" w:eastAsia="zh-CN" w:bidi="ar"/>
              </w:rPr>
              <w:t>-N</w:t>
            </w:r>
          </w:p>
        </w:tc>
        <w:tc>
          <w:tcPr>
            <w:tcW w:w="1417"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992"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widowControl/>
              <w:jc w:val="center"/>
              <w:textAlignment w:val="center"/>
              <w:rPr>
                <w:rFonts w:ascii="Times New Roman" w:hAnsi="Times New Roman" w:eastAsia="宋体" w:cs="Times New Roman"/>
                <w:snapToGrid w:val="0"/>
                <w:kern w:val="21"/>
                <w:sz w:val="21"/>
                <w:szCs w:val="21"/>
              </w:rPr>
            </w:pPr>
            <w:r>
              <w:rPr>
                <w:rFonts w:ascii="Times New Roman" w:hAnsi="Times New Roman" w:eastAsia="宋体" w:cs="Times New Roman"/>
                <w:color w:val="auto"/>
                <w:kern w:val="0"/>
                <w:sz w:val="21"/>
                <w:szCs w:val="21"/>
              </w:rPr>
              <w:t>0.01</w:t>
            </w:r>
            <w:r>
              <w:rPr>
                <w:rFonts w:hint="eastAsia" w:ascii="Times New Roman" w:hAnsi="Times New Roman" w:eastAsia="宋体" w:cs="Times New Roman"/>
                <w:color w:val="auto"/>
                <w:kern w:val="0"/>
                <w:sz w:val="21"/>
                <w:szCs w:val="21"/>
                <w:lang w:val="en-US" w:eastAsia="zh-CN"/>
              </w:rPr>
              <w:t>4</w:t>
            </w:r>
            <w:r>
              <w:rPr>
                <w:rFonts w:ascii="Times New Roman" w:hAnsi="Times New Roman" w:eastAsia="宋体" w:cs="Times New Roman"/>
                <w:color w:val="auto"/>
                <w:kern w:val="0"/>
                <w:sz w:val="21"/>
                <w:szCs w:val="21"/>
                <w:highlight w:val="none"/>
              </w:rPr>
              <w:t>t/a</w:t>
            </w:r>
          </w:p>
        </w:tc>
        <w:tc>
          <w:tcPr>
            <w:tcW w:w="1133"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widowControl/>
              <w:jc w:val="center"/>
              <w:textAlignment w:val="center"/>
              <w:rPr>
                <w:rFonts w:ascii="Times New Roman" w:hAnsi="Times New Roman" w:eastAsia="宋体" w:cs="Times New Roman"/>
                <w:snapToGrid w:val="0"/>
                <w:kern w:val="21"/>
                <w:sz w:val="21"/>
                <w:szCs w:val="21"/>
              </w:rPr>
            </w:pPr>
            <w:r>
              <w:rPr>
                <w:rFonts w:ascii="Times New Roman" w:hAnsi="Times New Roman" w:eastAsia="宋体" w:cs="Times New Roman"/>
                <w:color w:val="auto"/>
                <w:kern w:val="0"/>
                <w:sz w:val="21"/>
                <w:szCs w:val="21"/>
              </w:rPr>
              <w:t>0.01</w:t>
            </w:r>
            <w:r>
              <w:rPr>
                <w:rFonts w:hint="eastAsia" w:ascii="Times New Roman" w:hAnsi="Times New Roman" w:eastAsia="宋体" w:cs="Times New Roman"/>
                <w:color w:val="auto"/>
                <w:kern w:val="0"/>
                <w:sz w:val="21"/>
                <w:szCs w:val="21"/>
                <w:lang w:val="en-US" w:eastAsia="zh-CN"/>
              </w:rPr>
              <w:t>4</w:t>
            </w:r>
            <w:r>
              <w:rPr>
                <w:rFonts w:ascii="Times New Roman" w:hAnsi="Times New Roman" w:eastAsia="宋体" w:cs="Times New Roman"/>
                <w:color w:val="auto"/>
                <w:kern w:val="0"/>
                <w:sz w:val="21"/>
                <w:szCs w:val="21"/>
                <w:highlight w:val="none"/>
              </w:rPr>
              <w:t>t/a</w:t>
            </w:r>
          </w:p>
        </w:tc>
        <w:tc>
          <w:tcPr>
            <w:tcW w:w="1218" w:type="dxa"/>
            <w:vAlign w:val="center"/>
          </w:tcPr>
          <w:p>
            <w:pPr>
              <w:widowControl/>
              <w:jc w:val="center"/>
              <w:textAlignment w:val="center"/>
              <w:rPr>
                <w:rFonts w:ascii="Times New Roman" w:hAnsi="Times New Roman" w:eastAsia="宋体" w:cs="Times New Roman"/>
                <w:snapToGrid w:val="0"/>
                <w:kern w:val="21"/>
                <w:sz w:val="21"/>
                <w:szCs w:val="21"/>
              </w:rPr>
            </w:pPr>
            <w:r>
              <w:rPr>
                <w:rFonts w:ascii="Times New Roman" w:hAnsi="Times New Roman" w:eastAsia="宋体" w:cs="Times New Roman"/>
                <w:kern w:val="0"/>
                <w:sz w:val="21"/>
                <w:szCs w:val="21"/>
              </w:rPr>
              <w:t>+</w:t>
            </w:r>
            <w:r>
              <w:rPr>
                <w:rFonts w:ascii="Times New Roman" w:hAnsi="Times New Roman" w:eastAsia="宋体" w:cs="Times New Roman"/>
                <w:color w:val="auto"/>
                <w:kern w:val="0"/>
                <w:sz w:val="21"/>
                <w:szCs w:val="21"/>
              </w:rPr>
              <w:t>0.01</w:t>
            </w:r>
            <w:r>
              <w:rPr>
                <w:rFonts w:hint="eastAsia" w:ascii="Times New Roman" w:hAnsi="Times New Roman" w:eastAsia="宋体" w:cs="Times New Roman"/>
                <w:color w:val="auto"/>
                <w:kern w:val="0"/>
                <w:sz w:val="21"/>
                <w:szCs w:val="21"/>
                <w:lang w:val="en-US" w:eastAsia="zh-CN"/>
              </w:rPr>
              <w:t>4</w:t>
            </w:r>
            <w:r>
              <w:rPr>
                <w:rFonts w:ascii="Times New Roman" w:hAnsi="Times New Roman" w:eastAsia="宋体" w:cs="Times New Roman"/>
                <w:color w:val="auto"/>
                <w:kern w:val="0"/>
                <w:sz w:val="21"/>
                <w:szCs w:val="21"/>
                <w:highlight w:val="none"/>
              </w:rPr>
              <w:t>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1446" w:type="dxa"/>
            <w:vMerge w:val="restart"/>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一般工业固体废物</w:t>
            </w:r>
          </w:p>
        </w:tc>
        <w:tc>
          <w:tcPr>
            <w:tcW w:w="2837" w:type="dxa"/>
            <w:gridSpan w:val="2"/>
            <w:vAlign w:val="center"/>
          </w:tcPr>
          <w:p>
            <w:pPr>
              <w:adjustRightInd w:val="0"/>
              <w:snapToGrid w:val="0"/>
              <w:spacing w:line="276"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color w:val="auto"/>
                <w:sz w:val="21"/>
                <w:szCs w:val="21"/>
                <w:highlight w:val="none"/>
              </w:rPr>
              <w:t>边角料</w:t>
            </w:r>
          </w:p>
        </w:tc>
        <w:tc>
          <w:tcPr>
            <w:tcW w:w="1417"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992"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adjustRightInd w:val="0"/>
              <w:snapToGrid w:val="0"/>
              <w:spacing w:line="276"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color w:val="auto"/>
                <w:kern w:val="0"/>
                <w:sz w:val="21"/>
                <w:szCs w:val="21"/>
                <w:highlight w:val="none"/>
              </w:rPr>
              <w:t>1t/a</w:t>
            </w:r>
          </w:p>
        </w:tc>
        <w:tc>
          <w:tcPr>
            <w:tcW w:w="1133"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adjustRightInd w:val="0"/>
              <w:snapToGrid w:val="0"/>
              <w:spacing w:line="276"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color w:val="auto"/>
                <w:kern w:val="0"/>
                <w:sz w:val="21"/>
                <w:szCs w:val="21"/>
                <w:highlight w:val="none"/>
              </w:rPr>
              <w:t>1t/a</w:t>
            </w:r>
          </w:p>
        </w:tc>
        <w:tc>
          <w:tcPr>
            <w:tcW w:w="1218" w:type="dxa"/>
            <w:vAlign w:val="center"/>
          </w:tcPr>
          <w:p>
            <w:pPr>
              <w:adjustRightInd w:val="0"/>
              <w:snapToGrid w:val="0"/>
              <w:spacing w:line="276"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kern w:val="0"/>
                <w:sz w:val="21"/>
                <w:szCs w:val="21"/>
              </w:rPr>
              <w:t>+</w:t>
            </w:r>
            <w:r>
              <w:rPr>
                <w:rFonts w:hint="eastAsia" w:ascii="Times New Roman" w:hAnsi="Times New Roman" w:eastAsia="宋体" w:cs="Times New Roman"/>
                <w:kern w:val="0"/>
                <w:sz w:val="21"/>
                <w:szCs w:val="21"/>
                <w:lang w:val="en-US" w:eastAsia="zh-CN"/>
              </w:rPr>
              <w:t>1</w:t>
            </w:r>
            <w:r>
              <w:rPr>
                <w:rFonts w:ascii="Times New Roman" w:hAnsi="Times New Roman" w:eastAsia="宋体" w:cs="Times New Roman"/>
                <w:kern w:val="0"/>
                <w:sz w:val="21"/>
                <w:szCs w:val="21"/>
              </w:rPr>
              <w:t>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6" w:hRule="atLeast"/>
        </w:trPr>
        <w:tc>
          <w:tcPr>
            <w:tcW w:w="1446" w:type="dxa"/>
            <w:vMerge w:val="continue"/>
            <w:vAlign w:val="center"/>
          </w:tcPr>
          <w:p>
            <w:pPr>
              <w:spacing w:line="269" w:lineRule="auto"/>
              <w:jc w:val="center"/>
              <w:rPr>
                <w:rFonts w:ascii="Times New Roman" w:hAnsi="Times New Roman" w:eastAsia="宋体" w:cs="Times New Roman"/>
                <w:snapToGrid w:val="0"/>
                <w:kern w:val="21"/>
                <w:sz w:val="21"/>
                <w:szCs w:val="21"/>
              </w:rPr>
            </w:pPr>
          </w:p>
        </w:tc>
        <w:tc>
          <w:tcPr>
            <w:tcW w:w="2837" w:type="dxa"/>
            <w:gridSpan w:val="2"/>
            <w:vAlign w:val="center"/>
          </w:tcPr>
          <w:p>
            <w:pPr>
              <w:snapToGrid w:val="0"/>
              <w:spacing w:line="276"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bCs/>
                <w:color w:val="auto"/>
                <w:sz w:val="21"/>
                <w:szCs w:val="21"/>
                <w:highlight w:val="none"/>
              </w:rPr>
              <w:t>焊渣</w:t>
            </w:r>
          </w:p>
        </w:tc>
        <w:tc>
          <w:tcPr>
            <w:tcW w:w="1417"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992"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snapToGrid w:val="0"/>
              <w:spacing w:line="276"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color w:val="auto"/>
                <w:sz w:val="21"/>
                <w:szCs w:val="21"/>
                <w:highlight w:val="none"/>
              </w:rPr>
              <w:t>0.13</w:t>
            </w:r>
            <w:r>
              <w:rPr>
                <w:rFonts w:ascii="Times New Roman" w:hAnsi="Times New Roman" w:eastAsia="宋体" w:cs="Times New Roman"/>
                <w:color w:val="auto"/>
                <w:kern w:val="0"/>
                <w:sz w:val="21"/>
                <w:szCs w:val="21"/>
                <w:highlight w:val="none"/>
              </w:rPr>
              <w:t>t/a</w:t>
            </w:r>
          </w:p>
        </w:tc>
        <w:tc>
          <w:tcPr>
            <w:tcW w:w="1133"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snapToGrid w:val="0"/>
              <w:spacing w:line="276"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color w:val="auto"/>
                <w:sz w:val="21"/>
                <w:szCs w:val="21"/>
                <w:highlight w:val="none"/>
              </w:rPr>
              <w:t>0.13</w:t>
            </w:r>
            <w:r>
              <w:rPr>
                <w:rFonts w:ascii="Times New Roman" w:hAnsi="Times New Roman" w:eastAsia="宋体" w:cs="Times New Roman"/>
                <w:color w:val="auto"/>
                <w:kern w:val="0"/>
                <w:sz w:val="21"/>
                <w:szCs w:val="21"/>
                <w:highlight w:val="none"/>
              </w:rPr>
              <w:t>t/a</w:t>
            </w:r>
          </w:p>
        </w:tc>
        <w:tc>
          <w:tcPr>
            <w:tcW w:w="1218" w:type="dxa"/>
            <w:vAlign w:val="center"/>
          </w:tcPr>
          <w:p>
            <w:pPr>
              <w:snapToGrid w:val="0"/>
              <w:spacing w:line="276"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z w:val="21"/>
                <w:szCs w:val="21"/>
              </w:rPr>
              <w:t>+0.1</w:t>
            </w:r>
            <w:r>
              <w:rPr>
                <w:rFonts w:hint="eastAsia" w:ascii="Times New Roman" w:hAnsi="Times New Roman" w:eastAsia="宋体" w:cs="Times New Roman"/>
                <w:sz w:val="21"/>
                <w:szCs w:val="21"/>
                <w:lang w:val="en-US" w:eastAsia="zh-CN"/>
              </w:rPr>
              <w:t>3</w:t>
            </w:r>
            <w:r>
              <w:rPr>
                <w:rFonts w:ascii="Times New Roman" w:hAnsi="Times New Roman" w:eastAsia="宋体" w:cs="Times New Roman"/>
                <w:kern w:val="0"/>
                <w:sz w:val="21"/>
                <w:szCs w:val="21"/>
              </w:rPr>
              <w:t>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1446" w:type="dxa"/>
            <w:vMerge w:val="continue"/>
            <w:vAlign w:val="center"/>
          </w:tcPr>
          <w:p>
            <w:pPr>
              <w:spacing w:line="269" w:lineRule="auto"/>
              <w:jc w:val="center"/>
              <w:rPr>
                <w:rFonts w:ascii="Times New Roman" w:hAnsi="Times New Roman" w:eastAsia="宋体" w:cs="Times New Roman"/>
                <w:snapToGrid w:val="0"/>
                <w:kern w:val="21"/>
                <w:sz w:val="21"/>
                <w:szCs w:val="21"/>
              </w:rPr>
            </w:pPr>
          </w:p>
        </w:tc>
        <w:tc>
          <w:tcPr>
            <w:tcW w:w="2837" w:type="dxa"/>
            <w:gridSpan w:val="2"/>
            <w:vAlign w:val="center"/>
          </w:tcPr>
          <w:p>
            <w:pPr>
              <w:snapToGrid w:val="0"/>
              <w:spacing w:line="276"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color w:val="auto"/>
                <w:sz w:val="21"/>
                <w:szCs w:val="21"/>
                <w:highlight w:val="none"/>
              </w:rPr>
              <w:t>废包装物</w:t>
            </w:r>
          </w:p>
        </w:tc>
        <w:tc>
          <w:tcPr>
            <w:tcW w:w="1417"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992"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snapToGrid w:val="0"/>
              <w:spacing w:line="276"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color w:val="auto"/>
                <w:kern w:val="0"/>
                <w:sz w:val="21"/>
                <w:szCs w:val="21"/>
                <w:highlight w:val="none"/>
              </w:rPr>
              <w:t>0.05t/a</w:t>
            </w:r>
          </w:p>
        </w:tc>
        <w:tc>
          <w:tcPr>
            <w:tcW w:w="1133"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snapToGrid w:val="0"/>
              <w:spacing w:line="276"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color w:val="auto"/>
                <w:kern w:val="0"/>
                <w:sz w:val="21"/>
                <w:szCs w:val="21"/>
                <w:highlight w:val="none"/>
              </w:rPr>
              <w:t>0.05t/a</w:t>
            </w:r>
          </w:p>
        </w:tc>
        <w:tc>
          <w:tcPr>
            <w:tcW w:w="1218" w:type="dxa"/>
            <w:vAlign w:val="center"/>
          </w:tcPr>
          <w:p>
            <w:pPr>
              <w:snapToGrid w:val="0"/>
              <w:spacing w:line="276"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kern w:val="0"/>
                <w:sz w:val="21"/>
                <w:szCs w:val="21"/>
              </w:rPr>
              <w:t>+</w:t>
            </w:r>
            <w:r>
              <w:rPr>
                <w:rFonts w:hint="eastAsia" w:ascii="Times New Roman" w:hAnsi="Times New Roman" w:eastAsia="宋体" w:cs="Times New Roman"/>
                <w:kern w:val="0"/>
                <w:sz w:val="21"/>
                <w:szCs w:val="21"/>
                <w:lang w:val="en-US" w:eastAsia="zh-CN"/>
              </w:rPr>
              <w:t>0.05</w:t>
            </w:r>
            <w:r>
              <w:rPr>
                <w:rFonts w:ascii="Times New Roman" w:hAnsi="Times New Roman" w:eastAsia="宋体" w:cs="Times New Roman"/>
                <w:kern w:val="0"/>
                <w:sz w:val="21"/>
                <w:szCs w:val="21"/>
              </w:rPr>
              <w:t>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1446" w:type="dxa"/>
            <w:vMerge w:val="continue"/>
            <w:vAlign w:val="center"/>
          </w:tcPr>
          <w:p>
            <w:pPr>
              <w:spacing w:line="269" w:lineRule="auto"/>
              <w:jc w:val="center"/>
              <w:rPr>
                <w:rFonts w:ascii="Times New Roman" w:hAnsi="Times New Roman" w:eastAsia="宋体" w:cs="Times New Roman"/>
                <w:snapToGrid w:val="0"/>
                <w:kern w:val="21"/>
                <w:sz w:val="21"/>
                <w:szCs w:val="21"/>
              </w:rPr>
            </w:pPr>
          </w:p>
        </w:tc>
        <w:tc>
          <w:tcPr>
            <w:tcW w:w="2837" w:type="dxa"/>
            <w:gridSpan w:val="2"/>
            <w:vAlign w:val="center"/>
          </w:tcPr>
          <w:p>
            <w:pPr>
              <w:snapToGrid w:val="0"/>
              <w:spacing w:line="276"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bCs/>
                <w:color w:val="auto"/>
                <w:sz w:val="21"/>
                <w:szCs w:val="21"/>
                <w:highlight w:val="none"/>
              </w:rPr>
              <w:t>废塑粉</w:t>
            </w:r>
          </w:p>
        </w:tc>
        <w:tc>
          <w:tcPr>
            <w:tcW w:w="1417"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992"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snapToGrid w:val="0"/>
              <w:spacing w:line="276"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color w:val="auto"/>
                <w:kern w:val="0"/>
                <w:sz w:val="21"/>
                <w:szCs w:val="21"/>
                <w:highlight w:val="none"/>
              </w:rPr>
              <w:t>30t/a</w:t>
            </w:r>
          </w:p>
        </w:tc>
        <w:tc>
          <w:tcPr>
            <w:tcW w:w="1133"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snapToGrid w:val="0"/>
              <w:spacing w:line="276" w:lineRule="auto"/>
              <w:jc w:val="center"/>
              <w:rPr>
                <w:rFonts w:hint="eastAsia" w:ascii="Times New Roman" w:hAnsi="Times New Roman" w:eastAsia="宋体" w:cs="Times New Roman"/>
                <w:snapToGrid w:val="0"/>
                <w:kern w:val="21"/>
                <w:sz w:val="21"/>
                <w:szCs w:val="21"/>
                <w:lang w:eastAsia="zh-CN"/>
              </w:rPr>
            </w:pPr>
            <w:r>
              <w:rPr>
                <w:rFonts w:hint="eastAsia" w:ascii="Times New Roman" w:hAnsi="Times New Roman" w:eastAsia="宋体" w:cs="Times New Roman"/>
                <w:color w:val="auto"/>
                <w:kern w:val="0"/>
                <w:sz w:val="21"/>
                <w:szCs w:val="21"/>
                <w:highlight w:val="none"/>
                <w:lang w:val="en-US" w:eastAsia="zh-CN"/>
              </w:rPr>
              <w:t>0</w:t>
            </w:r>
          </w:p>
        </w:tc>
        <w:tc>
          <w:tcPr>
            <w:tcW w:w="1218" w:type="dxa"/>
            <w:vAlign w:val="center"/>
          </w:tcPr>
          <w:p>
            <w:pPr>
              <w:snapToGrid w:val="0"/>
              <w:spacing w:line="276" w:lineRule="auto"/>
              <w:jc w:val="center"/>
              <w:rPr>
                <w:rFonts w:hint="eastAsia" w:ascii="Times New Roman" w:hAnsi="Times New Roman" w:eastAsia="宋体" w:cs="Times New Roman"/>
                <w:snapToGrid w:val="0"/>
                <w:kern w:val="21"/>
                <w:sz w:val="21"/>
                <w:szCs w:val="21"/>
                <w:lang w:eastAsia="zh-CN"/>
              </w:rPr>
            </w:pPr>
            <w:r>
              <w:rPr>
                <w:rFonts w:hint="eastAsia" w:ascii="Times New Roman" w:hAnsi="Times New Roman" w:eastAsia="宋体" w:cs="Times New Roman"/>
                <w:kern w:val="0"/>
                <w:sz w:val="21"/>
                <w:szCs w:val="21"/>
                <w:lang w:val="en-US" w:eastAsia="zh-CN"/>
              </w:rPr>
              <w:t>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1446" w:type="dxa"/>
            <w:vMerge w:val="restart"/>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危险废物</w:t>
            </w:r>
          </w:p>
        </w:tc>
        <w:tc>
          <w:tcPr>
            <w:tcW w:w="2837" w:type="dxa"/>
            <w:gridSpan w:val="2"/>
            <w:vAlign w:val="center"/>
          </w:tcPr>
          <w:p>
            <w:pPr>
              <w:snapToGrid w:val="0"/>
              <w:spacing w:line="276"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color w:val="auto"/>
                <w:sz w:val="21"/>
                <w:szCs w:val="21"/>
                <w:highlight w:val="none"/>
              </w:rPr>
              <w:t>废机油</w:t>
            </w:r>
          </w:p>
        </w:tc>
        <w:tc>
          <w:tcPr>
            <w:tcW w:w="1417"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992"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snapToGrid w:val="0"/>
              <w:spacing w:line="276"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color w:val="auto"/>
                <w:sz w:val="21"/>
                <w:szCs w:val="21"/>
                <w:highlight w:val="none"/>
              </w:rPr>
              <w:t>0.5</w:t>
            </w:r>
            <w:r>
              <w:rPr>
                <w:rFonts w:ascii="Times New Roman" w:hAnsi="Times New Roman" w:eastAsia="宋体" w:cs="Times New Roman"/>
                <w:color w:val="auto"/>
                <w:kern w:val="0"/>
                <w:sz w:val="21"/>
                <w:szCs w:val="21"/>
                <w:highlight w:val="none"/>
              </w:rPr>
              <w:t>t/a</w:t>
            </w:r>
          </w:p>
        </w:tc>
        <w:tc>
          <w:tcPr>
            <w:tcW w:w="1133"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snapToGrid w:val="0"/>
              <w:spacing w:line="276"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color w:val="auto"/>
                <w:sz w:val="21"/>
                <w:szCs w:val="21"/>
                <w:highlight w:val="none"/>
              </w:rPr>
              <w:t>0.5</w:t>
            </w:r>
            <w:r>
              <w:rPr>
                <w:rFonts w:ascii="Times New Roman" w:hAnsi="Times New Roman" w:eastAsia="宋体" w:cs="Times New Roman"/>
                <w:color w:val="auto"/>
                <w:kern w:val="0"/>
                <w:sz w:val="21"/>
                <w:szCs w:val="21"/>
                <w:highlight w:val="none"/>
              </w:rPr>
              <w:t>t/a</w:t>
            </w:r>
          </w:p>
        </w:tc>
        <w:tc>
          <w:tcPr>
            <w:tcW w:w="1218" w:type="dxa"/>
            <w:vAlign w:val="center"/>
          </w:tcPr>
          <w:p>
            <w:pPr>
              <w:snapToGrid w:val="0"/>
              <w:spacing w:line="276"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z w:val="21"/>
                <w:szCs w:val="21"/>
              </w:rPr>
              <w:t>+</w:t>
            </w:r>
            <w:r>
              <w:rPr>
                <w:rFonts w:ascii="Times New Roman" w:hAnsi="Times New Roman" w:eastAsia="宋体" w:cs="Times New Roman"/>
                <w:color w:val="auto"/>
                <w:sz w:val="21"/>
                <w:szCs w:val="21"/>
                <w:highlight w:val="none"/>
              </w:rPr>
              <w:t>0.5</w:t>
            </w:r>
            <w:r>
              <w:rPr>
                <w:rFonts w:ascii="Times New Roman" w:hAnsi="Times New Roman" w:eastAsia="宋体" w:cs="Times New Roman"/>
                <w:color w:val="auto"/>
                <w:kern w:val="0"/>
                <w:sz w:val="21"/>
                <w:szCs w:val="21"/>
                <w:highlight w:val="none"/>
              </w:rPr>
              <w:t>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1446" w:type="dxa"/>
            <w:vMerge w:val="continue"/>
            <w:vAlign w:val="center"/>
          </w:tcPr>
          <w:p>
            <w:pPr>
              <w:spacing w:line="269" w:lineRule="auto"/>
              <w:jc w:val="center"/>
              <w:rPr>
                <w:rFonts w:ascii="Times New Roman" w:hAnsi="Times New Roman" w:eastAsia="宋体" w:cs="Times New Roman"/>
                <w:snapToGrid w:val="0"/>
                <w:kern w:val="21"/>
                <w:sz w:val="21"/>
                <w:szCs w:val="21"/>
              </w:rPr>
            </w:pPr>
          </w:p>
        </w:tc>
        <w:tc>
          <w:tcPr>
            <w:tcW w:w="2837" w:type="dxa"/>
            <w:gridSpan w:val="2"/>
            <w:vAlign w:val="center"/>
          </w:tcPr>
          <w:p>
            <w:pPr>
              <w:snapToGrid w:val="0"/>
              <w:spacing w:line="276"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color w:val="auto"/>
                <w:sz w:val="21"/>
                <w:szCs w:val="21"/>
                <w:highlight w:val="none"/>
              </w:rPr>
              <w:t>机油桶</w:t>
            </w:r>
          </w:p>
        </w:tc>
        <w:tc>
          <w:tcPr>
            <w:tcW w:w="1417"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992"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snapToGrid w:val="0"/>
              <w:spacing w:line="276"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color w:val="auto"/>
                <w:sz w:val="21"/>
                <w:szCs w:val="21"/>
                <w:highlight w:val="none"/>
              </w:rPr>
              <w:t>0.03t/a</w:t>
            </w:r>
          </w:p>
        </w:tc>
        <w:tc>
          <w:tcPr>
            <w:tcW w:w="1133"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snapToGrid w:val="0"/>
              <w:spacing w:line="276"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color w:val="auto"/>
                <w:sz w:val="21"/>
                <w:szCs w:val="21"/>
                <w:highlight w:val="none"/>
              </w:rPr>
              <w:t>0.03t/a</w:t>
            </w:r>
          </w:p>
        </w:tc>
        <w:tc>
          <w:tcPr>
            <w:tcW w:w="1218" w:type="dxa"/>
            <w:vAlign w:val="center"/>
          </w:tcPr>
          <w:p>
            <w:pPr>
              <w:snapToGrid w:val="0"/>
              <w:spacing w:line="276"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z w:val="21"/>
                <w:szCs w:val="21"/>
              </w:rPr>
              <w:t>+</w:t>
            </w:r>
            <w:r>
              <w:rPr>
                <w:rFonts w:ascii="Times New Roman" w:hAnsi="Times New Roman" w:eastAsia="宋体" w:cs="Times New Roman"/>
                <w:color w:val="auto"/>
                <w:sz w:val="21"/>
                <w:szCs w:val="21"/>
                <w:highlight w:val="none"/>
              </w:rPr>
              <w:t>0.03t/a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1446" w:type="dxa"/>
            <w:vMerge w:val="continue"/>
            <w:vAlign w:val="center"/>
          </w:tcPr>
          <w:p>
            <w:pPr>
              <w:spacing w:line="269" w:lineRule="auto"/>
              <w:jc w:val="center"/>
              <w:rPr>
                <w:rFonts w:ascii="Times New Roman" w:hAnsi="Times New Roman" w:eastAsia="宋体" w:cs="Times New Roman"/>
                <w:snapToGrid w:val="0"/>
                <w:kern w:val="21"/>
                <w:sz w:val="21"/>
                <w:szCs w:val="21"/>
              </w:rPr>
            </w:pPr>
          </w:p>
        </w:tc>
        <w:tc>
          <w:tcPr>
            <w:tcW w:w="2837" w:type="dxa"/>
            <w:gridSpan w:val="2"/>
            <w:vAlign w:val="center"/>
          </w:tcPr>
          <w:p>
            <w:pPr>
              <w:snapToGrid w:val="0"/>
              <w:spacing w:line="276"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color w:val="auto"/>
                <w:sz w:val="21"/>
                <w:szCs w:val="21"/>
                <w:highlight w:val="none"/>
              </w:rPr>
              <w:t>废活性炭</w:t>
            </w:r>
          </w:p>
        </w:tc>
        <w:tc>
          <w:tcPr>
            <w:tcW w:w="1417"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992"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snapToGrid w:val="0"/>
              <w:spacing w:line="276"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color w:val="auto"/>
                <w:sz w:val="21"/>
                <w:szCs w:val="21"/>
                <w:highlight w:val="none"/>
              </w:rPr>
              <w:t>0.577t/a</w:t>
            </w:r>
          </w:p>
        </w:tc>
        <w:tc>
          <w:tcPr>
            <w:tcW w:w="1133"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snapToGrid w:val="0"/>
              <w:spacing w:line="276"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color w:val="auto"/>
                <w:sz w:val="21"/>
                <w:szCs w:val="21"/>
                <w:highlight w:val="none"/>
              </w:rPr>
              <w:t>0.577t/a</w:t>
            </w:r>
          </w:p>
        </w:tc>
        <w:tc>
          <w:tcPr>
            <w:tcW w:w="1218" w:type="dxa"/>
            <w:vAlign w:val="center"/>
          </w:tcPr>
          <w:p>
            <w:pPr>
              <w:snapToGrid w:val="0"/>
              <w:spacing w:line="276"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z w:val="21"/>
                <w:szCs w:val="21"/>
              </w:rPr>
              <w:t>+</w:t>
            </w:r>
            <w:r>
              <w:rPr>
                <w:rFonts w:ascii="Times New Roman" w:hAnsi="Times New Roman" w:eastAsia="宋体" w:cs="Times New Roman"/>
                <w:color w:val="auto"/>
                <w:sz w:val="21"/>
                <w:szCs w:val="21"/>
                <w:highlight w:val="none"/>
              </w:rPr>
              <w:t>0.577t/a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1446"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生活垃圾</w:t>
            </w:r>
          </w:p>
        </w:tc>
        <w:tc>
          <w:tcPr>
            <w:tcW w:w="2837" w:type="dxa"/>
            <w:gridSpan w:val="2"/>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生活垃圾</w:t>
            </w:r>
          </w:p>
        </w:tc>
        <w:tc>
          <w:tcPr>
            <w:tcW w:w="1417"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992"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color w:val="auto"/>
                <w:sz w:val="21"/>
                <w:szCs w:val="21"/>
                <w:highlight w:val="none"/>
              </w:rPr>
              <w:t>6.75</w:t>
            </w:r>
            <w:r>
              <w:rPr>
                <w:rFonts w:ascii="Times New Roman" w:hAnsi="Times New Roman" w:eastAsia="宋体" w:cs="Times New Roman"/>
                <w:snapToGrid w:val="0"/>
                <w:kern w:val="21"/>
                <w:sz w:val="21"/>
                <w:szCs w:val="21"/>
              </w:rPr>
              <w:t>t/a</w:t>
            </w:r>
          </w:p>
        </w:tc>
        <w:tc>
          <w:tcPr>
            <w:tcW w:w="1133"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p>
        </w:tc>
        <w:tc>
          <w:tcPr>
            <w:tcW w:w="1417"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color w:val="auto"/>
                <w:sz w:val="21"/>
                <w:szCs w:val="21"/>
                <w:highlight w:val="none"/>
              </w:rPr>
              <w:t>6.75</w:t>
            </w:r>
            <w:r>
              <w:rPr>
                <w:rFonts w:ascii="Times New Roman" w:hAnsi="Times New Roman" w:eastAsia="宋体" w:cs="Times New Roman"/>
                <w:snapToGrid w:val="0"/>
                <w:kern w:val="21"/>
                <w:sz w:val="21"/>
                <w:szCs w:val="21"/>
              </w:rPr>
              <w:t>t/a</w:t>
            </w:r>
          </w:p>
        </w:tc>
        <w:tc>
          <w:tcPr>
            <w:tcW w:w="1218" w:type="dxa"/>
            <w:vAlign w:val="center"/>
          </w:tcPr>
          <w:p>
            <w:pPr>
              <w:spacing w:line="269" w:lineRule="auto"/>
              <w:jc w:val="center"/>
              <w:rPr>
                <w:rFonts w:ascii="Times New Roman" w:hAnsi="Times New Roman" w:eastAsia="宋体" w:cs="Times New Roman"/>
                <w:snapToGrid w:val="0"/>
                <w:kern w:val="21"/>
                <w:sz w:val="21"/>
                <w:szCs w:val="21"/>
              </w:rPr>
            </w:pPr>
            <w:r>
              <w:rPr>
                <w:rFonts w:ascii="Times New Roman" w:hAnsi="Times New Roman" w:eastAsia="宋体" w:cs="Times New Roman"/>
                <w:snapToGrid w:val="0"/>
                <w:kern w:val="21"/>
                <w:sz w:val="21"/>
                <w:szCs w:val="21"/>
              </w:rPr>
              <w:t>+</w:t>
            </w:r>
            <w:r>
              <w:rPr>
                <w:rFonts w:ascii="Times New Roman" w:hAnsi="Times New Roman" w:eastAsia="宋体" w:cs="Times New Roman"/>
                <w:color w:val="auto"/>
                <w:sz w:val="21"/>
                <w:szCs w:val="21"/>
                <w:highlight w:val="none"/>
              </w:rPr>
              <w:t>6.75</w:t>
            </w:r>
            <w:r>
              <w:rPr>
                <w:rFonts w:ascii="Times New Roman" w:hAnsi="Times New Roman" w:eastAsia="宋体" w:cs="Times New Roman"/>
                <w:snapToGrid w:val="0"/>
                <w:kern w:val="21"/>
                <w:sz w:val="21"/>
                <w:szCs w:val="21"/>
              </w:rPr>
              <w:t>t/a</w:t>
            </w:r>
          </w:p>
        </w:tc>
      </w:tr>
      <w:bookmarkEnd w:id="6"/>
    </w:tbl>
    <w:p>
      <w:pPr>
        <w:pStyle w:val="45"/>
        <w:spacing w:beforeLines="80" w:after="31"/>
        <w:jc w:val="left"/>
        <w:rPr>
          <w:rFonts w:ascii="Times New Roman" w:hAnsi="Times New Roman" w:eastAsia="宋体" w:cs="Times New Roman"/>
          <w:snapToGrid w:val="0"/>
          <w:spacing w:val="-6"/>
          <w:kern w:val="21"/>
          <w:szCs w:val="21"/>
        </w:rPr>
      </w:pPr>
      <w:r>
        <w:rPr>
          <w:rFonts w:ascii="Times New Roman" w:hAnsi="Times New Roman" w:eastAsia="宋体" w:cs="Times New Roman"/>
          <w:snapToGrid w:val="0"/>
          <w:kern w:val="21"/>
          <w:szCs w:val="21"/>
        </w:rPr>
        <w:t>注：</w:t>
      </w:r>
      <w:r>
        <w:rPr>
          <w:rFonts w:ascii="Times New Roman" w:hAnsi="Times New Roman" w:eastAsia="宋体" w:cs="Times New Roman"/>
          <w:snapToGrid w:val="0"/>
          <w:spacing w:val="-16"/>
          <w:kern w:val="21"/>
          <w:szCs w:val="21"/>
        </w:rPr>
        <w:fldChar w:fldCharType="begin"/>
      </w:r>
      <w:r>
        <w:rPr>
          <w:rFonts w:ascii="Times New Roman" w:hAnsi="Times New Roman" w:eastAsia="宋体" w:cs="Times New Roman"/>
          <w:snapToGrid w:val="0"/>
          <w:spacing w:val="-16"/>
          <w:kern w:val="21"/>
          <w:szCs w:val="21"/>
        </w:rPr>
        <w:instrText xml:space="preserve"> = 6 \* GB3 \* MERGEFORMAT </w:instrText>
      </w:r>
      <w:r>
        <w:rPr>
          <w:rFonts w:ascii="Times New Roman" w:hAnsi="Times New Roman" w:eastAsia="宋体" w:cs="Times New Roman"/>
          <w:snapToGrid w:val="0"/>
          <w:spacing w:val="-16"/>
          <w:kern w:val="21"/>
          <w:szCs w:val="21"/>
        </w:rPr>
        <w:fldChar w:fldCharType="separate"/>
      </w:r>
      <w:r>
        <w:rPr>
          <w:rFonts w:ascii="Times New Roman" w:hAnsi="Times New Roman" w:eastAsia="宋体" w:cs="Times New Roman"/>
          <w:szCs w:val="21"/>
        </w:rPr>
        <w:t>⑥</w:t>
      </w:r>
      <w:r>
        <w:rPr>
          <w:rFonts w:ascii="Times New Roman" w:hAnsi="Times New Roman" w:eastAsia="宋体" w:cs="Times New Roman"/>
          <w:snapToGrid w:val="0"/>
          <w:spacing w:val="-16"/>
          <w:kern w:val="21"/>
          <w:szCs w:val="21"/>
        </w:rPr>
        <w:fldChar w:fldCharType="end"/>
      </w:r>
      <w:r>
        <w:rPr>
          <w:rFonts w:ascii="Times New Roman" w:hAnsi="Times New Roman" w:eastAsia="宋体" w:cs="Times New Roman"/>
          <w:snapToGrid w:val="0"/>
          <w:spacing w:val="-16"/>
          <w:kern w:val="21"/>
          <w:szCs w:val="21"/>
        </w:rPr>
        <w:t>=</w:t>
      </w:r>
      <w:r>
        <w:rPr>
          <w:rFonts w:ascii="Times New Roman" w:hAnsi="Times New Roman" w:eastAsia="宋体" w:cs="Times New Roman"/>
          <w:snapToGrid w:val="0"/>
          <w:spacing w:val="-6"/>
          <w:kern w:val="21"/>
          <w:szCs w:val="21"/>
        </w:rPr>
        <w:fldChar w:fldCharType="begin"/>
      </w:r>
      <w:r>
        <w:rPr>
          <w:rFonts w:ascii="Times New Roman" w:hAnsi="Times New Roman" w:eastAsia="宋体" w:cs="Times New Roman"/>
          <w:snapToGrid w:val="0"/>
          <w:spacing w:val="-6"/>
          <w:kern w:val="21"/>
          <w:szCs w:val="21"/>
        </w:rPr>
        <w:instrText xml:space="preserve"> = 1 \* GB3 \* MERGEFORMAT </w:instrText>
      </w:r>
      <w:r>
        <w:rPr>
          <w:rFonts w:ascii="Times New Roman" w:hAnsi="Times New Roman" w:eastAsia="宋体" w:cs="Times New Roman"/>
          <w:snapToGrid w:val="0"/>
          <w:spacing w:val="-6"/>
          <w:kern w:val="21"/>
          <w:szCs w:val="21"/>
        </w:rPr>
        <w:fldChar w:fldCharType="separate"/>
      </w:r>
      <w:r>
        <w:rPr>
          <w:rFonts w:ascii="Times New Roman" w:hAnsi="Times New Roman" w:eastAsia="宋体" w:cs="Times New Roman"/>
          <w:szCs w:val="21"/>
        </w:rPr>
        <w:t>①</w:t>
      </w:r>
      <w:r>
        <w:rPr>
          <w:rFonts w:ascii="Times New Roman" w:hAnsi="Times New Roman" w:eastAsia="宋体" w:cs="Times New Roman"/>
          <w:snapToGrid w:val="0"/>
          <w:spacing w:val="-6"/>
          <w:kern w:val="21"/>
          <w:szCs w:val="21"/>
        </w:rPr>
        <w:fldChar w:fldCharType="end"/>
      </w:r>
      <w:r>
        <w:rPr>
          <w:rFonts w:ascii="Times New Roman" w:hAnsi="Times New Roman" w:eastAsia="宋体" w:cs="Times New Roman"/>
          <w:snapToGrid w:val="0"/>
          <w:spacing w:val="-6"/>
          <w:kern w:val="21"/>
          <w:szCs w:val="21"/>
        </w:rPr>
        <w:t>+</w:t>
      </w:r>
      <w:r>
        <w:rPr>
          <w:rFonts w:ascii="Times New Roman" w:hAnsi="Times New Roman" w:eastAsia="宋体" w:cs="Times New Roman"/>
          <w:snapToGrid w:val="0"/>
          <w:spacing w:val="-6"/>
          <w:kern w:val="21"/>
          <w:szCs w:val="21"/>
        </w:rPr>
        <w:fldChar w:fldCharType="begin"/>
      </w:r>
      <w:r>
        <w:rPr>
          <w:rFonts w:ascii="Times New Roman" w:hAnsi="Times New Roman" w:eastAsia="宋体" w:cs="Times New Roman"/>
          <w:snapToGrid w:val="0"/>
          <w:spacing w:val="-6"/>
          <w:kern w:val="21"/>
          <w:szCs w:val="21"/>
        </w:rPr>
        <w:instrText xml:space="preserve"> = 3 \* GB3 \* MERGEFORMAT </w:instrText>
      </w:r>
      <w:r>
        <w:rPr>
          <w:rFonts w:ascii="Times New Roman" w:hAnsi="Times New Roman" w:eastAsia="宋体" w:cs="Times New Roman"/>
          <w:snapToGrid w:val="0"/>
          <w:spacing w:val="-6"/>
          <w:kern w:val="21"/>
          <w:szCs w:val="21"/>
        </w:rPr>
        <w:fldChar w:fldCharType="separate"/>
      </w:r>
      <w:r>
        <w:rPr>
          <w:rFonts w:ascii="Times New Roman" w:hAnsi="Times New Roman" w:eastAsia="宋体" w:cs="Times New Roman"/>
          <w:szCs w:val="21"/>
        </w:rPr>
        <w:t>③</w:t>
      </w:r>
      <w:r>
        <w:rPr>
          <w:rFonts w:ascii="Times New Roman" w:hAnsi="Times New Roman" w:eastAsia="宋体" w:cs="Times New Roman"/>
          <w:snapToGrid w:val="0"/>
          <w:spacing w:val="-6"/>
          <w:kern w:val="21"/>
          <w:szCs w:val="21"/>
        </w:rPr>
        <w:fldChar w:fldCharType="end"/>
      </w:r>
      <w:r>
        <w:rPr>
          <w:rFonts w:ascii="Times New Roman" w:hAnsi="Times New Roman" w:eastAsia="宋体" w:cs="Times New Roman"/>
          <w:snapToGrid w:val="0"/>
          <w:spacing w:val="-6"/>
          <w:kern w:val="21"/>
          <w:szCs w:val="21"/>
        </w:rPr>
        <w:t>+</w:t>
      </w:r>
      <w:r>
        <w:rPr>
          <w:rFonts w:ascii="Times New Roman" w:hAnsi="Times New Roman" w:eastAsia="宋体" w:cs="Times New Roman"/>
          <w:snapToGrid w:val="0"/>
          <w:spacing w:val="-6"/>
          <w:kern w:val="21"/>
          <w:szCs w:val="21"/>
        </w:rPr>
        <w:fldChar w:fldCharType="begin"/>
      </w:r>
      <w:r>
        <w:rPr>
          <w:rFonts w:ascii="Times New Roman" w:hAnsi="Times New Roman" w:eastAsia="宋体" w:cs="Times New Roman"/>
          <w:snapToGrid w:val="0"/>
          <w:spacing w:val="-6"/>
          <w:kern w:val="21"/>
          <w:szCs w:val="21"/>
        </w:rPr>
        <w:instrText xml:space="preserve"> = 4 \* GB3 \* MERGEFORMAT </w:instrText>
      </w:r>
      <w:r>
        <w:rPr>
          <w:rFonts w:ascii="Times New Roman" w:hAnsi="Times New Roman" w:eastAsia="宋体" w:cs="Times New Roman"/>
          <w:snapToGrid w:val="0"/>
          <w:spacing w:val="-6"/>
          <w:kern w:val="21"/>
          <w:szCs w:val="21"/>
        </w:rPr>
        <w:fldChar w:fldCharType="separate"/>
      </w:r>
      <w:r>
        <w:rPr>
          <w:rFonts w:ascii="Times New Roman" w:hAnsi="Times New Roman" w:eastAsia="宋体" w:cs="Times New Roman"/>
          <w:szCs w:val="21"/>
        </w:rPr>
        <w:t>④</w:t>
      </w:r>
      <w:r>
        <w:rPr>
          <w:rFonts w:ascii="Times New Roman" w:hAnsi="Times New Roman" w:eastAsia="宋体" w:cs="Times New Roman"/>
          <w:snapToGrid w:val="0"/>
          <w:spacing w:val="-6"/>
          <w:kern w:val="21"/>
          <w:szCs w:val="21"/>
        </w:rPr>
        <w:fldChar w:fldCharType="end"/>
      </w:r>
      <w:r>
        <w:rPr>
          <w:rFonts w:ascii="Times New Roman" w:hAnsi="Times New Roman" w:eastAsia="宋体" w:cs="Times New Roman"/>
          <w:snapToGrid w:val="0"/>
          <w:spacing w:val="-6"/>
          <w:kern w:val="21"/>
          <w:szCs w:val="21"/>
        </w:rPr>
        <w:t>-</w:t>
      </w:r>
      <w:r>
        <w:rPr>
          <w:rFonts w:ascii="Times New Roman" w:hAnsi="Times New Roman" w:eastAsia="宋体" w:cs="Times New Roman"/>
          <w:snapToGrid w:val="0"/>
          <w:spacing w:val="-16"/>
          <w:kern w:val="21"/>
          <w:szCs w:val="21"/>
        </w:rPr>
        <w:fldChar w:fldCharType="begin"/>
      </w:r>
      <w:r>
        <w:rPr>
          <w:rFonts w:ascii="Times New Roman" w:hAnsi="Times New Roman" w:eastAsia="宋体" w:cs="Times New Roman"/>
          <w:snapToGrid w:val="0"/>
          <w:spacing w:val="-16"/>
          <w:kern w:val="21"/>
          <w:szCs w:val="21"/>
        </w:rPr>
        <w:instrText xml:space="preserve"> = 5 \* GB3 \* MERGEFORMAT </w:instrText>
      </w:r>
      <w:r>
        <w:rPr>
          <w:rFonts w:ascii="Times New Roman" w:hAnsi="Times New Roman" w:eastAsia="宋体" w:cs="Times New Roman"/>
          <w:snapToGrid w:val="0"/>
          <w:spacing w:val="-16"/>
          <w:kern w:val="21"/>
          <w:szCs w:val="21"/>
        </w:rPr>
        <w:fldChar w:fldCharType="separate"/>
      </w:r>
      <w:r>
        <w:rPr>
          <w:rFonts w:ascii="Times New Roman" w:hAnsi="Times New Roman" w:eastAsia="宋体" w:cs="Times New Roman"/>
          <w:szCs w:val="21"/>
        </w:rPr>
        <w:t>⑤</w:t>
      </w:r>
      <w:r>
        <w:rPr>
          <w:rFonts w:ascii="Times New Roman" w:hAnsi="Times New Roman" w:eastAsia="宋体" w:cs="Times New Roman"/>
          <w:snapToGrid w:val="0"/>
          <w:spacing w:val="-16"/>
          <w:kern w:val="21"/>
          <w:szCs w:val="21"/>
        </w:rPr>
        <w:fldChar w:fldCharType="end"/>
      </w:r>
      <w:r>
        <w:rPr>
          <w:rFonts w:ascii="Times New Roman" w:hAnsi="Times New Roman" w:eastAsia="宋体" w:cs="Times New Roman"/>
          <w:snapToGrid w:val="0"/>
          <w:spacing w:val="-16"/>
          <w:kern w:val="21"/>
          <w:szCs w:val="21"/>
        </w:rPr>
        <w:t>；</w:t>
      </w:r>
      <w:r>
        <w:rPr>
          <w:rFonts w:ascii="Times New Roman" w:hAnsi="Times New Roman" w:eastAsia="宋体" w:cs="Times New Roman"/>
          <w:snapToGrid w:val="0"/>
          <w:spacing w:val="-6"/>
          <w:kern w:val="21"/>
          <w:szCs w:val="21"/>
        </w:rPr>
        <w:fldChar w:fldCharType="begin"/>
      </w:r>
      <w:r>
        <w:rPr>
          <w:rFonts w:ascii="Times New Roman" w:hAnsi="Times New Roman" w:eastAsia="宋体" w:cs="Times New Roman"/>
          <w:snapToGrid w:val="0"/>
          <w:spacing w:val="-6"/>
          <w:kern w:val="21"/>
          <w:szCs w:val="21"/>
        </w:rPr>
        <w:instrText xml:space="preserve"> = 7 \* GB3 \* MERGEFORMAT </w:instrText>
      </w:r>
      <w:r>
        <w:rPr>
          <w:rFonts w:ascii="Times New Roman" w:hAnsi="Times New Roman" w:eastAsia="宋体" w:cs="Times New Roman"/>
          <w:snapToGrid w:val="0"/>
          <w:spacing w:val="-6"/>
          <w:kern w:val="21"/>
          <w:szCs w:val="21"/>
        </w:rPr>
        <w:fldChar w:fldCharType="separate"/>
      </w:r>
      <w:r>
        <w:rPr>
          <w:rFonts w:ascii="Times New Roman" w:hAnsi="Times New Roman" w:eastAsia="宋体" w:cs="Times New Roman"/>
          <w:szCs w:val="21"/>
        </w:rPr>
        <w:t>⑦</w:t>
      </w:r>
      <w:r>
        <w:rPr>
          <w:rFonts w:ascii="Times New Roman" w:hAnsi="Times New Roman" w:eastAsia="宋体" w:cs="Times New Roman"/>
          <w:snapToGrid w:val="0"/>
          <w:spacing w:val="-6"/>
          <w:kern w:val="21"/>
          <w:szCs w:val="21"/>
        </w:rPr>
        <w:fldChar w:fldCharType="end"/>
      </w:r>
      <w:r>
        <w:rPr>
          <w:rFonts w:ascii="Times New Roman" w:hAnsi="Times New Roman" w:eastAsia="宋体" w:cs="Times New Roman"/>
          <w:snapToGrid w:val="0"/>
          <w:spacing w:val="-6"/>
          <w:kern w:val="21"/>
          <w:szCs w:val="21"/>
        </w:rPr>
        <w:t>=</w:t>
      </w:r>
      <w:r>
        <w:rPr>
          <w:rFonts w:ascii="Times New Roman" w:hAnsi="Times New Roman" w:eastAsia="宋体" w:cs="Times New Roman"/>
          <w:snapToGrid w:val="0"/>
          <w:spacing w:val="-16"/>
          <w:kern w:val="21"/>
          <w:szCs w:val="21"/>
        </w:rPr>
        <w:fldChar w:fldCharType="begin"/>
      </w:r>
      <w:r>
        <w:rPr>
          <w:rFonts w:ascii="Times New Roman" w:hAnsi="Times New Roman" w:eastAsia="宋体" w:cs="Times New Roman"/>
          <w:snapToGrid w:val="0"/>
          <w:spacing w:val="-16"/>
          <w:kern w:val="21"/>
          <w:szCs w:val="21"/>
        </w:rPr>
        <w:instrText xml:space="preserve"> = 6 \* GB3 \* MERGEFORMAT </w:instrText>
      </w:r>
      <w:r>
        <w:rPr>
          <w:rFonts w:ascii="Times New Roman" w:hAnsi="Times New Roman" w:eastAsia="宋体" w:cs="Times New Roman"/>
          <w:snapToGrid w:val="0"/>
          <w:spacing w:val="-16"/>
          <w:kern w:val="21"/>
          <w:szCs w:val="21"/>
        </w:rPr>
        <w:fldChar w:fldCharType="separate"/>
      </w:r>
      <w:r>
        <w:rPr>
          <w:rFonts w:ascii="Times New Roman" w:hAnsi="Times New Roman" w:eastAsia="宋体" w:cs="Times New Roman"/>
          <w:szCs w:val="21"/>
        </w:rPr>
        <w:t>⑥</w:t>
      </w:r>
      <w:r>
        <w:rPr>
          <w:rFonts w:ascii="Times New Roman" w:hAnsi="Times New Roman" w:eastAsia="宋体" w:cs="Times New Roman"/>
          <w:snapToGrid w:val="0"/>
          <w:spacing w:val="-16"/>
          <w:kern w:val="21"/>
          <w:szCs w:val="21"/>
        </w:rPr>
        <w:fldChar w:fldCharType="end"/>
      </w:r>
      <w:r>
        <w:rPr>
          <w:rFonts w:ascii="Times New Roman" w:hAnsi="Times New Roman" w:eastAsia="宋体" w:cs="Times New Roman"/>
          <w:snapToGrid w:val="0"/>
          <w:spacing w:val="-16"/>
          <w:kern w:val="21"/>
          <w:szCs w:val="21"/>
        </w:rPr>
        <w:t>-</w:t>
      </w:r>
      <w:r>
        <w:rPr>
          <w:rFonts w:ascii="Times New Roman" w:hAnsi="Times New Roman" w:eastAsia="宋体" w:cs="Times New Roman"/>
          <w:snapToGrid w:val="0"/>
          <w:spacing w:val="-6"/>
          <w:kern w:val="21"/>
          <w:szCs w:val="21"/>
        </w:rPr>
        <w:fldChar w:fldCharType="begin"/>
      </w:r>
      <w:r>
        <w:rPr>
          <w:rFonts w:ascii="Times New Roman" w:hAnsi="Times New Roman" w:eastAsia="宋体" w:cs="Times New Roman"/>
          <w:snapToGrid w:val="0"/>
          <w:spacing w:val="-6"/>
          <w:kern w:val="21"/>
          <w:szCs w:val="21"/>
        </w:rPr>
        <w:instrText xml:space="preserve"> = 1 \* GB3 \* MERGEFORMAT </w:instrText>
      </w:r>
      <w:r>
        <w:rPr>
          <w:rFonts w:ascii="Times New Roman" w:hAnsi="Times New Roman" w:eastAsia="宋体" w:cs="Times New Roman"/>
          <w:snapToGrid w:val="0"/>
          <w:spacing w:val="-6"/>
          <w:kern w:val="21"/>
          <w:szCs w:val="21"/>
        </w:rPr>
        <w:fldChar w:fldCharType="separate"/>
      </w:r>
      <w:r>
        <w:rPr>
          <w:rFonts w:ascii="Times New Roman" w:hAnsi="Times New Roman" w:eastAsia="宋体" w:cs="Times New Roman"/>
          <w:szCs w:val="21"/>
        </w:rPr>
        <w:t>①</w:t>
      </w:r>
      <w:r>
        <w:rPr>
          <w:rFonts w:ascii="Times New Roman" w:hAnsi="Times New Roman" w:eastAsia="宋体" w:cs="Times New Roman"/>
          <w:snapToGrid w:val="0"/>
          <w:spacing w:val="-6"/>
          <w:kern w:val="21"/>
          <w:szCs w:val="21"/>
        </w:rPr>
        <w:fldChar w:fldCharType="end"/>
      </w:r>
    </w:p>
    <w:sectPr>
      <w:pgSz w:w="16838" w:h="11906" w:orient="landscape"/>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34"/>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0000000000000000000"/>
    <w:charset w:val="86"/>
    <w:family w:val="modern"/>
    <w:pitch w:val="default"/>
    <w:sig w:usb0="00000000" w:usb1="00000000" w:usb2="00000010" w:usb3="00000000" w:csb0="00040000" w:csb1="00000000"/>
  </w:font>
  <w:font w:name="楷体_GB2312">
    <w:altName w:val="楷体"/>
    <w:panose1 w:val="00000000000000000000"/>
    <w:charset w:val="86"/>
    <w:family w:val="modern"/>
    <w:pitch w:val="default"/>
    <w:sig w:usb0="00000000" w:usb1="00000000" w:usb2="00000000" w:usb3="00000000" w:csb0="00040000" w:csb1="00000000"/>
  </w:font>
  <w:font w:name="Wingdings 2">
    <w:panose1 w:val="05020102010507070707"/>
    <w:charset w:val="02"/>
    <w:family w:val="roman"/>
    <w:pitch w:val="default"/>
    <w:sig w:usb0="00000000" w:usb1="00000000" w:usb2="00000000" w:usb3="00000000" w:csb0="80000000" w:csb1="00000000"/>
  </w:font>
  <w:font w:name="等线">
    <w:panose1 w:val="02010600030101010101"/>
    <w:charset w:val="86"/>
    <w:family w:val="auto"/>
    <w:pitch w:val="default"/>
    <w:sig w:usb0="A00002BF" w:usb1="38CF7CFA" w:usb2="00000016" w:usb3="00000000" w:csb0="0004000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仿宋">
    <w:panose1 w:val="02010609060101010101"/>
    <w:charset w:val="86"/>
    <w:family w:val="auto"/>
    <w:pitch w:val="default"/>
    <w:sig w:usb0="800002BF" w:usb1="38CF7CFA" w:usb2="00000016" w:usb3="00000000" w:csb0="00040001"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11992891"/>
    </w:sdtPr>
    <w:sdtContent>
      <w:p>
        <w:pPr>
          <w:pStyle w:val="8"/>
          <w:jc w:val="center"/>
        </w:pPr>
        <w:r>
          <w:rPr>
            <w:rFonts w:ascii="Times New Roman" w:hAnsi="Times New Roman" w:cs="Times New Roman"/>
            <w:sz w:val="20"/>
            <w:szCs w:val="20"/>
          </w:rPr>
          <w:fldChar w:fldCharType="begin"/>
        </w:r>
        <w:r>
          <w:rPr>
            <w:rFonts w:ascii="Times New Roman" w:hAnsi="Times New Roman" w:cs="Times New Roman"/>
            <w:sz w:val="20"/>
            <w:szCs w:val="20"/>
          </w:rPr>
          <w:instrText xml:space="preserve"> PAGE   \* MERGEFORMAT </w:instrText>
        </w:r>
        <w:r>
          <w:rPr>
            <w:rFonts w:ascii="Times New Roman" w:hAnsi="Times New Roman" w:cs="Times New Roman"/>
            <w:sz w:val="20"/>
            <w:szCs w:val="20"/>
          </w:rPr>
          <w:fldChar w:fldCharType="separate"/>
        </w:r>
        <w:r>
          <w:rPr>
            <w:rFonts w:ascii="Times New Roman" w:hAnsi="Times New Roman" w:cs="Times New Roman"/>
            <w:sz w:val="20"/>
            <w:szCs w:val="20"/>
            <w:lang w:val="zh-CN"/>
          </w:rPr>
          <w:t>1</w:t>
        </w:r>
        <w:r>
          <w:rPr>
            <w:rFonts w:ascii="Times New Roman" w:hAnsi="Times New Roman" w:cs="Times New Roman"/>
            <w:sz w:val="20"/>
            <w:szCs w:val="20"/>
          </w:rPr>
          <w:fldChar w:fldCharType="end"/>
        </w:r>
      </w:p>
    </w:sdtContent>
  </w:sdt>
  <w:p>
    <w:pPr>
      <w:pStyle w:val="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8831641"/>
    </w:sdtPr>
    <w:sdtContent>
      <w:p>
        <w:pPr>
          <w:pStyle w:val="8"/>
          <w:jc w:val="center"/>
        </w:pPr>
        <w:r>
          <w:rPr>
            <w:rFonts w:ascii="Times New Roman" w:hAnsi="Times New Roman" w:cs="Times New Roman"/>
            <w:sz w:val="20"/>
            <w:szCs w:val="20"/>
          </w:rPr>
          <w:fldChar w:fldCharType="begin"/>
        </w:r>
        <w:r>
          <w:rPr>
            <w:rFonts w:ascii="Times New Roman" w:hAnsi="Times New Roman" w:cs="Times New Roman"/>
            <w:sz w:val="20"/>
            <w:szCs w:val="20"/>
          </w:rPr>
          <w:instrText xml:space="preserve"> PAGE   \* MERGEFORMAT </w:instrText>
        </w:r>
        <w:r>
          <w:rPr>
            <w:rFonts w:ascii="Times New Roman" w:hAnsi="Times New Roman" w:cs="Times New Roman"/>
            <w:sz w:val="20"/>
            <w:szCs w:val="20"/>
          </w:rPr>
          <w:fldChar w:fldCharType="separate"/>
        </w:r>
        <w:r>
          <w:rPr>
            <w:rFonts w:ascii="Times New Roman" w:hAnsi="Times New Roman" w:cs="Times New Roman"/>
            <w:sz w:val="20"/>
            <w:szCs w:val="20"/>
            <w:lang w:val="zh-CN"/>
          </w:rPr>
          <w:t>7</w:t>
        </w:r>
        <w:r>
          <w:rPr>
            <w:rFonts w:ascii="Times New Roman" w:hAnsi="Times New Roman" w:cs="Times New Roman"/>
            <w:sz w:val="20"/>
            <w:szCs w:val="20"/>
          </w:rPr>
          <w:fldChar w:fldCharType="end"/>
        </w:r>
      </w:p>
    </w:sdtContent>
  </w:sdt>
  <w:p>
    <w:pPr>
      <w:pStyle w:val="8"/>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0"/>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EAC1F4A"/>
    <w:multiLevelType w:val="singleLevel"/>
    <w:tmpl w:val="CEAC1F4A"/>
    <w:lvl w:ilvl="0" w:tentative="0">
      <w:start w:val="3"/>
      <w:numFmt w:val="decimal"/>
      <w:suff w:val="nothing"/>
      <w:lvlText w:val="%1、"/>
      <w:lvlJc w:val="left"/>
    </w:lvl>
  </w:abstractNum>
  <w:abstractNum w:abstractNumId="1">
    <w:nsid w:val="5755133B"/>
    <w:multiLevelType w:val="multilevel"/>
    <w:tmpl w:val="5755133B"/>
    <w:lvl w:ilvl="0" w:tentative="0">
      <w:start w:val="1"/>
      <w:numFmt w:val="decimal"/>
      <w:lvlText w:val="%1."/>
      <w:lvlJc w:val="left"/>
      <w:pPr>
        <w:ind w:left="432" w:hanging="432"/>
      </w:pPr>
      <w:rPr>
        <w:rFonts w:hint="default"/>
      </w:rPr>
    </w:lvl>
    <w:lvl w:ilvl="1" w:tentative="0">
      <w:start w:val="1"/>
      <w:numFmt w:val="decimal"/>
      <w:lvlText w:val="%1.%2."/>
      <w:lvlJc w:val="left"/>
      <w:pPr>
        <w:ind w:left="575" w:hanging="575"/>
      </w:pPr>
      <w:rPr>
        <w:rFonts w:hint="default"/>
      </w:rPr>
    </w:lvl>
    <w:lvl w:ilvl="2" w:tentative="0">
      <w:start w:val="1"/>
      <w:numFmt w:val="decimal"/>
      <w:lvlText w:val="%1.%2.%3."/>
      <w:lvlJc w:val="left"/>
      <w:pPr>
        <w:ind w:left="720" w:hanging="720"/>
      </w:pPr>
      <w:rPr>
        <w:rFonts w:hint="default"/>
      </w:rPr>
    </w:lvl>
    <w:lvl w:ilvl="3" w:tentative="0">
      <w:start w:val="1"/>
      <w:numFmt w:val="decimal"/>
      <w:pStyle w:val="2"/>
      <w:lvlText w:val="%1.%2.%3.%4."/>
      <w:lvlJc w:val="left"/>
      <w:pPr>
        <w:ind w:left="864" w:hanging="864"/>
      </w:pPr>
      <w:rPr>
        <w:rFonts w:hint="default"/>
      </w:rPr>
    </w:lvl>
    <w:lvl w:ilvl="4" w:tentative="0">
      <w:start w:val="1"/>
      <w:numFmt w:val="decimal"/>
      <w:lvlText w:val="%1.%2.%3.%4.%5."/>
      <w:lvlJc w:val="left"/>
      <w:pPr>
        <w:ind w:left="1008" w:hanging="1008"/>
      </w:pPr>
      <w:rPr>
        <w:rFonts w:hint="default"/>
      </w:rPr>
    </w:lvl>
    <w:lvl w:ilvl="5" w:tentative="0">
      <w:start w:val="1"/>
      <w:numFmt w:val="decimal"/>
      <w:lvlText w:val="%1.%2.%3.%4.%5.%6."/>
      <w:lvlJc w:val="left"/>
      <w:pPr>
        <w:ind w:left="1151" w:hanging="1151"/>
      </w:pPr>
      <w:rPr>
        <w:rFonts w:hint="default"/>
      </w:rPr>
    </w:lvl>
    <w:lvl w:ilvl="6" w:tentative="0">
      <w:start w:val="1"/>
      <w:numFmt w:val="decimal"/>
      <w:lvlText w:val="%1.%2.%3.%4.%5.%6.%7."/>
      <w:lvlJc w:val="left"/>
      <w:pPr>
        <w:ind w:left="1296" w:hanging="1296"/>
      </w:pPr>
      <w:rPr>
        <w:rFonts w:hint="default"/>
      </w:rPr>
    </w:lvl>
    <w:lvl w:ilvl="7" w:tentative="0">
      <w:start w:val="1"/>
      <w:numFmt w:val="decimal"/>
      <w:lvlText w:val="%1.%2.%3.%4.%5.%6.%7.%8."/>
      <w:lvlJc w:val="left"/>
      <w:pPr>
        <w:ind w:left="1440" w:hanging="1440"/>
      </w:pPr>
      <w:rPr>
        <w:rFonts w:hint="default"/>
      </w:rPr>
    </w:lvl>
    <w:lvl w:ilvl="8" w:tentative="0">
      <w:start w:val="1"/>
      <w:numFmt w:val="decimal"/>
      <w:lvlText w:val="%1.%2.%3.%4.%5.%6.%7.%8.%9."/>
      <w:lvlJc w:val="left"/>
      <w:pPr>
        <w:ind w:left="1583" w:hanging="1583"/>
      </w:pPr>
      <w:rPr>
        <w:rFont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NotDisplayPageBoundaries w:val="1"/>
  <w:bordersDoNotSurroundHeader w:val="0"/>
  <w:bordersDoNotSurroundFooter w:val="0"/>
  <w:hideSpellingErrors/>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2"/>
  </w:compat>
  <w:docVars>
    <w:docVar w:name="commondata" w:val="eyJoZGlkIjoiMGI5OGEyOGNkODRlNGU4ZjExYzIwMTMxZGFjZGYzM2IifQ=="/>
  </w:docVars>
  <w:rsids>
    <w:rsidRoot w:val="00FD299D"/>
    <w:rsid w:val="0000037A"/>
    <w:rsid w:val="00000ABA"/>
    <w:rsid w:val="00000C30"/>
    <w:rsid w:val="00000EEC"/>
    <w:rsid w:val="00000F9B"/>
    <w:rsid w:val="00001264"/>
    <w:rsid w:val="000014BF"/>
    <w:rsid w:val="00001565"/>
    <w:rsid w:val="000020D7"/>
    <w:rsid w:val="000024B5"/>
    <w:rsid w:val="00002B39"/>
    <w:rsid w:val="00003341"/>
    <w:rsid w:val="0000376D"/>
    <w:rsid w:val="00003D35"/>
    <w:rsid w:val="000042C1"/>
    <w:rsid w:val="00004371"/>
    <w:rsid w:val="00004C0B"/>
    <w:rsid w:val="0000520F"/>
    <w:rsid w:val="0000641C"/>
    <w:rsid w:val="00006695"/>
    <w:rsid w:val="0000691F"/>
    <w:rsid w:val="00006A7B"/>
    <w:rsid w:val="00006D0B"/>
    <w:rsid w:val="00006F6C"/>
    <w:rsid w:val="000074DF"/>
    <w:rsid w:val="00007CAE"/>
    <w:rsid w:val="00007FE0"/>
    <w:rsid w:val="0001005D"/>
    <w:rsid w:val="00010B50"/>
    <w:rsid w:val="00010F7C"/>
    <w:rsid w:val="000110EC"/>
    <w:rsid w:val="00011501"/>
    <w:rsid w:val="000117FA"/>
    <w:rsid w:val="00012083"/>
    <w:rsid w:val="000122FC"/>
    <w:rsid w:val="00012418"/>
    <w:rsid w:val="0001301A"/>
    <w:rsid w:val="00013C81"/>
    <w:rsid w:val="000150C6"/>
    <w:rsid w:val="000161FD"/>
    <w:rsid w:val="00016271"/>
    <w:rsid w:val="0001636E"/>
    <w:rsid w:val="00016874"/>
    <w:rsid w:val="00017140"/>
    <w:rsid w:val="000173FC"/>
    <w:rsid w:val="00017AF6"/>
    <w:rsid w:val="00020530"/>
    <w:rsid w:val="00020940"/>
    <w:rsid w:val="00020A02"/>
    <w:rsid w:val="00020C44"/>
    <w:rsid w:val="000212C1"/>
    <w:rsid w:val="000214D8"/>
    <w:rsid w:val="00021CB0"/>
    <w:rsid w:val="000225B6"/>
    <w:rsid w:val="00022633"/>
    <w:rsid w:val="000231CB"/>
    <w:rsid w:val="0002344F"/>
    <w:rsid w:val="0002373B"/>
    <w:rsid w:val="00023865"/>
    <w:rsid w:val="00023886"/>
    <w:rsid w:val="00023C0C"/>
    <w:rsid w:val="00024B40"/>
    <w:rsid w:val="00025253"/>
    <w:rsid w:val="00025709"/>
    <w:rsid w:val="00025E46"/>
    <w:rsid w:val="00026200"/>
    <w:rsid w:val="00026345"/>
    <w:rsid w:val="0002642D"/>
    <w:rsid w:val="00026506"/>
    <w:rsid w:val="000267BB"/>
    <w:rsid w:val="00026AF6"/>
    <w:rsid w:val="0002730A"/>
    <w:rsid w:val="00027345"/>
    <w:rsid w:val="000274F6"/>
    <w:rsid w:val="000277C9"/>
    <w:rsid w:val="00027B0F"/>
    <w:rsid w:val="00027BCD"/>
    <w:rsid w:val="00027C4B"/>
    <w:rsid w:val="000300EA"/>
    <w:rsid w:val="00030180"/>
    <w:rsid w:val="00030268"/>
    <w:rsid w:val="000306A8"/>
    <w:rsid w:val="00030CA0"/>
    <w:rsid w:val="00030D9E"/>
    <w:rsid w:val="00030E8B"/>
    <w:rsid w:val="000322BF"/>
    <w:rsid w:val="0003237D"/>
    <w:rsid w:val="00032827"/>
    <w:rsid w:val="00033279"/>
    <w:rsid w:val="000333C1"/>
    <w:rsid w:val="0003342F"/>
    <w:rsid w:val="00033B8C"/>
    <w:rsid w:val="00033D2D"/>
    <w:rsid w:val="0003403E"/>
    <w:rsid w:val="00034091"/>
    <w:rsid w:val="00034826"/>
    <w:rsid w:val="00034A5B"/>
    <w:rsid w:val="00034AB1"/>
    <w:rsid w:val="00034C12"/>
    <w:rsid w:val="00035053"/>
    <w:rsid w:val="00035BC5"/>
    <w:rsid w:val="00036469"/>
    <w:rsid w:val="00036DA6"/>
    <w:rsid w:val="00036F08"/>
    <w:rsid w:val="0004041B"/>
    <w:rsid w:val="0004048D"/>
    <w:rsid w:val="000411B3"/>
    <w:rsid w:val="00041DE9"/>
    <w:rsid w:val="000420EE"/>
    <w:rsid w:val="0004274F"/>
    <w:rsid w:val="00042A8B"/>
    <w:rsid w:val="00042BA3"/>
    <w:rsid w:val="00043028"/>
    <w:rsid w:val="0004316B"/>
    <w:rsid w:val="00044405"/>
    <w:rsid w:val="00044645"/>
    <w:rsid w:val="00044E38"/>
    <w:rsid w:val="00044FDF"/>
    <w:rsid w:val="00045959"/>
    <w:rsid w:val="00045AD1"/>
    <w:rsid w:val="000460E1"/>
    <w:rsid w:val="000461F9"/>
    <w:rsid w:val="00046C76"/>
    <w:rsid w:val="00046E9A"/>
    <w:rsid w:val="00047158"/>
    <w:rsid w:val="0004747B"/>
    <w:rsid w:val="000475B0"/>
    <w:rsid w:val="000475B9"/>
    <w:rsid w:val="00047CB4"/>
    <w:rsid w:val="00047DA8"/>
    <w:rsid w:val="00047E46"/>
    <w:rsid w:val="000501C5"/>
    <w:rsid w:val="000501F0"/>
    <w:rsid w:val="0005032E"/>
    <w:rsid w:val="00050712"/>
    <w:rsid w:val="00050C9E"/>
    <w:rsid w:val="00050D18"/>
    <w:rsid w:val="00050EB7"/>
    <w:rsid w:val="00051ACD"/>
    <w:rsid w:val="00051DCF"/>
    <w:rsid w:val="0005222D"/>
    <w:rsid w:val="00052436"/>
    <w:rsid w:val="00052E11"/>
    <w:rsid w:val="00052FC8"/>
    <w:rsid w:val="000538C8"/>
    <w:rsid w:val="00053B80"/>
    <w:rsid w:val="00053F84"/>
    <w:rsid w:val="00054283"/>
    <w:rsid w:val="00055112"/>
    <w:rsid w:val="0005512C"/>
    <w:rsid w:val="00055473"/>
    <w:rsid w:val="00055BC8"/>
    <w:rsid w:val="000560C7"/>
    <w:rsid w:val="00056476"/>
    <w:rsid w:val="00057B42"/>
    <w:rsid w:val="00057E43"/>
    <w:rsid w:val="00060148"/>
    <w:rsid w:val="00060719"/>
    <w:rsid w:val="000609BD"/>
    <w:rsid w:val="00060F2F"/>
    <w:rsid w:val="00061317"/>
    <w:rsid w:val="000616CB"/>
    <w:rsid w:val="000616D5"/>
    <w:rsid w:val="00061B17"/>
    <w:rsid w:val="00061B36"/>
    <w:rsid w:val="0006200A"/>
    <w:rsid w:val="0006211C"/>
    <w:rsid w:val="000624C8"/>
    <w:rsid w:val="00062536"/>
    <w:rsid w:val="0006293D"/>
    <w:rsid w:val="00062FB3"/>
    <w:rsid w:val="00064702"/>
    <w:rsid w:val="00064919"/>
    <w:rsid w:val="00064AA0"/>
    <w:rsid w:val="00066174"/>
    <w:rsid w:val="000669E3"/>
    <w:rsid w:val="00066AA4"/>
    <w:rsid w:val="00067875"/>
    <w:rsid w:val="000709A9"/>
    <w:rsid w:val="00070EB5"/>
    <w:rsid w:val="000713F0"/>
    <w:rsid w:val="0007159A"/>
    <w:rsid w:val="0007186C"/>
    <w:rsid w:val="00071C60"/>
    <w:rsid w:val="0007219A"/>
    <w:rsid w:val="00072E00"/>
    <w:rsid w:val="00075C54"/>
    <w:rsid w:val="00076248"/>
    <w:rsid w:val="00077581"/>
    <w:rsid w:val="00080045"/>
    <w:rsid w:val="00080C1F"/>
    <w:rsid w:val="000810C1"/>
    <w:rsid w:val="000810C3"/>
    <w:rsid w:val="00081266"/>
    <w:rsid w:val="00081392"/>
    <w:rsid w:val="00081AEF"/>
    <w:rsid w:val="00081E6A"/>
    <w:rsid w:val="00081EAE"/>
    <w:rsid w:val="0008207A"/>
    <w:rsid w:val="00082B26"/>
    <w:rsid w:val="00082CD0"/>
    <w:rsid w:val="00082E52"/>
    <w:rsid w:val="00083F5E"/>
    <w:rsid w:val="00084374"/>
    <w:rsid w:val="00084500"/>
    <w:rsid w:val="000847AC"/>
    <w:rsid w:val="000852F0"/>
    <w:rsid w:val="00085B55"/>
    <w:rsid w:val="00085BF4"/>
    <w:rsid w:val="00085EF5"/>
    <w:rsid w:val="00085F08"/>
    <w:rsid w:val="00085FFD"/>
    <w:rsid w:val="000861C1"/>
    <w:rsid w:val="000863ED"/>
    <w:rsid w:val="000867F9"/>
    <w:rsid w:val="00086A33"/>
    <w:rsid w:val="0008775C"/>
    <w:rsid w:val="00090457"/>
    <w:rsid w:val="0009048E"/>
    <w:rsid w:val="0009131B"/>
    <w:rsid w:val="0009160F"/>
    <w:rsid w:val="00091BF0"/>
    <w:rsid w:val="0009215D"/>
    <w:rsid w:val="000923D7"/>
    <w:rsid w:val="00092401"/>
    <w:rsid w:val="00093CE7"/>
    <w:rsid w:val="00094238"/>
    <w:rsid w:val="000943F9"/>
    <w:rsid w:val="00094FC3"/>
    <w:rsid w:val="000951E7"/>
    <w:rsid w:val="00095BE9"/>
    <w:rsid w:val="00095DBD"/>
    <w:rsid w:val="0009650F"/>
    <w:rsid w:val="00096CB6"/>
    <w:rsid w:val="000978C5"/>
    <w:rsid w:val="00097DF3"/>
    <w:rsid w:val="000A06F3"/>
    <w:rsid w:val="000A0A69"/>
    <w:rsid w:val="000A0F75"/>
    <w:rsid w:val="000A1116"/>
    <w:rsid w:val="000A1E29"/>
    <w:rsid w:val="000A2611"/>
    <w:rsid w:val="000A2728"/>
    <w:rsid w:val="000A3539"/>
    <w:rsid w:val="000A37C9"/>
    <w:rsid w:val="000A38C6"/>
    <w:rsid w:val="000A3FD5"/>
    <w:rsid w:val="000A4265"/>
    <w:rsid w:val="000A46A6"/>
    <w:rsid w:val="000A53B3"/>
    <w:rsid w:val="000A59F1"/>
    <w:rsid w:val="000A698F"/>
    <w:rsid w:val="000A6A36"/>
    <w:rsid w:val="000A7583"/>
    <w:rsid w:val="000A7625"/>
    <w:rsid w:val="000A7A23"/>
    <w:rsid w:val="000A7D98"/>
    <w:rsid w:val="000B09D8"/>
    <w:rsid w:val="000B0A12"/>
    <w:rsid w:val="000B181D"/>
    <w:rsid w:val="000B1C2F"/>
    <w:rsid w:val="000B1EDA"/>
    <w:rsid w:val="000B1F55"/>
    <w:rsid w:val="000B2095"/>
    <w:rsid w:val="000B21C0"/>
    <w:rsid w:val="000B28F6"/>
    <w:rsid w:val="000B28FC"/>
    <w:rsid w:val="000B377C"/>
    <w:rsid w:val="000B43C9"/>
    <w:rsid w:val="000B4A05"/>
    <w:rsid w:val="000B504F"/>
    <w:rsid w:val="000B5445"/>
    <w:rsid w:val="000B5C81"/>
    <w:rsid w:val="000B62B8"/>
    <w:rsid w:val="000B6D8B"/>
    <w:rsid w:val="000B7279"/>
    <w:rsid w:val="000B790E"/>
    <w:rsid w:val="000B7B77"/>
    <w:rsid w:val="000B7CC9"/>
    <w:rsid w:val="000C0139"/>
    <w:rsid w:val="000C10EC"/>
    <w:rsid w:val="000C1BEE"/>
    <w:rsid w:val="000C1FC5"/>
    <w:rsid w:val="000C3287"/>
    <w:rsid w:val="000C34B5"/>
    <w:rsid w:val="000C3641"/>
    <w:rsid w:val="000C3B6E"/>
    <w:rsid w:val="000C3EE1"/>
    <w:rsid w:val="000C4B4E"/>
    <w:rsid w:val="000C4F5E"/>
    <w:rsid w:val="000C529A"/>
    <w:rsid w:val="000C599B"/>
    <w:rsid w:val="000C6343"/>
    <w:rsid w:val="000C650B"/>
    <w:rsid w:val="000C653F"/>
    <w:rsid w:val="000C6732"/>
    <w:rsid w:val="000C6B69"/>
    <w:rsid w:val="000C6C1F"/>
    <w:rsid w:val="000C71C8"/>
    <w:rsid w:val="000C71D0"/>
    <w:rsid w:val="000C7AAD"/>
    <w:rsid w:val="000D046B"/>
    <w:rsid w:val="000D0C4E"/>
    <w:rsid w:val="000D0F67"/>
    <w:rsid w:val="000D1AA4"/>
    <w:rsid w:val="000D1BD4"/>
    <w:rsid w:val="000D20E0"/>
    <w:rsid w:val="000D20EE"/>
    <w:rsid w:val="000D2107"/>
    <w:rsid w:val="000D2111"/>
    <w:rsid w:val="000D2290"/>
    <w:rsid w:val="000D2F04"/>
    <w:rsid w:val="000D33AA"/>
    <w:rsid w:val="000D342D"/>
    <w:rsid w:val="000D42F9"/>
    <w:rsid w:val="000D4609"/>
    <w:rsid w:val="000D4F80"/>
    <w:rsid w:val="000D5E3F"/>
    <w:rsid w:val="000D7D4A"/>
    <w:rsid w:val="000E0A21"/>
    <w:rsid w:val="000E0B6E"/>
    <w:rsid w:val="000E0D89"/>
    <w:rsid w:val="000E10C7"/>
    <w:rsid w:val="000E1DA9"/>
    <w:rsid w:val="000E1F31"/>
    <w:rsid w:val="000E256C"/>
    <w:rsid w:val="000E2614"/>
    <w:rsid w:val="000E322E"/>
    <w:rsid w:val="000E3F59"/>
    <w:rsid w:val="000E519A"/>
    <w:rsid w:val="000E5747"/>
    <w:rsid w:val="000E67D5"/>
    <w:rsid w:val="000E6A2D"/>
    <w:rsid w:val="000E6A33"/>
    <w:rsid w:val="000E73DE"/>
    <w:rsid w:val="000E7418"/>
    <w:rsid w:val="000E7C60"/>
    <w:rsid w:val="000F0EA0"/>
    <w:rsid w:val="000F102B"/>
    <w:rsid w:val="000F19F1"/>
    <w:rsid w:val="000F1B99"/>
    <w:rsid w:val="000F2231"/>
    <w:rsid w:val="000F348C"/>
    <w:rsid w:val="000F41FD"/>
    <w:rsid w:val="000F4646"/>
    <w:rsid w:val="000F4B31"/>
    <w:rsid w:val="000F4B68"/>
    <w:rsid w:val="000F4DB1"/>
    <w:rsid w:val="000F4F1F"/>
    <w:rsid w:val="000F51B4"/>
    <w:rsid w:val="000F54C0"/>
    <w:rsid w:val="000F57FE"/>
    <w:rsid w:val="000F5CEA"/>
    <w:rsid w:val="000F6C2D"/>
    <w:rsid w:val="000F710C"/>
    <w:rsid w:val="000F77F3"/>
    <w:rsid w:val="000F78A0"/>
    <w:rsid w:val="000F7EE9"/>
    <w:rsid w:val="000F7F43"/>
    <w:rsid w:val="001006F6"/>
    <w:rsid w:val="00100B23"/>
    <w:rsid w:val="00100EDF"/>
    <w:rsid w:val="001034E0"/>
    <w:rsid w:val="00103603"/>
    <w:rsid w:val="00103BD9"/>
    <w:rsid w:val="00103FB7"/>
    <w:rsid w:val="00104BBB"/>
    <w:rsid w:val="0010524E"/>
    <w:rsid w:val="00105933"/>
    <w:rsid w:val="00106304"/>
    <w:rsid w:val="00106795"/>
    <w:rsid w:val="001070AF"/>
    <w:rsid w:val="001074BE"/>
    <w:rsid w:val="00107594"/>
    <w:rsid w:val="00107C02"/>
    <w:rsid w:val="00110523"/>
    <w:rsid w:val="00110A49"/>
    <w:rsid w:val="00110F73"/>
    <w:rsid w:val="00111909"/>
    <w:rsid w:val="0011239C"/>
    <w:rsid w:val="00112FDD"/>
    <w:rsid w:val="001136D7"/>
    <w:rsid w:val="00113C10"/>
    <w:rsid w:val="001145D7"/>
    <w:rsid w:val="001154A9"/>
    <w:rsid w:val="00115620"/>
    <w:rsid w:val="00115D5E"/>
    <w:rsid w:val="00116500"/>
    <w:rsid w:val="00116F19"/>
    <w:rsid w:val="00116F1F"/>
    <w:rsid w:val="00117493"/>
    <w:rsid w:val="0011772A"/>
    <w:rsid w:val="00117AE4"/>
    <w:rsid w:val="00117B7B"/>
    <w:rsid w:val="0012010C"/>
    <w:rsid w:val="00120449"/>
    <w:rsid w:val="00120468"/>
    <w:rsid w:val="00120C0A"/>
    <w:rsid w:val="00121463"/>
    <w:rsid w:val="00121579"/>
    <w:rsid w:val="00121876"/>
    <w:rsid w:val="00121941"/>
    <w:rsid w:val="0012233D"/>
    <w:rsid w:val="00123277"/>
    <w:rsid w:val="001233C3"/>
    <w:rsid w:val="0012384F"/>
    <w:rsid w:val="00123FC0"/>
    <w:rsid w:val="001240DC"/>
    <w:rsid w:val="00124435"/>
    <w:rsid w:val="00124451"/>
    <w:rsid w:val="00124C5E"/>
    <w:rsid w:val="00125365"/>
    <w:rsid w:val="0012547A"/>
    <w:rsid w:val="00125A53"/>
    <w:rsid w:val="00125CFD"/>
    <w:rsid w:val="00125D05"/>
    <w:rsid w:val="0012640B"/>
    <w:rsid w:val="001265CE"/>
    <w:rsid w:val="00126B8D"/>
    <w:rsid w:val="00126BBB"/>
    <w:rsid w:val="00127058"/>
    <w:rsid w:val="0013002A"/>
    <w:rsid w:val="00130D1B"/>
    <w:rsid w:val="0013125C"/>
    <w:rsid w:val="00131329"/>
    <w:rsid w:val="00131FC9"/>
    <w:rsid w:val="001322A1"/>
    <w:rsid w:val="001324E3"/>
    <w:rsid w:val="001325FB"/>
    <w:rsid w:val="0013296E"/>
    <w:rsid w:val="00132E53"/>
    <w:rsid w:val="0013318B"/>
    <w:rsid w:val="001338ED"/>
    <w:rsid w:val="00133E6B"/>
    <w:rsid w:val="0013411C"/>
    <w:rsid w:val="00134827"/>
    <w:rsid w:val="00135109"/>
    <w:rsid w:val="00135507"/>
    <w:rsid w:val="00135855"/>
    <w:rsid w:val="00136590"/>
    <w:rsid w:val="001366EF"/>
    <w:rsid w:val="00136E51"/>
    <w:rsid w:val="00137303"/>
    <w:rsid w:val="001373CA"/>
    <w:rsid w:val="00140170"/>
    <w:rsid w:val="001401E7"/>
    <w:rsid w:val="00140E92"/>
    <w:rsid w:val="001411A2"/>
    <w:rsid w:val="00141AAA"/>
    <w:rsid w:val="00141EC2"/>
    <w:rsid w:val="0014234A"/>
    <w:rsid w:val="00144F78"/>
    <w:rsid w:val="00145325"/>
    <w:rsid w:val="001455B2"/>
    <w:rsid w:val="0014616A"/>
    <w:rsid w:val="00146910"/>
    <w:rsid w:val="00146F3B"/>
    <w:rsid w:val="00147D42"/>
    <w:rsid w:val="00147E16"/>
    <w:rsid w:val="00150281"/>
    <w:rsid w:val="00150285"/>
    <w:rsid w:val="001505DB"/>
    <w:rsid w:val="001517AB"/>
    <w:rsid w:val="00151E9D"/>
    <w:rsid w:val="001522A4"/>
    <w:rsid w:val="001526C3"/>
    <w:rsid w:val="00152832"/>
    <w:rsid w:val="00152AFF"/>
    <w:rsid w:val="00153465"/>
    <w:rsid w:val="00153FEE"/>
    <w:rsid w:val="00154139"/>
    <w:rsid w:val="001557E5"/>
    <w:rsid w:val="00155B28"/>
    <w:rsid w:val="0015610D"/>
    <w:rsid w:val="00156423"/>
    <w:rsid w:val="00156565"/>
    <w:rsid w:val="001576E0"/>
    <w:rsid w:val="00157C34"/>
    <w:rsid w:val="00160B7F"/>
    <w:rsid w:val="00160B93"/>
    <w:rsid w:val="00162324"/>
    <w:rsid w:val="0016236F"/>
    <w:rsid w:val="00163A88"/>
    <w:rsid w:val="00163DB7"/>
    <w:rsid w:val="001644F9"/>
    <w:rsid w:val="001645F1"/>
    <w:rsid w:val="0016516C"/>
    <w:rsid w:val="00165478"/>
    <w:rsid w:val="001656CB"/>
    <w:rsid w:val="00165AEC"/>
    <w:rsid w:val="00165D57"/>
    <w:rsid w:val="001660EA"/>
    <w:rsid w:val="00166EE4"/>
    <w:rsid w:val="00166F50"/>
    <w:rsid w:val="00166FD5"/>
    <w:rsid w:val="00167370"/>
    <w:rsid w:val="001676D6"/>
    <w:rsid w:val="00167EA9"/>
    <w:rsid w:val="00167EC1"/>
    <w:rsid w:val="00167F3B"/>
    <w:rsid w:val="00170508"/>
    <w:rsid w:val="001708A4"/>
    <w:rsid w:val="00170C3B"/>
    <w:rsid w:val="00170ECE"/>
    <w:rsid w:val="00171478"/>
    <w:rsid w:val="00171B03"/>
    <w:rsid w:val="00172B0F"/>
    <w:rsid w:val="00172D31"/>
    <w:rsid w:val="001731D7"/>
    <w:rsid w:val="00173F53"/>
    <w:rsid w:val="0017480E"/>
    <w:rsid w:val="00174FE5"/>
    <w:rsid w:val="001750D7"/>
    <w:rsid w:val="001755D9"/>
    <w:rsid w:val="001756FA"/>
    <w:rsid w:val="00176012"/>
    <w:rsid w:val="001760D9"/>
    <w:rsid w:val="0017612C"/>
    <w:rsid w:val="0017617B"/>
    <w:rsid w:val="00176274"/>
    <w:rsid w:val="0017668E"/>
    <w:rsid w:val="00177005"/>
    <w:rsid w:val="0017729E"/>
    <w:rsid w:val="00177834"/>
    <w:rsid w:val="001778DE"/>
    <w:rsid w:val="001779AD"/>
    <w:rsid w:val="00177E6E"/>
    <w:rsid w:val="001800A0"/>
    <w:rsid w:val="001801B0"/>
    <w:rsid w:val="001801B5"/>
    <w:rsid w:val="00180577"/>
    <w:rsid w:val="00181326"/>
    <w:rsid w:val="001824A0"/>
    <w:rsid w:val="001834F0"/>
    <w:rsid w:val="00183F35"/>
    <w:rsid w:val="00183FC3"/>
    <w:rsid w:val="00184ABD"/>
    <w:rsid w:val="0018516C"/>
    <w:rsid w:val="00185355"/>
    <w:rsid w:val="0018575C"/>
    <w:rsid w:val="001863C6"/>
    <w:rsid w:val="00187EC9"/>
    <w:rsid w:val="00190385"/>
    <w:rsid w:val="00190602"/>
    <w:rsid w:val="00190BD3"/>
    <w:rsid w:val="00190CF8"/>
    <w:rsid w:val="001914C0"/>
    <w:rsid w:val="00191B90"/>
    <w:rsid w:val="00192434"/>
    <w:rsid w:val="0019318C"/>
    <w:rsid w:val="001938F4"/>
    <w:rsid w:val="00193C25"/>
    <w:rsid w:val="0019454A"/>
    <w:rsid w:val="00194F8A"/>
    <w:rsid w:val="001953B0"/>
    <w:rsid w:val="00195560"/>
    <w:rsid w:val="0019693B"/>
    <w:rsid w:val="00197B07"/>
    <w:rsid w:val="00197E22"/>
    <w:rsid w:val="001A1442"/>
    <w:rsid w:val="001A1C1F"/>
    <w:rsid w:val="001A2656"/>
    <w:rsid w:val="001A2B74"/>
    <w:rsid w:val="001A2D03"/>
    <w:rsid w:val="001A3544"/>
    <w:rsid w:val="001A372B"/>
    <w:rsid w:val="001A38D1"/>
    <w:rsid w:val="001A4B54"/>
    <w:rsid w:val="001A4B97"/>
    <w:rsid w:val="001A56E7"/>
    <w:rsid w:val="001A598A"/>
    <w:rsid w:val="001A5A1C"/>
    <w:rsid w:val="001A6E0C"/>
    <w:rsid w:val="001B0017"/>
    <w:rsid w:val="001B033C"/>
    <w:rsid w:val="001B04E2"/>
    <w:rsid w:val="001B12D3"/>
    <w:rsid w:val="001B1D1E"/>
    <w:rsid w:val="001B22E9"/>
    <w:rsid w:val="001B2AA2"/>
    <w:rsid w:val="001B2D41"/>
    <w:rsid w:val="001B31A2"/>
    <w:rsid w:val="001B345E"/>
    <w:rsid w:val="001B3BF2"/>
    <w:rsid w:val="001B4036"/>
    <w:rsid w:val="001B45B1"/>
    <w:rsid w:val="001B49DF"/>
    <w:rsid w:val="001B58E5"/>
    <w:rsid w:val="001B5969"/>
    <w:rsid w:val="001B5A76"/>
    <w:rsid w:val="001B607E"/>
    <w:rsid w:val="001B6F2B"/>
    <w:rsid w:val="001B7AD5"/>
    <w:rsid w:val="001B7AF0"/>
    <w:rsid w:val="001B7BB2"/>
    <w:rsid w:val="001C0073"/>
    <w:rsid w:val="001C058C"/>
    <w:rsid w:val="001C0BC4"/>
    <w:rsid w:val="001C0E71"/>
    <w:rsid w:val="001C100D"/>
    <w:rsid w:val="001C1589"/>
    <w:rsid w:val="001C17A2"/>
    <w:rsid w:val="001C19E4"/>
    <w:rsid w:val="001C1E70"/>
    <w:rsid w:val="001C237E"/>
    <w:rsid w:val="001C2D65"/>
    <w:rsid w:val="001C31D4"/>
    <w:rsid w:val="001C32C1"/>
    <w:rsid w:val="001C33B3"/>
    <w:rsid w:val="001C3AB4"/>
    <w:rsid w:val="001C4A4C"/>
    <w:rsid w:val="001C4B79"/>
    <w:rsid w:val="001C4CD9"/>
    <w:rsid w:val="001C4D1D"/>
    <w:rsid w:val="001C500B"/>
    <w:rsid w:val="001C5419"/>
    <w:rsid w:val="001C5E56"/>
    <w:rsid w:val="001C5EFD"/>
    <w:rsid w:val="001C6203"/>
    <w:rsid w:val="001C64F6"/>
    <w:rsid w:val="001C6D0C"/>
    <w:rsid w:val="001C6F07"/>
    <w:rsid w:val="001C6F8E"/>
    <w:rsid w:val="001C70E6"/>
    <w:rsid w:val="001C70E9"/>
    <w:rsid w:val="001C7110"/>
    <w:rsid w:val="001C73E5"/>
    <w:rsid w:val="001C799C"/>
    <w:rsid w:val="001C7D0D"/>
    <w:rsid w:val="001D0062"/>
    <w:rsid w:val="001D0E4D"/>
    <w:rsid w:val="001D1889"/>
    <w:rsid w:val="001D23D2"/>
    <w:rsid w:val="001D25FE"/>
    <w:rsid w:val="001D33AC"/>
    <w:rsid w:val="001D33AE"/>
    <w:rsid w:val="001D3A5B"/>
    <w:rsid w:val="001D3A98"/>
    <w:rsid w:val="001D48FD"/>
    <w:rsid w:val="001D5023"/>
    <w:rsid w:val="001D6095"/>
    <w:rsid w:val="001D62FB"/>
    <w:rsid w:val="001D6D1D"/>
    <w:rsid w:val="001D71A6"/>
    <w:rsid w:val="001D7B84"/>
    <w:rsid w:val="001D7F89"/>
    <w:rsid w:val="001E0252"/>
    <w:rsid w:val="001E0962"/>
    <w:rsid w:val="001E104D"/>
    <w:rsid w:val="001E154B"/>
    <w:rsid w:val="001E1C0B"/>
    <w:rsid w:val="001E1C8C"/>
    <w:rsid w:val="001E1F43"/>
    <w:rsid w:val="001E2E68"/>
    <w:rsid w:val="001E3212"/>
    <w:rsid w:val="001E35A3"/>
    <w:rsid w:val="001E3D4A"/>
    <w:rsid w:val="001E57DB"/>
    <w:rsid w:val="001E7260"/>
    <w:rsid w:val="001E7300"/>
    <w:rsid w:val="001F094F"/>
    <w:rsid w:val="001F0CBD"/>
    <w:rsid w:val="001F0FB2"/>
    <w:rsid w:val="001F1132"/>
    <w:rsid w:val="001F2712"/>
    <w:rsid w:val="001F369A"/>
    <w:rsid w:val="001F3D66"/>
    <w:rsid w:val="001F3EB4"/>
    <w:rsid w:val="001F4430"/>
    <w:rsid w:val="001F5691"/>
    <w:rsid w:val="001F5A01"/>
    <w:rsid w:val="001F6812"/>
    <w:rsid w:val="001F6F34"/>
    <w:rsid w:val="001F71BC"/>
    <w:rsid w:val="002001DA"/>
    <w:rsid w:val="00200789"/>
    <w:rsid w:val="00200FFA"/>
    <w:rsid w:val="00201DA3"/>
    <w:rsid w:val="00201E69"/>
    <w:rsid w:val="0020208A"/>
    <w:rsid w:val="00203544"/>
    <w:rsid w:val="00203ACD"/>
    <w:rsid w:val="00204448"/>
    <w:rsid w:val="00204ED3"/>
    <w:rsid w:val="00205553"/>
    <w:rsid w:val="002055AA"/>
    <w:rsid w:val="00206086"/>
    <w:rsid w:val="00206942"/>
    <w:rsid w:val="002069BE"/>
    <w:rsid w:val="002069C5"/>
    <w:rsid w:val="002078AC"/>
    <w:rsid w:val="00207B40"/>
    <w:rsid w:val="00207E63"/>
    <w:rsid w:val="00210039"/>
    <w:rsid w:val="002104BB"/>
    <w:rsid w:val="00210BD1"/>
    <w:rsid w:val="00210D0E"/>
    <w:rsid w:val="00211104"/>
    <w:rsid w:val="002113A4"/>
    <w:rsid w:val="002115F8"/>
    <w:rsid w:val="00211CF3"/>
    <w:rsid w:val="002125CF"/>
    <w:rsid w:val="0021347D"/>
    <w:rsid w:val="00213DBA"/>
    <w:rsid w:val="00214332"/>
    <w:rsid w:val="0021437C"/>
    <w:rsid w:val="00215215"/>
    <w:rsid w:val="00215EAD"/>
    <w:rsid w:val="00215ED2"/>
    <w:rsid w:val="002162E1"/>
    <w:rsid w:val="00216546"/>
    <w:rsid w:val="0021672B"/>
    <w:rsid w:val="00216D4F"/>
    <w:rsid w:val="00217340"/>
    <w:rsid w:val="00217387"/>
    <w:rsid w:val="00217483"/>
    <w:rsid w:val="00217B72"/>
    <w:rsid w:val="00220284"/>
    <w:rsid w:val="002202DA"/>
    <w:rsid w:val="00220D1B"/>
    <w:rsid w:val="00220EF1"/>
    <w:rsid w:val="002210D5"/>
    <w:rsid w:val="00221DF0"/>
    <w:rsid w:val="002224FE"/>
    <w:rsid w:val="002230ED"/>
    <w:rsid w:val="00224687"/>
    <w:rsid w:val="002248CB"/>
    <w:rsid w:val="00224E6F"/>
    <w:rsid w:val="00225983"/>
    <w:rsid w:val="00225CD5"/>
    <w:rsid w:val="00226924"/>
    <w:rsid w:val="00227598"/>
    <w:rsid w:val="0023053F"/>
    <w:rsid w:val="00230A2C"/>
    <w:rsid w:val="00230AF1"/>
    <w:rsid w:val="00230BBB"/>
    <w:rsid w:val="00230C4E"/>
    <w:rsid w:val="0023118A"/>
    <w:rsid w:val="00231B40"/>
    <w:rsid w:val="00231F87"/>
    <w:rsid w:val="00232499"/>
    <w:rsid w:val="00232B0C"/>
    <w:rsid w:val="00232EAC"/>
    <w:rsid w:val="00233655"/>
    <w:rsid w:val="0023453B"/>
    <w:rsid w:val="00234625"/>
    <w:rsid w:val="00235B30"/>
    <w:rsid w:val="00235DCD"/>
    <w:rsid w:val="002363AA"/>
    <w:rsid w:val="0023668B"/>
    <w:rsid w:val="0023722C"/>
    <w:rsid w:val="0023743F"/>
    <w:rsid w:val="00237AFC"/>
    <w:rsid w:val="00237CD4"/>
    <w:rsid w:val="00240A21"/>
    <w:rsid w:val="00240CAD"/>
    <w:rsid w:val="00240D15"/>
    <w:rsid w:val="0024110A"/>
    <w:rsid w:val="00241F6A"/>
    <w:rsid w:val="002427FB"/>
    <w:rsid w:val="00243104"/>
    <w:rsid w:val="0024363A"/>
    <w:rsid w:val="00243794"/>
    <w:rsid w:val="00243A1F"/>
    <w:rsid w:val="00243D7B"/>
    <w:rsid w:val="00243F25"/>
    <w:rsid w:val="002443B3"/>
    <w:rsid w:val="002446F6"/>
    <w:rsid w:val="0024539B"/>
    <w:rsid w:val="00245806"/>
    <w:rsid w:val="00245DBA"/>
    <w:rsid w:val="002461BD"/>
    <w:rsid w:val="00246B39"/>
    <w:rsid w:val="00246C65"/>
    <w:rsid w:val="002479CB"/>
    <w:rsid w:val="00247BD9"/>
    <w:rsid w:val="00250858"/>
    <w:rsid w:val="0025097E"/>
    <w:rsid w:val="002509F5"/>
    <w:rsid w:val="00250D8F"/>
    <w:rsid w:val="00250ED3"/>
    <w:rsid w:val="002518AE"/>
    <w:rsid w:val="00251962"/>
    <w:rsid w:val="00253FE8"/>
    <w:rsid w:val="00254145"/>
    <w:rsid w:val="0025450A"/>
    <w:rsid w:val="002549A0"/>
    <w:rsid w:val="002554B0"/>
    <w:rsid w:val="00255632"/>
    <w:rsid w:val="00255747"/>
    <w:rsid w:val="00255EDD"/>
    <w:rsid w:val="00256CB5"/>
    <w:rsid w:val="002578BB"/>
    <w:rsid w:val="00260500"/>
    <w:rsid w:val="00260886"/>
    <w:rsid w:val="002617BF"/>
    <w:rsid w:val="00261F02"/>
    <w:rsid w:val="00262328"/>
    <w:rsid w:val="0026244D"/>
    <w:rsid w:val="00262919"/>
    <w:rsid w:val="00263510"/>
    <w:rsid w:val="00263589"/>
    <w:rsid w:val="00263BBC"/>
    <w:rsid w:val="00263CEE"/>
    <w:rsid w:val="00264047"/>
    <w:rsid w:val="00264D82"/>
    <w:rsid w:val="00265DA2"/>
    <w:rsid w:val="00266C04"/>
    <w:rsid w:val="00266D0A"/>
    <w:rsid w:val="00266DED"/>
    <w:rsid w:val="00266E9D"/>
    <w:rsid w:val="002676F3"/>
    <w:rsid w:val="00267772"/>
    <w:rsid w:val="00267907"/>
    <w:rsid w:val="00267AC3"/>
    <w:rsid w:val="00267C7E"/>
    <w:rsid w:val="002701B7"/>
    <w:rsid w:val="0027045F"/>
    <w:rsid w:val="00270932"/>
    <w:rsid w:val="00270BEB"/>
    <w:rsid w:val="00270E1B"/>
    <w:rsid w:val="002714C7"/>
    <w:rsid w:val="00273591"/>
    <w:rsid w:val="0027381D"/>
    <w:rsid w:val="00273F37"/>
    <w:rsid w:val="00274412"/>
    <w:rsid w:val="00274455"/>
    <w:rsid w:val="00274896"/>
    <w:rsid w:val="00274CA4"/>
    <w:rsid w:val="00274CCB"/>
    <w:rsid w:val="00275B48"/>
    <w:rsid w:val="002760DC"/>
    <w:rsid w:val="00276D05"/>
    <w:rsid w:val="00276F20"/>
    <w:rsid w:val="00277C86"/>
    <w:rsid w:val="002801EF"/>
    <w:rsid w:val="0028084D"/>
    <w:rsid w:val="00280912"/>
    <w:rsid w:val="0028116A"/>
    <w:rsid w:val="00281B96"/>
    <w:rsid w:val="00282ABB"/>
    <w:rsid w:val="00283F37"/>
    <w:rsid w:val="0028447E"/>
    <w:rsid w:val="002844A8"/>
    <w:rsid w:val="00285787"/>
    <w:rsid w:val="00286DC5"/>
    <w:rsid w:val="00287CEF"/>
    <w:rsid w:val="00287FD9"/>
    <w:rsid w:val="00290912"/>
    <w:rsid w:val="002913EC"/>
    <w:rsid w:val="00291570"/>
    <w:rsid w:val="00291D2B"/>
    <w:rsid w:val="00292216"/>
    <w:rsid w:val="00292252"/>
    <w:rsid w:val="002926D7"/>
    <w:rsid w:val="0029285A"/>
    <w:rsid w:val="00292EF5"/>
    <w:rsid w:val="002933F4"/>
    <w:rsid w:val="0029368D"/>
    <w:rsid w:val="00293B82"/>
    <w:rsid w:val="00293D48"/>
    <w:rsid w:val="0029467C"/>
    <w:rsid w:val="00294D19"/>
    <w:rsid w:val="00295374"/>
    <w:rsid w:val="00295A23"/>
    <w:rsid w:val="002961AD"/>
    <w:rsid w:val="00296AD1"/>
    <w:rsid w:val="0029773A"/>
    <w:rsid w:val="00297C48"/>
    <w:rsid w:val="00297EF5"/>
    <w:rsid w:val="002A0B2E"/>
    <w:rsid w:val="002A1B20"/>
    <w:rsid w:val="002A1CF0"/>
    <w:rsid w:val="002A214E"/>
    <w:rsid w:val="002A26A0"/>
    <w:rsid w:val="002A2969"/>
    <w:rsid w:val="002A3047"/>
    <w:rsid w:val="002A3284"/>
    <w:rsid w:val="002A4F71"/>
    <w:rsid w:val="002A5191"/>
    <w:rsid w:val="002A5454"/>
    <w:rsid w:val="002A55D7"/>
    <w:rsid w:val="002A59AA"/>
    <w:rsid w:val="002A5B04"/>
    <w:rsid w:val="002A5FDB"/>
    <w:rsid w:val="002A729C"/>
    <w:rsid w:val="002A7E4F"/>
    <w:rsid w:val="002B03BD"/>
    <w:rsid w:val="002B07EC"/>
    <w:rsid w:val="002B0D63"/>
    <w:rsid w:val="002B0F15"/>
    <w:rsid w:val="002B1340"/>
    <w:rsid w:val="002B1740"/>
    <w:rsid w:val="002B195A"/>
    <w:rsid w:val="002B27F2"/>
    <w:rsid w:val="002B2CD4"/>
    <w:rsid w:val="002B2EC0"/>
    <w:rsid w:val="002B3094"/>
    <w:rsid w:val="002B329B"/>
    <w:rsid w:val="002B3364"/>
    <w:rsid w:val="002B3524"/>
    <w:rsid w:val="002B3726"/>
    <w:rsid w:val="002B4B77"/>
    <w:rsid w:val="002B4D94"/>
    <w:rsid w:val="002B4E98"/>
    <w:rsid w:val="002B5663"/>
    <w:rsid w:val="002B6551"/>
    <w:rsid w:val="002B6630"/>
    <w:rsid w:val="002B6FC5"/>
    <w:rsid w:val="002B734E"/>
    <w:rsid w:val="002B73BE"/>
    <w:rsid w:val="002B744F"/>
    <w:rsid w:val="002B799B"/>
    <w:rsid w:val="002C0077"/>
    <w:rsid w:val="002C0B22"/>
    <w:rsid w:val="002C0BAE"/>
    <w:rsid w:val="002C1157"/>
    <w:rsid w:val="002C1D1D"/>
    <w:rsid w:val="002C1E2D"/>
    <w:rsid w:val="002C29CC"/>
    <w:rsid w:val="002C336A"/>
    <w:rsid w:val="002C3C06"/>
    <w:rsid w:val="002C3D4F"/>
    <w:rsid w:val="002C5244"/>
    <w:rsid w:val="002C53B5"/>
    <w:rsid w:val="002C54C7"/>
    <w:rsid w:val="002C58A5"/>
    <w:rsid w:val="002C591F"/>
    <w:rsid w:val="002C639E"/>
    <w:rsid w:val="002C66AE"/>
    <w:rsid w:val="002C68FD"/>
    <w:rsid w:val="002C6AA5"/>
    <w:rsid w:val="002C759D"/>
    <w:rsid w:val="002C7FDC"/>
    <w:rsid w:val="002D0777"/>
    <w:rsid w:val="002D0AA6"/>
    <w:rsid w:val="002D0BAE"/>
    <w:rsid w:val="002D0CA6"/>
    <w:rsid w:val="002D18C5"/>
    <w:rsid w:val="002D1B07"/>
    <w:rsid w:val="002D248B"/>
    <w:rsid w:val="002D253C"/>
    <w:rsid w:val="002D26A7"/>
    <w:rsid w:val="002D2A8B"/>
    <w:rsid w:val="002D34AA"/>
    <w:rsid w:val="002D3506"/>
    <w:rsid w:val="002D35D8"/>
    <w:rsid w:val="002D3BD0"/>
    <w:rsid w:val="002D3C5A"/>
    <w:rsid w:val="002D3FD4"/>
    <w:rsid w:val="002D4EAF"/>
    <w:rsid w:val="002D55D4"/>
    <w:rsid w:val="002D578A"/>
    <w:rsid w:val="002D5D40"/>
    <w:rsid w:val="002D6044"/>
    <w:rsid w:val="002D63EB"/>
    <w:rsid w:val="002D6B5A"/>
    <w:rsid w:val="002D7599"/>
    <w:rsid w:val="002E04DF"/>
    <w:rsid w:val="002E069B"/>
    <w:rsid w:val="002E0C25"/>
    <w:rsid w:val="002E104F"/>
    <w:rsid w:val="002E1925"/>
    <w:rsid w:val="002E1A46"/>
    <w:rsid w:val="002E2637"/>
    <w:rsid w:val="002E36BE"/>
    <w:rsid w:val="002E3BF2"/>
    <w:rsid w:val="002E3C34"/>
    <w:rsid w:val="002E3CC6"/>
    <w:rsid w:val="002E40F6"/>
    <w:rsid w:val="002E4903"/>
    <w:rsid w:val="002E4DFF"/>
    <w:rsid w:val="002E545C"/>
    <w:rsid w:val="002E5A4D"/>
    <w:rsid w:val="002E612A"/>
    <w:rsid w:val="002E74A3"/>
    <w:rsid w:val="002E74D3"/>
    <w:rsid w:val="002E79EF"/>
    <w:rsid w:val="002E7CCE"/>
    <w:rsid w:val="002E7D06"/>
    <w:rsid w:val="002F00D1"/>
    <w:rsid w:val="002F03D4"/>
    <w:rsid w:val="002F042B"/>
    <w:rsid w:val="002F099B"/>
    <w:rsid w:val="002F11E3"/>
    <w:rsid w:val="002F191C"/>
    <w:rsid w:val="002F1B19"/>
    <w:rsid w:val="002F1E8C"/>
    <w:rsid w:val="002F1FB3"/>
    <w:rsid w:val="002F2553"/>
    <w:rsid w:val="002F28B2"/>
    <w:rsid w:val="002F303B"/>
    <w:rsid w:val="002F44DD"/>
    <w:rsid w:val="002F458E"/>
    <w:rsid w:val="002F4AAE"/>
    <w:rsid w:val="002F4B81"/>
    <w:rsid w:val="002F515E"/>
    <w:rsid w:val="002F51F0"/>
    <w:rsid w:val="002F533E"/>
    <w:rsid w:val="002F5409"/>
    <w:rsid w:val="002F5AC8"/>
    <w:rsid w:val="002F66E2"/>
    <w:rsid w:val="002F6F44"/>
    <w:rsid w:val="002F7076"/>
    <w:rsid w:val="002F796B"/>
    <w:rsid w:val="002F7C34"/>
    <w:rsid w:val="002F7D3C"/>
    <w:rsid w:val="00300599"/>
    <w:rsid w:val="00301E93"/>
    <w:rsid w:val="00302B74"/>
    <w:rsid w:val="00303367"/>
    <w:rsid w:val="00303C65"/>
    <w:rsid w:val="003045D4"/>
    <w:rsid w:val="0030483E"/>
    <w:rsid w:val="00304AD7"/>
    <w:rsid w:val="003058F8"/>
    <w:rsid w:val="00305EEA"/>
    <w:rsid w:val="003067FF"/>
    <w:rsid w:val="00307131"/>
    <w:rsid w:val="0030786B"/>
    <w:rsid w:val="00307F3F"/>
    <w:rsid w:val="003104F8"/>
    <w:rsid w:val="0031061D"/>
    <w:rsid w:val="00310BAF"/>
    <w:rsid w:val="00311734"/>
    <w:rsid w:val="0031213B"/>
    <w:rsid w:val="003137D9"/>
    <w:rsid w:val="00313C4A"/>
    <w:rsid w:val="003155B5"/>
    <w:rsid w:val="00315835"/>
    <w:rsid w:val="00315A35"/>
    <w:rsid w:val="00315B2D"/>
    <w:rsid w:val="00316A04"/>
    <w:rsid w:val="00316F6D"/>
    <w:rsid w:val="0031750D"/>
    <w:rsid w:val="00317649"/>
    <w:rsid w:val="00320122"/>
    <w:rsid w:val="0032027B"/>
    <w:rsid w:val="00320638"/>
    <w:rsid w:val="0032070D"/>
    <w:rsid w:val="00320815"/>
    <w:rsid w:val="00320B88"/>
    <w:rsid w:val="00321002"/>
    <w:rsid w:val="003213C6"/>
    <w:rsid w:val="003215DD"/>
    <w:rsid w:val="00322D9D"/>
    <w:rsid w:val="00323458"/>
    <w:rsid w:val="00323A90"/>
    <w:rsid w:val="0032446A"/>
    <w:rsid w:val="00325031"/>
    <w:rsid w:val="00325B70"/>
    <w:rsid w:val="00325D92"/>
    <w:rsid w:val="00325E43"/>
    <w:rsid w:val="00325FEF"/>
    <w:rsid w:val="00326021"/>
    <w:rsid w:val="0032686F"/>
    <w:rsid w:val="00326DF2"/>
    <w:rsid w:val="00326FB0"/>
    <w:rsid w:val="003273BB"/>
    <w:rsid w:val="003276CE"/>
    <w:rsid w:val="00327F78"/>
    <w:rsid w:val="00330513"/>
    <w:rsid w:val="0033065A"/>
    <w:rsid w:val="00330C9A"/>
    <w:rsid w:val="003310E1"/>
    <w:rsid w:val="003311DF"/>
    <w:rsid w:val="00331441"/>
    <w:rsid w:val="0033151D"/>
    <w:rsid w:val="00332E0C"/>
    <w:rsid w:val="00334D7F"/>
    <w:rsid w:val="00335C96"/>
    <w:rsid w:val="00336391"/>
    <w:rsid w:val="0033671A"/>
    <w:rsid w:val="00336E96"/>
    <w:rsid w:val="003378F0"/>
    <w:rsid w:val="00337A8B"/>
    <w:rsid w:val="00337E1A"/>
    <w:rsid w:val="003401FB"/>
    <w:rsid w:val="00340556"/>
    <w:rsid w:val="00340894"/>
    <w:rsid w:val="00341337"/>
    <w:rsid w:val="00341974"/>
    <w:rsid w:val="00341DF7"/>
    <w:rsid w:val="00342881"/>
    <w:rsid w:val="003429A6"/>
    <w:rsid w:val="00343086"/>
    <w:rsid w:val="003436CD"/>
    <w:rsid w:val="00343BBE"/>
    <w:rsid w:val="00343CBF"/>
    <w:rsid w:val="00344BD2"/>
    <w:rsid w:val="00344C71"/>
    <w:rsid w:val="00345015"/>
    <w:rsid w:val="00345616"/>
    <w:rsid w:val="003459AB"/>
    <w:rsid w:val="0034713A"/>
    <w:rsid w:val="003478A9"/>
    <w:rsid w:val="00347AB2"/>
    <w:rsid w:val="00347BAD"/>
    <w:rsid w:val="00347E06"/>
    <w:rsid w:val="00350F95"/>
    <w:rsid w:val="0035190B"/>
    <w:rsid w:val="00351949"/>
    <w:rsid w:val="003520F2"/>
    <w:rsid w:val="00352627"/>
    <w:rsid w:val="0035266F"/>
    <w:rsid w:val="00352ED8"/>
    <w:rsid w:val="00353A41"/>
    <w:rsid w:val="00353F5E"/>
    <w:rsid w:val="00353F64"/>
    <w:rsid w:val="00354229"/>
    <w:rsid w:val="00354F72"/>
    <w:rsid w:val="00355177"/>
    <w:rsid w:val="00355F01"/>
    <w:rsid w:val="00356914"/>
    <w:rsid w:val="00357234"/>
    <w:rsid w:val="00357280"/>
    <w:rsid w:val="0035744D"/>
    <w:rsid w:val="0036036A"/>
    <w:rsid w:val="00360EC6"/>
    <w:rsid w:val="00361306"/>
    <w:rsid w:val="00361C39"/>
    <w:rsid w:val="00362759"/>
    <w:rsid w:val="00362C55"/>
    <w:rsid w:val="00362C7B"/>
    <w:rsid w:val="003636EE"/>
    <w:rsid w:val="00364237"/>
    <w:rsid w:val="00364A47"/>
    <w:rsid w:val="00364C4D"/>
    <w:rsid w:val="003657A3"/>
    <w:rsid w:val="00365944"/>
    <w:rsid w:val="00365BE0"/>
    <w:rsid w:val="00366A45"/>
    <w:rsid w:val="00366BDB"/>
    <w:rsid w:val="00370750"/>
    <w:rsid w:val="003709B1"/>
    <w:rsid w:val="003709BA"/>
    <w:rsid w:val="0037123D"/>
    <w:rsid w:val="00371385"/>
    <w:rsid w:val="003715DF"/>
    <w:rsid w:val="0037167C"/>
    <w:rsid w:val="00371A7A"/>
    <w:rsid w:val="00371E33"/>
    <w:rsid w:val="0037223B"/>
    <w:rsid w:val="003724D8"/>
    <w:rsid w:val="00372AAA"/>
    <w:rsid w:val="00373776"/>
    <w:rsid w:val="003749FD"/>
    <w:rsid w:val="00374C34"/>
    <w:rsid w:val="00374F4C"/>
    <w:rsid w:val="00374FC9"/>
    <w:rsid w:val="00375260"/>
    <w:rsid w:val="00375349"/>
    <w:rsid w:val="003768DD"/>
    <w:rsid w:val="003774DE"/>
    <w:rsid w:val="00377556"/>
    <w:rsid w:val="00377D2A"/>
    <w:rsid w:val="00377E57"/>
    <w:rsid w:val="00380223"/>
    <w:rsid w:val="00380871"/>
    <w:rsid w:val="00380A84"/>
    <w:rsid w:val="00381BB7"/>
    <w:rsid w:val="00381DAD"/>
    <w:rsid w:val="0038287C"/>
    <w:rsid w:val="003829AC"/>
    <w:rsid w:val="00382E3A"/>
    <w:rsid w:val="0038324F"/>
    <w:rsid w:val="00383EC6"/>
    <w:rsid w:val="00384556"/>
    <w:rsid w:val="00385107"/>
    <w:rsid w:val="00385231"/>
    <w:rsid w:val="00385766"/>
    <w:rsid w:val="00385BDB"/>
    <w:rsid w:val="00385D21"/>
    <w:rsid w:val="0038729F"/>
    <w:rsid w:val="00387714"/>
    <w:rsid w:val="003901C6"/>
    <w:rsid w:val="00390456"/>
    <w:rsid w:val="00390698"/>
    <w:rsid w:val="003907B6"/>
    <w:rsid w:val="00390B4A"/>
    <w:rsid w:val="00390C99"/>
    <w:rsid w:val="00391251"/>
    <w:rsid w:val="00391506"/>
    <w:rsid w:val="00391CDE"/>
    <w:rsid w:val="00392B55"/>
    <w:rsid w:val="00392DF3"/>
    <w:rsid w:val="00393409"/>
    <w:rsid w:val="003935E0"/>
    <w:rsid w:val="00393A0C"/>
    <w:rsid w:val="003942DA"/>
    <w:rsid w:val="00394CDE"/>
    <w:rsid w:val="00394E44"/>
    <w:rsid w:val="00394E69"/>
    <w:rsid w:val="003950DA"/>
    <w:rsid w:val="00395251"/>
    <w:rsid w:val="003952AE"/>
    <w:rsid w:val="00395678"/>
    <w:rsid w:val="00395E81"/>
    <w:rsid w:val="00396ADA"/>
    <w:rsid w:val="0039764F"/>
    <w:rsid w:val="0039774C"/>
    <w:rsid w:val="00397AB5"/>
    <w:rsid w:val="00397DAE"/>
    <w:rsid w:val="003A0303"/>
    <w:rsid w:val="003A0DD2"/>
    <w:rsid w:val="003A1697"/>
    <w:rsid w:val="003A1732"/>
    <w:rsid w:val="003A1EC3"/>
    <w:rsid w:val="003A2ED1"/>
    <w:rsid w:val="003A2F45"/>
    <w:rsid w:val="003A3B81"/>
    <w:rsid w:val="003A4101"/>
    <w:rsid w:val="003A4751"/>
    <w:rsid w:val="003A49BD"/>
    <w:rsid w:val="003A4A11"/>
    <w:rsid w:val="003A4A61"/>
    <w:rsid w:val="003A5985"/>
    <w:rsid w:val="003A5D46"/>
    <w:rsid w:val="003A5EFC"/>
    <w:rsid w:val="003A6E72"/>
    <w:rsid w:val="003A7392"/>
    <w:rsid w:val="003A74DD"/>
    <w:rsid w:val="003A7695"/>
    <w:rsid w:val="003A76AE"/>
    <w:rsid w:val="003A76DE"/>
    <w:rsid w:val="003A77EB"/>
    <w:rsid w:val="003A7D65"/>
    <w:rsid w:val="003B105A"/>
    <w:rsid w:val="003B11B0"/>
    <w:rsid w:val="003B150E"/>
    <w:rsid w:val="003B1A88"/>
    <w:rsid w:val="003B2E42"/>
    <w:rsid w:val="003B527C"/>
    <w:rsid w:val="003B5545"/>
    <w:rsid w:val="003B56C9"/>
    <w:rsid w:val="003B5955"/>
    <w:rsid w:val="003B630A"/>
    <w:rsid w:val="003B6F73"/>
    <w:rsid w:val="003B761A"/>
    <w:rsid w:val="003B79E3"/>
    <w:rsid w:val="003B7B9E"/>
    <w:rsid w:val="003C015B"/>
    <w:rsid w:val="003C0E10"/>
    <w:rsid w:val="003C1AC3"/>
    <w:rsid w:val="003C27B1"/>
    <w:rsid w:val="003C2C4C"/>
    <w:rsid w:val="003C2E61"/>
    <w:rsid w:val="003C33B0"/>
    <w:rsid w:val="003C35C4"/>
    <w:rsid w:val="003C3E8E"/>
    <w:rsid w:val="003C498F"/>
    <w:rsid w:val="003C49BE"/>
    <w:rsid w:val="003C4F56"/>
    <w:rsid w:val="003C588D"/>
    <w:rsid w:val="003C5C20"/>
    <w:rsid w:val="003C613F"/>
    <w:rsid w:val="003C629B"/>
    <w:rsid w:val="003C6767"/>
    <w:rsid w:val="003C6E0C"/>
    <w:rsid w:val="003C6F37"/>
    <w:rsid w:val="003C714B"/>
    <w:rsid w:val="003C71DB"/>
    <w:rsid w:val="003C7551"/>
    <w:rsid w:val="003C76CE"/>
    <w:rsid w:val="003C7E65"/>
    <w:rsid w:val="003D098A"/>
    <w:rsid w:val="003D0DF8"/>
    <w:rsid w:val="003D194E"/>
    <w:rsid w:val="003D1C79"/>
    <w:rsid w:val="003D1E2F"/>
    <w:rsid w:val="003D3001"/>
    <w:rsid w:val="003D3208"/>
    <w:rsid w:val="003D329C"/>
    <w:rsid w:val="003D3586"/>
    <w:rsid w:val="003D3A18"/>
    <w:rsid w:val="003D3D27"/>
    <w:rsid w:val="003D4CFA"/>
    <w:rsid w:val="003D4DEE"/>
    <w:rsid w:val="003D50A7"/>
    <w:rsid w:val="003D517F"/>
    <w:rsid w:val="003D5380"/>
    <w:rsid w:val="003D59FF"/>
    <w:rsid w:val="003D5A72"/>
    <w:rsid w:val="003D6333"/>
    <w:rsid w:val="003D63F4"/>
    <w:rsid w:val="003D6891"/>
    <w:rsid w:val="003D6C11"/>
    <w:rsid w:val="003D7610"/>
    <w:rsid w:val="003D7E48"/>
    <w:rsid w:val="003D7F03"/>
    <w:rsid w:val="003D7FBF"/>
    <w:rsid w:val="003E0132"/>
    <w:rsid w:val="003E01DC"/>
    <w:rsid w:val="003E05B5"/>
    <w:rsid w:val="003E0875"/>
    <w:rsid w:val="003E0FFC"/>
    <w:rsid w:val="003E12D7"/>
    <w:rsid w:val="003E1AFF"/>
    <w:rsid w:val="003E1EB2"/>
    <w:rsid w:val="003E2090"/>
    <w:rsid w:val="003E24E9"/>
    <w:rsid w:val="003E2C2D"/>
    <w:rsid w:val="003E2EB0"/>
    <w:rsid w:val="003E3323"/>
    <w:rsid w:val="003E3D38"/>
    <w:rsid w:val="003E3EF7"/>
    <w:rsid w:val="003E41B4"/>
    <w:rsid w:val="003E4583"/>
    <w:rsid w:val="003E5628"/>
    <w:rsid w:val="003E6BEF"/>
    <w:rsid w:val="003E7201"/>
    <w:rsid w:val="003E7263"/>
    <w:rsid w:val="003E7E5B"/>
    <w:rsid w:val="003F0739"/>
    <w:rsid w:val="003F0848"/>
    <w:rsid w:val="003F0C09"/>
    <w:rsid w:val="003F0EA0"/>
    <w:rsid w:val="003F10F0"/>
    <w:rsid w:val="003F266E"/>
    <w:rsid w:val="003F2AF7"/>
    <w:rsid w:val="003F2C9B"/>
    <w:rsid w:val="003F5092"/>
    <w:rsid w:val="003F54B8"/>
    <w:rsid w:val="003F5832"/>
    <w:rsid w:val="003F6B22"/>
    <w:rsid w:val="003F73F5"/>
    <w:rsid w:val="003F7E55"/>
    <w:rsid w:val="00400811"/>
    <w:rsid w:val="00400936"/>
    <w:rsid w:val="00400EE8"/>
    <w:rsid w:val="00401F61"/>
    <w:rsid w:val="00402B80"/>
    <w:rsid w:val="00403006"/>
    <w:rsid w:val="0040332D"/>
    <w:rsid w:val="00403B85"/>
    <w:rsid w:val="00403C89"/>
    <w:rsid w:val="00403C9D"/>
    <w:rsid w:val="00404913"/>
    <w:rsid w:val="00404A09"/>
    <w:rsid w:val="00404E65"/>
    <w:rsid w:val="00404E9B"/>
    <w:rsid w:val="00404F1E"/>
    <w:rsid w:val="00405704"/>
    <w:rsid w:val="00406027"/>
    <w:rsid w:val="00406107"/>
    <w:rsid w:val="004068EB"/>
    <w:rsid w:val="00406F16"/>
    <w:rsid w:val="00406F93"/>
    <w:rsid w:val="00406FCB"/>
    <w:rsid w:val="00407986"/>
    <w:rsid w:val="00407B53"/>
    <w:rsid w:val="004104A3"/>
    <w:rsid w:val="004104B4"/>
    <w:rsid w:val="00410ED1"/>
    <w:rsid w:val="00411040"/>
    <w:rsid w:val="00411069"/>
    <w:rsid w:val="00411A06"/>
    <w:rsid w:val="004123D6"/>
    <w:rsid w:val="004126DB"/>
    <w:rsid w:val="00413079"/>
    <w:rsid w:val="00413908"/>
    <w:rsid w:val="00414898"/>
    <w:rsid w:val="00414FE8"/>
    <w:rsid w:val="00414FED"/>
    <w:rsid w:val="0041522F"/>
    <w:rsid w:val="00415ECE"/>
    <w:rsid w:val="0041683F"/>
    <w:rsid w:val="00417143"/>
    <w:rsid w:val="004171D0"/>
    <w:rsid w:val="0041768F"/>
    <w:rsid w:val="00420476"/>
    <w:rsid w:val="00420970"/>
    <w:rsid w:val="004211FE"/>
    <w:rsid w:val="00421770"/>
    <w:rsid w:val="00421AE7"/>
    <w:rsid w:val="00421B4F"/>
    <w:rsid w:val="00421C3F"/>
    <w:rsid w:val="00422316"/>
    <w:rsid w:val="004229ED"/>
    <w:rsid w:val="00422DD2"/>
    <w:rsid w:val="00423275"/>
    <w:rsid w:val="00423FA7"/>
    <w:rsid w:val="004247BF"/>
    <w:rsid w:val="00424B91"/>
    <w:rsid w:val="00424BBB"/>
    <w:rsid w:val="00425801"/>
    <w:rsid w:val="004264A7"/>
    <w:rsid w:val="00426C7B"/>
    <w:rsid w:val="004271FF"/>
    <w:rsid w:val="00427603"/>
    <w:rsid w:val="004300C9"/>
    <w:rsid w:val="0043079D"/>
    <w:rsid w:val="00430A5F"/>
    <w:rsid w:val="004313C6"/>
    <w:rsid w:val="004317FB"/>
    <w:rsid w:val="00431DA9"/>
    <w:rsid w:val="00432BCA"/>
    <w:rsid w:val="00432C87"/>
    <w:rsid w:val="00432CAD"/>
    <w:rsid w:val="00433596"/>
    <w:rsid w:val="00433650"/>
    <w:rsid w:val="0043495A"/>
    <w:rsid w:val="004352AF"/>
    <w:rsid w:val="004356BB"/>
    <w:rsid w:val="00436741"/>
    <w:rsid w:val="0043782D"/>
    <w:rsid w:val="00440002"/>
    <w:rsid w:val="004401B0"/>
    <w:rsid w:val="00440C2F"/>
    <w:rsid w:val="004410F0"/>
    <w:rsid w:val="004418C9"/>
    <w:rsid w:val="0044220F"/>
    <w:rsid w:val="004424F4"/>
    <w:rsid w:val="00442834"/>
    <w:rsid w:val="00444270"/>
    <w:rsid w:val="00444496"/>
    <w:rsid w:val="004449CE"/>
    <w:rsid w:val="00444CB5"/>
    <w:rsid w:val="00445BD0"/>
    <w:rsid w:val="00445CBC"/>
    <w:rsid w:val="00446182"/>
    <w:rsid w:val="00446496"/>
    <w:rsid w:val="00446711"/>
    <w:rsid w:val="00446F37"/>
    <w:rsid w:val="00446F8A"/>
    <w:rsid w:val="00447AFB"/>
    <w:rsid w:val="004500EE"/>
    <w:rsid w:val="00450B4D"/>
    <w:rsid w:val="00450C94"/>
    <w:rsid w:val="004514DF"/>
    <w:rsid w:val="00453397"/>
    <w:rsid w:val="0045348C"/>
    <w:rsid w:val="00453878"/>
    <w:rsid w:val="004539B9"/>
    <w:rsid w:val="00453ACC"/>
    <w:rsid w:val="00453B00"/>
    <w:rsid w:val="00454A31"/>
    <w:rsid w:val="00454A3F"/>
    <w:rsid w:val="004555C9"/>
    <w:rsid w:val="00455BB3"/>
    <w:rsid w:val="00455E11"/>
    <w:rsid w:val="00455ECC"/>
    <w:rsid w:val="00456445"/>
    <w:rsid w:val="004567FA"/>
    <w:rsid w:val="00456C79"/>
    <w:rsid w:val="00457694"/>
    <w:rsid w:val="00457B3D"/>
    <w:rsid w:val="00457E93"/>
    <w:rsid w:val="00457FCD"/>
    <w:rsid w:val="00460026"/>
    <w:rsid w:val="0046024A"/>
    <w:rsid w:val="00460BA6"/>
    <w:rsid w:val="00460BDC"/>
    <w:rsid w:val="00460BE7"/>
    <w:rsid w:val="00460F28"/>
    <w:rsid w:val="00461240"/>
    <w:rsid w:val="00461D3A"/>
    <w:rsid w:val="00462973"/>
    <w:rsid w:val="0046389D"/>
    <w:rsid w:val="004640F4"/>
    <w:rsid w:val="00464154"/>
    <w:rsid w:val="00464160"/>
    <w:rsid w:val="004648AB"/>
    <w:rsid w:val="00464FE2"/>
    <w:rsid w:val="004657B4"/>
    <w:rsid w:val="00465DB2"/>
    <w:rsid w:val="0046679D"/>
    <w:rsid w:val="0046761F"/>
    <w:rsid w:val="00467D1F"/>
    <w:rsid w:val="0047058A"/>
    <w:rsid w:val="0047112A"/>
    <w:rsid w:val="00471213"/>
    <w:rsid w:val="00471861"/>
    <w:rsid w:val="00471EF0"/>
    <w:rsid w:val="00471FA6"/>
    <w:rsid w:val="00471FC7"/>
    <w:rsid w:val="004722B7"/>
    <w:rsid w:val="004727C5"/>
    <w:rsid w:val="00473C7A"/>
    <w:rsid w:val="00473E15"/>
    <w:rsid w:val="00474053"/>
    <w:rsid w:val="00474E8F"/>
    <w:rsid w:val="00475264"/>
    <w:rsid w:val="004756D7"/>
    <w:rsid w:val="00475877"/>
    <w:rsid w:val="00475A9D"/>
    <w:rsid w:val="00475E82"/>
    <w:rsid w:val="0047660A"/>
    <w:rsid w:val="0047774F"/>
    <w:rsid w:val="00480105"/>
    <w:rsid w:val="00480C09"/>
    <w:rsid w:val="00481026"/>
    <w:rsid w:val="00481C30"/>
    <w:rsid w:val="00481EF7"/>
    <w:rsid w:val="00481F67"/>
    <w:rsid w:val="00482C2D"/>
    <w:rsid w:val="00482E12"/>
    <w:rsid w:val="00482E8E"/>
    <w:rsid w:val="004839CB"/>
    <w:rsid w:val="00483EA8"/>
    <w:rsid w:val="00484441"/>
    <w:rsid w:val="004848CE"/>
    <w:rsid w:val="0048499D"/>
    <w:rsid w:val="0048554C"/>
    <w:rsid w:val="00485C7A"/>
    <w:rsid w:val="00485F67"/>
    <w:rsid w:val="00486154"/>
    <w:rsid w:val="0048618B"/>
    <w:rsid w:val="004864F7"/>
    <w:rsid w:val="00486C54"/>
    <w:rsid w:val="00486C5A"/>
    <w:rsid w:val="00486CD4"/>
    <w:rsid w:val="00486F26"/>
    <w:rsid w:val="00486FE7"/>
    <w:rsid w:val="00487A6F"/>
    <w:rsid w:val="00487E3B"/>
    <w:rsid w:val="0049061C"/>
    <w:rsid w:val="00490B4D"/>
    <w:rsid w:val="0049119D"/>
    <w:rsid w:val="004914E6"/>
    <w:rsid w:val="00491DDC"/>
    <w:rsid w:val="0049265A"/>
    <w:rsid w:val="00492A5F"/>
    <w:rsid w:val="0049326F"/>
    <w:rsid w:val="004933B8"/>
    <w:rsid w:val="00493E2B"/>
    <w:rsid w:val="00493F9F"/>
    <w:rsid w:val="00494518"/>
    <w:rsid w:val="00494905"/>
    <w:rsid w:val="00494C6F"/>
    <w:rsid w:val="00495B9F"/>
    <w:rsid w:val="004966B2"/>
    <w:rsid w:val="00496F98"/>
    <w:rsid w:val="004970F1"/>
    <w:rsid w:val="0049765E"/>
    <w:rsid w:val="00497A06"/>
    <w:rsid w:val="00497BA7"/>
    <w:rsid w:val="004A00AC"/>
    <w:rsid w:val="004A0CF2"/>
    <w:rsid w:val="004A0E5C"/>
    <w:rsid w:val="004A12BA"/>
    <w:rsid w:val="004A1730"/>
    <w:rsid w:val="004A197B"/>
    <w:rsid w:val="004A1B08"/>
    <w:rsid w:val="004A1FBE"/>
    <w:rsid w:val="004A4163"/>
    <w:rsid w:val="004A470C"/>
    <w:rsid w:val="004A51EB"/>
    <w:rsid w:val="004A532E"/>
    <w:rsid w:val="004A5BDC"/>
    <w:rsid w:val="004B0122"/>
    <w:rsid w:val="004B0469"/>
    <w:rsid w:val="004B052C"/>
    <w:rsid w:val="004B0761"/>
    <w:rsid w:val="004B0C04"/>
    <w:rsid w:val="004B0DAA"/>
    <w:rsid w:val="004B0E87"/>
    <w:rsid w:val="004B0EBC"/>
    <w:rsid w:val="004B1216"/>
    <w:rsid w:val="004B1445"/>
    <w:rsid w:val="004B1D94"/>
    <w:rsid w:val="004B2474"/>
    <w:rsid w:val="004B251F"/>
    <w:rsid w:val="004B27DA"/>
    <w:rsid w:val="004B28CC"/>
    <w:rsid w:val="004B355C"/>
    <w:rsid w:val="004B4078"/>
    <w:rsid w:val="004B5DE1"/>
    <w:rsid w:val="004B63C4"/>
    <w:rsid w:val="004B6AD1"/>
    <w:rsid w:val="004B73A3"/>
    <w:rsid w:val="004C170D"/>
    <w:rsid w:val="004C1C4E"/>
    <w:rsid w:val="004C1E45"/>
    <w:rsid w:val="004C203C"/>
    <w:rsid w:val="004C2445"/>
    <w:rsid w:val="004C2660"/>
    <w:rsid w:val="004C31B7"/>
    <w:rsid w:val="004C3BAC"/>
    <w:rsid w:val="004C3D00"/>
    <w:rsid w:val="004C3E50"/>
    <w:rsid w:val="004C4115"/>
    <w:rsid w:val="004C5871"/>
    <w:rsid w:val="004C597F"/>
    <w:rsid w:val="004C5C5A"/>
    <w:rsid w:val="004C7D26"/>
    <w:rsid w:val="004C7E77"/>
    <w:rsid w:val="004D078F"/>
    <w:rsid w:val="004D0984"/>
    <w:rsid w:val="004D14F4"/>
    <w:rsid w:val="004D156D"/>
    <w:rsid w:val="004D1694"/>
    <w:rsid w:val="004D17EA"/>
    <w:rsid w:val="004D1E88"/>
    <w:rsid w:val="004D2296"/>
    <w:rsid w:val="004D302D"/>
    <w:rsid w:val="004D3E9F"/>
    <w:rsid w:val="004D453B"/>
    <w:rsid w:val="004D4AC1"/>
    <w:rsid w:val="004D623A"/>
    <w:rsid w:val="004D69B7"/>
    <w:rsid w:val="004D7552"/>
    <w:rsid w:val="004E013A"/>
    <w:rsid w:val="004E05A6"/>
    <w:rsid w:val="004E0EBD"/>
    <w:rsid w:val="004E0FD1"/>
    <w:rsid w:val="004E1170"/>
    <w:rsid w:val="004E1D0E"/>
    <w:rsid w:val="004E1D94"/>
    <w:rsid w:val="004E2835"/>
    <w:rsid w:val="004E337E"/>
    <w:rsid w:val="004E341D"/>
    <w:rsid w:val="004E3AED"/>
    <w:rsid w:val="004E3BAB"/>
    <w:rsid w:val="004E59DF"/>
    <w:rsid w:val="004E5C6A"/>
    <w:rsid w:val="004E5E87"/>
    <w:rsid w:val="004E665D"/>
    <w:rsid w:val="004E6DDB"/>
    <w:rsid w:val="004E7987"/>
    <w:rsid w:val="004E79C8"/>
    <w:rsid w:val="004E7DCC"/>
    <w:rsid w:val="004E7ED2"/>
    <w:rsid w:val="004F079E"/>
    <w:rsid w:val="004F12CB"/>
    <w:rsid w:val="004F1745"/>
    <w:rsid w:val="004F17FE"/>
    <w:rsid w:val="004F207B"/>
    <w:rsid w:val="004F25F5"/>
    <w:rsid w:val="004F2912"/>
    <w:rsid w:val="004F340D"/>
    <w:rsid w:val="004F350A"/>
    <w:rsid w:val="004F4988"/>
    <w:rsid w:val="004F4F3E"/>
    <w:rsid w:val="004F56EE"/>
    <w:rsid w:val="004F6465"/>
    <w:rsid w:val="004F68F1"/>
    <w:rsid w:val="004F7009"/>
    <w:rsid w:val="00500362"/>
    <w:rsid w:val="00500C8B"/>
    <w:rsid w:val="00500D80"/>
    <w:rsid w:val="00500DA7"/>
    <w:rsid w:val="00501A67"/>
    <w:rsid w:val="00501B9B"/>
    <w:rsid w:val="00501FB7"/>
    <w:rsid w:val="00502013"/>
    <w:rsid w:val="00502AD8"/>
    <w:rsid w:val="0050443B"/>
    <w:rsid w:val="00504AF0"/>
    <w:rsid w:val="00504CDD"/>
    <w:rsid w:val="0050522F"/>
    <w:rsid w:val="00505257"/>
    <w:rsid w:val="005062F6"/>
    <w:rsid w:val="00506561"/>
    <w:rsid w:val="00506713"/>
    <w:rsid w:val="00506E95"/>
    <w:rsid w:val="00506FBD"/>
    <w:rsid w:val="005071B9"/>
    <w:rsid w:val="00507A71"/>
    <w:rsid w:val="00507E30"/>
    <w:rsid w:val="00510736"/>
    <w:rsid w:val="00511D72"/>
    <w:rsid w:val="00512612"/>
    <w:rsid w:val="00512813"/>
    <w:rsid w:val="005137B3"/>
    <w:rsid w:val="00513917"/>
    <w:rsid w:val="005141B6"/>
    <w:rsid w:val="005144F4"/>
    <w:rsid w:val="0051482D"/>
    <w:rsid w:val="00514D4F"/>
    <w:rsid w:val="00514E3B"/>
    <w:rsid w:val="00514ED9"/>
    <w:rsid w:val="0051587D"/>
    <w:rsid w:val="005161AA"/>
    <w:rsid w:val="00516B84"/>
    <w:rsid w:val="00516BEC"/>
    <w:rsid w:val="0051735F"/>
    <w:rsid w:val="00517669"/>
    <w:rsid w:val="00520149"/>
    <w:rsid w:val="005211E3"/>
    <w:rsid w:val="00521D8A"/>
    <w:rsid w:val="00522E47"/>
    <w:rsid w:val="00523468"/>
    <w:rsid w:val="00523C8D"/>
    <w:rsid w:val="00524330"/>
    <w:rsid w:val="0052470D"/>
    <w:rsid w:val="00524CA1"/>
    <w:rsid w:val="00524E58"/>
    <w:rsid w:val="005251B8"/>
    <w:rsid w:val="00525682"/>
    <w:rsid w:val="00525ABC"/>
    <w:rsid w:val="00525E37"/>
    <w:rsid w:val="00525F70"/>
    <w:rsid w:val="00526FBC"/>
    <w:rsid w:val="00527285"/>
    <w:rsid w:val="00527291"/>
    <w:rsid w:val="00527ACD"/>
    <w:rsid w:val="00527B36"/>
    <w:rsid w:val="00527D42"/>
    <w:rsid w:val="005311BC"/>
    <w:rsid w:val="00531419"/>
    <w:rsid w:val="00531E2B"/>
    <w:rsid w:val="00532102"/>
    <w:rsid w:val="005329A1"/>
    <w:rsid w:val="00533B31"/>
    <w:rsid w:val="005344EB"/>
    <w:rsid w:val="005348C3"/>
    <w:rsid w:val="00534F9A"/>
    <w:rsid w:val="0053513E"/>
    <w:rsid w:val="005353AE"/>
    <w:rsid w:val="005357EA"/>
    <w:rsid w:val="00535CF1"/>
    <w:rsid w:val="00535EB9"/>
    <w:rsid w:val="00535F2F"/>
    <w:rsid w:val="00536349"/>
    <w:rsid w:val="005366BF"/>
    <w:rsid w:val="00536726"/>
    <w:rsid w:val="00536F5D"/>
    <w:rsid w:val="00536FD0"/>
    <w:rsid w:val="00537B10"/>
    <w:rsid w:val="0054012C"/>
    <w:rsid w:val="005409D8"/>
    <w:rsid w:val="00541426"/>
    <w:rsid w:val="00541607"/>
    <w:rsid w:val="00541DE4"/>
    <w:rsid w:val="00541FFF"/>
    <w:rsid w:val="00542981"/>
    <w:rsid w:val="00542E1F"/>
    <w:rsid w:val="005432B3"/>
    <w:rsid w:val="0054343B"/>
    <w:rsid w:val="0054356C"/>
    <w:rsid w:val="00543981"/>
    <w:rsid w:val="005447FE"/>
    <w:rsid w:val="00544D46"/>
    <w:rsid w:val="00545DA2"/>
    <w:rsid w:val="0054647F"/>
    <w:rsid w:val="00546610"/>
    <w:rsid w:val="00546BA8"/>
    <w:rsid w:val="0054722D"/>
    <w:rsid w:val="005472EC"/>
    <w:rsid w:val="0055002F"/>
    <w:rsid w:val="00550813"/>
    <w:rsid w:val="005509F5"/>
    <w:rsid w:val="00550BD9"/>
    <w:rsid w:val="005513F0"/>
    <w:rsid w:val="005516A3"/>
    <w:rsid w:val="00551AF7"/>
    <w:rsid w:val="00551B72"/>
    <w:rsid w:val="00551CFE"/>
    <w:rsid w:val="00551DD8"/>
    <w:rsid w:val="00551F28"/>
    <w:rsid w:val="00552939"/>
    <w:rsid w:val="0055295A"/>
    <w:rsid w:val="00552E12"/>
    <w:rsid w:val="00552F31"/>
    <w:rsid w:val="00552F3C"/>
    <w:rsid w:val="005532A4"/>
    <w:rsid w:val="005544A8"/>
    <w:rsid w:val="00554764"/>
    <w:rsid w:val="005556C4"/>
    <w:rsid w:val="005559F6"/>
    <w:rsid w:val="00555A14"/>
    <w:rsid w:val="00556893"/>
    <w:rsid w:val="00556C7B"/>
    <w:rsid w:val="00557038"/>
    <w:rsid w:val="005614F1"/>
    <w:rsid w:val="00561F7C"/>
    <w:rsid w:val="00561FB8"/>
    <w:rsid w:val="005624C9"/>
    <w:rsid w:val="0056254D"/>
    <w:rsid w:val="00562E09"/>
    <w:rsid w:val="0056315B"/>
    <w:rsid w:val="005638D1"/>
    <w:rsid w:val="00563D7E"/>
    <w:rsid w:val="00563F1E"/>
    <w:rsid w:val="0056529F"/>
    <w:rsid w:val="00565A95"/>
    <w:rsid w:val="00566037"/>
    <w:rsid w:val="00566550"/>
    <w:rsid w:val="005667E2"/>
    <w:rsid w:val="0056699A"/>
    <w:rsid w:val="00566A90"/>
    <w:rsid w:val="00566B00"/>
    <w:rsid w:val="00566D93"/>
    <w:rsid w:val="00567630"/>
    <w:rsid w:val="00570AA9"/>
    <w:rsid w:val="00570D96"/>
    <w:rsid w:val="0057140E"/>
    <w:rsid w:val="00572617"/>
    <w:rsid w:val="00572738"/>
    <w:rsid w:val="00572773"/>
    <w:rsid w:val="00573141"/>
    <w:rsid w:val="00573166"/>
    <w:rsid w:val="005733C2"/>
    <w:rsid w:val="005733C6"/>
    <w:rsid w:val="00573DA1"/>
    <w:rsid w:val="00573E38"/>
    <w:rsid w:val="00573EDC"/>
    <w:rsid w:val="00574713"/>
    <w:rsid w:val="005749D9"/>
    <w:rsid w:val="005749DF"/>
    <w:rsid w:val="00574EFE"/>
    <w:rsid w:val="005752F1"/>
    <w:rsid w:val="005766B8"/>
    <w:rsid w:val="005768C2"/>
    <w:rsid w:val="00577022"/>
    <w:rsid w:val="005778A0"/>
    <w:rsid w:val="00577987"/>
    <w:rsid w:val="00577F3A"/>
    <w:rsid w:val="005810A9"/>
    <w:rsid w:val="00581E55"/>
    <w:rsid w:val="00582581"/>
    <w:rsid w:val="00582CA8"/>
    <w:rsid w:val="00583752"/>
    <w:rsid w:val="00583D62"/>
    <w:rsid w:val="00583F91"/>
    <w:rsid w:val="0058453E"/>
    <w:rsid w:val="00584D2D"/>
    <w:rsid w:val="00585BD7"/>
    <w:rsid w:val="00586491"/>
    <w:rsid w:val="005867E5"/>
    <w:rsid w:val="00586892"/>
    <w:rsid w:val="00586A40"/>
    <w:rsid w:val="0058749C"/>
    <w:rsid w:val="005879CA"/>
    <w:rsid w:val="00587B29"/>
    <w:rsid w:val="00587CAA"/>
    <w:rsid w:val="00590FBF"/>
    <w:rsid w:val="0059150C"/>
    <w:rsid w:val="00591510"/>
    <w:rsid w:val="00591B5D"/>
    <w:rsid w:val="00591E0C"/>
    <w:rsid w:val="0059287A"/>
    <w:rsid w:val="00592996"/>
    <w:rsid w:val="00592ADA"/>
    <w:rsid w:val="00592FAC"/>
    <w:rsid w:val="00593026"/>
    <w:rsid w:val="0059369F"/>
    <w:rsid w:val="005940CB"/>
    <w:rsid w:val="00594C8D"/>
    <w:rsid w:val="005954E1"/>
    <w:rsid w:val="005957C8"/>
    <w:rsid w:val="00596192"/>
    <w:rsid w:val="00596479"/>
    <w:rsid w:val="0059748E"/>
    <w:rsid w:val="005A047A"/>
    <w:rsid w:val="005A0501"/>
    <w:rsid w:val="005A0BCA"/>
    <w:rsid w:val="005A17F4"/>
    <w:rsid w:val="005A2255"/>
    <w:rsid w:val="005A3B77"/>
    <w:rsid w:val="005A4018"/>
    <w:rsid w:val="005A4076"/>
    <w:rsid w:val="005A65FE"/>
    <w:rsid w:val="005A674A"/>
    <w:rsid w:val="005A6844"/>
    <w:rsid w:val="005A76A4"/>
    <w:rsid w:val="005A77BE"/>
    <w:rsid w:val="005A797F"/>
    <w:rsid w:val="005B0601"/>
    <w:rsid w:val="005B0C68"/>
    <w:rsid w:val="005B28F1"/>
    <w:rsid w:val="005B2F74"/>
    <w:rsid w:val="005B3238"/>
    <w:rsid w:val="005B32B9"/>
    <w:rsid w:val="005B3ADB"/>
    <w:rsid w:val="005B3B49"/>
    <w:rsid w:val="005B4400"/>
    <w:rsid w:val="005B5293"/>
    <w:rsid w:val="005B6DDA"/>
    <w:rsid w:val="005B6E66"/>
    <w:rsid w:val="005B6E70"/>
    <w:rsid w:val="005B6F8A"/>
    <w:rsid w:val="005B7534"/>
    <w:rsid w:val="005B7A2F"/>
    <w:rsid w:val="005C036E"/>
    <w:rsid w:val="005C04F7"/>
    <w:rsid w:val="005C1417"/>
    <w:rsid w:val="005C17FD"/>
    <w:rsid w:val="005C32AE"/>
    <w:rsid w:val="005C3F2D"/>
    <w:rsid w:val="005C4081"/>
    <w:rsid w:val="005C4161"/>
    <w:rsid w:val="005C4323"/>
    <w:rsid w:val="005C4AB5"/>
    <w:rsid w:val="005C4D19"/>
    <w:rsid w:val="005C5801"/>
    <w:rsid w:val="005C58C8"/>
    <w:rsid w:val="005C5D99"/>
    <w:rsid w:val="005C63E9"/>
    <w:rsid w:val="005C6C4C"/>
    <w:rsid w:val="005C6F5C"/>
    <w:rsid w:val="005D02C7"/>
    <w:rsid w:val="005D0514"/>
    <w:rsid w:val="005D09A8"/>
    <w:rsid w:val="005D1087"/>
    <w:rsid w:val="005D2452"/>
    <w:rsid w:val="005D3815"/>
    <w:rsid w:val="005D3DDC"/>
    <w:rsid w:val="005D4081"/>
    <w:rsid w:val="005D47C5"/>
    <w:rsid w:val="005D4914"/>
    <w:rsid w:val="005D4D4F"/>
    <w:rsid w:val="005D5001"/>
    <w:rsid w:val="005D592F"/>
    <w:rsid w:val="005D61F9"/>
    <w:rsid w:val="005D6479"/>
    <w:rsid w:val="005D6514"/>
    <w:rsid w:val="005D69E1"/>
    <w:rsid w:val="005D7EA6"/>
    <w:rsid w:val="005E07A9"/>
    <w:rsid w:val="005E0D7B"/>
    <w:rsid w:val="005E1258"/>
    <w:rsid w:val="005E17BA"/>
    <w:rsid w:val="005E2C99"/>
    <w:rsid w:val="005E316B"/>
    <w:rsid w:val="005E40F1"/>
    <w:rsid w:val="005E428A"/>
    <w:rsid w:val="005E4983"/>
    <w:rsid w:val="005E4BDC"/>
    <w:rsid w:val="005E5564"/>
    <w:rsid w:val="005E6045"/>
    <w:rsid w:val="005E617C"/>
    <w:rsid w:val="005E6B2C"/>
    <w:rsid w:val="005E6D92"/>
    <w:rsid w:val="005E79A1"/>
    <w:rsid w:val="005E7B26"/>
    <w:rsid w:val="005E7EC0"/>
    <w:rsid w:val="005F08EB"/>
    <w:rsid w:val="005F0D4D"/>
    <w:rsid w:val="005F0F5A"/>
    <w:rsid w:val="005F0FFE"/>
    <w:rsid w:val="005F1161"/>
    <w:rsid w:val="005F127D"/>
    <w:rsid w:val="005F181B"/>
    <w:rsid w:val="005F1CF5"/>
    <w:rsid w:val="005F2543"/>
    <w:rsid w:val="005F2768"/>
    <w:rsid w:val="005F2A58"/>
    <w:rsid w:val="005F2B2C"/>
    <w:rsid w:val="005F3E0C"/>
    <w:rsid w:val="005F41B7"/>
    <w:rsid w:val="005F4231"/>
    <w:rsid w:val="005F475F"/>
    <w:rsid w:val="005F4A27"/>
    <w:rsid w:val="005F59B2"/>
    <w:rsid w:val="005F5B30"/>
    <w:rsid w:val="005F602C"/>
    <w:rsid w:val="005F644D"/>
    <w:rsid w:val="005F6786"/>
    <w:rsid w:val="005F729A"/>
    <w:rsid w:val="005F72BE"/>
    <w:rsid w:val="005F72D6"/>
    <w:rsid w:val="005F7374"/>
    <w:rsid w:val="005F7985"/>
    <w:rsid w:val="006000AD"/>
    <w:rsid w:val="00600216"/>
    <w:rsid w:val="00600248"/>
    <w:rsid w:val="0060084E"/>
    <w:rsid w:val="00600D3F"/>
    <w:rsid w:val="0060210C"/>
    <w:rsid w:val="006023F1"/>
    <w:rsid w:val="00602F47"/>
    <w:rsid w:val="00603C4D"/>
    <w:rsid w:val="00603C84"/>
    <w:rsid w:val="00603FB7"/>
    <w:rsid w:val="006044F7"/>
    <w:rsid w:val="006049F2"/>
    <w:rsid w:val="00604A1A"/>
    <w:rsid w:val="00604BBD"/>
    <w:rsid w:val="00604C7E"/>
    <w:rsid w:val="00604EFA"/>
    <w:rsid w:val="006059BA"/>
    <w:rsid w:val="00605B2F"/>
    <w:rsid w:val="00606D30"/>
    <w:rsid w:val="00607026"/>
    <w:rsid w:val="00607080"/>
    <w:rsid w:val="00607534"/>
    <w:rsid w:val="00607D99"/>
    <w:rsid w:val="00607FE3"/>
    <w:rsid w:val="006107FE"/>
    <w:rsid w:val="006108B6"/>
    <w:rsid w:val="0061124F"/>
    <w:rsid w:val="0061206D"/>
    <w:rsid w:val="006127A0"/>
    <w:rsid w:val="00612A7B"/>
    <w:rsid w:val="00614671"/>
    <w:rsid w:val="00614756"/>
    <w:rsid w:val="00614B8A"/>
    <w:rsid w:val="00615C30"/>
    <w:rsid w:val="0061613D"/>
    <w:rsid w:val="00616329"/>
    <w:rsid w:val="006163CA"/>
    <w:rsid w:val="006164FC"/>
    <w:rsid w:val="00616E99"/>
    <w:rsid w:val="006175C6"/>
    <w:rsid w:val="00617E44"/>
    <w:rsid w:val="006200BB"/>
    <w:rsid w:val="00620244"/>
    <w:rsid w:val="00620675"/>
    <w:rsid w:val="006211E3"/>
    <w:rsid w:val="00621A95"/>
    <w:rsid w:val="00621AF3"/>
    <w:rsid w:val="006221CD"/>
    <w:rsid w:val="0062333B"/>
    <w:rsid w:val="006237D5"/>
    <w:rsid w:val="00623C57"/>
    <w:rsid w:val="00626393"/>
    <w:rsid w:val="00627B61"/>
    <w:rsid w:val="006300FF"/>
    <w:rsid w:val="006301E9"/>
    <w:rsid w:val="0063235F"/>
    <w:rsid w:val="00632AE7"/>
    <w:rsid w:val="00633C62"/>
    <w:rsid w:val="006341C6"/>
    <w:rsid w:val="006343D1"/>
    <w:rsid w:val="00634637"/>
    <w:rsid w:val="00634650"/>
    <w:rsid w:val="0063489A"/>
    <w:rsid w:val="006362C9"/>
    <w:rsid w:val="00636DF7"/>
    <w:rsid w:val="00637E23"/>
    <w:rsid w:val="00637EC9"/>
    <w:rsid w:val="0064089B"/>
    <w:rsid w:val="00640BAD"/>
    <w:rsid w:val="00640F94"/>
    <w:rsid w:val="00641003"/>
    <w:rsid w:val="006410F8"/>
    <w:rsid w:val="006412B6"/>
    <w:rsid w:val="0064160B"/>
    <w:rsid w:val="006418C9"/>
    <w:rsid w:val="006424AF"/>
    <w:rsid w:val="006429D1"/>
    <w:rsid w:val="00642DC2"/>
    <w:rsid w:val="00642FBA"/>
    <w:rsid w:val="006436C7"/>
    <w:rsid w:val="00643FDD"/>
    <w:rsid w:val="006445B6"/>
    <w:rsid w:val="00644885"/>
    <w:rsid w:val="00644B72"/>
    <w:rsid w:val="00644B9E"/>
    <w:rsid w:val="0064545A"/>
    <w:rsid w:val="006454FA"/>
    <w:rsid w:val="00645821"/>
    <w:rsid w:val="00645B3C"/>
    <w:rsid w:val="006467B5"/>
    <w:rsid w:val="00646A0A"/>
    <w:rsid w:val="00646B19"/>
    <w:rsid w:val="00646E5C"/>
    <w:rsid w:val="0064723B"/>
    <w:rsid w:val="006505B2"/>
    <w:rsid w:val="00650D8C"/>
    <w:rsid w:val="0065100C"/>
    <w:rsid w:val="00651A3F"/>
    <w:rsid w:val="00651CC0"/>
    <w:rsid w:val="00651D11"/>
    <w:rsid w:val="006520DC"/>
    <w:rsid w:val="00652466"/>
    <w:rsid w:val="00652735"/>
    <w:rsid w:val="006529E8"/>
    <w:rsid w:val="00652BC7"/>
    <w:rsid w:val="00652DC3"/>
    <w:rsid w:val="00653429"/>
    <w:rsid w:val="00654148"/>
    <w:rsid w:val="00654D83"/>
    <w:rsid w:val="00654D9F"/>
    <w:rsid w:val="00654F97"/>
    <w:rsid w:val="00655379"/>
    <w:rsid w:val="0065664E"/>
    <w:rsid w:val="00656D28"/>
    <w:rsid w:val="00660778"/>
    <w:rsid w:val="00660875"/>
    <w:rsid w:val="00660C0A"/>
    <w:rsid w:val="00663041"/>
    <w:rsid w:val="00663522"/>
    <w:rsid w:val="00665194"/>
    <w:rsid w:val="006653C8"/>
    <w:rsid w:val="0066566A"/>
    <w:rsid w:val="00665C6C"/>
    <w:rsid w:val="00665E33"/>
    <w:rsid w:val="00666C77"/>
    <w:rsid w:val="006678AF"/>
    <w:rsid w:val="00667F2D"/>
    <w:rsid w:val="006706D0"/>
    <w:rsid w:val="00670E44"/>
    <w:rsid w:val="00671A37"/>
    <w:rsid w:val="00671EC4"/>
    <w:rsid w:val="00672D2B"/>
    <w:rsid w:val="00672EA4"/>
    <w:rsid w:val="00673FB2"/>
    <w:rsid w:val="00674ACC"/>
    <w:rsid w:val="00675035"/>
    <w:rsid w:val="00675050"/>
    <w:rsid w:val="0067530E"/>
    <w:rsid w:val="0067628F"/>
    <w:rsid w:val="00676D32"/>
    <w:rsid w:val="006771D4"/>
    <w:rsid w:val="00677ADF"/>
    <w:rsid w:val="00677E87"/>
    <w:rsid w:val="00680B96"/>
    <w:rsid w:val="0068103B"/>
    <w:rsid w:val="00681F62"/>
    <w:rsid w:val="006825A6"/>
    <w:rsid w:val="006828E5"/>
    <w:rsid w:val="0068373F"/>
    <w:rsid w:val="00683859"/>
    <w:rsid w:val="006838EA"/>
    <w:rsid w:val="00684051"/>
    <w:rsid w:val="0068456E"/>
    <w:rsid w:val="006849F2"/>
    <w:rsid w:val="00684FD4"/>
    <w:rsid w:val="00685936"/>
    <w:rsid w:val="00686081"/>
    <w:rsid w:val="0068627F"/>
    <w:rsid w:val="00686FC4"/>
    <w:rsid w:val="00687034"/>
    <w:rsid w:val="0068738E"/>
    <w:rsid w:val="0068759C"/>
    <w:rsid w:val="006877B4"/>
    <w:rsid w:val="00690139"/>
    <w:rsid w:val="00690C39"/>
    <w:rsid w:val="00690CC7"/>
    <w:rsid w:val="00692641"/>
    <w:rsid w:val="0069279E"/>
    <w:rsid w:val="006928E2"/>
    <w:rsid w:val="0069300E"/>
    <w:rsid w:val="0069378D"/>
    <w:rsid w:val="006946B3"/>
    <w:rsid w:val="00695670"/>
    <w:rsid w:val="006A0D07"/>
    <w:rsid w:val="006A22C1"/>
    <w:rsid w:val="006A293F"/>
    <w:rsid w:val="006A299B"/>
    <w:rsid w:val="006A31D7"/>
    <w:rsid w:val="006A343D"/>
    <w:rsid w:val="006A44BA"/>
    <w:rsid w:val="006A44F4"/>
    <w:rsid w:val="006A4E13"/>
    <w:rsid w:val="006A62E9"/>
    <w:rsid w:val="006A676D"/>
    <w:rsid w:val="006A7412"/>
    <w:rsid w:val="006A74EF"/>
    <w:rsid w:val="006A7C9A"/>
    <w:rsid w:val="006A7E1E"/>
    <w:rsid w:val="006B02E1"/>
    <w:rsid w:val="006B0809"/>
    <w:rsid w:val="006B0F1D"/>
    <w:rsid w:val="006B1B96"/>
    <w:rsid w:val="006B37CE"/>
    <w:rsid w:val="006B3C35"/>
    <w:rsid w:val="006B4758"/>
    <w:rsid w:val="006B4AC8"/>
    <w:rsid w:val="006B5282"/>
    <w:rsid w:val="006B528F"/>
    <w:rsid w:val="006B5D63"/>
    <w:rsid w:val="006B7ACD"/>
    <w:rsid w:val="006C0796"/>
    <w:rsid w:val="006C0A4A"/>
    <w:rsid w:val="006C0C76"/>
    <w:rsid w:val="006C1558"/>
    <w:rsid w:val="006C1595"/>
    <w:rsid w:val="006C227E"/>
    <w:rsid w:val="006C2CE3"/>
    <w:rsid w:val="006C3754"/>
    <w:rsid w:val="006C38D5"/>
    <w:rsid w:val="006C507F"/>
    <w:rsid w:val="006C5170"/>
    <w:rsid w:val="006C555A"/>
    <w:rsid w:val="006C5FA2"/>
    <w:rsid w:val="006C708B"/>
    <w:rsid w:val="006C7496"/>
    <w:rsid w:val="006C75F4"/>
    <w:rsid w:val="006C7CDE"/>
    <w:rsid w:val="006C7D25"/>
    <w:rsid w:val="006D0097"/>
    <w:rsid w:val="006D0B3B"/>
    <w:rsid w:val="006D1257"/>
    <w:rsid w:val="006D1AEF"/>
    <w:rsid w:val="006D21CC"/>
    <w:rsid w:val="006D25E0"/>
    <w:rsid w:val="006D39DE"/>
    <w:rsid w:val="006D4C53"/>
    <w:rsid w:val="006D4C58"/>
    <w:rsid w:val="006D51DF"/>
    <w:rsid w:val="006D5379"/>
    <w:rsid w:val="006D5732"/>
    <w:rsid w:val="006D6998"/>
    <w:rsid w:val="006D6B5C"/>
    <w:rsid w:val="006D6CB3"/>
    <w:rsid w:val="006D70B0"/>
    <w:rsid w:val="006D7223"/>
    <w:rsid w:val="006D7412"/>
    <w:rsid w:val="006D7795"/>
    <w:rsid w:val="006E0E9E"/>
    <w:rsid w:val="006E18BD"/>
    <w:rsid w:val="006E26D0"/>
    <w:rsid w:val="006E3A67"/>
    <w:rsid w:val="006E3E28"/>
    <w:rsid w:val="006E4D63"/>
    <w:rsid w:val="006E536A"/>
    <w:rsid w:val="006E57CA"/>
    <w:rsid w:val="006E5F7A"/>
    <w:rsid w:val="006E60C6"/>
    <w:rsid w:val="006E60CF"/>
    <w:rsid w:val="006E66BC"/>
    <w:rsid w:val="006E6884"/>
    <w:rsid w:val="006E7510"/>
    <w:rsid w:val="006F02F7"/>
    <w:rsid w:val="006F0AD2"/>
    <w:rsid w:val="006F123C"/>
    <w:rsid w:val="006F1E4D"/>
    <w:rsid w:val="006F22EF"/>
    <w:rsid w:val="006F25F2"/>
    <w:rsid w:val="006F4657"/>
    <w:rsid w:val="006F4D80"/>
    <w:rsid w:val="006F566F"/>
    <w:rsid w:val="006F5879"/>
    <w:rsid w:val="006F5C5F"/>
    <w:rsid w:val="006F6AAA"/>
    <w:rsid w:val="006F6B61"/>
    <w:rsid w:val="006F7E68"/>
    <w:rsid w:val="0070030A"/>
    <w:rsid w:val="0070098D"/>
    <w:rsid w:val="007009E3"/>
    <w:rsid w:val="00700C7D"/>
    <w:rsid w:val="007011B6"/>
    <w:rsid w:val="00701A49"/>
    <w:rsid w:val="00701F5A"/>
    <w:rsid w:val="007023EB"/>
    <w:rsid w:val="00702D89"/>
    <w:rsid w:val="00702E46"/>
    <w:rsid w:val="00703C4A"/>
    <w:rsid w:val="0070439B"/>
    <w:rsid w:val="00704512"/>
    <w:rsid w:val="007054CE"/>
    <w:rsid w:val="00705AA1"/>
    <w:rsid w:val="00706234"/>
    <w:rsid w:val="0070672C"/>
    <w:rsid w:val="007069E6"/>
    <w:rsid w:val="0070702B"/>
    <w:rsid w:val="007075B4"/>
    <w:rsid w:val="00707811"/>
    <w:rsid w:val="00707F5E"/>
    <w:rsid w:val="007109A3"/>
    <w:rsid w:val="0071181B"/>
    <w:rsid w:val="00712A97"/>
    <w:rsid w:val="00712BF4"/>
    <w:rsid w:val="00713733"/>
    <w:rsid w:val="0071386E"/>
    <w:rsid w:val="00713D1C"/>
    <w:rsid w:val="00714C05"/>
    <w:rsid w:val="007154B4"/>
    <w:rsid w:val="007158BD"/>
    <w:rsid w:val="0071607B"/>
    <w:rsid w:val="00717368"/>
    <w:rsid w:val="00717908"/>
    <w:rsid w:val="00717AAA"/>
    <w:rsid w:val="00717B02"/>
    <w:rsid w:val="007200E6"/>
    <w:rsid w:val="00720240"/>
    <w:rsid w:val="007208FC"/>
    <w:rsid w:val="00720C28"/>
    <w:rsid w:val="00720FD3"/>
    <w:rsid w:val="00721DD1"/>
    <w:rsid w:val="007225F1"/>
    <w:rsid w:val="00722F4B"/>
    <w:rsid w:val="007239E8"/>
    <w:rsid w:val="00723BC5"/>
    <w:rsid w:val="00723F9D"/>
    <w:rsid w:val="00724DB3"/>
    <w:rsid w:val="007250FA"/>
    <w:rsid w:val="00725212"/>
    <w:rsid w:val="007254E0"/>
    <w:rsid w:val="0072672A"/>
    <w:rsid w:val="00726B0D"/>
    <w:rsid w:val="00726CDD"/>
    <w:rsid w:val="00727C76"/>
    <w:rsid w:val="00727E7B"/>
    <w:rsid w:val="0073052E"/>
    <w:rsid w:val="00730A89"/>
    <w:rsid w:val="00730B91"/>
    <w:rsid w:val="00730D64"/>
    <w:rsid w:val="00731736"/>
    <w:rsid w:val="00731762"/>
    <w:rsid w:val="0073239A"/>
    <w:rsid w:val="00732991"/>
    <w:rsid w:val="00732E5A"/>
    <w:rsid w:val="00733052"/>
    <w:rsid w:val="00733416"/>
    <w:rsid w:val="0073366A"/>
    <w:rsid w:val="00733BA6"/>
    <w:rsid w:val="00733D71"/>
    <w:rsid w:val="0073474E"/>
    <w:rsid w:val="00735240"/>
    <w:rsid w:val="00735C53"/>
    <w:rsid w:val="00735C9C"/>
    <w:rsid w:val="0073658B"/>
    <w:rsid w:val="007367F4"/>
    <w:rsid w:val="00736DE5"/>
    <w:rsid w:val="0073752A"/>
    <w:rsid w:val="00737617"/>
    <w:rsid w:val="007379E5"/>
    <w:rsid w:val="00737DCE"/>
    <w:rsid w:val="00740BDD"/>
    <w:rsid w:val="007426C5"/>
    <w:rsid w:val="0074338E"/>
    <w:rsid w:val="007435E4"/>
    <w:rsid w:val="007439EB"/>
    <w:rsid w:val="00743B60"/>
    <w:rsid w:val="00743CDA"/>
    <w:rsid w:val="00743E1E"/>
    <w:rsid w:val="00744DBD"/>
    <w:rsid w:val="00745698"/>
    <w:rsid w:val="00746506"/>
    <w:rsid w:val="00746731"/>
    <w:rsid w:val="0074714B"/>
    <w:rsid w:val="007474A2"/>
    <w:rsid w:val="007476B1"/>
    <w:rsid w:val="00747CF4"/>
    <w:rsid w:val="00747D09"/>
    <w:rsid w:val="0075096A"/>
    <w:rsid w:val="00750B95"/>
    <w:rsid w:val="00750BC6"/>
    <w:rsid w:val="00750D65"/>
    <w:rsid w:val="00751B44"/>
    <w:rsid w:val="00751F63"/>
    <w:rsid w:val="00752158"/>
    <w:rsid w:val="00752A44"/>
    <w:rsid w:val="007537FF"/>
    <w:rsid w:val="00754180"/>
    <w:rsid w:val="00754362"/>
    <w:rsid w:val="0075578D"/>
    <w:rsid w:val="007558BE"/>
    <w:rsid w:val="00755E32"/>
    <w:rsid w:val="00756094"/>
    <w:rsid w:val="007600C8"/>
    <w:rsid w:val="007606EE"/>
    <w:rsid w:val="00760955"/>
    <w:rsid w:val="00760CCC"/>
    <w:rsid w:val="007610F6"/>
    <w:rsid w:val="00761206"/>
    <w:rsid w:val="0076127B"/>
    <w:rsid w:val="0076131F"/>
    <w:rsid w:val="00761349"/>
    <w:rsid w:val="00762937"/>
    <w:rsid w:val="00762A9C"/>
    <w:rsid w:val="007637FA"/>
    <w:rsid w:val="0076475B"/>
    <w:rsid w:val="00764FDF"/>
    <w:rsid w:val="007662E5"/>
    <w:rsid w:val="007663B6"/>
    <w:rsid w:val="00766555"/>
    <w:rsid w:val="00766D60"/>
    <w:rsid w:val="007673EA"/>
    <w:rsid w:val="0076753C"/>
    <w:rsid w:val="007676E8"/>
    <w:rsid w:val="00767B0B"/>
    <w:rsid w:val="00770571"/>
    <w:rsid w:val="00770701"/>
    <w:rsid w:val="00770DD9"/>
    <w:rsid w:val="007715F5"/>
    <w:rsid w:val="00771664"/>
    <w:rsid w:val="00771F04"/>
    <w:rsid w:val="00772247"/>
    <w:rsid w:val="00772439"/>
    <w:rsid w:val="00773256"/>
    <w:rsid w:val="007732AB"/>
    <w:rsid w:val="00773810"/>
    <w:rsid w:val="007750D8"/>
    <w:rsid w:val="00775200"/>
    <w:rsid w:val="00775C95"/>
    <w:rsid w:val="00775D37"/>
    <w:rsid w:val="00775EB8"/>
    <w:rsid w:val="00776014"/>
    <w:rsid w:val="00776276"/>
    <w:rsid w:val="00776514"/>
    <w:rsid w:val="0077726B"/>
    <w:rsid w:val="007803CA"/>
    <w:rsid w:val="00780B3F"/>
    <w:rsid w:val="00781132"/>
    <w:rsid w:val="00782276"/>
    <w:rsid w:val="0078270F"/>
    <w:rsid w:val="0078291F"/>
    <w:rsid w:val="00782CA9"/>
    <w:rsid w:val="0078321D"/>
    <w:rsid w:val="00783322"/>
    <w:rsid w:val="00783D1B"/>
    <w:rsid w:val="007847D4"/>
    <w:rsid w:val="00784A37"/>
    <w:rsid w:val="00784C59"/>
    <w:rsid w:val="00785566"/>
    <w:rsid w:val="00785666"/>
    <w:rsid w:val="0078580D"/>
    <w:rsid w:val="00786882"/>
    <w:rsid w:val="00786C9A"/>
    <w:rsid w:val="00786DDA"/>
    <w:rsid w:val="00787490"/>
    <w:rsid w:val="007874D2"/>
    <w:rsid w:val="00787D2A"/>
    <w:rsid w:val="00790043"/>
    <w:rsid w:val="0079025E"/>
    <w:rsid w:val="007902C0"/>
    <w:rsid w:val="0079057D"/>
    <w:rsid w:val="007911B6"/>
    <w:rsid w:val="007914F5"/>
    <w:rsid w:val="00791725"/>
    <w:rsid w:val="00792067"/>
    <w:rsid w:val="00792544"/>
    <w:rsid w:val="00793AAA"/>
    <w:rsid w:val="00794665"/>
    <w:rsid w:val="007946F8"/>
    <w:rsid w:val="00794710"/>
    <w:rsid w:val="00794A11"/>
    <w:rsid w:val="00795366"/>
    <w:rsid w:val="007955FA"/>
    <w:rsid w:val="00796196"/>
    <w:rsid w:val="00796696"/>
    <w:rsid w:val="00796C0F"/>
    <w:rsid w:val="007971C6"/>
    <w:rsid w:val="00797274"/>
    <w:rsid w:val="0079733F"/>
    <w:rsid w:val="007977BC"/>
    <w:rsid w:val="00797952"/>
    <w:rsid w:val="007A0574"/>
    <w:rsid w:val="007A1432"/>
    <w:rsid w:val="007A16BE"/>
    <w:rsid w:val="007A2C6A"/>
    <w:rsid w:val="007A3B76"/>
    <w:rsid w:val="007A4690"/>
    <w:rsid w:val="007A47D9"/>
    <w:rsid w:val="007A62F5"/>
    <w:rsid w:val="007A6500"/>
    <w:rsid w:val="007A68B4"/>
    <w:rsid w:val="007A6A64"/>
    <w:rsid w:val="007A6D5C"/>
    <w:rsid w:val="007A6D6A"/>
    <w:rsid w:val="007A73B1"/>
    <w:rsid w:val="007A743A"/>
    <w:rsid w:val="007B111D"/>
    <w:rsid w:val="007B1966"/>
    <w:rsid w:val="007B19C7"/>
    <w:rsid w:val="007B219F"/>
    <w:rsid w:val="007B21A8"/>
    <w:rsid w:val="007B2700"/>
    <w:rsid w:val="007B2B15"/>
    <w:rsid w:val="007B2B4F"/>
    <w:rsid w:val="007B2D55"/>
    <w:rsid w:val="007B2E94"/>
    <w:rsid w:val="007B3F99"/>
    <w:rsid w:val="007B5564"/>
    <w:rsid w:val="007B5834"/>
    <w:rsid w:val="007B59AC"/>
    <w:rsid w:val="007B5CD0"/>
    <w:rsid w:val="007B605D"/>
    <w:rsid w:val="007B6185"/>
    <w:rsid w:val="007B6305"/>
    <w:rsid w:val="007B6879"/>
    <w:rsid w:val="007B6B14"/>
    <w:rsid w:val="007B6D52"/>
    <w:rsid w:val="007B6EA1"/>
    <w:rsid w:val="007B6EF5"/>
    <w:rsid w:val="007B75A8"/>
    <w:rsid w:val="007B7D1A"/>
    <w:rsid w:val="007C023A"/>
    <w:rsid w:val="007C092A"/>
    <w:rsid w:val="007C0EB1"/>
    <w:rsid w:val="007C13F3"/>
    <w:rsid w:val="007C1D1C"/>
    <w:rsid w:val="007C241B"/>
    <w:rsid w:val="007C29D3"/>
    <w:rsid w:val="007C2CDF"/>
    <w:rsid w:val="007C2D6B"/>
    <w:rsid w:val="007C344D"/>
    <w:rsid w:val="007C35B4"/>
    <w:rsid w:val="007C3633"/>
    <w:rsid w:val="007C4076"/>
    <w:rsid w:val="007C4445"/>
    <w:rsid w:val="007C483D"/>
    <w:rsid w:val="007C493A"/>
    <w:rsid w:val="007C49A3"/>
    <w:rsid w:val="007C4B7A"/>
    <w:rsid w:val="007C4E01"/>
    <w:rsid w:val="007C51FF"/>
    <w:rsid w:val="007C540B"/>
    <w:rsid w:val="007C5567"/>
    <w:rsid w:val="007C55C2"/>
    <w:rsid w:val="007C5709"/>
    <w:rsid w:val="007C58F0"/>
    <w:rsid w:val="007C5E47"/>
    <w:rsid w:val="007C61C4"/>
    <w:rsid w:val="007C6BCF"/>
    <w:rsid w:val="007C6E71"/>
    <w:rsid w:val="007C78DA"/>
    <w:rsid w:val="007D014A"/>
    <w:rsid w:val="007D0841"/>
    <w:rsid w:val="007D25DF"/>
    <w:rsid w:val="007D2713"/>
    <w:rsid w:val="007D2757"/>
    <w:rsid w:val="007D3116"/>
    <w:rsid w:val="007D3445"/>
    <w:rsid w:val="007D3656"/>
    <w:rsid w:val="007D3DBD"/>
    <w:rsid w:val="007D49FA"/>
    <w:rsid w:val="007D549A"/>
    <w:rsid w:val="007D72C7"/>
    <w:rsid w:val="007D73DD"/>
    <w:rsid w:val="007D772C"/>
    <w:rsid w:val="007D7A32"/>
    <w:rsid w:val="007D7A36"/>
    <w:rsid w:val="007D7CCA"/>
    <w:rsid w:val="007E06E0"/>
    <w:rsid w:val="007E13D2"/>
    <w:rsid w:val="007E21A6"/>
    <w:rsid w:val="007E2812"/>
    <w:rsid w:val="007E33AC"/>
    <w:rsid w:val="007E3419"/>
    <w:rsid w:val="007E36AB"/>
    <w:rsid w:val="007E3AA9"/>
    <w:rsid w:val="007E4DA1"/>
    <w:rsid w:val="007E511B"/>
    <w:rsid w:val="007E5D03"/>
    <w:rsid w:val="007E5F2F"/>
    <w:rsid w:val="007E6939"/>
    <w:rsid w:val="007E6A3A"/>
    <w:rsid w:val="007E6B09"/>
    <w:rsid w:val="007E7301"/>
    <w:rsid w:val="007E741F"/>
    <w:rsid w:val="007E79C8"/>
    <w:rsid w:val="007E7A94"/>
    <w:rsid w:val="007E7E82"/>
    <w:rsid w:val="007F07DE"/>
    <w:rsid w:val="007F14CD"/>
    <w:rsid w:val="007F155F"/>
    <w:rsid w:val="007F1BBD"/>
    <w:rsid w:val="007F1CA0"/>
    <w:rsid w:val="007F25BD"/>
    <w:rsid w:val="007F287F"/>
    <w:rsid w:val="007F2CCB"/>
    <w:rsid w:val="007F3238"/>
    <w:rsid w:val="007F4570"/>
    <w:rsid w:val="007F5A3A"/>
    <w:rsid w:val="007F5DC5"/>
    <w:rsid w:val="007F6A29"/>
    <w:rsid w:val="007F761B"/>
    <w:rsid w:val="007F7637"/>
    <w:rsid w:val="007F76A0"/>
    <w:rsid w:val="007F7BE4"/>
    <w:rsid w:val="00800583"/>
    <w:rsid w:val="0080216D"/>
    <w:rsid w:val="008022FE"/>
    <w:rsid w:val="00802C77"/>
    <w:rsid w:val="008036C0"/>
    <w:rsid w:val="00804276"/>
    <w:rsid w:val="008047CE"/>
    <w:rsid w:val="00804B98"/>
    <w:rsid w:val="00804EF3"/>
    <w:rsid w:val="0080507D"/>
    <w:rsid w:val="008052CA"/>
    <w:rsid w:val="0080531C"/>
    <w:rsid w:val="0080573D"/>
    <w:rsid w:val="00805AF7"/>
    <w:rsid w:val="00805FA9"/>
    <w:rsid w:val="00806202"/>
    <w:rsid w:val="00806D81"/>
    <w:rsid w:val="00807D8E"/>
    <w:rsid w:val="00810A40"/>
    <w:rsid w:val="008110CD"/>
    <w:rsid w:val="0081157F"/>
    <w:rsid w:val="00811622"/>
    <w:rsid w:val="00811CD1"/>
    <w:rsid w:val="00812930"/>
    <w:rsid w:val="00812C84"/>
    <w:rsid w:val="00813261"/>
    <w:rsid w:val="00813985"/>
    <w:rsid w:val="008139FD"/>
    <w:rsid w:val="00813E32"/>
    <w:rsid w:val="00813F60"/>
    <w:rsid w:val="0081402B"/>
    <w:rsid w:val="00814176"/>
    <w:rsid w:val="0081446A"/>
    <w:rsid w:val="00814FEA"/>
    <w:rsid w:val="00817465"/>
    <w:rsid w:val="008202C3"/>
    <w:rsid w:val="00820AA7"/>
    <w:rsid w:val="00820D53"/>
    <w:rsid w:val="00820E93"/>
    <w:rsid w:val="00821270"/>
    <w:rsid w:val="00821AB1"/>
    <w:rsid w:val="00822102"/>
    <w:rsid w:val="00822EB0"/>
    <w:rsid w:val="00823753"/>
    <w:rsid w:val="0082382A"/>
    <w:rsid w:val="00826107"/>
    <w:rsid w:val="00826435"/>
    <w:rsid w:val="008267E6"/>
    <w:rsid w:val="00827795"/>
    <w:rsid w:val="00827874"/>
    <w:rsid w:val="00827A14"/>
    <w:rsid w:val="00830D9B"/>
    <w:rsid w:val="008316E5"/>
    <w:rsid w:val="00831794"/>
    <w:rsid w:val="00831E76"/>
    <w:rsid w:val="00832111"/>
    <w:rsid w:val="00832B0D"/>
    <w:rsid w:val="008334F3"/>
    <w:rsid w:val="0083361C"/>
    <w:rsid w:val="0083364D"/>
    <w:rsid w:val="00833ACF"/>
    <w:rsid w:val="00833C1C"/>
    <w:rsid w:val="0083400B"/>
    <w:rsid w:val="0083531D"/>
    <w:rsid w:val="00835412"/>
    <w:rsid w:val="008363ED"/>
    <w:rsid w:val="008365D7"/>
    <w:rsid w:val="00837A37"/>
    <w:rsid w:val="00837B24"/>
    <w:rsid w:val="00837CE8"/>
    <w:rsid w:val="00837E0B"/>
    <w:rsid w:val="00840280"/>
    <w:rsid w:val="008407EC"/>
    <w:rsid w:val="00840BBD"/>
    <w:rsid w:val="00840E88"/>
    <w:rsid w:val="00841BCA"/>
    <w:rsid w:val="0084210F"/>
    <w:rsid w:val="00842936"/>
    <w:rsid w:val="00842CFD"/>
    <w:rsid w:val="00842D0B"/>
    <w:rsid w:val="00844B20"/>
    <w:rsid w:val="00844D05"/>
    <w:rsid w:val="008450BF"/>
    <w:rsid w:val="00845B43"/>
    <w:rsid w:val="00845D2B"/>
    <w:rsid w:val="00846789"/>
    <w:rsid w:val="00846D20"/>
    <w:rsid w:val="00846D65"/>
    <w:rsid w:val="00846E2A"/>
    <w:rsid w:val="0085023E"/>
    <w:rsid w:val="008503AD"/>
    <w:rsid w:val="00851449"/>
    <w:rsid w:val="0085199A"/>
    <w:rsid w:val="00852926"/>
    <w:rsid w:val="00852CB0"/>
    <w:rsid w:val="00853310"/>
    <w:rsid w:val="00854264"/>
    <w:rsid w:val="00854C35"/>
    <w:rsid w:val="0085543F"/>
    <w:rsid w:val="008554AA"/>
    <w:rsid w:val="00855C75"/>
    <w:rsid w:val="0085652B"/>
    <w:rsid w:val="00856607"/>
    <w:rsid w:val="00856AAF"/>
    <w:rsid w:val="00857933"/>
    <w:rsid w:val="008602EB"/>
    <w:rsid w:val="00860866"/>
    <w:rsid w:val="00860CCA"/>
    <w:rsid w:val="00860F51"/>
    <w:rsid w:val="00860F56"/>
    <w:rsid w:val="008615CC"/>
    <w:rsid w:val="008616B6"/>
    <w:rsid w:val="00861890"/>
    <w:rsid w:val="008621CD"/>
    <w:rsid w:val="00862305"/>
    <w:rsid w:val="00862AD8"/>
    <w:rsid w:val="008632A7"/>
    <w:rsid w:val="008635F3"/>
    <w:rsid w:val="0086393A"/>
    <w:rsid w:val="00863C8C"/>
    <w:rsid w:val="0086437B"/>
    <w:rsid w:val="008648A2"/>
    <w:rsid w:val="00864CCB"/>
    <w:rsid w:val="00865698"/>
    <w:rsid w:val="008659D3"/>
    <w:rsid w:val="00866636"/>
    <w:rsid w:val="00866715"/>
    <w:rsid w:val="00866EBB"/>
    <w:rsid w:val="008671B8"/>
    <w:rsid w:val="0086761E"/>
    <w:rsid w:val="008678BE"/>
    <w:rsid w:val="00867946"/>
    <w:rsid w:val="00867ECB"/>
    <w:rsid w:val="00870B15"/>
    <w:rsid w:val="008716F2"/>
    <w:rsid w:val="00871951"/>
    <w:rsid w:val="00871AC2"/>
    <w:rsid w:val="00871C44"/>
    <w:rsid w:val="008722E5"/>
    <w:rsid w:val="00872444"/>
    <w:rsid w:val="0087400D"/>
    <w:rsid w:val="008740DA"/>
    <w:rsid w:val="00874411"/>
    <w:rsid w:val="00874742"/>
    <w:rsid w:val="00874AEB"/>
    <w:rsid w:val="00876755"/>
    <w:rsid w:val="00877311"/>
    <w:rsid w:val="008773E7"/>
    <w:rsid w:val="00880226"/>
    <w:rsid w:val="00880827"/>
    <w:rsid w:val="00881D6B"/>
    <w:rsid w:val="008828D4"/>
    <w:rsid w:val="00882AB0"/>
    <w:rsid w:val="00882E65"/>
    <w:rsid w:val="00882E7B"/>
    <w:rsid w:val="00883064"/>
    <w:rsid w:val="00883264"/>
    <w:rsid w:val="008836AF"/>
    <w:rsid w:val="008838BA"/>
    <w:rsid w:val="008838F2"/>
    <w:rsid w:val="0088397D"/>
    <w:rsid w:val="00883A3C"/>
    <w:rsid w:val="00883AB0"/>
    <w:rsid w:val="00883BBB"/>
    <w:rsid w:val="00884CA1"/>
    <w:rsid w:val="00885586"/>
    <w:rsid w:val="008861B5"/>
    <w:rsid w:val="00886613"/>
    <w:rsid w:val="00886908"/>
    <w:rsid w:val="00886A8B"/>
    <w:rsid w:val="008879F1"/>
    <w:rsid w:val="00887D9F"/>
    <w:rsid w:val="008901EF"/>
    <w:rsid w:val="008904F8"/>
    <w:rsid w:val="008906CE"/>
    <w:rsid w:val="00891080"/>
    <w:rsid w:val="00891318"/>
    <w:rsid w:val="008918BA"/>
    <w:rsid w:val="00891CDA"/>
    <w:rsid w:val="008926FD"/>
    <w:rsid w:val="00892745"/>
    <w:rsid w:val="00892796"/>
    <w:rsid w:val="00892969"/>
    <w:rsid w:val="00892ADC"/>
    <w:rsid w:val="0089362C"/>
    <w:rsid w:val="0089375B"/>
    <w:rsid w:val="00893B20"/>
    <w:rsid w:val="00894BB6"/>
    <w:rsid w:val="00894CD8"/>
    <w:rsid w:val="0089507D"/>
    <w:rsid w:val="00896A3F"/>
    <w:rsid w:val="008973EC"/>
    <w:rsid w:val="008A02A5"/>
    <w:rsid w:val="008A06DE"/>
    <w:rsid w:val="008A1646"/>
    <w:rsid w:val="008A2C4B"/>
    <w:rsid w:val="008A2DA2"/>
    <w:rsid w:val="008A2F64"/>
    <w:rsid w:val="008A32F7"/>
    <w:rsid w:val="008A32F9"/>
    <w:rsid w:val="008A3C63"/>
    <w:rsid w:val="008A40D7"/>
    <w:rsid w:val="008A4208"/>
    <w:rsid w:val="008A467F"/>
    <w:rsid w:val="008A510D"/>
    <w:rsid w:val="008A51AC"/>
    <w:rsid w:val="008A61D4"/>
    <w:rsid w:val="008A6781"/>
    <w:rsid w:val="008A6AE0"/>
    <w:rsid w:val="008A6C6E"/>
    <w:rsid w:val="008A720E"/>
    <w:rsid w:val="008A7239"/>
    <w:rsid w:val="008A752E"/>
    <w:rsid w:val="008B12B5"/>
    <w:rsid w:val="008B162C"/>
    <w:rsid w:val="008B27BE"/>
    <w:rsid w:val="008B3527"/>
    <w:rsid w:val="008B6318"/>
    <w:rsid w:val="008B6427"/>
    <w:rsid w:val="008B67E0"/>
    <w:rsid w:val="008B6B25"/>
    <w:rsid w:val="008B6F5A"/>
    <w:rsid w:val="008B7877"/>
    <w:rsid w:val="008B7FDA"/>
    <w:rsid w:val="008C0BF4"/>
    <w:rsid w:val="008C0D65"/>
    <w:rsid w:val="008C129C"/>
    <w:rsid w:val="008C1ABE"/>
    <w:rsid w:val="008C1D20"/>
    <w:rsid w:val="008C2CBC"/>
    <w:rsid w:val="008C34F6"/>
    <w:rsid w:val="008C3C26"/>
    <w:rsid w:val="008C4032"/>
    <w:rsid w:val="008C4252"/>
    <w:rsid w:val="008C48BB"/>
    <w:rsid w:val="008C4F16"/>
    <w:rsid w:val="008C51F3"/>
    <w:rsid w:val="008C5532"/>
    <w:rsid w:val="008C6EBA"/>
    <w:rsid w:val="008C6FED"/>
    <w:rsid w:val="008C71E0"/>
    <w:rsid w:val="008D0200"/>
    <w:rsid w:val="008D0678"/>
    <w:rsid w:val="008D0760"/>
    <w:rsid w:val="008D08AF"/>
    <w:rsid w:val="008D13A9"/>
    <w:rsid w:val="008D1639"/>
    <w:rsid w:val="008D2017"/>
    <w:rsid w:val="008D2802"/>
    <w:rsid w:val="008D2CDC"/>
    <w:rsid w:val="008D313E"/>
    <w:rsid w:val="008D3BE2"/>
    <w:rsid w:val="008D3FFE"/>
    <w:rsid w:val="008D419F"/>
    <w:rsid w:val="008D494C"/>
    <w:rsid w:val="008D5567"/>
    <w:rsid w:val="008D560F"/>
    <w:rsid w:val="008D5670"/>
    <w:rsid w:val="008D5B0C"/>
    <w:rsid w:val="008D65CC"/>
    <w:rsid w:val="008D69AA"/>
    <w:rsid w:val="008D70B4"/>
    <w:rsid w:val="008D73CC"/>
    <w:rsid w:val="008D7471"/>
    <w:rsid w:val="008D7A2E"/>
    <w:rsid w:val="008D7A87"/>
    <w:rsid w:val="008E018E"/>
    <w:rsid w:val="008E02BB"/>
    <w:rsid w:val="008E06FD"/>
    <w:rsid w:val="008E088F"/>
    <w:rsid w:val="008E10E0"/>
    <w:rsid w:val="008E1575"/>
    <w:rsid w:val="008E1ABE"/>
    <w:rsid w:val="008E2DF3"/>
    <w:rsid w:val="008E2F5E"/>
    <w:rsid w:val="008E3025"/>
    <w:rsid w:val="008E307B"/>
    <w:rsid w:val="008E338D"/>
    <w:rsid w:val="008E3874"/>
    <w:rsid w:val="008E3982"/>
    <w:rsid w:val="008E3A6E"/>
    <w:rsid w:val="008E3ABD"/>
    <w:rsid w:val="008E3ECF"/>
    <w:rsid w:val="008E4BB1"/>
    <w:rsid w:val="008E515B"/>
    <w:rsid w:val="008E5553"/>
    <w:rsid w:val="008E5583"/>
    <w:rsid w:val="008E5871"/>
    <w:rsid w:val="008E5B65"/>
    <w:rsid w:val="008E739B"/>
    <w:rsid w:val="008F03B7"/>
    <w:rsid w:val="008F0ABC"/>
    <w:rsid w:val="008F1B74"/>
    <w:rsid w:val="008F1C59"/>
    <w:rsid w:val="008F250C"/>
    <w:rsid w:val="008F3031"/>
    <w:rsid w:val="008F3A32"/>
    <w:rsid w:val="008F3D2E"/>
    <w:rsid w:val="008F401C"/>
    <w:rsid w:val="008F410A"/>
    <w:rsid w:val="008F410C"/>
    <w:rsid w:val="008F520D"/>
    <w:rsid w:val="008F58D4"/>
    <w:rsid w:val="008F6CD3"/>
    <w:rsid w:val="008F6DD2"/>
    <w:rsid w:val="008F6F0E"/>
    <w:rsid w:val="008F72FF"/>
    <w:rsid w:val="0090067F"/>
    <w:rsid w:val="00900838"/>
    <w:rsid w:val="00900B01"/>
    <w:rsid w:val="009018AB"/>
    <w:rsid w:val="0090247E"/>
    <w:rsid w:val="00903496"/>
    <w:rsid w:val="00903CB0"/>
    <w:rsid w:val="00904B4A"/>
    <w:rsid w:val="00905078"/>
    <w:rsid w:val="00905654"/>
    <w:rsid w:val="00905EED"/>
    <w:rsid w:val="009066CC"/>
    <w:rsid w:val="00907763"/>
    <w:rsid w:val="0090778D"/>
    <w:rsid w:val="00907EB3"/>
    <w:rsid w:val="00910B04"/>
    <w:rsid w:val="00910B0F"/>
    <w:rsid w:val="009110B9"/>
    <w:rsid w:val="009110BB"/>
    <w:rsid w:val="00911E2F"/>
    <w:rsid w:val="00911F51"/>
    <w:rsid w:val="00912135"/>
    <w:rsid w:val="009125B7"/>
    <w:rsid w:val="00912AD9"/>
    <w:rsid w:val="00912B1E"/>
    <w:rsid w:val="00912E2E"/>
    <w:rsid w:val="00912FFA"/>
    <w:rsid w:val="00914230"/>
    <w:rsid w:val="009142EF"/>
    <w:rsid w:val="00914CB8"/>
    <w:rsid w:val="00914F87"/>
    <w:rsid w:val="00915041"/>
    <w:rsid w:val="00915058"/>
    <w:rsid w:val="0091579F"/>
    <w:rsid w:val="00915920"/>
    <w:rsid w:val="0091662F"/>
    <w:rsid w:val="00916BC5"/>
    <w:rsid w:val="00920164"/>
    <w:rsid w:val="0092059A"/>
    <w:rsid w:val="0092115F"/>
    <w:rsid w:val="00921445"/>
    <w:rsid w:val="00921900"/>
    <w:rsid w:val="009228FB"/>
    <w:rsid w:val="0092337B"/>
    <w:rsid w:val="0092359F"/>
    <w:rsid w:val="00923690"/>
    <w:rsid w:val="009246A2"/>
    <w:rsid w:val="00924804"/>
    <w:rsid w:val="009257AE"/>
    <w:rsid w:val="00925959"/>
    <w:rsid w:val="00925B30"/>
    <w:rsid w:val="0092631C"/>
    <w:rsid w:val="0092692D"/>
    <w:rsid w:val="00926B83"/>
    <w:rsid w:val="00926F0D"/>
    <w:rsid w:val="009278FD"/>
    <w:rsid w:val="00927C26"/>
    <w:rsid w:val="00927F9C"/>
    <w:rsid w:val="009300AE"/>
    <w:rsid w:val="00930524"/>
    <w:rsid w:val="00930F0C"/>
    <w:rsid w:val="00931032"/>
    <w:rsid w:val="009314C7"/>
    <w:rsid w:val="00931B57"/>
    <w:rsid w:val="00932061"/>
    <w:rsid w:val="0093212C"/>
    <w:rsid w:val="009324C2"/>
    <w:rsid w:val="009330EF"/>
    <w:rsid w:val="009346C8"/>
    <w:rsid w:val="00934A05"/>
    <w:rsid w:val="00934FF8"/>
    <w:rsid w:val="00935764"/>
    <w:rsid w:val="00936316"/>
    <w:rsid w:val="00936C62"/>
    <w:rsid w:val="0093717B"/>
    <w:rsid w:val="00937241"/>
    <w:rsid w:val="009375DD"/>
    <w:rsid w:val="009377F3"/>
    <w:rsid w:val="0094014A"/>
    <w:rsid w:val="009407F2"/>
    <w:rsid w:val="00940CAA"/>
    <w:rsid w:val="00943324"/>
    <w:rsid w:val="00943B81"/>
    <w:rsid w:val="0094476F"/>
    <w:rsid w:val="00944AEC"/>
    <w:rsid w:val="00945145"/>
    <w:rsid w:val="009451D7"/>
    <w:rsid w:val="009453BC"/>
    <w:rsid w:val="00945717"/>
    <w:rsid w:val="0094592F"/>
    <w:rsid w:val="00945A25"/>
    <w:rsid w:val="00945C9F"/>
    <w:rsid w:val="00946921"/>
    <w:rsid w:val="00946EA4"/>
    <w:rsid w:val="00947B33"/>
    <w:rsid w:val="00947C0C"/>
    <w:rsid w:val="00950081"/>
    <w:rsid w:val="009507EB"/>
    <w:rsid w:val="009509E8"/>
    <w:rsid w:val="00950A92"/>
    <w:rsid w:val="009513C1"/>
    <w:rsid w:val="00952853"/>
    <w:rsid w:val="0095292E"/>
    <w:rsid w:val="00952989"/>
    <w:rsid w:val="009535D3"/>
    <w:rsid w:val="00953650"/>
    <w:rsid w:val="0095377F"/>
    <w:rsid w:val="00953CF1"/>
    <w:rsid w:val="00953FEC"/>
    <w:rsid w:val="0095401D"/>
    <w:rsid w:val="00954BCD"/>
    <w:rsid w:val="00954C42"/>
    <w:rsid w:val="00955B81"/>
    <w:rsid w:val="0095622D"/>
    <w:rsid w:val="00956B65"/>
    <w:rsid w:val="00957A73"/>
    <w:rsid w:val="009603CB"/>
    <w:rsid w:val="00960AF3"/>
    <w:rsid w:val="00962270"/>
    <w:rsid w:val="00962287"/>
    <w:rsid w:val="009628C3"/>
    <w:rsid w:val="00962A22"/>
    <w:rsid w:val="009636EC"/>
    <w:rsid w:val="00964300"/>
    <w:rsid w:val="009648C5"/>
    <w:rsid w:val="009648CF"/>
    <w:rsid w:val="00967557"/>
    <w:rsid w:val="00967B8F"/>
    <w:rsid w:val="009700F4"/>
    <w:rsid w:val="009710A3"/>
    <w:rsid w:val="00971322"/>
    <w:rsid w:val="00971A02"/>
    <w:rsid w:val="00973171"/>
    <w:rsid w:val="00973539"/>
    <w:rsid w:val="009735C4"/>
    <w:rsid w:val="00973E37"/>
    <w:rsid w:val="00973EB3"/>
    <w:rsid w:val="00973F24"/>
    <w:rsid w:val="00974D92"/>
    <w:rsid w:val="009750C9"/>
    <w:rsid w:val="00975F96"/>
    <w:rsid w:val="009760B4"/>
    <w:rsid w:val="009761F3"/>
    <w:rsid w:val="009766FA"/>
    <w:rsid w:val="0097682C"/>
    <w:rsid w:val="00976831"/>
    <w:rsid w:val="00976D65"/>
    <w:rsid w:val="00977536"/>
    <w:rsid w:val="009776BB"/>
    <w:rsid w:val="00981603"/>
    <w:rsid w:val="0098163B"/>
    <w:rsid w:val="00981CEE"/>
    <w:rsid w:val="009825BC"/>
    <w:rsid w:val="00982C76"/>
    <w:rsid w:val="00983424"/>
    <w:rsid w:val="00983800"/>
    <w:rsid w:val="00984055"/>
    <w:rsid w:val="0098463E"/>
    <w:rsid w:val="0098505E"/>
    <w:rsid w:val="00985296"/>
    <w:rsid w:val="00985525"/>
    <w:rsid w:val="0098585B"/>
    <w:rsid w:val="009858A4"/>
    <w:rsid w:val="00985C49"/>
    <w:rsid w:val="009863E4"/>
    <w:rsid w:val="00986B47"/>
    <w:rsid w:val="00986E50"/>
    <w:rsid w:val="00987579"/>
    <w:rsid w:val="009875EB"/>
    <w:rsid w:val="00990371"/>
    <w:rsid w:val="009904FC"/>
    <w:rsid w:val="00990D6F"/>
    <w:rsid w:val="00991289"/>
    <w:rsid w:val="0099161D"/>
    <w:rsid w:val="00992512"/>
    <w:rsid w:val="009929FF"/>
    <w:rsid w:val="00992C18"/>
    <w:rsid w:val="00993425"/>
    <w:rsid w:val="00993694"/>
    <w:rsid w:val="00994500"/>
    <w:rsid w:val="0099508F"/>
    <w:rsid w:val="00995323"/>
    <w:rsid w:val="0099576E"/>
    <w:rsid w:val="00995C2D"/>
    <w:rsid w:val="009964C8"/>
    <w:rsid w:val="00997339"/>
    <w:rsid w:val="0099735E"/>
    <w:rsid w:val="00997579"/>
    <w:rsid w:val="009976CD"/>
    <w:rsid w:val="009A0164"/>
    <w:rsid w:val="009A15F4"/>
    <w:rsid w:val="009A1895"/>
    <w:rsid w:val="009A1AFC"/>
    <w:rsid w:val="009A1C4B"/>
    <w:rsid w:val="009A2296"/>
    <w:rsid w:val="009A24B4"/>
    <w:rsid w:val="009A2CFA"/>
    <w:rsid w:val="009A30B4"/>
    <w:rsid w:val="009A3432"/>
    <w:rsid w:val="009A3692"/>
    <w:rsid w:val="009A3745"/>
    <w:rsid w:val="009A3E39"/>
    <w:rsid w:val="009A47DB"/>
    <w:rsid w:val="009A4C73"/>
    <w:rsid w:val="009A4D89"/>
    <w:rsid w:val="009A4EC8"/>
    <w:rsid w:val="009A58BC"/>
    <w:rsid w:val="009A5BE5"/>
    <w:rsid w:val="009A5D1B"/>
    <w:rsid w:val="009A6611"/>
    <w:rsid w:val="009A70B3"/>
    <w:rsid w:val="009A70BB"/>
    <w:rsid w:val="009A7B87"/>
    <w:rsid w:val="009A7CA3"/>
    <w:rsid w:val="009B03DC"/>
    <w:rsid w:val="009B0590"/>
    <w:rsid w:val="009B06FE"/>
    <w:rsid w:val="009B0AFB"/>
    <w:rsid w:val="009B11E0"/>
    <w:rsid w:val="009B1634"/>
    <w:rsid w:val="009B1A3A"/>
    <w:rsid w:val="009B2E83"/>
    <w:rsid w:val="009B34D3"/>
    <w:rsid w:val="009B38E4"/>
    <w:rsid w:val="009B455A"/>
    <w:rsid w:val="009B5100"/>
    <w:rsid w:val="009B5421"/>
    <w:rsid w:val="009B59F3"/>
    <w:rsid w:val="009B5AB0"/>
    <w:rsid w:val="009B5D61"/>
    <w:rsid w:val="009B6737"/>
    <w:rsid w:val="009B681E"/>
    <w:rsid w:val="009B6A7E"/>
    <w:rsid w:val="009C0138"/>
    <w:rsid w:val="009C07E8"/>
    <w:rsid w:val="009C113C"/>
    <w:rsid w:val="009C14E1"/>
    <w:rsid w:val="009C15EB"/>
    <w:rsid w:val="009C191F"/>
    <w:rsid w:val="009C1A42"/>
    <w:rsid w:val="009C1AA4"/>
    <w:rsid w:val="009C1C3E"/>
    <w:rsid w:val="009C2E33"/>
    <w:rsid w:val="009C3292"/>
    <w:rsid w:val="009C39CF"/>
    <w:rsid w:val="009C4385"/>
    <w:rsid w:val="009C4D12"/>
    <w:rsid w:val="009C4E42"/>
    <w:rsid w:val="009C50ED"/>
    <w:rsid w:val="009C5384"/>
    <w:rsid w:val="009C53C7"/>
    <w:rsid w:val="009C5968"/>
    <w:rsid w:val="009C59B2"/>
    <w:rsid w:val="009C5DEE"/>
    <w:rsid w:val="009C600C"/>
    <w:rsid w:val="009C60D2"/>
    <w:rsid w:val="009C6152"/>
    <w:rsid w:val="009C6A83"/>
    <w:rsid w:val="009C6FCA"/>
    <w:rsid w:val="009C7040"/>
    <w:rsid w:val="009C7E22"/>
    <w:rsid w:val="009D12F8"/>
    <w:rsid w:val="009D16FF"/>
    <w:rsid w:val="009D19EC"/>
    <w:rsid w:val="009D1BB7"/>
    <w:rsid w:val="009D2193"/>
    <w:rsid w:val="009D26C6"/>
    <w:rsid w:val="009D33E2"/>
    <w:rsid w:val="009D3C68"/>
    <w:rsid w:val="009D3D78"/>
    <w:rsid w:val="009D3DEF"/>
    <w:rsid w:val="009D447E"/>
    <w:rsid w:val="009D5647"/>
    <w:rsid w:val="009D5979"/>
    <w:rsid w:val="009D5B40"/>
    <w:rsid w:val="009D6E49"/>
    <w:rsid w:val="009D70EA"/>
    <w:rsid w:val="009D7BFD"/>
    <w:rsid w:val="009E0194"/>
    <w:rsid w:val="009E0947"/>
    <w:rsid w:val="009E13E7"/>
    <w:rsid w:val="009E1B7E"/>
    <w:rsid w:val="009E303D"/>
    <w:rsid w:val="009E39EE"/>
    <w:rsid w:val="009E46E8"/>
    <w:rsid w:val="009E46FC"/>
    <w:rsid w:val="009E5270"/>
    <w:rsid w:val="009E652B"/>
    <w:rsid w:val="009E6B05"/>
    <w:rsid w:val="009E6EA8"/>
    <w:rsid w:val="009E7643"/>
    <w:rsid w:val="009F190A"/>
    <w:rsid w:val="009F2215"/>
    <w:rsid w:val="009F2436"/>
    <w:rsid w:val="009F311C"/>
    <w:rsid w:val="009F3232"/>
    <w:rsid w:val="009F33AF"/>
    <w:rsid w:val="009F3595"/>
    <w:rsid w:val="009F363D"/>
    <w:rsid w:val="009F3A80"/>
    <w:rsid w:val="009F3BBF"/>
    <w:rsid w:val="009F4474"/>
    <w:rsid w:val="009F4A8D"/>
    <w:rsid w:val="009F559B"/>
    <w:rsid w:val="009F5F62"/>
    <w:rsid w:val="009F6563"/>
    <w:rsid w:val="009F6CCE"/>
    <w:rsid w:val="00A00B43"/>
    <w:rsid w:val="00A011FC"/>
    <w:rsid w:val="00A01925"/>
    <w:rsid w:val="00A01B41"/>
    <w:rsid w:val="00A01BDD"/>
    <w:rsid w:val="00A020A7"/>
    <w:rsid w:val="00A028D0"/>
    <w:rsid w:val="00A03613"/>
    <w:rsid w:val="00A03A8C"/>
    <w:rsid w:val="00A04672"/>
    <w:rsid w:val="00A05EDB"/>
    <w:rsid w:val="00A06993"/>
    <w:rsid w:val="00A106C0"/>
    <w:rsid w:val="00A106C7"/>
    <w:rsid w:val="00A109AF"/>
    <w:rsid w:val="00A114BA"/>
    <w:rsid w:val="00A11617"/>
    <w:rsid w:val="00A11BD1"/>
    <w:rsid w:val="00A11CB4"/>
    <w:rsid w:val="00A11F24"/>
    <w:rsid w:val="00A120CA"/>
    <w:rsid w:val="00A129EF"/>
    <w:rsid w:val="00A12B02"/>
    <w:rsid w:val="00A12C3F"/>
    <w:rsid w:val="00A12C8B"/>
    <w:rsid w:val="00A130E0"/>
    <w:rsid w:val="00A130E5"/>
    <w:rsid w:val="00A13325"/>
    <w:rsid w:val="00A13C3C"/>
    <w:rsid w:val="00A13D09"/>
    <w:rsid w:val="00A14B4C"/>
    <w:rsid w:val="00A151A2"/>
    <w:rsid w:val="00A1559F"/>
    <w:rsid w:val="00A157AD"/>
    <w:rsid w:val="00A16641"/>
    <w:rsid w:val="00A16A1E"/>
    <w:rsid w:val="00A173E7"/>
    <w:rsid w:val="00A1786B"/>
    <w:rsid w:val="00A2020E"/>
    <w:rsid w:val="00A2059A"/>
    <w:rsid w:val="00A20CB5"/>
    <w:rsid w:val="00A211D9"/>
    <w:rsid w:val="00A21398"/>
    <w:rsid w:val="00A21BE2"/>
    <w:rsid w:val="00A21D02"/>
    <w:rsid w:val="00A22152"/>
    <w:rsid w:val="00A225E5"/>
    <w:rsid w:val="00A22708"/>
    <w:rsid w:val="00A227C5"/>
    <w:rsid w:val="00A2311D"/>
    <w:rsid w:val="00A233C5"/>
    <w:rsid w:val="00A236DE"/>
    <w:rsid w:val="00A23A42"/>
    <w:rsid w:val="00A23F7D"/>
    <w:rsid w:val="00A24408"/>
    <w:rsid w:val="00A25145"/>
    <w:rsid w:val="00A25C35"/>
    <w:rsid w:val="00A26F32"/>
    <w:rsid w:val="00A27CCA"/>
    <w:rsid w:val="00A3090E"/>
    <w:rsid w:val="00A30EB9"/>
    <w:rsid w:val="00A31919"/>
    <w:rsid w:val="00A32054"/>
    <w:rsid w:val="00A32521"/>
    <w:rsid w:val="00A32EA2"/>
    <w:rsid w:val="00A3350D"/>
    <w:rsid w:val="00A35087"/>
    <w:rsid w:val="00A352CF"/>
    <w:rsid w:val="00A35575"/>
    <w:rsid w:val="00A3580F"/>
    <w:rsid w:val="00A362AC"/>
    <w:rsid w:val="00A373E2"/>
    <w:rsid w:val="00A375AB"/>
    <w:rsid w:val="00A37701"/>
    <w:rsid w:val="00A378DC"/>
    <w:rsid w:val="00A37A56"/>
    <w:rsid w:val="00A37BAB"/>
    <w:rsid w:val="00A4057C"/>
    <w:rsid w:val="00A40E86"/>
    <w:rsid w:val="00A42142"/>
    <w:rsid w:val="00A427D9"/>
    <w:rsid w:val="00A42B21"/>
    <w:rsid w:val="00A42EC6"/>
    <w:rsid w:val="00A435CB"/>
    <w:rsid w:val="00A45023"/>
    <w:rsid w:val="00A45329"/>
    <w:rsid w:val="00A456CC"/>
    <w:rsid w:val="00A457EA"/>
    <w:rsid w:val="00A4666A"/>
    <w:rsid w:val="00A467FE"/>
    <w:rsid w:val="00A47478"/>
    <w:rsid w:val="00A47DB2"/>
    <w:rsid w:val="00A500B9"/>
    <w:rsid w:val="00A505B3"/>
    <w:rsid w:val="00A5088E"/>
    <w:rsid w:val="00A50A40"/>
    <w:rsid w:val="00A50A99"/>
    <w:rsid w:val="00A50CC9"/>
    <w:rsid w:val="00A512F8"/>
    <w:rsid w:val="00A51490"/>
    <w:rsid w:val="00A514BE"/>
    <w:rsid w:val="00A51BBB"/>
    <w:rsid w:val="00A52E1B"/>
    <w:rsid w:val="00A53F2A"/>
    <w:rsid w:val="00A544F6"/>
    <w:rsid w:val="00A5457F"/>
    <w:rsid w:val="00A54EFE"/>
    <w:rsid w:val="00A554E6"/>
    <w:rsid w:val="00A55AEA"/>
    <w:rsid w:val="00A57666"/>
    <w:rsid w:val="00A61B31"/>
    <w:rsid w:val="00A61CED"/>
    <w:rsid w:val="00A625AC"/>
    <w:rsid w:val="00A63660"/>
    <w:rsid w:val="00A63A0B"/>
    <w:rsid w:val="00A63CF1"/>
    <w:rsid w:val="00A64759"/>
    <w:rsid w:val="00A64EBC"/>
    <w:rsid w:val="00A65478"/>
    <w:rsid w:val="00A65D6D"/>
    <w:rsid w:val="00A66280"/>
    <w:rsid w:val="00A6674E"/>
    <w:rsid w:val="00A66D59"/>
    <w:rsid w:val="00A670BE"/>
    <w:rsid w:val="00A67141"/>
    <w:rsid w:val="00A6761A"/>
    <w:rsid w:val="00A67898"/>
    <w:rsid w:val="00A71482"/>
    <w:rsid w:val="00A716F0"/>
    <w:rsid w:val="00A717B5"/>
    <w:rsid w:val="00A7217A"/>
    <w:rsid w:val="00A72E7E"/>
    <w:rsid w:val="00A73D62"/>
    <w:rsid w:val="00A7416D"/>
    <w:rsid w:val="00A74335"/>
    <w:rsid w:val="00A743F7"/>
    <w:rsid w:val="00A75B71"/>
    <w:rsid w:val="00A75D5E"/>
    <w:rsid w:val="00A764BB"/>
    <w:rsid w:val="00A77C38"/>
    <w:rsid w:val="00A8066C"/>
    <w:rsid w:val="00A806E8"/>
    <w:rsid w:val="00A8081E"/>
    <w:rsid w:val="00A815D0"/>
    <w:rsid w:val="00A817DB"/>
    <w:rsid w:val="00A81E9A"/>
    <w:rsid w:val="00A82A14"/>
    <w:rsid w:val="00A82E70"/>
    <w:rsid w:val="00A83CE7"/>
    <w:rsid w:val="00A840E1"/>
    <w:rsid w:val="00A84102"/>
    <w:rsid w:val="00A84245"/>
    <w:rsid w:val="00A8495F"/>
    <w:rsid w:val="00A84A91"/>
    <w:rsid w:val="00A85B93"/>
    <w:rsid w:val="00A85D95"/>
    <w:rsid w:val="00A864D9"/>
    <w:rsid w:val="00A86E37"/>
    <w:rsid w:val="00A87976"/>
    <w:rsid w:val="00A87DAD"/>
    <w:rsid w:val="00A9103D"/>
    <w:rsid w:val="00A91B75"/>
    <w:rsid w:val="00A91F46"/>
    <w:rsid w:val="00A92219"/>
    <w:rsid w:val="00A93B41"/>
    <w:rsid w:val="00A93C76"/>
    <w:rsid w:val="00A94154"/>
    <w:rsid w:val="00A94784"/>
    <w:rsid w:val="00A94A81"/>
    <w:rsid w:val="00A94AA6"/>
    <w:rsid w:val="00A94B45"/>
    <w:rsid w:val="00A94C27"/>
    <w:rsid w:val="00A956A5"/>
    <w:rsid w:val="00A95DF6"/>
    <w:rsid w:val="00A96A45"/>
    <w:rsid w:val="00A97328"/>
    <w:rsid w:val="00A976C1"/>
    <w:rsid w:val="00AA0B37"/>
    <w:rsid w:val="00AA0B4E"/>
    <w:rsid w:val="00AA0CB3"/>
    <w:rsid w:val="00AA1924"/>
    <w:rsid w:val="00AA1B12"/>
    <w:rsid w:val="00AA1DE7"/>
    <w:rsid w:val="00AA26F2"/>
    <w:rsid w:val="00AA3AA9"/>
    <w:rsid w:val="00AA3D10"/>
    <w:rsid w:val="00AA3FC9"/>
    <w:rsid w:val="00AA4F4C"/>
    <w:rsid w:val="00AA595E"/>
    <w:rsid w:val="00AA6764"/>
    <w:rsid w:val="00AA774D"/>
    <w:rsid w:val="00AA78A1"/>
    <w:rsid w:val="00AA7FA8"/>
    <w:rsid w:val="00AB0061"/>
    <w:rsid w:val="00AB0318"/>
    <w:rsid w:val="00AB045C"/>
    <w:rsid w:val="00AB0C0E"/>
    <w:rsid w:val="00AB0C9D"/>
    <w:rsid w:val="00AB0D16"/>
    <w:rsid w:val="00AB1152"/>
    <w:rsid w:val="00AB1390"/>
    <w:rsid w:val="00AB1A90"/>
    <w:rsid w:val="00AB1B8F"/>
    <w:rsid w:val="00AB21DD"/>
    <w:rsid w:val="00AB27A9"/>
    <w:rsid w:val="00AB2BD4"/>
    <w:rsid w:val="00AB2CA3"/>
    <w:rsid w:val="00AB4589"/>
    <w:rsid w:val="00AB4C1D"/>
    <w:rsid w:val="00AB5414"/>
    <w:rsid w:val="00AB56B3"/>
    <w:rsid w:val="00AB5D9A"/>
    <w:rsid w:val="00AB6A5A"/>
    <w:rsid w:val="00AB6BE4"/>
    <w:rsid w:val="00AB6FF2"/>
    <w:rsid w:val="00AB73D5"/>
    <w:rsid w:val="00AC031F"/>
    <w:rsid w:val="00AC0368"/>
    <w:rsid w:val="00AC040D"/>
    <w:rsid w:val="00AC0F6D"/>
    <w:rsid w:val="00AC224F"/>
    <w:rsid w:val="00AC294C"/>
    <w:rsid w:val="00AC2B58"/>
    <w:rsid w:val="00AC2BCC"/>
    <w:rsid w:val="00AC2D18"/>
    <w:rsid w:val="00AC3183"/>
    <w:rsid w:val="00AC39BA"/>
    <w:rsid w:val="00AC39BE"/>
    <w:rsid w:val="00AC3B0A"/>
    <w:rsid w:val="00AC3C93"/>
    <w:rsid w:val="00AC416E"/>
    <w:rsid w:val="00AC44A4"/>
    <w:rsid w:val="00AC4AA4"/>
    <w:rsid w:val="00AC4B45"/>
    <w:rsid w:val="00AC54B9"/>
    <w:rsid w:val="00AC5FAE"/>
    <w:rsid w:val="00AC6396"/>
    <w:rsid w:val="00AC64A0"/>
    <w:rsid w:val="00AC68BE"/>
    <w:rsid w:val="00AC7340"/>
    <w:rsid w:val="00AD03F5"/>
    <w:rsid w:val="00AD0AF2"/>
    <w:rsid w:val="00AD11A8"/>
    <w:rsid w:val="00AD161D"/>
    <w:rsid w:val="00AD2F9B"/>
    <w:rsid w:val="00AD2FF1"/>
    <w:rsid w:val="00AD381A"/>
    <w:rsid w:val="00AD3F02"/>
    <w:rsid w:val="00AD4888"/>
    <w:rsid w:val="00AD488C"/>
    <w:rsid w:val="00AD4A06"/>
    <w:rsid w:val="00AD4AE0"/>
    <w:rsid w:val="00AD56E9"/>
    <w:rsid w:val="00AD5B7B"/>
    <w:rsid w:val="00AD5D04"/>
    <w:rsid w:val="00AD6AE2"/>
    <w:rsid w:val="00AD6C34"/>
    <w:rsid w:val="00AD721C"/>
    <w:rsid w:val="00AD7830"/>
    <w:rsid w:val="00AE0B8C"/>
    <w:rsid w:val="00AE165F"/>
    <w:rsid w:val="00AE1D1D"/>
    <w:rsid w:val="00AE1D8D"/>
    <w:rsid w:val="00AE2499"/>
    <w:rsid w:val="00AE2830"/>
    <w:rsid w:val="00AE289C"/>
    <w:rsid w:val="00AE2BDC"/>
    <w:rsid w:val="00AE32E4"/>
    <w:rsid w:val="00AE3318"/>
    <w:rsid w:val="00AE3545"/>
    <w:rsid w:val="00AE3835"/>
    <w:rsid w:val="00AE3A19"/>
    <w:rsid w:val="00AE3DEC"/>
    <w:rsid w:val="00AE503C"/>
    <w:rsid w:val="00AE5A12"/>
    <w:rsid w:val="00AE662F"/>
    <w:rsid w:val="00AE6F6C"/>
    <w:rsid w:val="00AE71B8"/>
    <w:rsid w:val="00AE72FF"/>
    <w:rsid w:val="00AE731B"/>
    <w:rsid w:val="00AE744D"/>
    <w:rsid w:val="00AE779E"/>
    <w:rsid w:val="00AE7A64"/>
    <w:rsid w:val="00AF0039"/>
    <w:rsid w:val="00AF0134"/>
    <w:rsid w:val="00AF0185"/>
    <w:rsid w:val="00AF0387"/>
    <w:rsid w:val="00AF040D"/>
    <w:rsid w:val="00AF08A3"/>
    <w:rsid w:val="00AF0F3D"/>
    <w:rsid w:val="00AF12AD"/>
    <w:rsid w:val="00AF224B"/>
    <w:rsid w:val="00AF3455"/>
    <w:rsid w:val="00AF39EC"/>
    <w:rsid w:val="00AF4C02"/>
    <w:rsid w:val="00AF4E4D"/>
    <w:rsid w:val="00AF5020"/>
    <w:rsid w:val="00AF5724"/>
    <w:rsid w:val="00AF5938"/>
    <w:rsid w:val="00AF5E4E"/>
    <w:rsid w:val="00AF6B5A"/>
    <w:rsid w:val="00AF6C0D"/>
    <w:rsid w:val="00AF6C21"/>
    <w:rsid w:val="00AF748D"/>
    <w:rsid w:val="00AF75ED"/>
    <w:rsid w:val="00AF79FA"/>
    <w:rsid w:val="00AF7FB8"/>
    <w:rsid w:val="00B0017F"/>
    <w:rsid w:val="00B01E4E"/>
    <w:rsid w:val="00B01EC7"/>
    <w:rsid w:val="00B020A5"/>
    <w:rsid w:val="00B028B6"/>
    <w:rsid w:val="00B02A63"/>
    <w:rsid w:val="00B02E08"/>
    <w:rsid w:val="00B02F63"/>
    <w:rsid w:val="00B03785"/>
    <w:rsid w:val="00B0391E"/>
    <w:rsid w:val="00B04106"/>
    <w:rsid w:val="00B046CB"/>
    <w:rsid w:val="00B048F0"/>
    <w:rsid w:val="00B04F21"/>
    <w:rsid w:val="00B0503B"/>
    <w:rsid w:val="00B06137"/>
    <w:rsid w:val="00B06163"/>
    <w:rsid w:val="00B07093"/>
    <w:rsid w:val="00B07253"/>
    <w:rsid w:val="00B073EB"/>
    <w:rsid w:val="00B07558"/>
    <w:rsid w:val="00B075D1"/>
    <w:rsid w:val="00B07E65"/>
    <w:rsid w:val="00B1088A"/>
    <w:rsid w:val="00B10E06"/>
    <w:rsid w:val="00B10EA7"/>
    <w:rsid w:val="00B1149A"/>
    <w:rsid w:val="00B11D09"/>
    <w:rsid w:val="00B1212A"/>
    <w:rsid w:val="00B12357"/>
    <w:rsid w:val="00B12509"/>
    <w:rsid w:val="00B12B7A"/>
    <w:rsid w:val="00B133C2"/>
    <w:rsid w:val="00B13793"/>
    <w:rsid w:val="00B13B33"/>
    <w:rsid w:val="00B13D27"/>
    <w:rsid w:val="00B14159"/>
    <w:rsid w:val="00B15E3D"/>
    <w:rsid w:val="00B162E9"/>
    <w:rsid w:val="00B17B98"/>
    <w:rsid w:val="00B17F86"/>
    <w:rsid w:val="00B20AD6"/>
    <w:rsid w:val="00B2194A"/>
    <w:rsid w:val="00B219D0"/>
    <w:rsid w:val="00B22061"/>
    <w:rsid w:val="00B22143"/>
    <w:rsid w:val="00B233D0"/>
    <w:rsid w:val="00B24697"/>
    <w:rsid w:val="00B249B6"/>
    <w:rsid w:val="00B26321"/>
    <w:rsid w:val="00B27672"/>
    <w:rsid w:val="00B2790D"/>
    <w:rsid w:val="00B3034A"/>
    <w:rsid w:val="00B30A90"/>
    <w:rsid w:val="00B31797"/>
    <w:rsid w:val="00B32A9C"/>
    <w:rsid w:val="00B33384"/>
    <w:rsid w:val="00B33424"/>
    <w:rsid w:val="00B34012"/>
    <w:rsid w:val="00B3449B"/>
    <w:rsid w:val="00B34A76"/>
    <w:rsid w:val="00B34B3D"/>
    <w:rsid w:val="00B3559E"/>
    <w:rsid w:val="00B36487"/>
    <w:rsid w:val="00B36623"/>
    <w:rsid w:val="00B3664D"/>
    <w:rsid w:val="00B369F7"/>
    <w:rsid w:val="00B36AFC"/>
    <w:rsid w:val="00B37734"/>
    <w:rsid w:val="00B37DC4"/>
    <w:rsid w:val="00B37F59"/>
    <w:rsid w:val="00B40394"/>
    <w:rsid w:val="00B40433"/>
    <w:rsid w:val="00B407A8"/>
    <w:rsid w:val="00B409E9"/>
    <w:rsid w:val="00B40AC1"/>
    <w:rsid w:val="00B40D00"/>
    <w:rsid w:val="00B410D1"/>
    <w:rsid w:val="00B41480"/>
    <w:rsid w:val="00B416A1"/>
    <w:rsid w:val="00B41A28"/>
    <w:rsid w:val="00B41FDE"/>
    <w:rsid w:val="00B42068"/>
    <w:rsid w:val="00B42076"/>
    <w:rsid w:val="00B42A84"/>
    <w:rsid w:val="00B43C93"/>
    <w:rsid w:val="00B43D3E"/>
    <w:rsid w:val="00B43D9F"/>
    <w:rsid w:val="00B44613"/>
    <w:rsid w:val="00B44B4E"/>
    <w:rsid w:val="00B450B1"/>
    <w:rsid w:val="00B45767"/>
    <w:rsid w:val="00B45AD0"/>
    <w:rsid w:val="00B463CF"/>
    <w:rsid w:val="00B46D0F"/>
    <w:rsid w:val="00B46DF6"/>
    <w:rsid w:val="00B47491"/>
    <w:rsid w:val="00B4754E"/>
    <w:rsid w:val="00B4796F"/>
    <w:rsid w:val="00B47CF0"/>
    <w:rsid w:val="00B501BE"/>
    <w:rsid w:val="00B50532"/>
    <w:rsid w:val="00B506B1"/>
    <w:rsid w:val="00B51137"/>
    <w:rsid w:val="00B5154E"/>
    <w:rsid w:val="00B518BF"/>
    <w:rsid w:val="00B51A29"/>
    <w:rsid w:val="00B53115"/>
    <w:rsid w:val="00B53B65"/>
    <w:rsid w:val="00B542AE"/>
    <w:rsid w:val="00B544A5"/>
    <w:rsid w:val="00B544CA"/>
    <w:rsid w:val="00B55DBA"/>
    <w:rsid w:val="00B56CD7"/>
    <w:rsid w:val="00B56EF3"/>
    <w:rsid w:val="00B57476"/>
    <w:rsid w:val="00B578FA"/>
    <w:rsid w:val="00B579E1"/>
    <w:rsid w:val="00B57C93"/>
    <w:rsid w:val="00B61BC0"/>
    <w:rsid w:val="00B61CB3"/>
    <w:rsid w:val="00B625B7"/>
    <w:rsid w:val="00B627B5"/>
    <w:rsid w:val="00B6309C"/>
    <w:rsid w:val="00B63D8E"/>
    <w:rsid w:val="00B64005"/>
    <w:rsid w:val="00B64C6A"/>
    <w:rsid w:val="00B650B4"/>
    <w:rsid w:val="00B652C4"/>
    <w:rsid w:val="00B65347"/>
    <w:rsid w:val="00B65DF9"/>
    <w:rsid w:val="00B66DFC"/>
    <w:rsid w:val="00B66FC1"/>
    <w:rsid w:val="00B673EC"/>
    <w:rsid w:val="00B67778"/>
    <w:rsid w:val="00B679DA"/>
    <w:rsid w:val="00B67B4C"/>
    <w:rsid w:val="00B7086F"/>
    <w:rsid w:val="00B709B3"/>
    <w:rsid w:val="00B70F0C"/>
    <w:rsid w:val="00B70F13"/>
    <w:rsid w:val="00B726D5"/>
    <w:rsid w:val="00B73636"/>
    <w:rsid w:val="00B73B0B"/>
    <w:rsid w:val="00B75617"/>
    <w:rsid w:val="00B75822"/>
    <w:rsid w:val="00B7585D"/>
    <w:rsid w:val="00B75AE7"/>
    <w:rsid w:val="00B764E5"/>
    <w:rsid w:val="00B77AE3"/>
    <w:rsid w:val="00B77DB5"/>
    <w:rsid w:val="00B8009D"/>
    <w:rsid w:val="00B8023D"/>
    <w:rsid w:val="00B803D5"/>
    <w:rsid w:val="00B807DC"/>
    <w:rsid w:val="00B81848"/>
    <w:rsid w:val="00B81F58"/>
    <w:rsid w:val="00B8226B"/>
    <w:rsid w:val="00B83274"/>
    <w:rsid w:val="00B832C0"/>
    <w:rsid w:val="00B83323"/>
    <w:rsid w:val="00B83722"/>
    <w:rsid w:val="00B84E32"/>
    <w:rsid w:val="00B85023"/>
    <w:rsid w:val="00B85B76"/>
    <w:rsid w:val="00B86AA0"/>
    <w:rsid w:val="00B86FB1"/>
    <w:rsid w:val="00B87247"/>
    <w:rsid w:val="00B87501"/>
    <w:rsid w:val="00B87E49"/>
    <w:rsid w:val="00B9013D"/>
    <w:rsid w:val="00B9054A"/>
    <w:rsid w:val="00B90747"/>
    <w:rsid w:val="00B90B8A"/>
    <w:rsid w:val="00B90D10"/>
    <w:rsid w:val="00B910BB"/>
    <w:rsid w:val="00B910D5"/>
    <w:rsid w:val="00B91D36"/>
    <w:rsid w:val="00B92497"/>
    <w:rsid w:val="00B926E6"/>
    <w:rsid w:val="00B93319"/>
    <w:rsid w:val="00B9376D"/>
    <w:rsid w:val="00B93DF8"/>
    <w:rsid w:val="00B94618"/>
    <w:rsid w:val="00B95507"/>
    <w:rsid w:val="00B956A4"/>
    <w:rsid w:val="00B958F1"/>
    <w:rsid w:val="00B95EEA"/>
    <w:rsid w:val="00B966E0"/>
    <w:rsid w:val="00B97B3E"/>
    <w:rsid w:val="00B97D25"/>
    <w:rsid w:val="00B97F22"/>
    <w:rsid w:val="00BA0787"/>
    <w:rsid w:val="00BA0D0C"/>
    <w:rsid w:val="00BA1D16"/>
    <w:rsid w:val="00BA274F"/>
    <w:rsid w:val="00BA3F61"/>
    <w:rsid w:val="00BA42AC"/>
    <w:rsid w:val="00BA5165"/>
    <w:rsid w:val="00BA532E"/>
    <w:rsid w:val="00BA5F52"/>
    <w:rsid w:val="00BA67CD"/>
    <w:rsid w:val="00BA6B9B"/>
    <w:rsid w:val="00BA7437"/>
    <w:rsid w:val="00BA79B8"/>
    <w:rsid w:val="00BA7B58"/>
    <w:rsid w:val="00BA7C8A"/>
    <w:rsid w:val="00BB000F"/>
    <w:rsid w:val="00BB0C7E"/>
    <w:rsid w:val="00BB10E0"/>
    <w:rsid w:val="00BB1346"/>
    <w:rsid w:val="00BB13A1"/>
    <w:rsid w:val="00BB15F1"/>
    <w:rsid w:val="00BB1B0E"/>
    <w:rsid w:val="00BB1E1C"/>
    <w:rsid w:val="00BB211D"/>
    <w:rsid w:val="00BB274A"/>
    <w:rsid w:val="00BB2CAE"/>
    <w:rsid w:val="00BB3D6C"/>
    <w:rsid w:val="00BB4938"/>
    <w:rsid w:val="00BB4A7C"/>
    <w:rsid w:val="00BB5350"/>
    <w:rsid w:val="00BB584A"/>
    <w:rsid w:val="00BB5BEB"/>
    <w:rsid w:val="00BB5C45"/>
    <w:rsid w:val="00BB61F0"/>
    <w:rsid w:val="00BB6C72"/>
    <w:rsid w:val="00BB6ECF"/>
    <w:rsid w:val="00BB6F3D"/>
    <w:rsid w:val="00BB75B7"/>
    <w:rsid w:val="00BC0795"/>
    <w:rsid w:val="00BC091D"/>
    <w:rsid w:val="00BC0D94"/>
    <w:rsid w:val="00BC0E39"/>
    <w:rsid w:val="00BC1B91"/>
    <w:rsid w:val="00BC2862"/>
    <w:rsid w:val="00BC28A7"/>
    <w:rsid w:val="00BC2E6E"/>
    <w:rsid w:val="00BC345A"/>
    <w:rsid w:val="00BC3AA4"/>
    <w:rsid w:val="00BC3B04"/>
    <w:rsid w:val="00BC478E"/>
    <w:rsid w:val="00BC5696"/>
    <w:rsid w:val="00BC5897"/>
    <w:rsid w:val="00BC5D36"/>
    <w:rsid w:val="00BC6AD4"/>
    <w:rsid w:val="00BC7214"/>
    <w:rsid w:val="00BC7573"/>
    <w:rsid w:val="00BC76F2"/>
    <w:rsid w:val="00BD014C"/>
    <w:rsid w:val="00BD0442"/>
    <w:rsid w:val="00BD1FF0"/>
    <w:rsid w:val="00BD3185"/>
    <w:rsid w:val="00BD3245"/>
    <w:rsid w:val="00BD359A"/>
    <w:rsid w:val="00BD3A67"/>
    <w:rsid w:val="00BD47D0"/>
    <w:rsid w:val="00BD49D1"/>
    <w:rsid w:val="00BD4AAC"/>
    <w:rsid w:val="00BD52D8"/>
    <w:rsid w:val="00BD69AA"/>
    <w:rsid w:val="00BD6B10"/>
    <w:rsid w:val="00BD6C1C"/>
    <w:rsid w:val="00BD6FF1"/>
    <w:rsid w:val="00BD73C1"/>
    <w:rsid w:val="00BD788A"/>
    <w:rsid w:val="00BE0975"/>
    <w:rsid w:val="00BE0BF1"/>
    <w:rsid w:val="00BE0FF4"/>
    <w:rsid w:val="00BE13BF"/>
    <w:rsid w:val="00BE14B7"/>
    <w:rsid w:val="00BE151E"/>
    <w:rsid w:val="00BE1639"/>
    <w:rsid w:val="00BE219B"/>
    <w:rsid w:val="00BE21A1"/>
    <w:rsid w:val="00BE2234"/>
    <w:rsid w:val="00BE2B6A"/>
    <w:rsid w:val="00BE3BBE"/>
    <w:rsid w:val="00BE4009"/>
    <w:rsid w:val="00BE41E7"/>
    <w:rsid w:val="00BE4225"/>
    <w:rsid w:val="00BE4229"/>
    <w:rsid w:val="00BE4390"/>
    <w:rsid w:val="00BE4BFF"/>
    <w:rsid w:val="00BE5081"/>
    <w:rsid w:val="00BE58C5"/>
    <w:rsid w:val="00BE5E41"/>
    <w:rsid w:val="00BE5E70"/>
    <w:rsid w:val="00BE6378"/>
    <w:rsid w:val="00BE6445"/>
    <w:rsid w:val="00BE6734"/>
    <w:rsid w:val="00BE680A"/>
    <w:rsid w:val="00BE7565"/>
    <w:rsid w:val="00BF03EB"/>
    <w:rsid w:val="00BF0573"/>
    <w:rsid w:val="00BF138A"/>
    <w:rsid w:val="00BF1B95"/>
    <w:rsid w:val="00BF220D"/>
    <w:rsid w:val="00BF311A"/>
    <w:rsid w:val="00BF33C2"/>
    <w:rsid w:val="00BF7002"/>
    <w:rsid w:val="00BF7254"/>
    <w:rsid w:val="00BF7441"/>
    <w:rsid w:val="00BF7AE9"/>
    <w:rsid w:val="00C00423"/>
    <w:rsid w:val="00C007AC"/>
    <w:rsid w:val="00C00D57"/>
    <w:rsid w:val="00C00ED6"/>
    <w:rsid w:val="00C00FDF"/>
    <w:rsid w:val="00C023FC"/>
    <w:rsid w:val="00C02521"/>
    <w:rsid w:val="00C0281D"/>
    <w:rsid w:val="00C02AC0"/>
    <w:rsid w:val="00C03110"/>
    <w:rsid w:val="00C035F0"/>
    <w:rsid w:val="00C036AF"/>
    <w:rsid w:val="00C0403A"/>
    <w:rsid w:val="00C044D7"/>
    <w:rsid w:val="00C04960"/>
    <w:rsid w:val="00C049B2"/>
    <w:rsid w:val="00C04F3D"/>
    <w:rsid w:val="00C05652"/>
    <w:rsid w:val="00C05D3D"/>
    <w:rsid w:val="00C060FF"/>
    <w:rsid w:val="00C062DF"/>
    <w:rsid w:val="00C067ED"/>
    <w:rsid w:val="00C068CA"/>
    <w:rsid w:val="00C069BC"/>
    <w:rsid w:val="00C0728D"/>
    <w:rsid w:val="00C07616"/>
    <w:rsid w:val="00C077F7"/>
    <w:rsid w:val="00C10998"/>
    <w:rsid w:val="00C1112C"/>
    <w:rsid w:val="00C114C4"/>
    <w:rsid w:val="00C117AB"/>
    <w:rsid w:val="00C123D4"/>
    <w:rsid w:val="00C12740"/>
    <w:rsid w:val="00C12B1E"/>
    <w:rsid w:val="00C12E4C"/>
    <w:rsid w:val="00C13613"/>
    <w:rsid w:val="00C13806"/>
    <w:rsid w:val="00C13938"/>
    <w:rsid w:val="00C140EF"/>
    <w:rsid w:val="00C14EF9"/>
    <w:rsid w:val="00C152CE"/>
    <w:rsid w:val="00C1545C"/>
    <w:rsid w:val="00C15B0D"/>
    <w:rsid w:val="00C15BDC"/>
    <w:rsid w:val="00C161A5"/>
    <w:rsid w:val="00C16A3B"/>
    <w:rsid w:val="00C17733"/>
    <w:rsid w:val="00C179D2"/>
    <w:rsid w:val="00C206C4"/>
    <w:rsid w:val="00C20A40"/>
    <w:rsid w:val="00C2135A"/>
    <w:rsid w:val="00C215B0"/>
    <w:rsid w:val="00C215BB"/>
    <w:rsid w:val="00C21B0E"/>
    <w:rsid w:val="00C21D3F"/>
    <w:rsid w:val="00C21E82"/>
    <w:rsid w:val="00C22A62"/>
    <w:rsid w:val="00C22FB7"/>
    <w:rsid w:val="00C23042"/>
    <w:rsid w:val="00C23102"/>
    <w:rsid w:val="00C2340B"/>
    <w:rsid w:val="00C23688"/>
    <w:rsid w:val="00C23C85"/>
    <w:rsid w:val="00C23DAC"/>
    <w:rsid w:val="00C23FEF"/>
    <w:rsid w:val="00C2435E"/>
    <w:rsid w:val="00C24498"/>
    <w:rsid w:val="00C24A4C"/>
    <w:rsid w:val="00C24BF5"/>
    <w:rsid w:val="00C25246"/>
    <w:rsid w:val="00C25A94"/>
    <w:rsid w:val="00C26450"/>
    <w:rsid w:val="00C264B8"/>
    <w:rsid w:val="00C269CE"/>
    <w:rsid w:val="00C303AA"/>
    <w:rsid w:val="00C30A17"/>
    <w:rsid w:val="00C30D2E"/>
    <w:rsid w:val="00C30EB0"/>
    <w:rsid w:val="00C31134"/>
    <w:rsid w:val="00C3290A"/>
    <w:rsid w:val="00C32C2B"/>
    <w:rsid w:val="00C32EC4"/>
    <w:rsid w:val="00C32ECA"/>
    <w:rsid w:val="00C34127"/>
    <w:rsid w:val="00C34151"/>
    <w:rsid w:val="00C34211"/>
    <w:rsid w:val="00C34742"/>
    <w:rsid w:val="00C349DF"/>
    <w:rsid w:val="00C34A4D"/>
    <w:rsid w:val="00C34B61"/>
    <w:rsid w:val="00C34D06"/>
    <w:rsid w:val="00C35474"/>
    <w:rsid w:val="00C35797"/>
    <w:rsid w:val="00C35D03"/>
    <w:rsid w:val="00C35F5E"/>
    <w:rsid w:val="00C35FE2"/>
    <w:rsid w:val="00C376F3"/>
    <w:rsid w:val="00C379FC"/>
    <w:rsid w:val="00C37C05"/>
    <w:rsid w:val="00C406A8"/>
    <w:rsid w:val="00C40741"/>
    <w:rsid w:val="00C40C69"/>
    <w:rsid w:val="00C4103B"/>
    <w:rsid w:val="00C411D3"/>
    <w:rsid w:val="00C41680"/>
    <w:rsid w:val="00C417A1"/>
    <w:rsid w:val="00C41C87"/>
    <w:rsid w:val="00C41CC0"/>
    <w:rsid w:val="00C420C2"/>
    <w:rsid w:val="00C42769"/>
    <w:rsid w:val="00C42841"/>
    <w:rsid w:val="00C429C0"/>
    <w:rsid w:val="00C42B3D"/>
    <w:rsid w:val="00C42C0A"/>
    <w:rsid w:val="00C42CCC"/>
    <w:rsid w:val="00C42FF8"/>
    <w:rsid w:val="00C43595"/>
    <w:rsid w:val="00C43DD9"/>
    <w:rsid w:val="00C4400B"/>
    <w:rsid w:val="00C440B2"/>
    <w:rsid w:val="00C44870"/>
    <w:rsid w:val="00C44C9B"/>
    <w:rsid w:val="00C450B5"/>
    <w:rsid w:val="00C45892"/>
    <w:rsid w:val="00C46A6F"/>
    <w:rsid w:val="00C476DA"/>
    <w:rsid w:val="00C50EB6"/>
    <w:rsid w:val="00C5139A"/>
    <w:rsid w:val="00C51CDD"/>
    <w:rsid w:val="00C52133"/>
    <w:rsid w:val="00C5287E"/>
    <w:rsid w:val="00C538D5"/>
    <w:rsid w:val="00C5437B"/>
    <w:rsid w:val="00C546FE"/>
    <w:rsid w:val="00C55211"/>
    <w:rsid w:val="00C55E02"/>
    <w:rsid w:val="00C56927"/>
    <w:rsid w:val="00C57804"/>
    <w:rsid w:val="00C6099A"/>
    <w:rsid w:val="00C60F58"/>
    <w:rsid w:val="00C610EF"/>
    <w:rsid w:val="00C61B34"/>
    <w:rsid w:val="00C61EF1"/>
    <w:rsid w:val="00C62D0A"/>
    <w:rsid w:val="00C6311F"/>
    <w:rsid w:val="00C6382F"/>
    <w:rsid w:val="00C63FCC"/>
    <w:rsid w:val="00C65B39"/>
    <w:rsid w:val="00C66328"/>
    <w:rsid w:val="00C66516"/>
    <w:rsid w:val="00C66549"/>
    <w:rsid w:val="00C666F6"/>
    <w:rsid w:val="00C67626"/>
    <w:rsid w:val="00C67885"/>
    <w:rsid w:val="00C7065D"/>
    <w:rsid w:val="00C70713"/>
    <w:rsid w:val="00C709FC"/>
    <w:rsid w:val="00C70A1E"/>
    <w:rsid w:val="00C712A2"/>
    <w:rsid w:val="00C71DD8"/>
    <w:rsid w:val="00C720EF"/>
    <w:rsid w:val="00C7273B"/>
    <w:rsid w:val="00C72E7B"/>
    <w:rsid w:val="00C738FC"/>
    <w:rsid w:val="00C7656F"/>
    <w:rsid w:val="00C76834"/>
    <w:rsid w:val="00C76C00"/>
    <w:rsid w:val="00C76D19"/>
    <w:rsid w:val="00C76D20"/>
    <w:rsid w:val="00C7703B"/>
    <w:rsid w:val="00C774B8"/>
    <w:rsid w:val="00C77640"/>
    <w:rsid w:val="00C804F5"/>
    <w:rsid w:val="00C80B49"/>
    <w:rsid w:val="00C81863"/>
    <w:rsid w:val="00C81FF4"/>
    <w:rsid w:val="00C8201F"/>
    <w:rsid w:val="00C82CE4"/>
    <w:rsid w:val="00C82DD1"/>
    <w:rsid w:val="00C83858"/>
    <w:rsid w:val="00C83ACD"/>
    <w:rsid w:val="00C83AD1"/>
    <w:rsid w:val="00C83ADB"/>
    <w:rsid w:val="00C841A8"/>
    <w:rsid w:val="00C8426E"/>
    <w:rsid w:val="00C848CC"/>
    <w:rsid w:val="00C849DC"/>
    <w:rsid w:val="00C84D2E"/>
    <w:rsid w:val="00C850BA"/>
    <w:rsid w:val="00C8558C"/>
    <w:rsid w:val="00C85F42"/>
    <w:rsid w:val="00C86F6A"/>
    <w:rsid w:val="00C876C3"/>
    <w:rsid w:val="00C877A9"/>
    <w:rsid w:val="00C90255"/>
    <w:rsid w:val="00C910B5"/>
    <w:rsid w:val="00C9146C"/>
    <w:rsid w:val="00C91DCB"/>
    <w:rsid w:val="00C92EC7"/>
    <w:rsid w:val="00C9333C"/>
    <w:rsid w:val="00C935F1"/>
    <w:rsid w:val="00C939B8"/>
    <w:rsid w:val="00C93C78"/>
    <w:rsid w:val="00C94820"/>
    <w:rsid w:val="00C95692"/>
    <w:rsid w:val="00C96F6E"/>
    <w:rsid w:val="00C96FF3"/>
    <w:rsid w:val="00C97454"/>
    <w:rsid w:val="00C9788C"/>
    <w:rsid w:val="00C97FCD"/>
    <w:rsid w:val="00CA00C6"/>
    <w:rsid w:val="00CA03A1"/>
    <w:rsid w:val="00CA0821"/>
    <w:rsid w:val="00CA085C"/>
    <w:rsid w:val="00CA125E"/>
    <w:rsid w:val="00CA1447"/>
    <w:rsid w:val="00CA1767"/>
    <w:rsid w:val="00CA27CC"/>
    <w:rsid w:val="00CA27F5"/>
    <w:rsid w:val="00CA2A80"/>
    <w:rsid w:val="00CA2BEE"/>
    <w:rsid w:val="00CA3439"/>
    <w:rsid w:val="00CA36CC"/>
    <w:rsid w:val="00CA47D4"/>
    <w:rsid w:val="00CA62C5"/>
    <w:rsid w:val="00CA77D9"/>
    <w:rsid w:val="00CA7B10"/>
    <w:rsid w:val="00CB04FA"/>
    <w:rsid w:val="00CB1769"/>
    <w:rsid w:val="00CB1CC3"/>
    <w:rsid w:val="00CB1DF7"/>
    <w:rsid w:val="00CB1FB3"/>
    <w:rsid w:val="00CB2352"/>
    <w:rsid w:val="00CB2D82"/>
    <w:rsid w:val="00CB43F7"/>
    <w:rsid w:val="00CB4514"/>
    <w:rsid w:val="00CB4C9E"/>
    <w:rsid w:val="00CB5210"/>
    <w:rsid w:val="00CB55AB"/>
    <w:rsid w:val="00CB5B4D"/>
    <w:rsid w:val="00CB5EDE"/>
    <w:rsid w:val="00CB70A7"/>
    <w:rsid w:val="00CB7523"/>
    <w:rsid w:val="00CB77DD"/>
    <w:rsid w:val="00CB7B2E"/>
    <w:rsid w:val="00CC08D4"/>
    <w:rsid w:val="00CC0985"/>
    <w:rsid w:val="00CC1DA8"/>
    <w:rsid w:val="00CC25B3"/>
    <w:rsid w:val="00CC26F1"/>
    <w:rsid w:val="00CC2899"/>
    <w:rsid w:val="00CC2D98"/>
    <w:rsid w:val="00CC3019"/>
    <w:rsid w:val="00CC3212"/>
    <w:rsid w:val="00CC3512"/>
    <w:rsid w:val="00CC4EFD"/>
    <w:rsid w:val="00CC53A9"/>
    <w:rsid w:val="00CC5B8C"/>
    <w:rsid w:val="00CC5C43"/>
    <w:rsid w:val="00CC5DF0"/>
    <w:rsid w:val="00CC5F1A"/>
    <w:rsid w:val="00CC6267"/>
    <w:rsid w:val="00CC654D"/>
    <w:rsid w:val="00CC71E5"/>
    <w:rsid w:val="00CC7F4C"/>
    <w:rsid w:val="00CD0176"/>
    <w:rsid w:val="00CD06AF"/>
    <w:rsid w:val="00CD09CE"/>
    <w:rsid w:val="00CD1D4A"/>
    <w:rsid w:val="00CD2922"/>
    <w:rsid w:val="00CD3688"/>
    <w:rsid w:val="00CD3758"/>
    <w:rsid w:val="00CD3799"/>
    <w:rsid w:val="00CD43FC"/>
    <w:rsid w:val="00CD46D6"/>
    <w:rsid w:val="00CD4E1E"/>
    <w:rsid w:val="00CD4F00"/>
    <w:rsid w:val="00CD5004"/>
    <w:rsid w:val="00CD5A2B"/>
    <w:rsid w:val="00CD5B80"/>
    <w:rsid w:val="00CD5D4B"/>
    <w:rsid w:val="00CD60FB"/>
    <w:rsid w:val="00CD69AE"/>
    <w:rsid w:val="00CD7A1C"/>
    <w:rsid w:val="00CE111F"/>
    <w:rsid w:val="00CE13C3"/>
    <w:rsid w:val="00CE151F"/>
    <w:rsid w:val="00CE180E"/>
    <w:rsid w:val="00CE1A9E"/>
    <w:rsid w:val="00CE1B90"/>
    <w:rsid w:val="00CE1D73"/>
    <w:rsid w:val="00CE1F97"/>
    <w:rsid w:val="00CE2B1B"/>
    <w:rsid w:val="00CE365F"/>
    <w:rsid w:val="00CE3CB2"/>
    <w:rsid w:val="00CE405D"/>
    <w:rsid w:val="00CE4205"/>
    <w:rsid w:val="00CE4A72"/>
    <w:rsid w:val="00CE5B26"/>
    <w:rsid w:val="00CE5F9A"/>
    <w:rsid w:val="00CE7DF9"/>
    <w:rsid w:val="00CF0047"/>
    <w:rsid w:val="00CF047C"/>
    <w:rsid w:val="00CF0680"/>
    <w:rsid w:val="00CF072B"/>
    <w:rsid w:val="00CF0B17"/>
    <w:rsid w:val="00CF0B5D"/>
    <w:rsid w:val="00CF1985"/>
    <w:rsid w:val="00CF1C21"/>
    <w:rsid w:val="00CF2158"/>
    <w:rsid w:val="00CF2431"/>
    <w:rsid w:val="00CF2664"/>
    <w:rsid w:val="00CF3BA2"/>
    <w:rsid w:val="00CF3BB1"/>
    <w:rsid w:val="00CF421F"/>
    <w:rsid w:val="00CF4492"/>
    <w:rsid w:val="00CF4CE1"/>
    <w:rsid w:val="00CF4E93"/>
    <w:rsid w:val="00CF6B9B"/>
    <w:rsid w:val="00D002F4"/>
    <w:rsid w:val="00D00788"/>
    <w:rsid w:val="00D0170D"/>
    <w:rsid w:val="00D0238D"/>
    <w:rsid w:val="00D02CB3"/>
    <w:rsid w:val="00D03106"/>
    <w:rsid w:val="00D03175"/>
    <w:rsid w:val="00D036F4"/>
    <w:rsid w:val="00D046E0"/>
    <w:rsid w:val="00D058DA"/>
    <w:rsid w:val="00D059AF"/>
    <w:rsid w:val="00D059B8"/>
    <w:rsid w:val="00D05A76"/>
    <w:rsid w:val="00D06AF9"/>
    <w:rsid w:val="00D06C3E"/>
    <w:rsid w:val="00D07E89"/>
    <w:rsid w:val="00D120B7"/>
    <w:rsid w:val="00D12DEF"/>
    <w:rsid w:val="00D12F18"/>
    <w:rsid w:val="00D132BB"/>
    <w:rsid w:val="00D13C98"/>
    <w:rsid w:val="00D13DBB"/>
    <w:rsid w:val="00D140D5"/>
    <w:rsid w:val="00D1412F"/>
    <w:rsid w:val="00D14E18"/>
    <w:rsid w:val="00D15A9C"/>
    <w:rsid w:val="00D15D82"/>
    <w:rsid w:val="00D160B4"/>
    <w:rsid w:val="00D16907"/>
    <w:rsid w:val="00D16C49"/>
    <w:rsid w:val="00D16E03"/>
    <w:rsid w:val="00D16E7F"/>
    <w:rsid w:val="00D178C9"/>
    <w:rsid w:val="00D204F2"/>
    <w:rsid w:val="00D20985"/>
    <w:rsid w:val="00D21701"/>
    <w:rsid w:val="00D22547"/>
    <w:rsid w:val="00D2290A"/>
    <w:rsid w:val="00D22E33"/>
    <w:rsid w:val="00D2304A"/>
    <w:rsid w:val="00D232EA"/>
    <w:rsid w:val="00D23577"/>
    <w:rsid w:val="00D23837"/>
    <w:rsid w:val="00D23CB7"/>
    <w:rsid w:val="00D23D06"/>
    <w:rsid w:val="00D247F3"/>
    <w:rsid w:val="00D24A2E"/>
    <w:rsid w:val="00D24DFD"/>
    <w:rsid w:val="00D251B6"/>
    <w:rsid w:val="00D252EE"/>
    <w:rsid w:val="00D25952"/>
    <w:rsid w:val="00D25968"/>
    <w:rsid w:val="00D25E03"/>
    <w:rsid w:val="00D263F5"/>
    <w:rsid w:val="00D265E5"/>
    <w:rsid w:val="00D26868"/>
    <w:rsid w:val="00D26870"/>
    <w:rsid w:val="00D27369"/>
    <w:rsid w:val="00D277C7"/>
    <w:rsid w:val="00D27C8B"/>
    <w:rsid w:val="00D30429"/>
    <w:rsid w:val="00D304DE"/>
    <w:rsid w:val="00D304E4"/>
    <w:rsid w:val="00D30FDE"/>
    <w:rsid w:val="00D317FE"/>
    <w:rsid w:val="00D321E6"/>
    <w:rsid w:val="00D32CDE"/>
    <w:rsid w:val="00D343DC"/>
    <w:rsid w:val="00D346C2"/>
    <w:rsid w:val="00D35683"/>
    <w:rsid w:val="00D35853"/>
    <w:rsid w:val="00D35928"/>
    <w:rsid w:val="00D36964"/>
    <w:rsid w:val="00D37152"/>
    <w:rsid w:val="00D37632"/>
    <w:rsid w:val="00D40162"/>
    <w:rsid w:val="00D4033A"/>
    <w:rsid w:val="00D41263"/>
    <w:rsid w:val="00D412C5"/>
    <w:rsid w:val="00D41520"/>
    <w:rsid w:val="00D417C7"/>
    <w:rsid w:val="00D418B3"/>
    <w:rsid w:val="00D42302"/>
    <w:rsid w:val="00D4252C"/>
    <w:rsid w:val="00D42614"/>
    <w:rsid w:val="00D42B05"/>
    <w:rsid w:val="00D42CFE"/>
    <w:rsid w:val="00D43330"/>
    <w:rsid w:val="00D438FA"/>
    <w:rsid w:val="00D44865"/>
    <w:rsid w:val="00D44B93"/>
    <w:rsid w:val="00D45F41"/>
    <w:rsid w:val="00D4690E"/>
    <w:rsid w:val="00D46FE2"/>
    <w:rsid w:val="00D5034A"/>
    <w:rsid w:val="00D50502"/>
    <w:rsid w:val="00D506A0"/>
    <w:rsid w:val="00D50C82"/>
    <w:rsid w:val="00D510D9"/>
    <w:rsid w:val="00D51416"/>
    <w:rsid w:val="00D529E9"/>
    <w:rsid w:val="00D52D62"/>
    <w:rsid w:val="00D52FAE"/>
    <w:rsid w:val="00D5310E"/>
    <w:rsid w:val="00D540ED"/>
    <w:rsid w:val="00D54281"/>
    <w:rsid w:val="00D54A4F"/>
    <w:rsid w:val="00D55D99"/>
    <w:rsid w:val="00D55F3E"/>
    <w:rsid w:val="00D560B6"/>
    <w:rsid w:val="00D56EF5"/>
    <w:rsid w:val="00D57686"/>
    <w:rsid w:val="00D57D40"/>
    <w:rsid w:val="00D57F64"/>
    <w:rsid w:val="00D57F73"/>
    <w:rsid w:val="00D6026D"/>
    <w:rsid w:val="00D60F1B"/>
    <w:rsid w:val="00D61248"/>
    <w:rsid w:val="00D618AA"/>
    <w:rsid w:val="00D623ED"/>
    <w:rsid w:val="00D62A3A"/>
    <w:rsid w:val="00D638FD"/>
    <w:rsid w:val="00D63FD7"/>
    <w:rsid w:val="00D64205"/>
    <w:rsid w:val="00D64879"/>
    <w:rsid w:val="00D64F29"/>
    <w:rsid w:val="00D65691"/>
    <w:rsid w:val="00D65813"/>
    <w:rsid w:val="00D65FF1"/>
    <w:rsid w:val="00D6647D"/>
    <w:rsid w:val="00D6651F"/>
    <w:rsid w:val="00D6652F"/>
    <w:rsid w:val="00D667A3"/>
    <w:rsid w:val="00D66B55"/>
    <w:rsid w:val="00D66FE5"/>
    <w:rsid w:val="00D67273"/>
    <w:rsid w:val="00D67AEA"/>
    <w:rsid w:val="00D67B8F"/>
    <w:rsid w:val="00D70433"/>
    <w:rsid w:val="00D70E8B"/>
    <w:rsid w:val="00D71177"/>
    <w:rsid w:val="00D7121D"/>
    <w:rsid w:val="00D724A1"/>
    <w:rsid w:val="00D730F3"/>
    <w:rsid w:val="00D736C9"/>
    <w:rsid w:val="00D74406"/>
    <w:rsid w:val="00D74615"/>
    <w:rsid w:val="00D74747"/>
    <w:rsid w:val="00D751CA"/>
    <w:rsid w:val="00D75968"/>
    <w:rsid w:val="00D75D42"/>
    <w:rsid w:val="00D76678"/>
    <w:rsid w:val="00D77B32"/>
    <w:rsid w:val="00D77D6F"/>
    <w:rsid w:val="00D80069"/>
    <w:rsid w:val="00D8018D"/>
    <w:rsid w:val="00D81508"/>
    <w:rsid w:val="00D81969"/>
    <w:rsid w:val="00D81999"/>
    <w:rsid w:val="00D81CAB"/>
    <w:rsid w:val="00D81F17"/>
    <w:rsid w:val="00D82888"/>
    <w:rsid w:val="00D828B0"/>
    <w:rsid w:val="00D83123"/>
    <w:rsid w:val="00D83391"/>
    <w:rsid w:val="00D83DD0"/>
    <w:rsid w:val="00D83EE1"/>
    <w:rsid w:val="00D84654"/>
    <w:rsid w:val="00D84DEA"/>
    <w:rsid w:val="00D84FF4"/>
    <w:rsid w:val="00D853EB"/>
    <w:rsid w:val="00D86DDE"/>
    <w:rsid w:val="00D8705D"/>
    <w:rsid w:val="00D87AF6"/>
    <w:rsid w:val="00D90276"/>
    <w:rsid w:val="00D907E6"/>
    <w:rsid w:val="00D908E2"/>
    <w:rsid w:val="00D90EF9"/>
    <w:rsid w:val="00D93FB0"/>
    <w:rsid w:val="00D9490F"/>
    <w:rsid w:val="00D94F61"/>
    <w:rsid w:val="00D95E99"/>
    <w:rsid w:val="00D9663A"/>
    <w:rsid w:val="00D96BD9"/>
    <w:rsid w:val="00D97C3B"/>
    <w:rsid w:val="00DA0317"/>
    <w:rsid w:val="00DA093D"/>
    <w:rsid w:val="00DA1B7D"/>
    <w:rsid w:val="00DA28D2"/>
    <w:rsid w:val="00DA2D45"/>
    <w:rsid w:val="00DA3385"/>
    <w:rsid w:val="00DA347D"/>
    <w:rsid w:val="00DA357C"/>
    <w:rsid w:val="00DA3B7A"/>
    <w:rsid w:val="00DA3C75"/>
    <w:rsid w:val="00DA401A"/>
    <w:rsid w:val="00DA40C8"/>
    <w:rsid w:val="00DA40E8"/>
    <w:rsid w:val="00DA43AA"/>
    <w:rsid w:val="00DA4A60"/>
    <w:rsid w:val="00DA519B"/>
    <w:rsid w:val="00DA544E"/>
    <w:rsid w:val="00DA557E"/>
    <w:rsid w:val="00DA55D1"/>
    <w:rsid w:val="00DA57E3"/>
    <w:rsid w:val="00DA6014"/>
    <w:rsid w:val="00DA6230"/>
    <w:rsid w:val="00DA68C1"/>
    <w:rsid w:val="00DA6DF1"/>
    <w:rsid w:val="00DA6FE2"/>
    <w:rsid w:val="00DB0822"/>
    <w:rsid w:val="00DB0ABF"/>
    <w:rsid w:val="00DB1FCD"/>
    <w:rsid w:val="00DB303B"/>
    <w:rsid w:val="00DB382B"/>
    <w:rsid w:val="00DB3931"/>
    <w:rsid w:val="00DB3F86"/>
    <w:rsid w:val="00DB467F"/>
    <w:rsid w:val="00DB4A08"/>
    <w:rsid w:val="00DB5460"/>
    <w:rsid w:val="00DB5A0F"/>
    <w:rsid w:val="00DB60C3"/>
    <w:rsid w:val="00DB63EF"/>
    <w:rsid w:val="00DB6A68"/>
    <w:rsid w:val="00DB6BFA"/>
    <w:rsid w:val="00DB70D0"/>
    <w:rsid w:val="00DC01EA"/>
    <w:rsid w:val="00DC025F"/>
    <w:rsid w:val="00DC04CE"/>
    <w:rsid w:val="00DC0942"/>
    <w:rsid w:val="00DC0CA0"/>
    <w:rsid w:val="00DC1B05"/>
    <w:rsid w:val="00DC22FA"/>
    <w:rsid w:val="00DC29DC"/>
    <w:rsid w:val="00DC46E4"/>
    <w:rsid w:val="00DC4A5A"/>
    <w:rsid w:val="00DC4D38"/>
    <w:rsid w:val="00DC517D"/>
    <w:rsid w:val="00DC53E8"/>
    <w:rsid w:val="00DC5611"/>
    <w:rsid w:val="00DC56CD"/>
    <w:rsid w:val="00DC5DC2"/>
    <w:rsid w:val="00DC5FE9"/>
    <w:rsid w:val="00DC60E7"/>
    <w:rsid w:val="00DC7DB8"/>
    <w:rsid w:val="00DD0AF2"/>
    <w:rsid w:val="00DD177D"/>
    <w:rsid w:val="00DD193F"/>
    <w:rsid w:val="00DD19C5"/>
    <w:rsid w:val="00DD1C59"/>
    <w:rsid w:val="00DD21D3"/>
    <w:rsid w:val="00DD25CA"/>
    <w:rsid w:val="00DD2AC8"/>
    <w:rsid w:val="00DD3180"/>
    <w:rsid w:val="00DD318A"/>
    <w:rsid w:val="00DD3586"/>
    <w:rsid w:val="00DD3643"/>
    <w:rsid w:val="00DD40D5"/>
    <w:rsid w:val="00DD4302"/>
    <w:rsid w:val="00DD4806"/>
    <w:rsid w:val="00DD4C7D"/>
    <w:rsid w:val="00DD5429"/>
    <w:rsid w:val="00DD5522"/>
    <w:rsid w:val="00DD6A33"/>
    <w:rsid w:val="00DD74C9"/>
    <w:rsid w:val="00DD7674"/>
    <w:rsid w:val="00DD78AE"/>
    <w:rsid w:val="00DD7A48"/>
    <w:rsid w:val="00DE0820"/>
    <w:rsid w:val="00DE0B23"/>
    <w:rsid w:val="00DE0C22"/>
    <w:rsid w:val="00DE13A4"/>
    <w:rsid w:val="00DE2313"/>
    <w:rsid w:val="00DE24FE"/>
    <w:rsid w:val="00DE28C8"/>
    <w:rsid w:val="00DE34B7"/>
    <w:rsid w:val="00DE4890"/>
    <w:rsid w:val="00DE4944"/>
    <w:rsid w:val="00DE4989"/>
    <w:rsid w:val="00DE4B90"/>
    <w:rsid w:val="00DE6116"/>
    <w:rsid w:val="00DE6678"/>
    <w:rsid w:val="00DE673C"/>
    <w:rsid w:val="00DE6A87"/>
    <w:rsid w:val="00DE6BC4"/>
    <w:rsid w:val="00DE6E07"/>
    <w:rsid w:val="00DE7168"/>
    <w:rsid w:val="00DE776F"/>
    <w:rsid w:val="00DE78B0"/>
    <w:rsid w:val="00DF0094"/>
    <w:rsid w:val="00DF05D9"/>
    <w:rsid w:val="00DF1FBA"/>
    <w:rsid w:val="00DF28AA"/>
    <w:rsid w:val="00DF2AB0"/>
    <w:rsid w:val="00DF3453"/>
    <w:rsid w:val="00DF367B"/>
    <w:rsid w:val="00DF39A8"/>
    <w:rsid w:val="00DF3B18"/>
    <w:rsid w:val="00DF3B4E"/>
    <w:rsid w:val="00DF43F7"/>
    <w:rsid w:val="00DF4439"/>
    <w:rsid w:val="00DF45AB"/>
    <w:rsid w:val="00DF4B3A"/>
    <w:rsid w:val="00DF5728"/>
    <w:rsid w:val="00DF5EB2"/>
    <w:rsid w:val="00DF6209"/>
    <w:rsid w:val="00DF68BF"/>
    <w:rsid w:val="00DF6B7E"/>
    <w:rsid w:val="00DF7002"/>
    <w:rsid w:val="00DF7942"/>
    <w:rsid w:val="00DF7A56"/>
    <w:rsid w:val="00E00099"/>
    <w:rsid w:val="00E00607"/>
    <w:rsid w:val="00E00C7C"/>
    <w:rsid w:val="00E00D3D"/>
    <w:rsid w:val="00E00E9B"/>
    <w:rsid w:val="00E017D0"/>
    <w:rsid w:val="00E01A43"/>
    <w:rsid w:val="00E020ED"/>
    <w:rsid w:val="00E023ED"/>
    <w:rsid w:val="00E023F5"/>
    <w:rsid w:val="00E0320D"/>
    <w:rsid w:val="00E0339C"/>
    <w:rsid w:val="00E038E1"/>
    <w:rsid w:val="00E0414F"/>
    <w:rsid w:val="00E04943"/>
    <w:rsid w:val="00E0581B"/>
    <w:rsid w:val="00E05870"/>
    <w:rsid w:val="00E058F3"/>
    <w:rsid w:val="00E05E10"/>
    <w:rsid w:val="00E07084"/>
    <w:rsid w:val="00E0755B"/>
    <w:rsid w:val="00E076CD"/>
    <w:rsid w:val="00E07D68"/>
    <w:rsid w:val="00E07DE5"/>
    <w:rsid w:val="00E1016F"/>
    <w:rsid w:val="00E101C1"/>
    <w:rsid w:val="00E105EE"/>
    <w:rsid w:val="00E11886"/>
    <w:rsid w:val="00E124C0"/>
    <w:rsid w:val="00E12BC1"/>
    <w:rsid w:val="00E12DD7"/>
    <w:rsid w:val="00E132FE"/>
    <w:rsid w:val="00E13BF9"/>
    <w:rsid w:val="00E13ECD"/>
    <w:rsid w:val="00E13ED5"/>
    <w:rsid w:val="00E13F62"/>
    <w:rsid w:val="00E15943"/>
    <w:rsid w:val="00E15EEC"/>
    <w:rsid w:val="00E17794"/>
    <w:rsid w:val="00E17B9C"/>
    <w:rsid w:val="00E17D3B"/>
    <w:rsid w:val="00E20920"/>
    <w:rsid w:val="00E20D3F"/>
    <w:rsid w:val="00E20FFC"/>
    <w:rsid w:val="00E2196F"/>
    <w:rsid w:val="00E22D29"/>
    <w:rsid w:val="00E22E96"/>
    <w:rsid w:val="00E23C18"/>
    <w:rsid w:val="00E2550B"/>
    <w:rsid w:val="00E2605E"/>
    <w:rsid w:val="00E2611D"/>
    <w:rsid w:val="00E261B0"/>
    <w:rsid w:val="00E267F8"/>
    <w:rsid w:val="00E2699B"/>
    <w:rsid w:val="00E269D6"/>
    <w:rsid w:val="00E2734C"/>
    <w:rsid w:val="00E30A62"/>
    <w:rsid w:val="00E3101B"/>
    <w:rsid w:val="00E31701"/>
    <w:rsid w:val="00E32B42"/>
    <w:rsid w:val="00E32CCE"/>
    <w:rsid w:val="00E330E0"/>
    <w:rsid w:val="00E33164"/>
    <w:rsid w:val="00E3478E"/>
    <w:rsid w:val="00E34DF7"/>
    <w:rsid w:val="00E350AE"/>
    <w:rsid w:val="00E35AB4"/>
    <w:rsid w:val="00E360E5"/>
    <w:rsid w:val="00E37029"/>
    <w:rsid w:val="00E3747A"/>
    <w:rsid w:val="00E37555"/>
    <w:rsid w:val="00E379C8"/>
    <w:rsid w:val="00E4065B"/>
    <w:rsid w:val="00E410CB"/>
    <w:rsid w:val="00E41138"/>
    <w:rsid w:val="00E411A0"/>
    <w:rsid w:val="00E41990"/>
    <w:rsid w:val="00E419A7"/>
    <w:rsid w:val="00E41A43"/>
    <w:rsid w:val="00E41BE5"/>
    <w:rsid w:val="00E41F41"/>
    <w:rsid w:val="00E42468"/>
    <w:rsid w:val="00E42A99"/>
    <w:rsid w:val="00E42EA5"/>
    <w:rsid w:val="00E42FCB"/>
    <w:rsid w:val="00E4325D"/>
    <w:rsid w:val="00E4373B"/>
    <w:rsid w:val="00E44277"/>
    <w:rsid w:val="00E442AB"/>
    <w:rsid w:val="00E44885"/>
    <w:rsid w:val="00E44B50"/>
    <w:rsid w:val="00E4574E"/>
    <w:rsid w:val="00E46C0E"/>
    <w:rsid w:val="00E46F92"/>
    <w:rsid w:val="00E47069"/>
    <w:rsid w:val="00E500E4"/>
    <w:rsid w:val="00E5065E"/>
    <w:rsid w:val="00E508B8"/>
    <w:rsid w:val="00E50D6A"/>
    <w:rsid w:val="00E50ECB"/>
    <w:rsid w:val="00E5178C"/>
    <w:rsid w:val="00E51B3F"/>
    <w:rsid w:val="00E52ED6"/>
    <w:rsid w:val="00E52FA4"/>
    <w:rsid w:val="00E53A42"/>
    <w:rsid w:val="00E53C01"/>
    <w:rsid w:val="00E53C1D"/>
    <w:rsid w:val="00E53DBC"/>
    <w:rsid w:val="00E54634"/>
    <w:rsid w:val="00E549BE"/>
    <w:rsid w:val="00E54CA5"/>
    <w:rsid w:val="00E54EA3"/>
    <w:rsid w:val="00E55488"/>
    <w:rsid w:val="00E55E18"/>
    <w:rsid w:val="00E56137"/>
    <w:rsid w:val="00E56919"/>
    <w:rsid w:val="00E569EB"/>
    <w:rsid w:val="00E56D7D"/>
    <w:rsid w:val="00E60251"/>
    <w:rsid w:val="00E605B8"/>
    <w:rsid w:val="00E609F9"/>
    <w:rsid w:val="00E60A37"/>
    <w:rsid w:val="00E60BED"/>
    <w:rsid w:val="00E60E1E"/>
    <w:rsid w:val="00E6134F"/>
    <w:rsid w:val="00E61464"/>
    <w:rsid w:val="00E6173E"/>
    <w:rsid w:val="00E61E3C"/>
    <w:rsid w:val="00E620D4"/>
    <w:rsid w:val="00E62121"/>
    <w:rsid w:val="00E62140"/>
    <w:rsid w:val="00E62C72"/>
    <w:rsid w:val="00E62E13"/>
    <w:rsid w:val="00E63921"/>
    <w:rsid w:val="00E63A57"/>
    <w:rsid w:val="00E64415"/>
    <w:rsid w:val="00E64E16"/>
    <w:rsid w:val="00E65477"/>
    <w:rsid w:val="00E657CF"/>
    <w:rsid w:val="00E65A29"/>
    <w:rsid w:val="00E65C05"/>
    <w:rsid w:val="00E66C5A"/>
    <w:rsid w:val="00E66E2A"/>
    <w:rsid w:val="00E66E4D"/>
    <w:rsid w:val="00E67372"/>
    <w:rsid w:val="00E67639"/>
    <w:rsid w:val="00E67867"/>
    <w:rsid w:val="00E678A8"/>
    <w:rsid w:val="00E7086F"/>
    <w:rsid w:val="00E708A4"/>
    <w:rsid w:val="00E708EC"/>
    <w:rsid w:val="00E71064"/>
    <w:rsid w:val="00E713F7"/>
    <w:rsid w:val="00E7190D"/>
    <w:rsid w:val="00E71F44"/>
    <w:rsid w:val="00E72852"/>
    <w:rsid w:val="00E72AB0"/>
    <w:rsid w:val="00E73233"/>
    <w:rsid w:val="00E733E8"/>
    <w:rsid w:val="00E73936"/>
    <w:rsid w:val="00E744CF"/>
    <w:rsid w:val="00E7511C"/>
    <w:rsid w:val="00E753F5"/>
    <w:rsid w:val="00E75495"/>
    <w:rsid w:val="00E75C0B"/>
    <w:rsid w:val="00E75DEA"/>
    <w:rsid w:val="00E765D3"/>
    <w:rsid w:val="00E76AAC"/>
    <w:rsid w:val="00E76E61"/>
    <w:rsid w:val="00E80F75"/>
    <w:rsid w:val="00E8181E"/>
    <w:rsid w:val="00E81EE6"/>
    <w:rsid w:val="00E82AC6"/>
    <w:rsid w:val="00E82C4D"/>
    <w:rsid w:val="00E82D54"/>
    <w:rsid w:val="00E83103"/>
    <w:rsid w:val="00E83690"/>
    <w:rsid w:val="00E84585"/>
    <w:rsid w:val="00E84A39"/>
    <w:rsid w:val="00E84F81"/>
    <w:rsid w:val="00E85283"/>
    <w:rsid w:val="00E85849"/>
    <w:rsid w:val="00E85A19"/>
    <w:rsid w:val="00E85AC0"/>
    <w:rsid w:val="00E860BD"/>
    <w:rsid w:val="00E869E5"/>
    <w:rsid w:val="00E87976"/>
    <w:rsid w:val="00E87B21"/>
    <w:rsid w:val="00E90AFF"/>
    <w:rsid w:val="00E913B3"/>
    <w:rsid w:val="00E9150C"/>
    <w:rsid w:val="00E9191B"/>
    <w:rsid w:val="00E91D44"/>
    <w:rsid w:val="00E921AA"/>
    <w:rsid w:val="00E93122"/>
    <w:rsid w:val="00E934D8"/>
    <w:rsid w:val="00E9377B"/>
    <w:rsid w:val="00E93DB6"/>
    <w:rsid w:val="00E94A35"/>
    <w:rsid w:val="00E94E51"/>
    <w:rsid w:val="00E94FC4"/>
    <w:rsid w:val="00E95E74"/>
    <w:rsid w:val="00E961CD"/>
    <w:rsid w:val="00E969DC"/>
    <w:rsid w:val="00E96BFE"/>
    <w:rsid w:val="00E97010"/>
    <w:rsid w:val="00E97479"/>
    <w:rsid w:val="00EA01E7"/>
    <w:rsid w:val="00EA0EE0"/>
    <w:rsid w:val="00EA0F46"/>
    <w:rsid w:val="00EA1324"/>
    <w:rsid w:val="00EA1327"/>
    <w:rsid w:val="00EA1537"/>
    <w:rsid w:val="00EA1C13"/>
    <w:rsid w:val="00EA2604"/>
    <w:rsid w:val="00EA26A3"/>
    <w:rsid w:val="00EA26A9"/>
    <w:rsid w:val="00EA2714"/>
    <w:rsid w:val="00EA2C2F"/>
    <w:rsid w:val="00EA2C89"/>
    <w:rsid w:val="00EA3674"/>
    <w:rsid w:val="00EA37CE"/>
    <w:rsid w:val="00EA4087"/>
    <w:rsid w:val="00EA46D0"/>
    <w:rsid w:val="00EA4DEC"/>
    <w:rsid w:val="00EA52B1"/>
    <w:rsid w:val="00EA5B56"/>
    <w:rsid w:val="00EA6120"/>
    <w:rsid w:val="00EA6C8D"/>
    <w:rsid w:val="00EA6F8B"/>
    <w:rsid w:val="00EA7CB5"/>
    <w:rsid w:val="00EB05F5"/>
    <w:rsid w:val="00EB0C68"/>
    <w:rsid w:val="00EB0DB5"/>
    <w:rsid w:val="00EB1206"/>
    <w:rsid w:val="00EB14A8"/>
    <w:rsid w:val="00EB1507"/>
    <w:rsid w:val="00EB2144"/>
    <w:rsid w:val="00EB2829"/>
    <w:rsid w:val="00EB35DE"/>
    <w:rsid w:val="00EB3B47"/>
    <w:rsid w:val="00EB3F67"/>
    <w:rsid w:val="00EB4371"/>
    <w:rsid w:val="00EB5B9B"/>
    <w:rsid w:val="00EB5CE4"/>
    <w:rsid w:val="00EB5D03"/>
    <w:rsid w:val="00EB63BA"/>
    <w:rsid w:val="00EB7209"/>
    <w:rsid w:val="00EB786D"/>
    <w:rsid w:val="00EB7F6D"/>
    <w:rsid w:val="00EC01C8"/>
    <w:rsid w:val="00EC051C"/>
    <w:rsid w:val="00EC05C3"/>
    <w:rsid w:val="00EC0622"/>
    <w:rsid w:val="00EC205A"/>
    <w:rsid w:val="00EC22A9"/>
    <w:rsid w:val="00EC2615"/>
    <w:rsid w:val="00EC3BC1"/>
    <w:rsid w:val="00EC4973"/>
    <w:rsid w:val="00EC57CD"/>
    <w:rsid w:val="00EC64BE"/>
    <w:rsid w:val="00EC6CD6"/>
    <w:rsid w:val="00EC6E03"/>
    <w:rsid w:val="00EC71F7"/>
    <w:rsid w:val="00EC78DF"/>
    <w:rsid w:val="00ED10A1"/>
    <w:rsid w:val="00ED1159"/>
    <w:rsid w:val="00ED196D"/>
    <w:rsid w:val="00ED1C28"/>
    <w:rsid w:val="00ED22D4"/>
    <w:rsid w:val="00ED2BC7"/>
    <w:rsid w:val="00ED31FA"/>
    <w:rsid w:val="00ED3668"/>
    <w:rsid w:val="00ED36CE"/>
    <w:rsid w:val="00ED3B14"/>
    <w:rsid w:val="00ED4BFD"/>
    <w:rsid w:val="00ED4F89"/>
    <w:rsid w:val="00ED54CF"/>
    <w:rsid w:val="00ED6EF9"/>
    <w:rsid w:val="00ED7290"/>
    <w:rsid w:val="00ED7AC8"/>
    <w:rsid w:val="00EE152E"/>
    <w:rsid w:val="00EE2559"/>
    <w:rsid w:val="00EE2F33"/>
    <w:rsid w:val="00EE2F86"/>
    <w:rsid w:val="00EE43BB"/>
    <w:rsid w:val="00EE5021"/>
    <w:rsid w:val="00EE5206"/>
    <w:rsid w:val="00EE5782"/>
    <w:rsid w:val="00EE59AE"/>
    <w:rsid w:val="00EE59B2"/>
    <w:rsid w:val="00EE5DFE"/>
    <w:rsid w:val="00EE6495"/>
    <w:rsid w:val="00EE64D5"/>
    <w:rsid w:val="00EE741B"/>
    <w:rsid w:val="00EF0896"/>
    <w:rsid w:val="00EF129F"/>
    <w:rsid w:val="00EF2336"/>
    <w:rsid w:val="00EF2462"/>
    <w:rsid w:val="00EF25B2"/>
    <w:rsid w:val="00EF2745"/>
    <w:rsid w:val="00EF49C5"/>
    <w:rsid w:val="00EF4FD3"/>
    <w:rsid w:val="00EF50C3"/>
    <w:rsid w:val="00EF5DE1"/>
    <w:rsid w:val="00EF60C3"/>
    <w:rsid w:val="00EF6206"/>
    <w:rsid w:val="00EF6816"/>
    <w:rsid w:val="00EF685E"/>
    <w:rsid w:val="00EF6978"/>
    <w:rsid w:val="00EF6FAC"/>
    <w:rsid w:val="00EF745E"/>
    <w:rsid w:val="00EF7DAB"/>
    <w:rsid w:val="00F00176"/>
    <w:rsid w:val="00F008B3"/>
    <w:rsid w:val="00F00918"/>
    <w:rsid w:val="00F00C28"/>
    <w:rsid w:val="00F017A8"/>
    <w:rsid w:val="00F018E1"/>
    <w:rsid w:val="00F03BC7"/>
    <w:rsid w:val="00F046AC"/>
    <w:rsid w:val="00F04BED"/>
    <w:rsid w:val="00F05A29"/>
    <w:rsid w:val="00F05EF3"/>
    <w:rsid w:val="00F06213"/>
    <w:rsid w:val="00F0702F"/>
    <w:rsid w:val="00F075C0"/>
    <w:rsid w:val="00F07D28"/>
    <w:rsid w:val="00F07D33"/>
    <w:rsid w:val="00F10A14"/>
    <w:rsid w:val="00F11475"/>
    <w:rsid w:val="00F1157B"/>
    <w:rsid w:val="00F11F44"/>
    <w:rsid w:val="00F12CE5"/>
    <w:rsid w:val="00F136F1"/>
    <w:rsid w:val="00F1386A"/>
    <w:rsid w:val="00F14E07"/>
    <w:rsid w:val="00F14E8D"/>
    <w:rsid w:val="00F15F40"/>
    <w:rsid w:val="00F160BA"/>
    <w:rsid w:val="00F1657A"/>
    <w:rsid w:val="00F169AF"/>
    <w:rsid w:val="00F17246"/>
    <w:rsid w:val="00F17363"/>
    <w:rsid w:val="00F1765F"/>
    <w:rsid w:val="00F1784F"/>
    <w:rsid w:val="00F20E6A"/>
    <w:rsid w:val="00F21009"/>
    <w:rsid w:val="00F212B8"/>
    <w:rsid w:val="00F21309"/>
    <w:rsid w:val="00F2165C"/>
    <w:rsid w:val="00F2173B"/>
    <w:rsid w:val="00F22616"/>
    <w:rsid w:val="00F2340A"/>
    <w:rsid w:val="00F23828"/>
    <w:rsid w:val="00F23B99"/>
    <w:rsid w:val="00F241B2"/>
    <w:rsid w:val="00F24C7F"/>
    <w:rsid w:val="00F24FF5"/>
    <w:rsid w:val="00F2577D"/>
    <w:rsid w:val="00F27410"/>
    <w:rsid w:val="00F275B1"/>
    <w:rsid w:val="00F27C51"/>
    <w:rsid w:val="00F300D1"/>
    <w:rsid w:val="00F309CA"/>
    <w:rsid w:val="00F3117F"/>
    <w:rsid w:val="00F3264B"/>
    <w:rsid w:val="00F32BED"/>
    <w:rsid w:val="00F32C54"/>
    <w:rsid w:val="00F32D4F"/>
    <w:rsid w:val="00F32F97"/>
    <w:rsid w:val="00F33670"/>
    <w:rsid w:val="00F33DA5"/>
    <w:rsid w:val="00F33DCC"/>
    <w:rsid w:val="00F33E97"/>
    <w:rsid w:val="00F3417F"/>
    <w:rsid w:val="00F34DC2"/>
    <w:rsid w:val="00F34DD6"/>
    <w:rsid w:val="00F3507D"/>
    <w:rsid w:val="00F35C37"/>
    <w:rsid w:val="00F35C3E"/>
    <w:rsid w:val="00F36569"/>
    <w:rsid w:val="00F36B31"/>
    <w:rsid w:val="00F36E54"/>
    <w:rsid w:val="00F379A7"/>
    <w:rsid w:val="00F37A82"/>
    <w:rsid w:val="00F40443"/>
    <w:rsid w:val="00F40804"/>
    <w:rsid w:val="00F40A18"/>
    <w:rsid w:val="00F41038"/>
    <w:rsid w:val="00F41393"/>
    <w:rsid w:val="00F41BB3"/>
    <w:rsid w:val="00F41CE2"/>
    <w:rsid w:val="00F41EE8"/>
    <w:rsid w:val="00F4272C"/>
    <w:rsid w:val="00F42788"/>
    <w:rsid w:val="00F428A2"/>
    <w:rsid w:val="00F43E2F"/>
    <w:rsid w:val="00F43F8E"/>
    <w:rsid w:val="00F43FC3"/>
    <w:rsid w:val="00F44390"/>
    <w:rsid w:val="00F4479E"/>
    <w:rsid w:val="00F448E2"/>
    <w:rsid w:val="00F450EE"/>
    <w:rsid w:val="00F454D4"/>
    <w:rsid w:val="00F459B6"/>
    <w:rsid w:val="00F46437"/>
    <w:rsid w:val="00F467FD"/>
    <w:rsid w:val="00F46807"/>
    <w:rsid w:val="00F46C28"/>
    <w:rsid w:val="00F471E1"/>
    <w:rsid w:val="00F47DAC"/>
    <w:rsid w:val="00F47F36"/>
    <w:rsid w:val="00F50074"/>
    <w:rsid w:val="00F519EB"/>
    <w:rsid w:val="00F5220A"/>
    <w:rsid w:val="00F523F7"/>
    <w:rsid w:val="00F528CC"/>
    <w:rsid w:val="00F528F9"/>
    <w:rsid w:val="00F534B7"/>
    <w:rsid w:val="00F5443D"/>
    <w:rsid w:val="00F5539B"/>
    <w:rsid w:val="00F55C05"/>
    <w:rsid w:val="00F55FE5"/>
    <w:rsid w:val="00F564DE"/>
    <w:rsid w:val="00F5675C"/>
    <w:rsid w:val="00F56A56"/>
    <w:rsid w:val="00F56AFC"/>
    <w:rsid w:val="00F570D5"/>
    <w:rsid w:val="00F576AE"/>
    <w:rsid w:val="00F60005"/>
    <w:rsid w:val="00F6181F"/>
    <w:rsid w:val="00F618BF"/>
    <w:rsid w:val="00F61AAD"/>
    <w:rsid w:val="00F61E61"/>
    <w:rsid w:val="00F62F69"/>
    <w:rsid w:val="00F63127"/>
    <w:rsid w:val="00F63723"/>
    <w:rsid w:val="00F63951"/>
    <w:rsid w:val="00F6422A"/>
    <w:rsid w:val="00F6481D"/>
    <w:rsid w:val="00F64C79"/>
    <w:rsid w:val="00F65E5E"/>
    <w:rsid w:val="00F66334"/>
    <w:rsid w:val="00F67160"/>
    <w:rsid w:val="00F67775"/>
    <w:rsid w:val="00F67FC6"/>
    <w:rsid w:val="00F70654"/>
    <w:rsid w:val="00F71386"/>
    <w:rsid w:val="00F71529"/>
    <w:rsid w:val="00F715E6"/>
    <w:rsid w:val="00F720E7"/>
    <w:rsid w:val="00F7284B"/>
    <w:rsid w:val="00F728F0"/>
    <w:rsid w:val="00F72919"/>
    <w:rsid w:val="00F73485"/>
    <w:rsid w:val="00F7353E"/>
    <w:rsid w:val="00F7384D"/>
    <w:rsid w:val="00F73F77"/>
    <w:rsid w:val="00F74814"/>
    <w:rsid w:val="00F74EC3"/>
    <w:rsid w:val="00F75F12"/>
    <w:rsid w:val="00F76A8A"/>
    <w:rsid w:val="00F76E48"/>
    <w:rsid w:val="00F7737A"/>
    <w:rsid w:val="00F77BCE"/>
    <w:rsid w:val="00F803B2"/>
    <w:rsid w:val="00F8070B"/>
    <w:rsid w:val="00F80976"/>
    <w:rsid w:val="00F810C6"/>
    <w:rsid w:val="00F81236"/>
    <w:rsid w:val="00F8136D"/>
    <w:rsid w:val="00F814E8"/>
    <w:rsid w:val="00F81B5F"/>
    <w:rsid w:val="00F81E1E"/>
    <w:rsid w:val="00F81F3A"/>
    <w:rsid w:val="00F83C16"/>
    <w:rsid w:val="00F84008"/>
    <w:rsid w:val="00F84715"/>
    <w:rsid w:val="00F84D65"/>
    <w:rsid w:val="00F854B2"/>
    <w:rsid w:val="00F85CE2"/>
    <w:rsid w:val="00F85E73"/>
    <w:rsid w:val="00F861CF"/>
    <w:rsid w:val="00F86A6F"/>
    <w:rsid w:val="00F86B01"/>
    <w:rsid w:val="00F86DA6"/>
    <w:rsid w:val="00F87568"/>
    <w:rsid w:val="00F87616"/>
    <w:rsid w:val="00F876C5"/>
    <w:rsid w:val="00F900B7"/>
    <w:rsid w:val="00F904E8"/>
    <w:rsid w:val="00F90580"/>
    <w:rsid w:val="00F9135F"/>
    <w:rsid w:val="00F92831"/>
    <w:rsid w:val="00F92840"/>
    <w:rsid w:val="00F92CD6"/>
    <w:rsid w:val="00F92F90"/>
    <w:rsid w:val="00F932DE"/>
    <w:rsid w:val="00F93CFB"/>
    <w:rsid w:val="00F942FC"/>
    <w:rsid w:val="00F947D4"/>
    <w:rsid w:val="00F948B1"/>
    <w:rsid w:val="00F9512C"/>
    <w:rsid w:val="00F96183"/>
    <w:rsid w:val="00F963B6"/>
    <w:rsid w:val="00F97223"/>
    <w:rsid w:val="00F9780F"/>
    <w:rsid w:val="00F9795E"/>
    <w:rsid w:val="00F97AC5"/>
    <w:rsid w:val="00FA0C13"/>
    <w:rsid w:val="00FA0DBD"/>
    <w:rsid w:val="00FA0E0D"/>
    <w:rsid w:val="00FA1E83"/>
    <w:rsid w:val="00FA233E"/>
    <w:rsid w:val="00FA2360"/>
    <w:rsid w:val="00FA3864"/>
    <w:rsid w:val="00FA3901"/>
    <w:rsid w:val="00FA4758"/>
    <w:rsid w:val="00FA49F0"/>
    <w:rsid w:val="00FA54B2"/>
    <w:rsid w:val="00FA5940"/>
    <w:rsid w:val="00FA5BA4"/>
    <w:rsid w:val="00FA6547"/>
    <w:rsid w:val="00FA6950"/>
    <w:rsid w:val="00FA6E23"/>
    <w:rsid w:val="00FA777D"/>
    <w:rsid w:val="00FA78C2"/>
    <w:rsid w:val="00FA7A4B"/>
    <w:rsid w:val="00FA7AA1"/>
    <w:rsid w:val="00FB0860"/>
    <w:rsid w:val="00FB0F15"/>
    <w:rsid w:val="00FB0F62"/>
    <w:rsid w:val="00FB193D"/>
    <w:rsid w:val="00FB1BCE"/>
    <w:rsid w:val="00FB1D8B"/>
    <w:rsid w:val="00FB2085"/>
    <w:rsid w:val="00FB20F1"/>
    <w:rsid w:val="00FB38B0"/>
    <w:rsid w:val="00FB3AF8"/>
    <w:rsid w:val="00FB3AFB"/>
    <w:rsid w:val="00FB3C22"/>
    <w:rsid w:val="00FB41D7"/>
    <w:rsid w:val="00FB44AE"/>
    <w:rsid w:val="00FB480A"/>
    <w:rsid w:val="00FB4E53"/>
    <w:rsid w:val="00FB5198"/>
    <w:rsid w:val="00FB58EC"/>
    <w:rsid w:val="00FB5A2F"/>
    <w:rsid w:val="00FB660E"/>
    <w:rsid w:val="00FB6A16"/>
    <w:rsid w:val="00FB75BE"/>
    <w:rsid w:val="00FC0548"/>
    <w:rsid w:val="00FC1CB7"/>
    <w:rsid w:val="00FC24F5"/>
    <w:rsid w:val="00FC27B4"/>
    <w:rsid w:val="00FC2B4D"/>
    <w:rsid w:val="00FC3596"/>
    <w:rsid w:val="00FC368F"/>
    <w:rsid w:val="00FC4B79"/>
    <w:rsid w:val="00FC5174"/>
    <w:rsid w:val="00FC5260"/>
    <w:rsid w:val="00FC54F3"/>
    <w:rsid w:val="00FC5D12"/>
    <w:rsid w:val="00FC5F6E"/>
    <w:rsid w:val="00FC604C"/>
    <w:rsid w:val="00FC6671"/>
    <w:rsid w:val="00FC6708"/>
    <w:rsid w:val="00FD0007"/>
    <w:rsid w:val="00FD03A1"/>
    <w:rsid w:val="00FD0669"/>
    <w:rsid w:val="00FD0872"/>
    <w:rsid w:val="00FD0C36"/>
    <w:rsid w:val="00FD0DC8"/>
    <w:rsid w:val="00FD11F2"/>
    <w:rsid w:val="00FD15D7"/>
    <w:rsid w:val="00FD1B4D"/>
    <w:rsid w:val="00FD299D"/>
    <w:rsid w:val="00FD2F4B"/>
    <w:rsid w:val="00FD3965"/>
    <w:rsid w:val="00FD419C"/>
    <w:rsid w:val="00FD450B"/>
    <w:rsid w:val="00FD54BD"/>
    <w:rsid w:val="00FD597B"/>
    <w:rsid w:val="00FD7513"/>
    <w:rsid w:val="00FD7752"/>
    <w:rsid w:val="00FD7A9E"/>
    <w:rsid w:val="00FD7B7F"/>
    <w:rsid w:val="00FD7C74"/>
    <w:rsid w:val="00FE0106"/>
    <w:rsid w:val="00FE08E1"/>
    <w:rsid w:val="00FE09AF"/>
    <w:rsid w:val="00FE0B92"/>
    <w:rsid w:val="00FE0D60"/>
    <w:rsid w:val="00FE10DB"/>
    <w:rsid w:val="00FE1310"/>
    <w:rsid w:val="00FE13BD"/>
    <w:rsid w:val="00FE1990"/>
    <w:rsid w:val="00FE1BB0"/>
    <w:rsid w:val="00FE24BD"/>
    <w:rsid w:val="00FE24E8"/>
    <w:rsid w:val="00FE26ED"/>
    <w:rsid w:val="00FE2C19"/>
    <w:rsid w:val="00FE39F3"/>
    <w:rsid w:val="00FE3DEB"/>
    <w:rsid w:val="00FE4159"/>
    <w:rsid w:val="00FE481C"/>
    <w:rsid w:val="00FE5350"/>
    <w:rsid w:val="00FE5C21"/>
    <w:rsid w:val="00FE6180"/>
    <w:rsid w:val="00FE62CB"/>
    <w:rsid w:val="00FE7ED8"/>
    <w:rsid w:val="00FF082F"/>
    <w:rsid w:val="00FF0BE5"/>
    <w:rsid w:val="00FF0FC3"/>
    <w:rsid w:val="00FF2906"/>
    <w:rsid w:val="00FF303D"/>
    <w:rsid w:val="00FF3199"/>
    <w:rsid w:val="00FF325C"/>
    <w:rsid w:val="00FF3586"/>
    <w:rsid w:val="00FF35D1"/>
    <w:rsid w:val="00FF36FF"/>
    <w:rsid w:val="00FF3F98"/>
    <w:rsid w:val="00FF414A"/>
    <w:rsid w:val="00FF4F19"/>
    <w:rsid w:val="00FF63A5"/>
    <w:rsid w:val="00FF6472"/>
    <w:rsid w:val="00FF6A3F"/>
    <w:rsid w:val="00FF6B9D"/>
    <w:rsid w:val="00FF7012"/>
    <w:rsid w:val="00FF7406"/>
    <w:rsid w:val="00FF745C"/>
    <w:rsid w:val="00FF75B6"/>
    <w:rsid w:val="00FF79C5"/>
    <w:rsid w:val="00FF7A56"/>
    <w:rsid w:val="00FF7E42"/>
    <w:rsid w:val="013808F3"/>
    <w:rsid w:val="01C102EE"/>
    <w:rsid w:val="020556BD"/>
    <w:rsid w:val="026B74AB"/>
    <w:rsid w:val="028566E8"/>
    <w:rsid w:val="042B5573"/>
    <w:rsid w:val="06482D85"/>
    <w:rsid w:val="071505CF"/>
    <w:rsid w:val="0B7D02A4"/>
    <w:rsid w:val="0D3F3A0E"/>
    <w:rsid w:val="0F0942D3"/>
    <w:rsid w:val="12C549B5"/>
    <w:rsid w:val="13B717A9"/>
    <w:rsid w:val="18537976"/>
    <w:rsid w:val="19587604"/>
    <w:rsid w:val="19D674A8"/>
    <w:rsid w:val="1BC64041"/>
    <w:rsid w:val="1EAA7415"/>
    <w:rsid w:val="1EC975DB"/>
    <w:rsid w:val="1F456EEF"/>
    <w:rsid w:val="1FC87893"/>
    <w:rsid w:val="1FD24161"/>
    <w:rsid w:val="20A976C4"/>
    <w:rsid w:val="218E1CF5"/>
    <w:rsid w:val="218E68BA"/>
    <w:rsid w:val="23D30025"/>
    <w:rsid w:val="24706372"/>
    <w:rsid w:val="2A2B114A"/>
    <w:rsid w:val="2A443FBA"/>
    <w:rsid w:val="2E2A302D"/>
    <w:rsid w:val="2E4B1DBB"/>
    <w:rsid w:val="2E6266D9"/>
    <w:rsid w:val="2F5527C5"/>
    <w:rsid w:val="304070FC"/>
    <w:rsid w:val="30534749"/>
    <w:rsid w:val="31DE2F46"/>
    <w:rsid w:val="32B73E1E"/>
    <w:rsid w:val="33DB60F5"/>
    <w:rsid w:val="34F8770E"/>
    <w:rsid w:val="36E00BA3"/>
    <w:rsid w:val="37AA3B1F"/>
    <w:rsid w:val="37B50A4A"/>
    <w:rsid w:val="3F322DB5"/>
    <w:rsid w:val="418C651A"/>
    <w:rsid w:val="423E0C9B"/>
    <w:rsid w:val="42FE51F6"/>
    <w:rsid w:val="46016203"/>
    <w:rsid w:val="499510C4"/>
    <w:rsid w:val="4A5038AF"/>
    <w:rsid w:val="4BCF5981"/>
    <w:rsid w:val="4D0606CD"/>
    <w:rsid w:val="4F015D67"/>
    <w:rsid w:val="4F42646A"/>
    <w:rsid w:val="50342257"/>
    <w:rsid w:val="51EC0DD8"/>
    <w:rsid w:val="51EF552E"/>
    <w:rsid w:val="52C758DD"/>
    <w:rsid w:val="545D40F8"/>
    <w:rsid w:val="58175711"/>
    <w:rsid w:val="594F1778"/>
    <w:rsid w:val="59AD307A"/>
    <w:rsid w:val="5B4B2B4A"/>
    <w:rsid w:val="5D2F4544"/>
    <w:rsid w:val="5D813C93"/>
    <w:rsid w:val="5FA8502E"/>
    <w:rsid w:val="5FE92BAD"/>
    <w:rsid w:val="608C39E9"/>
    <w:rsid w:val="677D5838"/>
    <w:rsid w:val="68C53F3C"/>
    <w:rsid w:val="68ED3493"/>
    <w:rsid w:val="6A6264FF"/>
    <w:rsid w:val="6A686D87"/>
    <w:rsid w:val="6E8421A4"/>
    <w:rsid w:val="6ED21161"/>
    <w:rsid w:val="703B2D36"/>
    <w:rsid w:val="71265794"/>
    <w:rsid w:val="71FE0128"/>
    <w:rsid w:val="720E0702"/>
    <w:rsid w:val="733A3FD6"/>
    <w:rsid w:val="739F5EEB"/>
    <w:rsid w:val="73CC2623"/>
    <w:rsid w:val="74FB3B0F"/>
    <w:rsid w:val="76715A1F"/>
    <w:rsid w:val="77EA27DD"/>
    <w:rsid w:val="78743289"/>
    <w:rsid w:val="78BD00F0"/>
    <w:rsid w:val="78FA433A"/>
    <w:rsid w:val="79186ECE"/>
    <w:rsid w:val="79B06951"/>
    <w:rsid w:val="7AE364A4"/>
    <w:rsid w:val="7B9559F0"/>
    <w:rsid w:val="7CBB2722"/>
    <w:rsid w:val="7D744763"/>
    <w:rsid w:val="7F3B68AE"/>
    <w:rsid w:val="7F6673B4"/>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opacity="13107f" focussize="0,0"/>
      <v:stroke weight="0.5pt" color="#FFFF00" endarrowwidth="narrow"/>
    </o:shapedefaults>
    <o:shapelayout v:ext="edit">
      <o:idmap v:ext="edit" data="2,4,5,6,7,8,9,10,11,12,13,14,15,16,17,18,19,20,21,22,23,24,25,26,27,28,29,30,31,32,33,34,35,36,37,38,39,40,41,42,43,44,45,46,47,48,49,50,51,52,53,54,55,56,57,58,59,60"/>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0" w:semiHidden="0"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iPriority="99" w:semiHidden="0" w:name="Body Text"/>
    <w:lsdException w:qFormat="1"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iPriority="99" w:semiHidden="0" w:name="Body Text First Indent"/>
    <w:lsdException w:qFormat="1" w:uiPriority="0" w:semiHidden="0" w:name="Body Text First Indent 2"/>
    <w:lsdException w:uiPriority="99" w:name="Note Heading"/>
    <w:lsdException w:qFormat="1" w:uiPriority="99" w:semiHidden="0" w:name="Body Text 2"/>
    <w:lsdException w:uiPriority="99" w:name="Body Text 3"/>
    <w:lsdException w:uiPriority="99" w:name="Body Text Indent 2"/>
    <w:lsdException w:qFormat="1" w:uiPriority="99" w:semiHidden="0"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0"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4"/>
    <w:basedOn w:val="1"/>
    <w:next w:val="1"/>
    <w:semiHidden/>
    <w:unhideWhenUsed/>
    <w:qFormat/>
    <w:uiPriority w:val="9"/>
    <w:pPr>
      <w:keepNext/>
      <w:keepLines/>
      <w:numPr>
        <w:ilvl w:val="3"/>
        <w:numId w:val="1"/>
      </w:numPr>
      <w:adjustRightInd w:val="0"/>
      <w:snapToGrid w:val="0"/>
      <w:spacing w:line="360" w:lineRule="auto"/>
      <w:outlineLvl w:val="3"/>
    </w:pPr>
    <w:rPr>
      <w:rFonts w:eastAsia="黑体" w:cs="Times New Roman"/>
    </w:rPr>
  </w:style>
  <w:style w:type="character" w:default="1" w:styleId="19">
    <w:name w:val="Default Paragraph Font"/>
    <w:semiHidden/>
    <w:unhideWhenUsed/>
    <w:qFormat/>
    <w:uiPriority w:val="1"/>
  </w:style>
  <w:style w:type="table" w:default="1" w:styleId="17">
    <w:name w:val="Normal Table"/>
    <w:semiHidden/>
    <w:unhideWhenUsed/>
    <w:qFormat/>
    <w:uiPriority w:val="99"/>
    <w:tblPr>
      <w:tblCellMar>
        <w:top w:w="0" w:type="dxa"/>
        <w:left w:w="108" w:type="dxa"/>
        <w:bottom w:w="0" w:type="dxa"/>
        <w:right w:w="108" w:type="dxa"/>
      </w:tblCellMar>
    </w:tblPr>
  </w:style>
  <w:style w:type="paragraph" w:styleId="3">
    <w:name w:val="Normal Indent"/>
    <w:basedOn w:val="1"/>
    <w:next w:val="2"/>
    <w:qFormat/>
    <w:uiPriority w:val="0"/>
    <w:pPr>
      <w:ind w:firstLine="200" w:firstLineChars="200"/>
    </w:pPr>
    <w:rPr>
      <w:rFonts w:eastAsia="宋体"/>
      <w:sz w:val="28"/>
      <w:szCs w:val="24"/>
    </w:rPr>
  </w:style>
  <w:style w:type="paragraph" w:styleId="4">
    <w:name w:val="annotation text"/>
    <w:basedOn w:val="1"/>
    <w:link w:val="28"/>
    <w:autoRedefine/>
    <w:unhideWhenUsed/>
    <w:qFormat/>
    <w:uiPriority w:val="99"/>
    <w:pPr>
      <w:jc w:val="left"/>
      <w:pPrChange w:id="0" w:author="hzhj" w:date="2024-06-27T16:15:00Z">
        <w:pPr>
          <w:widowControl w:val="0"/>
        </w:pPr>
      </w:pPrChange>
    </w:pPr>
    <w:rPr>
      <w:b/>
      <w:sz w:val="28"/>
      <w:szCs w:val="28"/>
      <w:rPrChange w:id="1" w:author="hzhj" w:date="2024-06-27T16:15:00Z">
        <w:rPr>
          <w:rFonts w:asciiTheme="minorHAnsi" w:hAnsiTheme="minorHAnsi" w:eastAsiaTheme="minorEastAsia" w:cstheme="minorBidi"/>
          <w:kern w:val="2"/>
          <w:sz w:val="21"/>
          <w:szCs w:val="22"/>
          <w:lang w:val="en-US" w:eastAsia="zh-CN" w:bidi="ar-SA"/>
        </w:rPr>
      </w:rPrChange>
    </w:rPr>
  </w:style>
  <w:style w:type="paragraph" w:styleId="5">
    <w:name w:val="Body Text"/>
    <w:basedOn w:val="1"/>
    <w:next w:val="1"/>
    <w:link w:val="32"/>
    <w:autoRedefine/>
    <w:unhideWhenUsed/>
    <w:qFormat/>
    <w:uiPriority w:val="99"/>
    <w:pPr>
      <w:spacing w:after="120"/>
    </w:pPr>
  </w:style>
  <w:style w:type="paragraph" w:styleId="6">
    <w:name w:val="Body Text Indent"/>
    <w:basedOn w:val="1"/>
    <w:link w:val="30"/>
    <w:autoRedefine/>
    <w:unhideWhenUsed/>
    <w:qFormat/>
    <w:uiPriority w:val="0"/>
    <w:pPr>
      <w:spacing w:after="120"/>
      <w:ind w:left="420" w:leftChars="200"/>
    </w:pPr>
    <w:rPr>
      <w:rFonts w:ascii="Times New Roman" w:hAnsi="Times New Roman" w:eastAsia="宋体" w:cs="Times New Roman"/>
      <w:kern w:val="0"/>
      <w:sz w:val="20"/>
      <w:szCs w:val="24"/>
    </w:rPr>
  </w:style>
  <w:style w:type="paragraph" w:styleId="7">
    <w:name w:val="Balloon Text"/>
    <w:basedOn w:val="1"/>
    <w:link w:val="27"/>
    <w:autoRedefine/>
    <w:unhideWhenUsed/>
    <w:qFormat/>
    <w:uiPriority w:val="99"/>
    <w:rPr>
      <w:sz w:val="18"/>
      <w:szCs w:val="18"/>
    </w:rPr>
  </w:style>
  <w:style w:type="paragraph" w:styleId="8">
    <w:name w:val="footer"/>
    <w:basedOn w:val="1"/>
    <w:link w:val="39"/>
    <w:autoRedefine/>
    <w:unhideWhenUsed/>
    <w:qFormat/>
    <w:uiPriority w:val="99"/>
    <w:pPr>
      <w:tabs>
        <w:tab w:val="center" w:pos="4153"/>
        <w:tab w:val="right" w:pos="8306"/>
      </w:tabs>
      <w:snapToGrid w:val="0"/>
      <w:jc w:val="left"/>
    </w:pPr>
    <w:rPr>
      <w:sz w:val="18"/>
      <w:szCs w:val="18"/>
    </w:rPr>
  </w:style>
  <w:style w:type="paragraph" w:styleId="9">
    <w:name w:val="header"/>
    <w:basedOn w:val="1"/>
    <w:link w:val="38"/>
    <w:autoRedefine/>
    <w:unhideWhenUsed/>
    <w:qFormat/>
    <w:uiPriority w:val="99"/>
    <w:pPr>
      <w:pBdr>
        <w:bottom w:val="single" w:color="auto" w:sz="6" w:space="1"/>
      </w:pBdr>
      <w:tabs>
        <w:tab w:val="center" w:pos="4153"/>
        <w:tab w:val="right" w:pos="8306"/>
      </w:tabs>
      <w:snapToGrid w:val="0"/>
      <w:jc w:val="center"/>
    </w:pPr>
    <w:rPr>
      <w:sz w:val="18"/>
      <w:szCs w:val="18"/>
    </w:rPr>
  </w:style>
  <w:style w:type="paragraph" w:styleId="10">
    <w:name w:val="Body Text Indent 3"/>
    <w:next w:val="11"/>
    <w:link w:val="37"/>
    <w:autoRedefine/>
    <w:unhideWhenUsed/>
    <w:qFormat/>
    <w:uiPriority w:val="99"/>
    <w:rPr>
      <w:rFonts w:asciiTheme="minorHAnsi" w:hAnsiTheme="minorHAnsi" w:eastAsiaTheme="minorEastAsia" w:cstheme="minorBidi"/>
      <w:kern w:val="2"/>
      <w:sz w:val="21"/>
      <w:szCs w:val="22"/>
      <w:lang w:val="en-US" w:eastAsia="zh-CN" w:bidi="ar-SA"/>
    </w:rPr>
  </w:style>
  <w:style w:type="paragraph" w:customStyle="1" w:styleId="11">
    <w:name w:val="样式 正文文本缩进 3 + 左侧:  2 字符"/>
    <w:basedOn w:val="1"/>
    <w:autoRedefine/>
    <w:qFormat/>
    <w:uiPriority w:val="0"/>
  </w:style>
  <w:style w:type="paragraph" w:styleId="12">
    <w:name w:val="Body Text 2"/>
    <w:basedOn w:val="1"/>
    <w:link w:val="57"/>
    <w:autoRedefine/>
    <w:unhideWhenUsed/>
    <w:qFormat/>
    <w:uiPriority w:val="99"/>
    <w:pPr>
      <w:spacing w:after="120" w:line="480" w:lineRule="auto"/>
    </w:pPr>
  </w:style>
  <w:style w:type="paragraph" w:styleId="13">
    <w:name w:val="Normal (Web)"/>
    <w:basedOn w:val="1"/>
    <w:link w:val="26"/>
    <w:autoRedefine/>
    <w:qFormat/>
    <w:uiPriority w:val="99"/>
    <w:pPr>
      <w:widowControl/>
      <w:spacing w:before="100" w:beforeAutospacing="1" w:after="100" w:afterAutospacing="1"/>
      <w:jc w:val="left"/>
    </w:pPr>
    <w:rPr>
      <w:rFonts w:ascii="宋体" w:hAnsi="宋体" w:eastAsia="宋体"/>
      <w:sz w:val="24"/>
    </w:rPr>
  </w:style>
  <w:style w:type="paragraph" w:styleId="14">
    <w:name w:val="annotation subject"/>
    <w:basedOn w:val="4"/>
    <w:next w:val="4"/>
    <w:link w:val="29"/>
    <w:autoRedefine/>
    <w:unhideWhenUsed/>
    <w:qFormat/>
    <w:uiPriority w:val="99"/>
    <w:rPr>
      <w:bCs/>
    </w:rPr>
  </w:style>
  <w:style w:type="paragraph" w:styleId="15">
    <w:name w:val="Body Text First Indent"/>
    <w:basedOn w:val="5"/>
    <w:link w:val="33"/>
    <w:autoRedefine/>
    <w:unhideWhenUsed/>
    <w:qFormat/>
    <w:uiPriority w:val="99"/>
    <w:pPr>
      <w:ind w:firstLine="420" w:firstLineChars="100"/>
    </w:pPr>
  </w:style>
  <w:style w:type="paragraph" w:styleId="16">
    <w:name w:val="Body Text First Indent 2"/>
    <w:basedOn w:val="6"/>
    <w:autoRedefine/>
    <w:unhideWhenUsed/>
    <w:qFormat/>
    <w:uiPriority w:val="0"/>
    <w:pPr>
      <w:ind w:firstLine="420" w:firstLineChars="200"/>
    </w:pPr>
  </w:style>
  <w:style w:type="table" w:styleId="18">
    <w:name w:val="Table Grid"/>
    <w:basedOn w:val="17"/>
    <w:autoRedefine/>
    <w:qFormat/>
    <w:uiPriority w:val="0"/>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
  </w:style>
  <w:style w:type="character" w:styleId="20">
    <w:name w:val="Strong"/>
    <w:basedOn w:val="19"/>
    <w:autoRedefine/>
    <w:qFormat/>
    <w:uiPriority w:val="22"/>
    <w:rPr>
      <w:b/>
    </w:rPr>
  </w:style>
  <w:style w:type="character" w:styleId="21">
    <w:name w:val="Hyperlink"/>
    <w:basedOn w:val="19"/>
    <w:autoRedefine/>
    <w:unhideWhenUsed/>
    <w:qFormat/>
    <w:uiPriority w:val="99"/>
    <w:rPr>
      <w:color w:val="0000FF" w:themeColor="hyperlink"/>
      <w:u w:val="single"/>
    </w:rPr>
  </w:style>
  <w:style w:type="character" w:styleId="22">
    <w:name w:val="annotation reference"/>
    <w:basedOn w:val="19"/>
    <w:autoRedefine/>
    <w:unhideWhenUsed/>
    <w:qFormat/>
    <w:uiPriority w:val="0"/>
    <w:rPr>
      <w:sz w:val="21"/>
      <w:szCs w:val="21"/>
    </w:rPr>
  </w:style>
  <w:style w:type="paragraph" w:customStyle="1" w:styleId="23">
    <w:name w:val="表格标题"/>
    <w:basedOn w:val="5"/>
    <w:next w:val="24"/>
    <w:qFormat/>
    <w:uiPriority w:val="0"/>
    <w:pPr>
      <w:adjustRightInd w:val="0"/>
      <w:snapToGrid w:val="0"/>
      <w:jc w:val="center"/>
    </w:pPr>
    <w:rPr>
      <w:rFonts w:eastAsia="黑体" w:cs="Times New Roman"/>
    </w:rPr>
  </w:style>
  <w:style w:type="paragraph" w:customStyle="1" w:styleId="24">
    <w:name w:val="表格内容"/>
    <w:basedOn w:val="1"/>
    <w:next w:val="1"/>
    <w:link w:val="56"/>
    <w:autoRedefine/>
    <w:qFormat/>
    <w:uiPriority w:val="0"/>
    <w:pPr>
      <w:overflowPunct w:val="0"/>
      <w:adjustRightInd w:val="0"/>
      <w:spacing w:before="40" w:after="60" w:line="200" w:lineRule="atLeast"/>
      <w:textAlignment w:val="baseline"/>
    </w:pPr>
    <w:rPr>
      <w:rFonts w:ascii="Arial" w:hAnsi="Arial" w:eastAsia="仿宋_GB2312" w:cs="Times New Roman"/>
      <w:kern w:val="0"/>
      <w:sz w:val="24"/>
      <w:szCs w:val="20"/>
    </w:rPr>
  </w:style>
  <w:style w:type="paragraph" w:customStyle="1" w:styleId="25">
    <w:name w:val="Default"/>
    <w:link w:val="51"/>
    <w:autoRedefine/>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character" w:customStyle="1" w:styleId="26">
    <w:name w:val="普通(网站) Char"/>
    <w:link w:val="13"/>
    <w:autoRedefine/>
    <w:qFormat/>
    <w:locked/>
    <w:uiPriority w:val="0"/>
    <w:rPr>
      <w:rFonts w:ascii="宋体" w:hAnsi="宋体" w:eastAsia="宋体"/>
      <w:sz w:val="24"/>
    </w:rPr>
  </w:style>
  <w:style w:type="character" w:customStyle="1" w:styleId="27">
    <w:name w:val="批注框文本 Char"/>
    <w:basedOn w:val="19"/>
    <w:link w:val="7"/>
    <w:autoRedefine/>
    <w:semiHidden/>
    <w:qFormat/>
    <w:uiPriority w:val="99"/>
    <w:rPr>
      <w:sz w:val="18"/>
      <w:szCs w:val="18"/>
    </w:rPr>
  </w:style>
  <w:style w:type="character" w:customStyle="1" w:styleId="28">
    <w:name w:val="批注文字 Char"/>
    <w:basedOn w:val="19"/>
    <w:link w:val="4"/>
    <w:autoRedefine/>
    <w:qFormat/>
    <w:uiPriority w:val="99"/>
    <w:rPr>
      <w:rFonts w:asciiTheme="minorHAnsi" w:hAnsiTheme="minorHAnsi" w:eastAsiaTheme="minorEastAsia" w:cstheme="minorBidi"/>
      <w:b/>
      <w:kern w:val="2"/>
      <w:sz w:val="28"/>
      <w:szCs w:val="28"/>
    </w:rPr>
  </w:style>
  <w:style w:type="character" w:customStyle="1" w:styleId="29">
    <w:name w:val="批注主题 Char"/>
    <w:basedOn w:val="28"/>
    <w:link w:val="14"/>
    <w:autoRedefine/>
    <w:semiHidden/>
    <w:qFormat/>
    <w:uiPriority w:val="99"/>
    <w:rPr>
      <w:bCs/>
    </w:rPr>
  </w:style>
  <w:style w:type="character" w:customStyle="1" w:styleId="30">
    <w:name w:val="正文文本缩进 Char"/>
    <w:basedOn w:val="19"/>
    <w:link w:val="6"/>
    <w:autoRedefine/>
    <w:qFormat/>
    <w:uiPriority w:val="0"/>
    <w:rPr>
      <w:rFonts w:ascii="Times New Roman" w:hAnsi="Times New Roman" w:eastAsia="宋体" w:cs="Times New Roman"/>
      <w:kern w:val="0"/>
      <w:sz w:val="20"/>
      <w:szCs w:val="24"/>
    </w:rPr>
  </w:style>
  <w:style w:type="paragraph" w:customStyle="1" w:styleId="31">
    <w:name w:val="MFS正文 Char"/>
    <w:basedOn w:val="15"/>
    <w:autoRedefine/>
    <w:qFormat/>
    <w:uiPriority w:val="0"/>
    <w:pPr>
      <w:adjustRightInd w:val="0"/>
      <w:snapToGrid w:val="0"/>
      <w:spacing w:before="93" w:line="360" w:lineRule="auto"/>
      <w:ind w:firstLine="200" w:firstLineChars="200"/>
    </w:pPr>
    <w:rPr>
      <w:rFonts w:ascii="Times New Roman" w:hAnsi="Times New Roman" w:eastAsia="楷体_GB2312" w:cs="Times New Roman"/>
      <w:sz w:val="24"/>
      <w:szCs w:val="24"/>
    </w:rPr>
  </w:style>
  <w:style w:type="character" w:customStyle="1" w:styleId="32">
    <w:name w:val="正文文本 Char"/>
    <w:basedOn w:val="19"/>
    <w:link w:val="5"/>
    <w:autoRedefine/>
    <w:qFormat/>
    <w:uiPriority w:val="99"/>
  </w:style>
  <w:style w:type="character" w:customStyle="1" w:styleId="33">
    <w:name w:val="正文首行缩进 Char"/>
    <w:basedOn w:val="32"/>
    <w:link w:val="15"/>
    <w:autoRedefine/>
    <w:semiHidden/>
    <w:qFormat/>
    <w:uiPriority w:val="99"/>
  </w:style>
  <w:style w:type="character" w:customStyle="1" w:styleId="34">
    <w:name w:val="表格正文 Char"/>
    <w:link w:val="35"/>
    <w:autoRedefine/>
    <w:qFormat/>
    <w:locked/>
    <w:uiPriority w:val="0"/>
    <w:rPr>
      <w:szCs w:val="24"/>
    </w:rPr>
  </w:style>
  <w:style w:type="paragraph" w:customStyle="1" w:styleId="35">
    <w:name w:val="表格正文"/>
    <w:basedOn w:val="1"/>
    <w:next w:val="1"/>
    <w:link w:val="34"/>
    <w:autoRedefine/>
    <w:qFormat/>
    <w:uiPriority w:val="0"/>
    <w:pPr>
      <w:spacing w:line="360" w:lineRule="exact"/>
      <w:jc w:val="center"/>
    </w:pPr>
    <w:rPr>
      <w:szCs w:val="24"/>
    </w:rPr>
  </w:style>
  <w:style w:type="paragraph" w:customStyle="1" w:styleId="36">
    <w:name w:val="表内容"/>
    <w:basedOn w:val="1"/>
    <w:next w:val="1"/>
    <w:autoRedefine/>
    <w:qFormat/>
    <w:uiPriority w:val="99"/>
    <w:pPr>
      <w:spacing w:line="320" w:lineRule="exact"/>
      <w:jc w:val="center"/>
    </w:pPr>
    <w:rPr>
      <w:rFonts w:ascii="Times New Roman" w:hAnsi="Times New Roman" w:eastAsia="宋体" w:cs="Times New Roman"/>
      <w:szCs w:val="20"/>
    </w:rPr>
  </w:style>
  <w:style w:type="character" w:customStyle="1" w:styleId="37">
    <w:name w:val="正文文本缩进 3 Char"/>
    <w:basedOn w:val="19"/>
    <w:link w:val="10"/>
    <w:autoRedefine/>
    <w:semiHidden/>
    <w:qFormat/>
    <w:uiPriority w:val="99"/>
    <w:rPr>
      <w:sz w:val="16"/>
      <w:szCs w:val="16"/>
    </w:rPr>
  </w:style>
  <w:style w:type="character" w:customStyle="1" w:styleId="38">
    <w:name w:val="页眉 Char"/>
    <w:basedOn w:val="19"/>
    <w:link w:val="9"/>
    <w:autoRedefine/>
    <w:qFormat/>
    <w:uiPriority w:val="99"/>
    <w:rPr>
      <w:sz w:val="18"/>
      <w:szCs w:val="18"/>
    </w:rPr>
  </w:style>
  <w:style w:type="character" w:customStyle="1" w:styleId="39">
    <w:name w:val="页脚 Char"/>
    <w:basedOn w:val="19"/>
    <w:link w:val="8"/>
    <w:autoRedefine/>
    <w:qFormat/>
    <w:uiPriority w:val="99"/>
    <w:rPr>
      <w:sz w:val="18"/>
      <w:szCs w:val="18"/>
    </w:rPr>
  </w:style>
  <w:style w:type="paragraph" w:customStyle="1" w:styleId="40">
    <w:name w:val="修订1"/>
    <w:autoRedefine/>
    <w:hidden/>
    <w:semiHidden/>
    <w:qFormat/>
    <w:uiPriority w:val="99"/>
    <w:rPr>
      <w:rFonts w:asciiTheme="minorHAnsi" w:hAnsiTheme="minorHAnsi" w:eastAsiaTheme="minorEastAsia" w:cstheme="minorBidi"/>
      <w:kern w:val="2"/>
      <w:sz w:val="21"/>
      <w:szCs w:val="22"/>
      <w:lang w:val="en-US" w:eastAsia="zh-CN" w:bidi="ar-SA"/>
    </w:rPr>
  </w:style>
  <w:style w:type="paragraph" w:customStyle="1" w:styleId="41">
    <w:name w:val="中文报告书样式"/>
    <w:basedOn w:val="1"/>
    <w:autoRedefine/>
    <w:qFormat/>
    <w:uiPriority w:val="0"/>
    <w:pPr>
      <w:widowControl/>
      <w:adjustRightInd w:val="0"/>
      <w:spacing w:line="480" w:lineRule="atLeast"/>
      <w:ind w:firstLine="482"/>
      <w:jc w:val="left"/>
    </w:pPr>
    <w:rPr>
      <w:rFonts w:ascii="黑体" w:hAnsi="黑体" w:eastAsia="宋体" w:cs="黑体"/>
      <w:kern w:val="24"/>
      <w:sz w:val="24"/>
      <w:szCs w:val="20"/>
    </w:rPr>
  </w:style>
  <w:style w:type="paragraph" w:customStyle="1" w:styleId="42">
    <w:name w:val="表格内格式"/>
    <w:basedOn w:val="1"/>
    <w:link w:val="43"/>
    <w:autoRedefine/>
    <w:qFormat/>
    <w:uiPriority w:val="0"/>
    <w:pPr>
      <w:adjustRightInd w:val="0"/>
      <w:snapToGrid w:val="0"/>
      <w:spacing w:before="60"/>
      <w:jc w:val="center"/>
    </w:pPr>
    <w:rPr>
      <w:rFonts w:ascii="Times New Roman" w:hAnsi="Times New Roman" w:eastAsia="宋体" w:cs="宋体"/>
      <w:snapToGrid w:val="0"/>
      <w:kern w:val="0"/>
      <w:sz w:val="18"/>
      <w:szCs w:val="20"/>
    </w:rPr>
  </w:style>
  <w:style w:type="character" w:customStyle="1" w:styleId="43">
    <w:name w:val="表格内格式 Char"/>
    <w:link w:val="42"/>
    <w:autoRedefine/>
    <w:qFormat/>
    <w:uiPriority w:val="0"/>
    <w:rPr>
      <w:rFonts w:ascii="Times New Roman" w:hAnsi="Times New Roman" w:eastAsia="宋体" w:cs="宋体"/>
      <w:snapToGrid w:val="0"/>
      <w:kern w:val="0"/>
      <w:sz w:val="18"/>
      <w:szCs w:val="20"/>
    </w:rPr>
  </w:style>
  <w:style w:type="character" w:customStyle="1" w:styleId="44">
    <w:name w:val="表格 Char"/>
    <w:link w:val="45"/>
    <w:autoRedefine/>
    <w:qFormat/>
    <w:locked/>
    <w:uiPriority w:val="0"/>
    <w:rPr>
      <w:rFonts w:ascii="宋体"/>
    </w:rPr>
  </w:style>
  <w:style w:type="paragraph" w:customStyle="1" w:styleId="45">
    <w:name w:val="表格"/>
    <w:basedOn w:val="1"/>
    <w:next w:val="1"/>
    <w:link w:val="44"/>
    <w:autoRedefine/>
    <w:qFormat/>
    <w:uiPriority w:val="0"/>
    <w:pPr>
      <w:adjustRightInd w:val="0"/>
      <w:snapToGrid w:val="0"/>
      <w:spacing w:beforeLines="10" w:afterLines="10" w:line="259" w:lineRule="auto"/>
      <w:jc w:val="center"/>
    </w:pPr>
    <w:rPr>
      <w:rFonts w:ascii="宋体"/>
    </w:rPr>
  </w:style>
  <w:style w:type="character" w:customStyle="1" w:styleId="46">
    <w:name w:val="2 表格内容 Char"/>
    <w:link w:val="47"/>
    <w:autoRedefine/>
    <w:qFormat/>
    <w:uiPriority w:val="0"/>
    <w:rPr>
      <w:szCs w:val="21"/>
    </w:rPr>
  </w:style>
  <w:style w:type="paragraph" w:customStyle="1" w:styleId="47">
    <w:name w:val="2 表格内容"/>
    <w:basedOn w:val="1"/>
    <w:link w:val="46"/>
    <w:autoRedefine/>
    <w:qFormat/>
    <w:uiPriority w:val="0"/>
    <w:pPr>
      <w:adjustRightInd w:val="0"/>
      <w:snapToGrid w:val="0"/>
      <w:spacing w:line="320" w:lineRule="exact"/>
      <w:jc w:val="center"/>
    </w:pPr>
    <w:rPr>
      <w:szCs w:val="21"/>
    </w:rPr>
  </w:style>
  <w:style w:type="character" w:customStyle="1" w:styleId="48">
    <w:name w:val="图表标注 Char"/>
    <w:link w:val="49"/>
    <w:autoRedefine/>
    <w:qFormat/>
    <w:uiPriority w:val="0"/>
    <w:rPr>
      <w:rFonts w:eastAsia="黑体"/>
      <w:sz w:val="24"/>
    </w:rPr>
  </w:style>
  <w:style w:type="paragraph" w:customStyle="1" w:styleId="49">
    <w:name w:val="图表标注"/>
    <w:basedOn w:val="1"/>
    <w:link w:val="48"/>
    <w:autoRedefine/>
    <w:qFormat/>
    <w:uiPriority w:val="0"/>
    <w:pPr>
      <w:spacing w:line="480" w:lineRule="exact"/>
      <w:jc w:val="center"/>
    </w:pPr>
    <w:rPr>
      <w:rFonts w:eastAsia="黑体"/>
      <w:sz w:val="24"/>
    </w:rPr>
  </w:style>
  <w:style w:type="character" w:customStyle="1" w:styleId="50">
    <w:name w:val="fontstyle01"/>
    <w:autoRedefine/>
    <w:qFormat/>
    <w:uiPriority w:val="0"/>
    <w:rPr>
      <w:rFonts w:hint="eastAsia" w:ascii="宋体" w:hAnsi="宋体" w:eastAsia="宋体"/>
      <w:color w:val="000000"/>
      <w:sz w:val="24"/>
      <w:szCs w:val="24"/>
    </w:rPr>
  </w:style>
  <w:style w:type="character" w:customStyle="1" w:styleId="51">
    <w:name w:val="Default Char Char"/>
    <w:link w:val="25"/>
    <w:autoRedefine/>
    <w:qFormat/>
    <w:uiPriority w:val="0"/>
    <w:rPr>
      <w:rFonts w:ascii="宋体" w:hAnsi="Times New Roman" w:eastAsia="宋体" w:cs="宋体"/>
      <w:color w:val="000000"/>
      <w:kern w:val="0"/>
      <w:sz w:val="24"/>
      <w:szCs w:val="24"/>
    </w:rPr>
  </w:style>
  <w:style w:type="paragraph" w:customStyle="1" w:styleId="52">
    <w:name w:val="无间隔1"/>
    <w:autoRedefine/>
    <w:qFormat/>
    <w:uiPriority w:val="1"/>
    <w:pPr>
      <w:widowControl w:val="0"/>
      <w:jc w:val="center"/>
    </w:pPr>
    <w:rPr>
      <w:rFonts w:ascii="Times New Roman" w:hAnsi="Times New Roman" w:eastAsia="宋体" w:cs="Times New Roman"/>
      <w:kern w:val="2"/>
      <w:sz w:val="21"/>
      <w:szCs w:val="24"/>
      <w:lang w:val="en-US" w:eastAsia="zh-CN" w:bidi="ar-SA"/>
    </w:rPr>
  </w:style>
  <w:style w:type="paragraph" w:customStyle="1" w:styleId="53">
    <w:name w:val="列出段落1"/>
    <w:basedOn w:val="1"/>
    <w:autoRedefine/>
    <w:qFormat/>
    <w:uiPriority w:val="34"/>
    <w:pPr>
      <w:ind w:firstLine="420" w:firstLineChars="200"/>
    </w:pPr>
    <w:rPr>
      <w:rFonts w:ascii="Times New Roman" w:hAnsi="Times New Roman" w:eastAsia="宋体" w:cs="Times New Roman"/>
    </w:rPr>
  </w:style>
  <w:style w:type="character" w:customStyle="1" w:styleId="54">
    <w:name w:val="报告表正文 Char Char"/>
    <w:link w:val="55"/>
    <w:autoRedefine/>
    <w:qFormat/>
    <w:uiPriority w:val="0"/>
    <w:rPr>
      <w:rFonts w:eastAsia="宋体"/>
      <w:sz w:val="24"/>
    </w:rPr>
  </w:style>
  <w:style w:type="paragraph" w:customStyle="1" w:styleId="55">
    <w:name w:val="报告表正文"/>
    <w:basedOn w:val="1"/>
    <w:link w:val="54"/>
    <w:autoRedefine/>
    <w:qFormat/>
    <w:uiPriority w:val="0"/>
    <w:pPr>
      <w:adjustRightInd w:val="0"/>
      <w:spacing w:line="312" w:lineRule="auto"/>
      <w:ind w:left="113" w:right="113" w:firstLine="482"/>
      <w:jc w:val="left"/>
      <w:textAlignment w:val="baseline"/>
    </w:pPr>
    <w:rPr>
      <w:rFonts w:eastAsia="宋体"/>
      <w:sz w:val="24"/>
    </w:rPr>
  </w:style>
  <w:style w:type="character" w:customStyle="1" w:styleId="56">
    <w:name w:val="表格内容 Char Char"/>
    <w:link w:val="24"/>
    <w:autoRedefine/>
    <w:qFormat/>
    <w:uiPriority w:val="0"/>
    <w:rPr>
      <w:rFonts w:ascii="Arial" w:hAnsi="Arial" w:eastAsia="仿宋_GB2312" w:cs="Times New Roman"/>
      <w:kern w:val="0"/>
      <w:sz w:val="24"/>
      <w:szCs w:val="20"/>
    </w:rPr>
  </w:style>
  <w:style w:type="character" w:customStyle="1" w:styleId="57">
    <w:name w:val="正文文本 2 Char"/>
    <w:basedOn w:val="19"/>
    <w:link w:val="12"/>
    <w:autoRedefine/>
    <w:semiHidden/>
    <w:qFormat/>
    <w:uiPriority w:val="99"/>
  </w:style>
  <w:style w:type="character" w:customStyle="1" w:styleId="58">
    <w:name w:val="批注文字 Char2"/>
    <w:autoRedefine/>
    <w:qFormat/>
    <w:uiPriority w:val="99"/>
    <w:rPr>
      <w:szCs w:val="24"/>
    </w:rPr>
  </w:style>
  <w:style w:type="character" w:customStyle="1" w:styleId="59">
    <w:name w:val="占位符文本1"/>
    <w:basedOn w:val="19"/>
    <w:autoRedefine/>
    <w:semiHidden/>
    <w:qFormat/>
    <w:uiPriority w:val="99"/>
    <w:rPr>
      <w:color w:val="808080"/>
    </w:rPr>
  </w:style>
  <w:style w:type="paragraph" w:customStyle="1" w:styleId="60">
    <w:name w:val="+正文"/>
    <w:basedOn w:val="1"/>
    <w:autoRedefine/>
    <w:qFormat/>
    <w:uiPriority w:val="0"/>
    <w:pPr>
      <w:spacing w:line="360" w:lineRule="auto"/>
      <w:ind w:firstLine="200" w:firstLineChars="200"/>
    </w:pPr>
    <w:rPr>
      <w:rFonts w:eastAsia="宋体"/>
      <w:sz w:val="24"/>
      <w:szCs w:val="28"/>
    </w:rPr>
  </w:style>
  <w:style w:type="paragraph" w:customStyle="1" w:styleId="61">
    <w:name w:val="Table Paragraph"/>
    <w:basedOn w:val="1"/>
    <w:autoRedefine/>
    <w:qFormat/>
    <w:uiPriority w:val="1"/>
  </w:style>
  <w:style w:type="paragraph" w:customStyle="1" w:styleId="62">
    <w:name w:val="Table Text"/>
    <w:basedOn w:val="1"/>
    <w:autoRedefine/>
    <w:semiHidden/>
    <w:qFormat/>
    <w:uiPriority w:val="0"/>
    <w:rPr>
      <w:rFonts w:ascii="宋体" w:hAnsi="宋体" w:eastAsia="宋体" w:cs="宋体"/>
      <w:sz w:val="24"/>
      <w:szCs w:val="24"/>
      <w:lang w:eastAsia="en-US"/>
    </w:rPr>
  </w:style>
  <w:style w:type="table" w:customStyle="1" w:styleId="63">
    <w:name w:val="Table Normal"/>
    <w:autoRedefine/>
    <w:semiHidden/>
    <w:unhideWhenUsed/>
    <w:qFormat/>
    <w:uiPriority w:val="0"/>
    <w:tblPr>
      <w:tblCellMar>
        <w:top w:w="0" w:type="dxa"/>
        <w:left w:w="0" w:type="dxa"/>
        <w:bottom w:w="0" w:type="dxa"/>
        <w:right w:w="0" w:type="dxa"/>
      </w:tblCellMar>
    </w:tblPr>
  </w:style>
  <w:style w:type="character" w:customStyle="1" w:styleId="64">
    <w:name w:val="font31"/>
    <w:basedOn w:val="19"/>
    <w:autoRedefine/>
    <w:qFormat/>
    <w:uiPriority w:val="0"/>
    <w:rPr>
      <w:rFonts w:hint="eastAsia" w:ascii="宋体" w:hAnsi="宋体" w:eastAsia="宋体" w:cs="宋体"/>
      <w:color w:val="000000"/>
      <w:sz w:val="18"/>
      <w:szCs w:val="18"/>
      <w:u w:val="none"/>
    </w:rPr>
  </w:style>
  <w:style w:type="character" w:customStyle="1" w:styleId="65">
    <w:name w:val="font21"/>
    <w:basedOn w:val="19"/>
    <w:autoRedefine/>
    <w:qFormat/>
    <w:uiPriority w:val="0"/>
    <w:rPr>
      <w:rFonts w:hint="default" w:ascii="Times New Roman" w:hAnsi="Times New Roman" w:cs="Times New Roman"/>
      <w:color w:val="000000"/>
      <w:sz w:val="18"/>
      <w:szCs w:val="18"/>
      <w:u w:val="none"/>
    </w:rPr>
  </w:style>
  <w:style w:type="character" w:customStyle="1" w:styleId="66">
    <w:name w:val="font41"/>
    <w:basedOn w:val="19"/>
    <w:autoRedefine/>
    <w:qFormat/>
    <w:uiPriority w:val="0"/>
    <w:rPr>
      <w:rFonts w:hint="default" w:ascii="Times New Roman" w:hAnsi="Times New Roman" w:cs="Times New Roman"/>
      <w:color w:val="000000"/>
      <w:sz w:val="18"/>
      <w:szCs w:val="18"/>
      <w:u w:val="none"/>
    </w:rPr>
  </w:style>
  <w:style w:type="character" w:customStyle="1" w:styleId="67">
    <w:name w:val="font71"/>
    <w:basedOn w:val="19"/>
    <w:autoRedefine/>
    <w:qFormat/>
    <w:uiPriority w:val="0"/>
    <w:rPr>
      <w:rFonts w:hint="eastAsia" w:ascii="宋体" w:hAnsi="宋体" w:eastAsia="宋体" w:cs="宋体"/>
      <w:b/>
      <w:bCs/>
      <w:color w:val="000000"/>
      <w:sz w:val="18"/>
      <w:szCs w:val="18"/>
      <w:u w:val="none"/>
    </w:rPr>
  </w:style>
  <w:style w:type="character" w:customStyle="1" w:styleId="68">
    <w:name w:val="font11"/>
    <w:basedOn w:val="19"/>
    <w:autoRedefine/>
    <w:qFormat/>
    <w:uiPriority w:val="0"/>
    <w:rPr>
      <w:rFonts w:hint="default" w:ascii="Times New Roman" w:hAnsi="Times New Roman" w:cs="Times New Roman"/>
      <w:b/>
      <w:bCs/>
      <w:color w:val="000000"/>
      <w:sz w:val="18"/>
      <w:szCs w:val="18"/>
      <w:u w:val="none"/>
    </w:rPr>
  </w:style>
  <w:style w:type="character" w:customStyle="1" w:styleId="69">
    <w:name w:val="font81"/>
    <w:basedOn w:val="19"/>
    <w:autoRedefine/>
    <w:qFormat/>
    <w:uiPriority w:val="0"/>
    <w:rPr>
      <w:rFonts w:hint="eastAsia" w:ascii="宋体" w:hAnsi="宋体" w:eastAsia="宋体" w:cs="宋体"/>
      <w:color w:val="000000"/>
      <w:sz w:val="18"/>
      <w:szCs w:val="18"/>
      <w:u w:val="none"/>
    </w:rPr>
  </w:style>
  <w:style w:type="character" w:customStyle="1" w:styleId="70">
    <w:name w:val="font91"/>
    <w:basedOn w:val="19"/>
    <w:autoRedefine/>
    <w:qFormat/>
    <w:uiPriority w:val="0"/>
    <w:rPr>
      <w:rFonts w:hint="eastAsia" w:ascii="宋体" w:hAnsi="宋体" w:eastAsia="宋体" w:cs="宋体"/>
      <w:color w:val="000000"/>
      <w:sz w:val="18"/>
      <w:szCs w:val="18"/>
      <w:u w:val="none"/>
    </w:rPr>
  </w:style>
  <w:style w:type="character" w:customStyle="1" w:styleId="71">
    <w:name w:val="font101"/>
    <w:basedOn w:val="19"/>
    <w:autoRedefine/>
    <w:qFormat/>
    <w:uiPriority w:val="0"/>
    <w:rPr>
      <w:rFonts w:hint="default" w:ascii="Times New Roman" w:hAnsi="Times New Roman" w:cs="Times New Roman"/>
      <w:color w:val="000000"/>
      <w:sz w:val="18"/>
      <w:szCs w:val="18"/>
      <w:u w:val="none"/>
    </w:rPr>
  </w:style>
  <w:style w:type="character" w:customStyle="1" w:styleId="72">
    <w:name w:val="font112"/>
    <w:basedOn w:val="19"/>
    <w:autoRedefine/>
    <w:qFormat/>
    <w:uiPriority w:val="0"/>
    <w:rPr>
      <w:rFonts w:hint="eastAsia" w:ascii="宋体" w:hAnsi="宋体" w:eastAsia="宋体" w:cs="宋体"/>
      <w:color w:val="000000"/>
      <w:sz w:val="18"/>
      <w:szCs w:val="18"/>
      <w:u w:val="none"/>
    </w:rPr>
  </w:style>
  <w:style w:type="character" w:customStyle="1" w:styleId="73">
    <w:name w:val="font121"/>
    <w:basedOn w:val="19"/>
    <w:autoRedefine/>
    <w:qFormat/>
    <w:uiPriority w:val="0"/>
    <w:rPr>
      <w:rFonts w:hint="eastAsia" w:ascii="宋体" w:hAnsi="宋体" w:eastAsia="宋体" w:cs="宋体"/>
      <w:b/>
      <w:bCs/>
      <w:color w:val="000000"/>
      <w:sz w:val="18"/>
      <w:szCs w:val="18"/>
      <w:u w:val="none"/>
    </w:rPr>
  </w:style>
  <w:style w:type="character" w:customStyle="1" w:styleId="74">
    <w:name w:val="font131"/>
    <w:basedOn w:val="19"/>
    <w:autoRedefine/>
    <w:qFormat/>
    <w:uiPriority w:val="0"/>
    <w:rPr>
      <w:rFonts w:hint="default" w:ascii="Times New Roman" w:hAnsi="Times New Roman" w:cs="Times New Roman"/>
      <w:color w:val="000000"/>
      <w:sz w:val="20"/>
      <w:szCs w:val="20"/>
      <w:u w:val="none"/>
    </w:rPr>
  </w:style>
  <w:style w:type="character" w:customStyle="1" w:styleId="75">
    <w:name w:val="font141"/>
    <w:basedOn w:val="19"/>
    <w:autoRedefine/>
    <w:qFormat/>
    <w:uiPriority w:val="0"/>
    <w:rPr>
      <w:rFonts w:hint="eastAsia" w:ascii="宋体" w:hAnsi="宋体" w:eastAsia="宋体" w:cs="宋体"/>
      <w:color w:val="000000"/>
      <w:sz w:val="20"/>
      <w:szCs w:val="20"/>
      <w:u w:val="none"/>
    </w:rPr>
  </w:style>
  <w:style w:type="character" w:customStyle="1" w:styleId="76">
    <w:name w:val="font61"/>
    <w:basedOn w:val="19"/>
    <w:autoRedefine/>
    <w:qFormat/>
    <w:uiPriority w:val="0"/>
    <w:rPr>
      <w:rFonts w:hint="default" w:ascii="Times New Roman" w:hAnsi="Times New Roman" w:cs="Times New Roman"/>
      <w:color w:val="000000"/>
      <w:sz w:val="18"/>
      <w:szCs w:val="18"/>
      <w:u w:val="none"/>
    </w:rPr>
  </w:style>
  <w:style w:type="paragraph" w:customStyle="1" w:styleId="77">
    <w:name w:val="li_正文"/>
    <w:basedOn w:val="1"/>
    <w:autoRedefine/>
    <w:qFormat/>
    <w:uiPriority w:val="0"/>
    <w:pPr>
      <w:tabs>
        <w:tab w:val="left" w:pos="2340"/>
        <w:tab w:val="left" w:pos="4320"/>
      </w:tabs>
      <w:ind w:firstLine="530" w:firstLineChars="200"/>
    </w:pPr>
    <w:rPr>
      <w:rFonts w:ascii="Calibri" w:hAnsi="Calibri" w:eastAsia="宋体" w:cs="Times New Roman"/>
      <w:sz w:val="28"/>
      <w:szCs w:val="28"/>
    </w:rPr>
  </w:style>
  <w:style w:type="paragraph" w:styleId="78">
    <w:name w:val="List Paragraph"/>
    <w:basedOn w:val="1"/>
    <w:autoRedefine/>
    <w:qFormat/>
    <w:uiPriority w:val="99"/>
    <w:pPr>
      <w:ind w:firstLine="420" w:firstLineChars="200"/>
    </w:pPr>
  </w:style>
  <w:style w:type="paragraph" w:styleId="79">
    <w:name w:val="No Spacing"/>
    <w:autoRedefine/>
    <w:qFormat/>
    <w:uiPriority w:val="1"/>
    <w:pPr>
      <w:jc w:val="center"/>
    </w:pPr>
    <w:rPr>
      <w:rFonts w:asciiTheme="minorHAnsi" w:hAnsiTheme="minorHAnsi" w:eastAsiaTheme="minorEastAsia" w:cstheme="minorBidi"/>
      <w:sz w:val="21"/>
      <w:lang w:val="en-US" w:eastAsia="zh-CN" w:bidi="ar-SA"/>
    </w:rPr>
  </w:style>
  <w:style w:type="paragraph" w:customStyle="1" w:styleId="80">
    <w:name w:val="简单回函地址"/>
    <w:basedOn w:val="1"/>
    <w:autoRedefine/>
    <w:qFormat/>
    <w:uiPriority w:val="0"/>
    <w:pPr>
      <w:keepNext/>
      <w:keepLines/>
      <w:snapToGrid w:val="0"/>
      <w:spacing w:line="480" w:lineRule="exact"/>
      <w:ind w:firstLine="480" w:firstLineChars="200"/>
    </w:pPr>
    <w:rPr>
      <w:rFonts w:ascii="Times New Roman" w:hAnsi="Times New Roman" w:eastAsia="宋体" w:cs="Times New Roman"/>
      <w:sz w:val="24"/>
      <w:szCs w:val="20"/>
    </w:rPr>
  </w:style>
  <w:style w:type="paragraph" w:customStyle="1" w:styleId="81">
    <w:name w:val="1正文"/>
    <w:autoRedefine/>
    <w:qFormat/>
    <w:uiPriority w:val="0"/>
    <w:pPr>
      <w:spacing w:line="480" w:lineRule="exact"/>
      <w:ind w:firstLine="200" w:firstLineChars="200"/>
      <w:jc w:val="both"/>
    </w:pPr>
    <w:rPr>
      <w:rFonts w:ascii="Times New Roman" w:hAnsi="Times New Roman" w:eastAsia="宋体" w:cs="Times New Roman"/>
      <w:kern w:val="2"/>
      <w:sz w:val="24"/>
      <w:szCs w:val="24"/>
      <w:lang w:val="en-US" w:eastAsia="zh-CN" w:bidi="ar-SA"/>
    </w:rPr>
  </w:style>
  <w:style w:type="character" w:customStyle="1" w:styleId="82">
    <w:name w:val="font51"/>
    <w:basedOn w:val="19"/>
    <w:autoRedefine/>
    <w:qFormat/>
    <w:uiPriority w:val="0"/>
    <w:rPr>
      <w:rFonts w:hint="default" w:ascii="Times New Roman" w:hAnsi="Times New Roman" w:cs="Times New Roman"/>
      <w:color w:val="000000"/>
      <w:sz w:val="18"/>
      <w:szCs w:val="18"/>
      <w:u w:val="none"/>
    </w:rPr>
  </w:style>
  <w:style w:type="character" w:customStyle="1" w:styleId="83">
    <w:name w:val="text_jrykg"/>
    <w:basedOn w:val="19"/>
    <w:autoRedefine/>
    <w:qFormat/>
    <w:uiPriority w:val="0"/>
  </w:style>
  <w:style w:type="paragraph" w:customStyle="1" w:styleId="84">
    <w:name w:val="BodyText1I2"/>
    <w:basedOn w:val="1"/>
    <w:next w:val="1"/>
    <w:qFormat/>
    <w:uiPriority w:val="0"/>
    <w:pPr>
      <w:ind w:firstLine="420"/>
      <w:textAlignment w:val="baseline"/>
    </w:pPr>
  </w:style>
  <w:style w:type="paragraph" w:customStyle="1" w:styleId="85">
    <w:name w:val="表格1"/>
    <w:basedOn w:val="3"/>
    <w:qFormat/>
    <w:uiPriority w:val="0"/>
    <w:pPr>
      <w:adjustRightInd w:val="0"/>
      <w:spacing w:line="360" w:lineRule="auto"/>
      <w:ind w:firstLine="0" w:firstLineChars="0"/>
      <w:jc w:val="center"/>
      <w:textAlignment w:val="baseline"/>
    </w:pPr>
    <w:rPr>
      <w:rFonts w:ascii="宋体" w:hAnsi="宋体"/>
      <w:kern w:val="0"/>
      <w:sz w:val="24"/>
    </w:rPr>
  </w:style>
  <w:style w:type="paragraph" w:customStyle="1" w:styleId="86">
    <w:name w:val="图表"/>
    <w:basedOn w:val="1"/>
    <w:qFormat/>
    <w:uiPriority w:val="0"/>
    <w:pPr>
      <w:adjustRightInd w:val="0"/>
      <w:snapToGrid w:val="0"/>
      <w:jc w:val="center"/>
    </w:pPr>
    <w:rPr>
      <w:color w:val="000000"/>
      <w:lang w:val="zh-CN"/>
    </w:rPr>
  </w:style>
  <w:style w:type="paragraph" w:customStyle="1" w:styleId="87">
    <w:name w:val="表内文字"/>
    <w:basedOn w:val="1"/>
    <w:qFormat/>
    <w:uiPriority w:val="0"/>
    <w:pPr>
      <w:adjustRightInd w:val="0"/>
      <w:jc w:val="center"/>
      <w:textAlignment w:val="baseline"/>
    </w:pPr>
    <w:rPr>
      <w:szCs w:val="20"/>
    </w:rPr>
  </w:style>
  <w:style w:type="paragraph" w:customStyle="1" w:styleId="88">
    <w:name w:val="A标准格式"/>
    <w:basedOn w:val="1"/>
    <w:qFormat/>
    <w:uiPriority w:val="0"/>
    <w:pPr>
      <w:ind w:firstLine="480"/>
    </w:pPr>
  </w:style>
  <w:style w:type="paragraph" w:customStyle="1" w:styleId="89">
    <w:name w:val="正文01"/>
    <w:basedOn w:val="1"/>
    <w:qFormat/>
    <w:uiPriority w:val="0"/>
    <w:pPr>
      <w:spacing w:before="60" w:line="460" w:lineRule="exact"/>
      <w:ind w:firstLine="200" w:firstLineChars="200"/>
    </w:pPr>
    <w:rPr>
      <w:sz w:val="24"/>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2.xml"/><Relationship Id="rId6" Type="http://schemas.openxmlformats.org/officeDocument/2006/relationships/header" Target="header3.xml"/><Relationship Id="rId5" Type="http://schemas.openxmlformats.org/officeDocument/2006/relationships/footer" Target="footer1.xml"/><Relationship Id="rId4" Type="http://schemas.openxmlformats.org/officeDocument/2006/relationships/header" Target="header2.xml"/><Relationship Id="rId34" Type="http://schemas.openxmlformats.org/officeDocument/2006/relationships/fontTable" Target="fontTable.xml"/><Relationship Id="rId33" Type="http://schemas.openxmlformats.org/officeDocument/2006/relationships/customXml" Target="../customXml/item2.xml"/><Relationship Id="rId32" Type="http://schemas.openxmlformats.org/officeDocument/2006/relationships/numbering" Target="numbering.xml"/><Relationship Id="rId31" Type="http://schemas.openxmlformats.org/officeDocument/2006/relationships/customXml" Target="../customXml/item1.xml"/><Relationship Id="rId30" Type="http://schemas.openxmlformats.org/officeDocument/2006/relationships/image" Target="media/image21.png"/><Relationship Id="rId3" Type="http://schemas.openxmlformats.org/officeDocument/2006/relationships/header" Target="header1.xml"/><Relationship Id="rId29" Type="http://schemas.openxmlformats.org/officeDocument/2006/relationships/image" Target="media/image20.jpeg"/><Relationship Id="rId28" Type="http://schemas.openxmlformats.org/officeDocument/2006/relationships/image" Target="media/image19.png"/><Relationship Id="rId27" Type="http://schemas.openxmlformats.org/officeDocument/2006/relationships/image" Target="media/image18.png"/><Relationship Id="rId26" Type="http://schemas.openxmlformats.org/officeDocument/2006/relationships/image" Target="media/image17.png"/><Relationship Id="rId25" Type="http://schemas.openxmlformats.org/officeDocument/2006/relationships/image" Target="media/image16.png"/><Relationship Id="rId24" Type="http://schemas.openxmlformats.org/officeDocument/2006/relationships/image" Target="media/image15.png"/><Relationship Id="rId23" Type="http://schemas.openxmlformats.org/officeDocument/2006/relationships/image" Target="media/image14.wmf"/><Relationship Id="rId22" Type="http://schemas.openxmlformats.org/officeDocument/2006/relationships/image" Target="media/image13.png"/><Relationship Id="rId21" Type="http://schemas.openxmlformats.org/officeDocument/2006/relationships/image" Target="media/image12.png"/><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media/image9.wmf"/><Relationship Id="rId17" Type="http://schemas.openxmlformats.org/officeDocument/2006/relationships/image" Target="media/image8.wmf"/><Relationship Id="rId16" Type="http://schemas.openxmlformats.org/officeDocument/2006/relationships/image" Target="media/image7.wmf"/><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file:///C:\Users\&#26446;&#38738;&#38738;\AppData\Roaming\Tencent\Users\403002229\QQ\WinTemp\RichOle\030%2525252525252525252525252525252525252525252525UR9BYU3GM772(UBEC80.png" TargetMode="External"/><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ops>
  <customShpExts>
    <customShpInfo spid="_x0000_s62126"/>
    <customShpInfo spid="_x0000_s62123"/>
    <customShpInfo spid="_x0000_s62125"/>
    <customShpInfo spid="_x0000_s62124"/>
    <customShpInfo spid="_x0000_s62120"/>
    <customShpInfo spid="_x0000_s6212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4CCDB3E-7A3D-45B6-8743-1F8E4755532E}">
  <ds:schemaRefs/>
</ds:datastoreItem>
</file>

<file path=docProps/app.xml><?xml version="1.0" encoding="utf-8"?>
<Properties xmlns="http://schemas.openxmlformats.org/officeDocument/2006/extended-properties" xmlns:vt="http://schemas.openxmlformats.org/officeDocument/2006/docPropsVTypes">
  <Template>Normal</Template>
  <Pages>48</Pages>
  <Words>24716</Words>
  <Characters>28473</Characters>
  <Lines>217</Lines>
  <Paragraphs>61</Paragraphs>
  <TotalTime>6</TotalTime>
  <ScaleCrop>false</ScaleCrop>
  <LinksUpToDate>false</LinksUpToDate>
  <CharactersWithSpaces>28704</CharactersWithSpaces>
  <Application>WPS Office_12.1.0.16929_F1E327BC-269C-435d-A152-05C5408002CA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2022-07-05T08:53:00Z</dcterms:created>
  <dc:creator>L</dc:creator>
  <cp:lastModifiedBy>zzk</cp:lastModifiedBy>
  <cp:lastPrinted>2023-01-10T02:03:00Z</cp:lastPrinted>
  <dcterms:modified xsi:type="dcterms:W3CDTF">2024-07-02T08:55:34Z</dcterms:modified>
  <cp:revision>717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BBCE59779D7B4EB69F85838BC2EE8F22_12</vt:lpwstr>
  </property>
</Properties>
</file>