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C862E49">
      <w:pPr>
        <w:keepNext w:val="0"/>
        <w:keepLines w:val="0"/>
        <w:pageBreakBefore w:val="0"/>
        <w:widowControl w:val="0"/>
        <w:kinsoku/>
        <w:wordWrap/>
        <w:overflowPunct/>
        <w:topLinePunct w:val="0"/>
        <w:autoSpaceDE/>
        <w:autoSpaceDN/>
        <w:bidi w:val="0"/>
        <w:adjustRightInd/>
        <w:snapToGrid/>
        <w:spacing w:line="480" w:lineRule="auto"/>
        <w:ind w:firstLine="0" w:firstLineChars="0"/>
        <w:jc w:val="center"/>
        <w:textAlignment w:val="auto"/>
        <w:rPr>
          <w:rFonts w:ascii="宋体" w:hAnsi="宋体" w:eastAsia="宋体"/>
          <w:b/>
          <w:color w:val="auto"/>
          <w:sz w:val="52"/>
          <w:szCs w:val="52"/>
        </w:rPr>
      </w:pPr>
    </w:p>
    <w:p w14:paraId="50AFB246">
      <w:pPr>
        <w:keepNext w:val="0"/>
        <w:keepLines w:val="0"/>
        <w:pageBreakBefore w:val="0"/>
        <w:widowControl w:val="0"/>
        <w:kinsoku/>
        <w:wordWrap/>
        <w:overflowPunct/>
        <w:topLinePunct w:val="0"/>
        <w:autoSpaceDE/>
        <w:autoSpaceDN/>
        <w:bidi w:val="0"/>
        <w:adjustRightInd/>
        <w:snapToGrid/>
        <w:spacing w:line="480" w:lineRule="auto"/>
        <w:ind w:firstLine="0" w:firstLineChars="0"/>
        <w:jc w:val="center"/>
        <w:textAlignment w:val="auto"/>
        <w:rPr>
          <w:rFonts w:hint="eastAsia" w:ascii="宋体" w:hAnsi="宋体" w:eastAsia="宋体"/>
          <w:b/>
          <w:color w:val="auto"/>
          <w:sz w:val="52"/>
          <w:szCs w:val="52"/>
          <w:lang w:val="en-US" w:eastAsia="zh-CN"/>
        </w:rPr>
      </w:pPr>
      <w:r>
        <w:rPr>
          <w:rFonts w:ascii="宋体" w:hAnsi="宋体" w:eastAsia="宋体"/>
          <w:b/>
          <w:color w:val="auto"/>
          <w:sz w:val="52"/>
          <w:szCs w:val="52"/>
        </w:rPr>
        <w:t>核技术利用建设项目</w:t>
      </w:r>
      <w:bookmarkStart w:id="0" w:name="_Hlk67326102"/>
      <w:bookmarkStart w:id="1" w:name="_Hlk58402616"/>
    </w:p>
    <w:p w14:paraId="71B2162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宋体" w:hAnsi="宋体" w:eastAsia="宋体"/>
          <w:b/>
          <w:color w:val="auto"/>
          <w:sz w:val="52"/>
          <w:szCs w:val="52"/>
          <w:highlight w:val="none"/>
        </w:rPr>
      </w:pPr>
      <w:r>
        <w:rPr>
          <w:rFonts w:hint="eastAsia" w:ascii="宋体" w:hAnsi="宋体" w:eastAsia="宋体"/>
          <w:b/>
          <w:color w:val="auto"/>
          <w:sz w:val="52"/>
          <w:szCs w:val="52"/>
          <w:lang w:val="en-US" w:eastAsia="zh-CN"/>
        </w:rPr>
        <w:t>寿县安康医院</w:t>
      </w:r>
      <w:r>
        <w:rPr>
          <w:rFonts w:hint="eastAsia" w:ascii="宋体" w:hAnsi="宋体" w:eastAsia="宋体"/>
          <w:b/>
          <w:color w:val="auto"/>
          <w:sz w:val="52"/>
          <w:szCs w:val="52"/>
          <w:highlight w:val="none"/>
          <w:lang w:val="en-US" w:eastAsia="zh-CN"/>
        </w:rPr>
        <w:t>新增DSA设备项目</w:t>
      </w:r>
    </w:p>
    <w:bookmarkEnd w:id="0"/>
    <w:p w14:paraId="14DA308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b/>
          <w:color w:val="auto"/>
          <w:sz w:val="52"/>
          <w:szCs w:val="52"/>
        </w:rPr>
      </w:pPr>
      <w:r>
        <w:rPr>
          <w:rFonts w:hint="eastAsia" w:ascii="宋体" w:hAnsi="宋体" w:eastAsia="宋体"/>
          <w:b/>
          <w:color w:val="auto"/>
          <w:sz w:val="52"/>
          <w:szCs w:val="52"/>
        </w:rPr>
        <w:t>环境影响报告表</w:t>
      </w:r>
    </w:p>
    <w:p w14:paraId="5001DE64">
      <w:pPr>
        <w:pStyle w:val="2"/>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宋体" w:hAnsi="宋体" w:eastAsia="宋体"/>
          <w:b/>
          <w:color w:val="auto"/>
          <w:sz w:val="48"/>
          <w:szCs w:val="48"/>
        </w:rPr>
      </w:pPr>
    </w:p>
    <w:p w14:paraId="1FD2534B">
      <w:pPr>
        <w:pStyle w:val="2"/>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宋体" w:hAnsi="宋体" w:eastAsia="宋体"/>
          <w:b/>
          <w:color w:val="auto"/>
          <w:sz w:val="48"/>
          <w:szCs w:val="48"/>
        </w:rPr>
      </w:pPr>
    </w:p>
    <w:p w14:paraId="4FAC7028">
      <w:pPr>
        <w:pStyle w:val="2"/>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宋体" w:hAnsi="宋体" w:eastAsia="宋体"/>
          <w:b/>
          <w:color w:val="auto"/>
          <w:sz w:val="48"/>
          <w:szCs w:val="48"/>
        </w:rPr>
      </w:pPr>
    </w:p>
    <w:p w14:paraId="65D48590">
      <w:pPr>
        <w:pStyle w:val="2"/>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宋体" w:hAnsi="宋体" w:eastAsia="宋体"/>
          <w:b/>
          <w:color w:val="auto"/>
          <w:sz w:val="48"/>
          <w:szCs w:val="48"/>
        </w:rPr>
      </w:pPr>
    </w:p>
    <w:p w14:paraId="1A642DF9">
      <w:pPr>
        <w:pStyle w:val="2"/>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宋体" w:hAnsi="宋体" w:eastAsia="宋体"/>
          <w:b/>
          <w:color w:val="auto"/>
          <w:sz w:val="48"/>
          <w:szCs w:val="48"/>
        </w:rPr>
      </w:pPr>
    </w:p>
    <w:p w14:paraId="6D60005E">
      <w:pPr>
        <w:pStyle w:val="2"/>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宋体" w:hAnsi="宋体" w:eastAsia="宋体"/>
          <w:b/>
          <w:color w:val="auto"/>
          <w:sz w:val="48"/>
          <w:szCs w:val="48"/>
        </w:rPr>
      </w:pPr>
    </w:p>
    <w:p w14:paraId="0D4584C8">
      <w:pPr>
        <w:pStyle w:val="2"/>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宋体" w:hAnsi="宋体" w:eastAsia="宋体"/>
          <w:b/>
          <w:color w:val="auto"/>
          <w:sz w:val="48"/>
          <w:szCs w:val="48"/>
        </w:rPr>
      </w:pPr>
    </w:p>
    <w:p w14:paraId="6C44F6DD">
      <w:pPr>
        <w:pStyle w:val="2"/>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宋体" w:hAnsi="宋体" w:eastAsia="宋体"/>
          <w:b/>
          <w:color w:val="auto"/>
          <w:sz w:val="48"/>
          <w:szCs w:val="48"/>
        </w:rPr>
      </w:pPr>
    </w:p>
    <w:p w14:paraId="7512277B">
      <w:pPr>
        <w:pStyle w:val="2"/>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宋体" w:hAnsi="宋体" w:eastAsia="宋体"/>
          <w:b/>
          <w:color w:val="auto"/>
          <w:sz w:val="48"/>
          <w:szCs w:val="48"/>
        </w:rPr>
      </w:pPr>
    </w:p>
    <w:bookmarkEnd w:id="1"/>
    <w:p w14:paraId="3E3D710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ascii="Times New Roman" w:hAnsi="Times New Roman" w:eastAsia="宋体" w:cs="Times New Roman"/>
          <w:b/>
          <w:color w:val="auto"/>
          <w:sz w:val="52"/>
          <w:szCs w:val="52"/>
        </w:rPr>
      </w:pPr>
      <w:r>
        <w:rPr>
          <w:rFonts w:hint="eastAsia" w:ascii="Times New Roman" w:hAnsi="Times New Roman" w:eastAsia="宋体" w:cs="Times New Roman"/>
          <w:b/>
          <w:color w:val="auto"/>
          <w:sz w:val="52"/>
          <w:szCs w:val="52"/>
          <w:lang w:val="en-US" w:eastAsia="zh-CN"/>
        </w:rPr>
        <w:t>寿县安康医院</w:t>
      </w:r>
    </w:p>
    <w:p w14:paraId="3FE169E6">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ascii="Times New Roman" w:hAnsi="Times New Roman" w:eastAsia="宋体" w:cs="Times New Roman"/>
          <w:b/>
          <w:color w:val="auto"/>
          <w:sz w:val="52"/>
          <w:szCs w:val="52"/>
        </w:rPr>
      </w:pPr>
      <w:r>
        <w:rPr>
          <w:rFonts w:ascii="Times New Roman" w:hAnsi="Times New Roman" w:eastAsia="宋体" w:cs="Times New Roman"/>
          <w:b/>
          <w:color w:val="auto"/>
          <w:sz w:val="52"/>
          <w:szCs w:val="52"/>
        </w:rPr>
        <w:t>202</w:t>
      </w:r>
      <w:r>
        <w:rPr>
          <w:rFonts w:hint="eastAsia" w:ascii="Times New Roman" w:hAnsi="Times New Roman" w:eastAsia="宋体" w:cs="Times New Roman"/>
          <w:b/>
          <w:color w:val="auto"/>
          <w:sz w:val="52"/>
          <w:szCs w:val="52"/>
          <w:lang w:val="en-US" w:eastAsia="zh-CN"/>
        </w:rPr>
        <w:t>4</w:t>
      </w:r>
      <w:r>
        <w:rPr>
          <w:rFonts w:ascii="Times New Roman" w:hAnsi="Times New Roman" w:eastAsia="宋体" w:cs="Times New Roman"/>
          <w:b/>
          <w:color w:val="auto"/>
          <w:sz w:val="52"/>
          <w:szCs w:val="52"/>
        </w:rPr>
        <w:t>年</w:t>
      </w:r>
      <w:r>
        <w:rPr>
          <w:rFonts w:hint="eastAsia" w:ascii="Times New Roman" w:hAnsi="Times New Roman" w:eastAsia="宋体" w:cs="Times New Roman"/>
          <w:b/>
          <w:color w:val="auto"/>
          <w:sz w:val="52"/>
          <w:szCs w:val="52"/>
          <w:highlight w:val="none"/>
          <w:lang w:val="en-US" w:eastAsia="zh-CN"/>
        </w:rPr>
        <w:t>8</w:t>
      </w:r>
      <w:r>
        <w:rPr>
          <w:rFonts w:ascii="Times New Roman" w:hAnsi="Times New Roman" w:eastAsia="宋体" w:cs="Times New Roman"/>
          <w:b/>
          <w:color w:val="auto"/>
          <w:sz w:val="52"/>
          <w:szCs w:val="52"/>
        </w:rPr>
        <w:t>月</w:t>
      </w:r>
    </w:p>
    <w:p w14:paraId="4E7A804D">
      <w:pPr>
        <w:pStyle w:val="2"/>
        <w:keepNext w:val="0"/>
        <w:keepLines w:val="0"/>
        <w:pageBreakBefore w:val="0"/>
        <w:widowControl w:val="0"/>
        <w:kinsoku/>
        <w:wordWrap/>
        <w:overflowPunct/>
        <w:topLinePunct w:val="0"/>
        <w:autoSpaceDE/>
        <w:autoSpaceDN/>
        <w:bidi w:val="0"/>
        <w:adjustRightInd/>
        <w:snapToGrid/>
        <w:ind w:firstLine="0" w:firstLineChars="0"/>
        <w:jc w:val="center"/>
        <w:textAlignment w:val="auto"/>
        <w:rPr>
          <w:color w:val="auto"/>
          <w:sz w:val="52"/>
          <w:szCs w:val="52"/>
        </w:rPr>
      </w:pPr>
    </w:p>
    <w:p w14:paraId="1F821B1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宋体" w:hAnsi="宋体" w:eastAsia="宋体"/>
          <w:b/>
          <w:color w:val="auto"/>
          <w:sz w:val="52"/>
          <w:szCs w:val="52"/>
        </w:rPr>
      </w:pPr>
      <w:r>
        <w:rPr>
          <w:rFonts w:hint="eastAsia" w:ascii="宋体" w:hAnsi="宋体" w:eastAsia="宋体"/>
          <w:b/>
          <w:color w:val="auto"/>
          <w:sz w:val="52"/>
          <w:szCs w:val="52"/>
        </w:rPr>
        <w:t>生态环境部监制</w:t>
      </w:r>
    </w:p>
    <w:p w14:paraId="12985C9F">
      <w:pPr>
        <w:widowControl/>
        <w:ind w:firstLine="800" w:firstLineChars="200"/>
        <w:jc w:val="left"/>
        <w:rPr>
          <w:rFonts w:ascii="宋体" w:hAnsi="宋体" w:eastAsia="宋体"/>
          <w:b/>
          <w:color w:val="auto"/>
          <w:sz w:val="40"/>
          <w:szCs w:val="40"/>
        </w:rPr>
      </w:pPr>
      <w:r>
        <w:rPr>
          <w:rFonts w:ascii="宋体" w:hAnsi="宋体" w:eastAsia="宋体"/>
          <w:b/>
          <w:color w:val="auto"/>
          <w:sz w:val="40"/>
          <w:szCs w:val="40"/>
        </w:rPr>
        <w:br w:type="page"/>
      </w:r>
    </w:p>
    <w:p w14:paraId="276A4CF2">
      <w:pPr>
        <w:spacing w:line="360" w:lineRule="auto"/>
        <w:ind w:firstLine="1040" w:firstLineChars="200"/>
        <w:jc w:val="center"/>
        <w:rPr>
          <w:rFonts w:ascii="宋体" w:hAnsi="宋体" w:eastAsia="宋体"/>
          <w:b/>
          <w:color w:val="auto"/>
          <w:sz w:val="52"/>
          <w:szCs w:val="52"/>
        </w:rPr>
      </w:pPr>
    </w:p>
    <w:p w14:paraId="1F99A658">
      <w:pPr>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b/>
          <w:color w:val="auto"/>
          <w:sz w:val="52"/>
          <w:szCs w:val="52"/>
          <w:lang w:val="en-US" w:eastAsia="zh-CN"/>
        </w:rPr>
      </w:pPr>
      <w:r>
        <w:rPr>
          <w:rFonts w:ascii="宋体" w:hAnsi="宋体" w:eastAsia="宋体"/>
          <w:b/>
          <w:color w:val="auto"/>
          <w:sz w:val="52"/>
          <w:szCs w:val="52"/>
        </w:rPr>
        <w:t>核技术利用建设项目</w:t>
      </w:r>
    </w:p>
    <w:p w14:paraId="172F8B34">
      <w:pPr>
        <w:pStyle w:val="4"/>
        <w:pageBreakBefore w:val="0"/>
        <w:widowControl w:val="0"/>
        <w:kinsoku/>
        <w:wordWrap/>
        <w:overflowPunct/>
        <w:topLinePunct w:val="0"/>
        <w:autoSpaceDE/>
        <w:autoSpaceDN/>
        <w:bidi w:val="0"/>
        <w:adjustRightInd/>
        <w:snapToGrid/>
        <w:ind w:firstLine="0" w:firstLineChars="0"/>
        <w:jc w:val="center"/>
        <w:textAlignment w:val="auto"/>
        <w:rPr>
          <w:rFonts w:hint="eastAsia" w:asciiTheme="majorEastAsia" w:hAnsiTheme="majorEastAsia" w:eastAsiaTheme="majorEastAsia" w:cstheme="majorEastAsia"/>
          <w:color w:val="auto"/>
          <w:sz w:val="52"/>
          <w:szCs w:val="52"/>
        </w:rPr>
      </w:pPr>
      <w:r>
        <w:rPr>
          <w:rFonts w:hint="eastAsia" w:asciiTheme="majorEastAsia" w:hAnsiTheme="majorEastAsia" w:eastAsiaTheme="majorEastAsia" w:cstheme="majorEastAsia"/>
          <w:color w:val="auto"/>
          <w:sz w:val="52"/>
          <w:szCs w:val="52"/>
          <w:lang w:val="en-US" w:eastAsia="zh-CN"/>
        </w:rPr>
        <w:t>寿县安康医院新增DSA设备项目</w:t>
      </w:r>
    </w:p>
    <w:p w14:paraId="3D2EA651">
      <w:pPr>
        <w:pageBreakBefore w:val="0"/>
        <w:widowControl w:val="0"/>
        <w:kinsoku/>
        <w:wordWrap/>
        <w:overflowPunct/>
        <w:topLinePunct w:val="0"/>
        <w:autoSpaceDE/>
        <w:autoSpaceDN/>
        <w:bidi w:val="0"/>
        <w:adjustRightInd/>
        <w:snapToGrid/>
        <w:spacing w:line="480" w:lineRule="auto"/>
        <w:ind w:firstLine="0" w:firstLineChars="0"/>
        <w:jc w:val="center"/>
        <w:textAlignment w:val="auto"/>
        <w:rPr>
          <w:rFonts w:hint="eastAsia" w:ascii="宋体" w:hAnsi="宋体" w:eastAsia="宋体"/>
          <w:b/>
          <w:color w:val="auto"/>
          <w:sz w:val="52"/>
          <w:szCs w:val="52"/>
        </w:rPr>
      </w:pPr>
      <w:r>
        <w:rPr>
          <w:rFonts w:hint="eastAsia" w:ascii="宋体" w:hAnsi="宋体" w:eastAsia="宋体"/>
          <w:b/>
          <w:color w:val="auto"/>
          <w:sz w:val="52"/>
          <w:szCs w:val="52"/>
        </w:rPr>
        <w:t>环境影响报告表</w:t>
      </w:r>
    </w:p>
    <w:p w14:paraId="0F37A83E">
      <w:pPr>
        <w:spacing w:line="360" w:lineRule="auto"/>
        <w:ind w:firstLine="600" w:firstLineChars="200"/>
        <w:rPr>
          <w:rFonts w:ascii="宋体" w:hAnsi="宋体" w:eastAsia="宋体"/>
          <w:b/>
          <w:color w:val="auto"/>
          <w:sz w:val="30"/>
          <w:szCs w:val="30"/>
        </w:rPr>
      </w:pPr>
    </w:p>
    <w:p w14:paraId="22118875">
      <w:pPr>
        <w:spacing w:line="360" w:lineRule="auto"/>
        <w:ind w:firstLine="600" w:firstLineChars="200"/>
        <w:rPr>
          <w:rFonts w:ascii="宋体" w:hAnsi="宋体" w:eastAsia="宋体"/>
          <w:b/>
          <w:color w:val="auto"/>
          <w:sz w:val="30"/>
          <w:szCs w:val="30"/>
        </w:rPr>
      </w:pPr>
    </w:p>
    <w:p w14:paraId="5EE77E93">
      <w:pPr>
        <w:spacing w:line="360" w:lineRule="auto"/>
        <w:ind w:firstLine="600" w:firstLineChars="200"/>
        <w:rPr>
          <w:rFonts w:ascii="宋体" w:hAnsi="宋体" w:eastAsia="宋体"/>
          <w:b/>
          <w:color w:val="auto"/>
          <w:sz w:val="30"/>
          <w:szCs w:val="30"/>
        </w:rPr>
      </w:pPr>
    </w:p>
    <w:p w14:paraId="2FD4A870">
      <w:pPr>
        <w:spacing w:line="360" w:lineRule="auto"/>
        <w:ind w:firstLine="600" w:firstLineChars="200"/>
        <w:rPr>
          <w:rFonts w:ascii="宋体" w:hAnsi="宋体" w:eastAsia="宋体"/>
          <w:b/>
          <w:color w:val="auto"/>
          <w:sz w:val="30"/>
          <w:szCs w:val="30"/>
        </w:rPr>
      </w:pPr>
    </w:p>
    <w:p w14:paraId="34DB5AC7">
      <w:pPr>
        <w:spacing w:line="360" w:lineRule="auto"/>
        <w:ind w:firstLine="600" w:firstLineChars="200"/>
        <w:rPr>
          <w:rFonts w:ascii="宋体" w:hAnsi="宋体" w:eastAsia="宋体"/>
          <w:b/>
          <w:color w:val="auto"/>
          <w:sz w:val="30"/>
          <w:szCs w:val="30"/>
        </w:rPr>
      </w:pPr>
    </w:p>
    <w:p w14:paraId="357AA102">
      <w:pPr>
        <w:spacing w:line="360" w:lineRule="auto"/>
        <w:ind w:firstLine="600" w:firstLineChars="200"/>
        <w:rPr>
          <w:rFonts w:ascii="宋体" w:hAnsi="宋体" w:eastAsia="宋体"/>
          <w:b/>
          <w:color w:val="auto"/>
          <w:sz w:val="30"/>
          <w:szCs w:val="30"/>
        </w:rPr>
      </w:pPr>
    </w:p>
    <w:p w14:paraId="1ABED5E5">
      <w:pPr>
        <w:pStyle w:val="2"/>
        <w:rPr>
          <w:color w:val="auto"/>
        </w:rPr>
      </w:pPr>
    </w:p>
    <w:p w14:paraId="3F549D0E">
      <w:pPr>
        <w:spacing w:line="360" w:lineRule="auto"/>
        <w:ind w:firstLine="600" w:firstLineChars="200"/>
        <w:rPr>
          <w:rFonts w:ascii="宋体" w:hAnsi="宋体" w:eastAsia="宋体"/>
          <w:b/>
          <w:color w:val="auto"/>
          <w:sz w:val="30"/>
          <w:szCs w:val="30"/>
        </w:rPr>
      </w:pPr>
    </w:p>
    <w:p w14:paraId="31F99A46">
      <w:pPr>
        <w:spacing w:line="360" w:lineRule="auto"/>
        <w:ind w:firstLine="600" w:firstLineChars="200"/>
        <w:rPr>
          <w:rFonts w:ascii="宋体" w:hAnsi="宋体" w:eastAsia="宋体"/>
          <w:b/>
          <w:color w:val="auto"/>
          <w:sz w:val="30"/>
          <w:szCs w:val="30"/>
        </w:rPr>
      </w:pPr>
    </w:p>
    <w:p w14:paraId="0DC9118A">
      <w:pPr>
        <w:spacing w:line="360" w:lineRule="auto"/>
        <w:rPr>
          <w:rFonts w:ascii="宋体" w:hAnsi="宋体" w:eastAsia="宋体"/>
          <w:b/>
          <w:color w:val="auto"/>
          <w:sz w:val="30"/>
          <w:szCs w:val="30"/>
        </w:rPr>
      </w:pPr>
      <w:r>
        <w:rPr>
          <w:rFonts w:ascii="宋体" w:hAnsi="宋体" w:eastAsia="宋体"/>
          <w:b/>
          <w:color w:val="auto"/>
          <w:sz w:val="30"/>
          <w:szCs w:val="30"/>
        </w:rPr>
        <w:t>建设单位名称：</w:t>
      </w:r>
      <w:r>
        <w:rPr>
          <w:rFonts w:ascii="宋体" w:hAnsi="宋体" w:eastAsia="宋体"/>
          <w:b/>
          <w:color w:val="auto"/>
          <w:sz w:val="30"/>
          <w:szCs w:val="30"/>
          <w:u w:val="thick"/>
        </w:rPr>
        <w:t xml:space="preserve">       </w:t>
      </w:r>
      <w:r>
        <w:rPr>
          <w:rFonts w:hint="eastAsia" w:ascii="宋体" w:hAnsi="宋体" w:eastAsia="宋体"/>
          <w:b/>
          <w:color w:val="auto"/>
          <w:sz w:val="30"/>
          <w:szCs w:val="30"/>
          <w:u w:val="thick"/>
          <w:lang w:val="en-US" w:eastAsia="zh-CN"/>
        </w:rPr>
        <w:t xml:space="preserve"> </w:t>
      </w:r>
      <w:r>
        <w:rPr>
          <w:rFonts w:ascii="宋体" w:hAnsi="宋体" w:eastAsia="宋体"/>
          <w:b/>
          <w:color w:val="auto"/>
          <w:sz w:val="30"/>
          <w:szCs w:val="30"/>
          <w:u w:val="thick"/>
        </w:rPr>
        <w:t xml:space="preserve">  </w:t>
      </w:r>
      <w:r>
        <w:rPr>
          <w:rFonts w:hint="eastAsia" w:ascii="宋体" w:hAnsi="宋体" w:eastAsia="宋体"/>
          <w:b/>
          <w:color w:val="auto"/>
          <w:sz w:val="30"/>
          <w:szCs w:val="30"/>
          <w:u w:val="thick"/>
          <w:lang w:eastAsia="zh-CN"/>
        </w:rPr>
        <w:t>寿县安康医院</w:t>
      </w:r>
      <w:r>
        <w:rPr>
          <w:rFonts w:ascii="宋体" w:hAnsi="宋体" w:eastAsia="宋体"/>
          <w:b/>
          <w:color w:val="auto"/>
          <w:sz w:val="30"/>
          <w:szCs w:val="30"/>
          <w:u w:val="thick"/>
        </w:rPr>
        <w:t xml:space="preserve">         </w:t>
      </w:r>
      <w:r>
        <w:rPr>
          <w:rFonts w:hint="eastAsia" w:ascii="宋体" w:hAnsi="宋体" w:eastAsia="宋体"/>
          <w:b/>
          <w:color w:val="auto"/>
          <w:sz w:val="30"/>
          <w:szCs w:val="30"/>
          <w:u w:val="thick"/>
          <w:lang w:val="en-US" w:eastAsia="zh-CN"/>
        </w:rPr>
        <w:t xml:space="preserve">       </w:t>
      </w:r>
      <w:r>
        <w:rPr>
          <w:rFonts w:ascii="宋体" w:hAnsi="宋体" w:eastAsia="宋体"/>
          <w:b/>
          <w:color w:val="auto"/>
          <w:sz w:val="30"/>
          <w:szCs w:val="30"/>
          <w:u w:val="thick"/>
        </w:rPr>
        <w:t xml:space="preserve">       </w:t>
      </w:r>
    </w:p>
    <w:p w14:paraId="082D5061">
      <w:pPr>
        <w:spacing w:line="360" w:lineRule="auto"/>
        <w:rPr>
          <w:rFonts w:ascii="宋体" w:hAnsi="宋体" w:eastAsia="宋体"/>
          <w:b/>
          <w:color w:val="auto"/>
          <w:sz w:val="30"/>
          <w:szCs w:val="30"/>
        </w:rPr>
      </w:pPr>
      <w:r>
        <w:rPr>
          <w:rFonts w:ascii="宋体" w:hAnsi="宋体" w:eastAsia="宋体"/>
          <w:b/>
          <w:color w:val="auto"/>
          <w:sz w:val="30"/>
          <w:szCs w:val="30"/>
        </w:rPr>
        <w:t>通讯地址：</w:t>
      </w:r>
      <w:r>
        <w:rPr>
          <w:rFonts w:ascii="宋体" w:hAnsi="宋体" w:eastAsia="宋体"/>
          <w:b/>
          <w:color w:val="auto"/>
          <w:sz w:val="30"/>
          <w:szCs w:val="30"/>
          <w:u w:val="thick"/>
        </w:rPr>
        <w:t xml:space="preserve"> </w:t>
      </w:r>
      <w:r>
        <w:rPr>
          <w:rFonts w:hint="eastAsia" w:ascii="宋体" w:hAnsi="宋体" w:eastAsia="宋体"/>
          <w:b/>
          <w:color w:val="auto"/>
          <w:sz w:val="30"/>
          <w:szCs w:val="30"/>
          <w:u w:val="thick"/>
          <w:lang w:val="en-US" w:eastAsia="zh-CN"/>
        </w:rPr>
        <w:t xml:space="preserve">     </w:t>
      </w:r>
      <w:r>
        <w:rPr>
          <w:rFonts w:hint="eastAsia" w:ascii="宋体" w:hAnsi="宋体" w:eastAsia="宋体"/>
          <w:b/>
          <w:color w:val="auto"/>
          <w:sz w:val="30"/>
          <w:szCs w:val="30"/>
          <w:u w:val="thick"/>
          <w:lang w:eastAsia="zh-CN"/>
        </w:rPr>
        <w:t>安徽省淮南市寿县安丰镇石集街道</w:t>
      </w:r>
      <w:r>
        <w:rPr>
          <w:rFonts w:hint="eastAsia" w:ascii="宋体" w:hAnsi="宋体" w:eastAsia="宋体"/>
          <w:b/>
          <w:color w:val="auto"/>
          <w:sz w:val="30"/>
          <w:szCs w:val="30"/>
          <w:u w:val="thick"/>
        </w:rPr>
        <w:t xml:space="preserve"> </w:t>
      </w:r>
      <w:r>
        <w:rPr>
          <w:rFonts w:ascii="宋体" w:hAnsi="宋体" w:eastAsia="宋体"/>
          <w:b/>
          <w:color w:val="auto"/>
          <w:sz w:val="30"/>
          <w:szCs w:val="30"/>
          <w:u w:val="thick"/>
        </w:rPr>
        <w:t xml:space="preserve">          </w:t>
      </w:r>
      <w:r>
        <w:rPr>
          <w:rFonts w:hint="eastAsia" w:ascii="宋体" w:hAnsi="宋体" w:eastAsia="宋体"/>
          <w:b/>
          <w:color w:val="auto"/>
          <w:sz w:val="30"/>
          <w:szCs w:val="30"/>
          <w:u w:val="thick"/>
          <w:lang w:val="en-US" w:eastAsia="zh-CN"/>
        </w:rPr>
        <w:t xml:space="preserve"> </w:t>
      </w:r>
      <w:r>
        <w:rPr>
          <w:rFonts w:ascii="宋体" w:hAnsi="宋体" w:eastAsia="宋体"/>
          <w:b/>
          <w:color w:val="auto"/>
          <w:sz w:val="30"/>
          <w:szCs w:val="30"/>
          <w:u w:val="thick"/>
        </w:rPr>
        <w:t xml:space="preserve">      </w:t>
      </w:r>
    </w:p>
    <w:p w14:paraId="39A061C6">
      <w:pPr>
        <w:spacing w:line="360" w:lineRule="auto"/>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邮政编码：</w:t>
      </w:r>
      <w:r>
        <w:rPr>
          <w:rFonts w:hint="default" w:ascii="Times New Roman" w:hAnsi="Times New Roman" w:eastAsia="宋体" w:cs="Times New Roman"/>
          <w:b/>
          <w:color w:val="auto"/>
          <w:sz w:val="30"/>
          <w:szCs w:val="30"/>
          <w:u w:val="single"/>
        </w:rPr>
        <w:t xml:space="preserve">       232251       </w:t>
      </w:r>
      <w:r>
        <w:rPr>
          <w:rFonts w:hint="default" w:ascii="Times New Roman" w:hAnsi="Times New Roman" w:eastAsia="宋体" w:cs="Times New Roman"/>
          <w:b/>
          <w:color w:val="auto"/>
          <w:sz w:val="30"/>
          <w:szCs w:val="30"/>
        </w:rPr>
        <w:t>联系人：</w:t>
      </w:r>
      <w:r>
        <w:rPr>
          <w:rFonts w:hint="default" w:ascii="Times New Roman" w:hAnsi="Times New Roman" w:eastAsia="宋体" w:cs="Times New Roman"/>
          <w:b/>
          <w:color w:val="auto"/>
          <w:sz w:val="30"/>
          <w:szCs w:val="30"/>
          <w:u w:val="single"/>
        </w:rPr>
        <w:t xml:space="preserve">  </w:t>
      </w:r>
      <w:r>
        <w:rPr>
          <w:rFonts w:hint="default" w:ascii="Times New Roman" w:hAnsi="Times New Roman" w:eastAsia="宋体" w:cs="Times New Roman"/>
          <w:b/>
          <w:color w:val="auto"/>
          <w:sz w:val="30"/>
          <w:szCs w:val="30"/>
          <w:highlight w:val="none"/>
          <w:u w:val="single"/>
        </w:rPr>
        <w:t xml:space="preserve">     </w:t>
      </w:r>
      <w:r>
        <w:rPr>
          <w:rFonts w:hint="eastAsia" w:ascii="Times New Roman" w:hAnsi="Times New Roman" w:eastAsia="宋体" w:cs="Times New Roman"/>
          <w:b/>
          <w:color w:val="auto"/>
          <w:sz w:val="30"/>
          <w:szCs w:val="30"/>
          <w:highlight w:val="none"/>
          <w:u w:val="single"/>
          <w:lang w:eastAsia="zh-CN"/>
        </w:rPr>
        <w:t>田胜权</w:t>
      </w:r>
      <w:r>
        <w:rPr>
          <w:rFonts w:hint="default" w:ascii="Times New Roman" w:hAnsi="Times New Roman" w:eastAsia="宋体" w:cs="Times New Roman"/>
          <w:b/>
          <w:color w:val="auto"/>
          <w:sz w:val="30"/>
          <w:szCs w:val="30"/>
          <w:highlight w:val="none"/>
          <w:u w:val="single"/>
        </w:rPr>
        <w:t xml:space="preserve">   </w:t>
      </w:r>
      <w:r>
        <w:rPr>
          <w:rFonts w:hint="default" w:ascii="Times New Roman" w:hAnsi="Times New Roman" w:eastAsia="宋体" w:cs="Times New Roman"/>
          <w:b/>
          <w:color w:val="auto"/>
          <w:sz w:val="30"/>
          <w:szCs w:val="30"/>
          <w:highlight w:val="none"/>
          <w:u w:val="single"/>
          <w:lang w:val="en-US" w:eastAsia="zh-CN"/>
        </w:rPr>
        <w:t xml:space="preserve">  </w:t>
      </w:r>
      <w:r>
        <w:rPr>
          <w:rFonts w:hint="default" w:ascii="Times New Roman" w:hAnsi="Times New Roman" w:eastAsia="宋体" w:cs="Times New Roman"/>
          <w:b/>
          <w:color w:val="auto"/>
          <w:sz w:val="30"/>
          <w:szCs w:val="30"/>
          <w:highlight w:val="none"/>
          <w:u w:val="single"/>
        </w:rPr>
        <w:t xml:space="preserve">   </w:t>
      </w:r>
      <w:r>
        <w:rPr>
          <w:rFonts w:hint="default" w:ascii="Times New Roman" w:hAnsi="Times New Roman" w:eastAsia="宋体" w:cs="Times New Roman"/>
          <w:b/>
          <w:color w:val="auto"/>
          <w:sz w:val="30"/>
          <w:szCs w:val="30"/>
          <w:u w:val="single"/>
        </w:rPr>
        <w:t xml:space="preserve">  </w:t>
      </w:r>
      <w:r>
        <w:rPr>
          <w:rFonts w:hint="default" w:ascii="Times New Roman" w:hAnsi="Times New Roman" w:eastAsia="宋体" w:cs="Times New Roman"/>
          <w:b/>
          <w:color w:val="auto"/>
          <w:sz w:val="30"/>
          <w:szCs w:val="30"/>
          <w:u w:val="thick"/>
        </w:rPr>
        <w:t xml:space="preserve"> </w:t>
      </w:r>
    </w:p>
    <w:p w14:paraId="2B883278">
      <w:pPr>
        <w:spacing w:line="360" w:lineRule="auto"/>
        <w:rPr>
          <w:rFonts w:hint="default" w:ascii="Times New Roman" w:hAnsi="Times New Roman" w:cs="Times New Roman"/>
          <w:b/>
          <w:color w:val="auto"/>
          <w:sz w:val="30"/>
          <w:szCs w:val="30"/>
          <w:u w:val="single"/>
        </w:rPr>
        <w:sectPr>
          <w:headerReference r:id="rId3" w:type="default"/>
          <w:pgSz w:w="11906" w:h="16838"/>
          <w:pgMar w:top="1797" w:right="1440" w:bottom="1797" w:left="1440" w:header="851" w:footer="992" w:gutter="0"/>
          <w:pgBorders>
            <w:top w:val="none" w:sz="0" w:space="0"/>
            <w:left w:val="none" w:sz="0" w:space="0"/>
            <w:bottom w:val="none" w:sz="0" w:space="0"/>
            <w:right w:val="none" w:sz="0" w:space="0"/>
          </w:pgBorders>
          <w:cols w:space="425" w:num="1"/>
          <w:docGrid w:type="linesAndChars" w:linePitch="312" w:charSpace="0"/>
        </w:sectPr>
      </w:pPr>
      <w:r>
        <w:rPr>
          <w:rFonts w:hint="default" w:ascii="Times New Roman" w:hAnsi="Times New Roman" w:eastAsia="宋体" w:cs="Times New Roman"/>
          <w:b/>
          <w:color w:val="auto"/>
          <w:sz w:val="30"/>
          <w:szCs w:val="30"/>
        </w:rPr>
        <w:t>电子邮箱：</w:t>
      </w:r>
      <w:r>
        <w:rPr>
          <w:rFonts w:hint="default" w:ascii="Times New Roman" w:hAnsi="Times New Roman" w:eastAsia="宋体" w:cs="Times New Roman"/>
          <w:b/>
          <w:color w:val="auto"/>
          <w:sz w:val="30"/>
          <w:szCs w:val="30"/>
          <w:highlight w:val="none"/>
          <w:u w:val="single"/>
          <w:lang w:val="en-US" w:eastAsia="zh-CN"/>
        </w:rPr>
        <w:t xml:space="preserve"> </w:t>
      </w:r>
      <w:r>
        <w:rPr>
          <w:rFonts w:hint="eastAsia" w:ascii="Times New Roman" w:hAnsi="Times New Roman" w:eastAsia="宋体" w:cs="Times New Roman"/>
          <w:b/>
          <w:color w:val="auto"/>
          <w:sz w:val="30"/>
          <w:szCs w:val="30"/>
          <w:highlight w:val="none"/>
          <w:u w:val="single"/>
          <w:lang w:val="en-US" w:eastAsia="zh-CN"/>
        </w:rPr>
        <w:t xml:space="preserve">        /       </w:t>
      </w:r>
      <w:r>
        <w:rPr>
          <w:rFonts w:hint="default" w:ascii="Times New Roman" w:hAnsi="Times New Roman" w:eastAsia="宋体" w:cs="Times New Roman"/>
          <w:b/>
          <w:color w:val="auto"/>
          <w:sz w:val="30"/>
          <w:szCs w:val="30"/>
          <w:highlight w:val="none"/>
          <w:u w:val="single"/>
          <w:lang w:val="en-US" w:eastAsia="zh-CN"/>
        </w:rPr>
        <w:t xml:space="preserve"> </w:t>
      </w:r>
      <w:r>
        <w:rPr>
          <w:rFonts w:hint="default" w:ascii="Times New Roman" w:hAnsi="Times New Roman" w:eastAsia="宋体" w:cs="Times New Roman"/>
          <w:b/>
          <w:color w:val="auto"/>
          <w:sz w:val="30"/>
          <w:szCs w:val="30"/>
          <w:u w:val="single"/>
        </w:rPr>
        <w:t xml:space="preserve"> </w:t>
      </w:r>
      <w:r>
        <w:rPr>
          <w:rFonts w:hint="default" w:ascii="Times New Roman" w:hAnsi="Times New Roman" w:eastAsia="宋体" w:cs="Times New Roman"/>
          <w:b/>
          <w:color w:val="auto"/>
          <w:sz w:val="30"/>
          <w:szCs w:val="30"/>
        </w:rPr>
        <w:t>联系电话：</w:t>
      </w:r>
      <w:r>
        <w:rPr>
          <w:rFonts w:hint="default" w:ascii="Times New Roman" w:hAnsi="Times New Roman" w:eastAsia="宋体" w:cs="Times New Roman"/>
          <w:b w:val="0"/>
          <w:bCs/>
          <w:color w:val="auto"/>
          <w:sz w:val="30"/>
          <w:szCs w:val="30"/>
          <w:u w:val="single"/>
        </w:rPr>
        <w:t xml:space="preserve">  </w:t>
      </w:r>
      <w:r>
        <w:rPr>
          <w:rFonts w:hint="default" w:ascii="Times New Roman" w:hAnsi="Times New Roman" w:eastAsia="宋体" w:cs="Times New Roman"/>
          <w:b/>
          <w:bCs w:val="0"/>
          <w:color w:val="auto"/>
          <w:sz w:val="30"/>
          <w:szCs w:val="30"/>
          <w:u w:val="single"/>
          <w:lang w:val="en-US" w:eastAsia="zh-CN"/>
        </w:rPr>
        <w:t xml:space="preserve"> </w:t>
      </w:r>
      <w:r>
        <w:rPr>
          <w:rFonts w:hint="default" w:ascii="Times New Roman" w:hAnsi="Times New Roman" w:eastAsia="宋体" w:cs="Times New Roman"/>
          <w:b/>
          <w:bCs w:val="0"/>
          <w:color w:val="auto"/>
          <w:sz w:val="30"/>
          <w:szCs w:val="30"/>
          <w:highlight w:val="none"/>
          <w:u w:val="single"/>
          <w:lang w:val="en-US" w:eastAsia="zh-CN"/>
        </w:rPr>
        <w:t xml:space="preserve"> 13805648871</w:t>
      </w:r>
      <w:r>
        <w:rPr>
          <w:rFonts w:hint="eastAsia" w:ascii="Times New Roman" w:hAnsi="Times New Roman" w:eastAsia="宋体" w:cs="Times New Roman"/>
          <w:b/>
          <w:bCs w:val="0"/>
          <w:color w:val="auto"/>
          <w:sz w:val="30"/>
          <w:szCs w:val="30"/>
          <w:highlight w:val="none"/>
          <w:u w:val="single"/>
          <w:lang w:val="en-US" w:eastAsia="zh-CN"/>
        </w:rPr>
        <w:t xml:space="preserve"> </w:t>
      </w:r>
      <w:r>
        <w:rPr>
          <w:rFonts w:hint="default" w:ascii="Times New Roman" w:hAnsi="Times New Roman" w:eastAsia="宋体" w:cs="Times New Roman"/>
          <w:b/>
          <w:bCs w:val="0"/>
          <w:color w:val="auto"/>
          <w:sz w:val="30"/>
          <w:szCs w:val="30"/>
          <w:highlight w:val="none"/>
          <w:u w:val="single"/>
          <w:lang w:val="en-US" w:eastAsia="zh-CN"/>
        </w:rPr>
        <w:t xml:space="preserve"> </w:t>
      </w:r>
      <w:r>
        <w:rPr>
          <w:rFonts w:hint="default" w:ascii="Times New Roman" w:hAnsi="Times New Roman" w:cs="Times New Roman"/>
          <w:b w:val="0"/>
          <w:bCs/>
          <w:color w:val="auto"/>
          <w:sz w:val="30"/>
          <w:szCs w:val="30"/>
          <w:highlight w:val="none"/>
          <w:u w:val="single"/>
        </w:rPr>
        <w:t xml:space="preserve"> </w:t>
      </w:r>
      <w:r>
        <w:rPr>
          <w:rFonts w:hint="default" w:ascii="Times New Roman" w:hAnsi="Times New Roman" w:cs="Times New Roman"/>
          <w:b/>
          <w:color w:val="auto"/>
          <w:sz w:val="30"/>
          <w:szCs w:val="30"/>
          <w:u w:val="single"/>
        </w:rPr>
        <w:t xml:space="preserve">  </w:t>
      </w:r>
    </w:p>
    <w:p w14:paraId="1B8CE0DE">
      <w:pPr>
        <w:spacing w:after="156" w:afterLines="50" w:line="360" w:lineRule="auto"/>
        <w:ind w:firstLine="640" w:firstLineChars="200"/>
        <w:jc w:val="center"/>
        <w:rPr>
          <w:rFonts w:hint="default" w:ascii="Times New Roman" w:hAnsi="Times New Roman" w:eastAsia="宋体" w:cs="Times New Roman"/>
          <w:b/>
          <w:color w:val="auto"/>
          <w:sz w:val="32"/>
          <w:szCs w:val="32"/>
        </w:rPr>
      </w:pPr>
      <w:r>
        <w:rPr>
          <w:rFonts w:hint="default" w:ascii="Times New Roman" w:hAnsi="Times New Roman" w:eastAsia="宋体" w:cs="Times New Roman"/>
          <w:b/>
          <w:color w:val="auto"/>
          <w:sz w:val="32"/>
          <w:szCs w:val="32"/>
        </w:rPr>
        <w:t>填表说明</w:t>
      </w:r>
    </w:p>
    <w:p w14:paraId="7174EB7F">
      <w:pPr>
        <w:spacing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1.此环境影响报告表按照《辐射环境保护管理导则 核技术利用建设项目环境影响评价文件的内容和格式》（HJ10.1-2016）的要求进行编制；</w:t>
      </w:r>
    </w:p>
    <w:p w14:paraId="33A6DA82">
      <w:pPr>
        <w:spacing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2.以下核技术利用建设项目需填报此环境影响报告表：</w:t>
      </w:r>
    </w:p>
    <w:p w14:paraId="754D3117">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1）制备PET用放射性药物的；</w:t>
      </w:r>
    </w:p>
    <w:p w14:paraId="42A57598">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2）医疗使用Ⅰ类放射源的；</w:t>
      </w:r>
    </w:p>
    <w:p w14:paraId="2E3585BA">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3）使用Ⅱ类、Ⅲ类放射源的；</w:t>
      </w:r>
    </w:p>
    <w:p w14:paraId="440B883C">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4）生产、使用Ⅱ类射线装置的；</w:t>
      </w:r>
    </w:p>
    <w:p w14:paraId="3485C0F3">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5）乙、丙级非密封放射性物质工作场所（医疗机构使用植入治疗用放射性粒子源的除外）；</w:t>
      </w:r>
    </w:p>
    <w:p w14:paraId="771F29D0">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6）在野外进行放射性同位素示踪试验的；</w:t>
      </w:r>
    </w:p>
    <w:p w14:paraId="79C04341">
      <w:pPr>
        <w:widowControl w:val="0"/>
        <w:spacing w:line="360" w:lineRule="auto"/>
        <w:ind w:left="420" w:leftChars="200"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以上项目的改、扩建（不含在已许可场所增加不超出已许可活动种类和不高于已许可范围等级的核素或射线装置的）。</w:t>
      </w:r>
    </w:p>
    <w:p w14:paraId="7F4BD229">
      <w:pPr>
        <w:spacing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放射源分类见《关于发布放射源分类办法的公告》（国家环境保护总局公告2005年第62号），射线装置的分类见《关于发布射线装置分类的公告》（环境保护部和国家卫生和计划生育委员会公告2017年第66号）。</w:t>
      </w:r>
    </w:p>
    <w:p w14:paraId="662E7EC0">
      <w:pPr>
        <w:spacing w:line="360" w:lineRule="auto"/>
        <w:ind w:firstLine="560" w:firstLineChars="200"/>
        <w:rPr>
          <w:rFonts w:hint="default" w:ascii="Times New Roman" w:hAnsi="Times New Roman" w:eastAsia="宋体" w:cs="Times New Roman"/>
          <w:color w:val="auto"/>
          <w:sz w:val="28"/>
          <w:szCs w:val="28"/>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AndChars" w:linePitch="312" w:charSpace="0"/>
        </w:sectPr>
      </w:pPr>
      <w:r>
        <w:rPr>
          <w:rFonts w:hint="default" w:ascii="Times New Roman" w:hAnsi="Times New Roman" w:eastAsia="宋体" w:cs="Times New Roman"/>
          <w:color w:val="auto"/>
          <w:sz w:val="28"/>
          <w:szCs w:val="28"/>
        </w:rPr>
        <w:t>3.此环境影响报告表中当量剂量与有效剂量等效使用。</w:t>
      </w:r>
    </w:p>
    <w:sdt>
      <w:sdtPr>
        <w:rPr>
          <w:rFonts w:hint="default" w:ascii="Times New Roman" w:hAnsi="Times New Roman" w:eastAsia="宋体" w:cs="Times New Roman"/>
          <w:color w:val="auto"/>
          <w:kern w:val="2"/>
          <w:sz w:val="44"/>
          <w:szCs w:val="44"/>
          <w:lang w:val="en-US" w:eastAsia="zh-CN" w:bidi="ar-SA"/>
        </w:rPr>
        <w:id w:val="147454013"/>
        <w15:color w:val="DBDBDB"/>
        <w:docPartObj>
          <w:docPartGallery w:val="Table of Contents"/>
          <w:docPartUnique/>
        </w:docPartObj>
      </w:sdtPr>
      <w:sdtEndPr>
        <w:rPr>
          <w:rFonts w:hint="default" w:asciiTheme="minorAscii" w:hAnsiTheme="minorAscii" w:eastAsiaTheme="minorEastAsia" w:cstheme="minorBidi"/>
          <w:color w:val="auto"/>
          <w:kern w:val="2"/>
          <w:sz w:val="21"/>
          <w:szCs w:val="22"/>
          <w:lang w:val="en-US" w:eastAsia="zh-CN" w:bidi="ar-SA"/>
        </w:rPr>
      </w:sdtEndPr>
      <w:sdtContent>
        <w:p w14:paraId="710A39E3">
          <w:pPr>
            <w:spacing w:before="0" w:beforeLines="0" w:after="0" w:afterLines="0" w:line="240" w:lineRule="auto"/>
            <w:ind w:left="0" w:leftChars="0" w:right="0" w:rightChars="0" w:firstLine="880" w:firstLineChars="200"/>
            <w:jc w:val="center"/>
            <w:rPr>
              <w:b/>
              <w:bCs/>
              <w:color w:val="auto"/>
              <w:sz w:val="44"/>
              <w:szCs w:val="44"/>
            </w:rPr>
          </w:pPr>
          <w:r>
            <w:rPr>
              <w:rFonts w:ascii="宋体" w:hAnsi="宋体" w:eastAsia="宋体"/>
              <w:b/>
              <w:bCs/>
              <w:color w:val="auto"/>
              <w:sz w:val="44"/>
              <w:szCs w:val="44"/>
            </w:rPr>
            <w:t>目</w:t>
          </w:r>
          <w:r>
            <w:rPr>
              <w:rFonts w:hint="eastAsia" w:ascii="宋体" w:hAnsi="宋体" w:eastAsia="宋体"/>
              <w:b/>
              <w:bCs/>
              <w:color w:val="auto"/>
              <w:sz w:val="44"/>
              <w:szCs w:val="44"/>
              <w:lang w:val="en-US" w:eastAsia="zh-CN"/>
            </w:rPr>
            <w:t xml:space="preserve"> </w:t>
          </w:r>
          <w:r>
            <w:rPr>
              <w:rFonts w:ascii="宋体" w:hAnsi="宋体" w:eastAsia="宋体"/>
              <w:b/>
              <w:bCs/>
              <w:color w:val="auto"/>
              <w:sz w:val="44"/>
              <w:szCs w:val="44"/>
            </w:rPr>
            <w:t>录</w:t>
          </w:r>
        </w:p>
        <w:p w14:paraId="4B0A9FDF">
          <w:pPr>
            <w:pStyle w:val="33"/>
            <w:tabs>
              <w:tab w:val="right" w:leader="dot" w:pos="9746"/>
            </w:tabs>
            <w:ind w:firstLine="560" w:firstLineChars="200"/>
            <w:rPr>
              <w:rFonts w:hint="default" w:ascii="Times New Roman" w:hAnsi="Times New Roman" w:cs="Times New Roman"/>
              <w:color w:val="auto"/>
              <w:sz w:val="28"/>
              <w:szCs w:val="28"/>
            </w:rPr>
          </w:pPr>
          <w:r>
            <w:rPr>
              <w:color w:val="auto"/>
              <w:sz w:val="28"/>
              <w:szCs w:val="28"/>
            </w:rPr>
            <w:fldChar w:fldCharType="begin"/>
          </w:r>
          <w:r>
            <w:rPr>
              <w:color w:val="auto"/>
              <w:sz w:val="28"/>
              <w:szCs w:val="28"/>
            </w:rPr>
            <w:instrText xml:space="preserve">TOC \o "1-1" \h \u </w:instrText>
          </w:r>
          <w:r>
            <w:rPr>
              <w:color w:val="auto"/>
              <w:sz w:val="28"/>
              <w:szCs w:val="28"/>
            </w:rPr>
            <w:fldChar w:fldCharType="separate"/>
          </w:r>
          <w:r>
            <w:rPr>
              <w:rFonts w:hint="default" w:ascii="Times New Roman" w:hAnsi="Times New Roman" w:cs="Times New Roman"/>
              <w:color w:val="auto"/>
              <w:sz w:val="28"/>
              <w:szCs w:val="28"/>
            </w:rPr>
            <w:fldChar w:fldCharType="begin"/>
          </w:r>
          <w:r>
            <w:rPr>
              <w:rFonts w:hint="default" w:ascii="Times New Roman" w:hAnsi="Times New Roman" w:cs="Times New Roman"/>
              <w:color w:val="auto"/>
              <w:sz w:val="28"/>
              <w:szCs w:val="28"/>
            </w:rPr>
            <w:instrText xml:space="preserve"> HYPERLINK \l _Toc19979 </w:instrText>
          </w:r>
          <w:r>
            <w:rPr>
              <w:rFonts w:hint="default" w:ascii="Times New Roman" w:hAnsi="Times New Roman" w:cs="Times New Roman"/>
              <w:color w:val="auto"/>
              <w:sz w:val="28"/>
              <w:szCs w:val="28"/>
            </w:rPr>
            <w:fldChar w:fldCharType="separate"/>
          </w:r>
          <w:r>
            <w:rPr>
              <w:rFonts w:hint="default" w:ascii="Times New Roman" w:hAnsi="Times New Roman" w:cs="Times New Roman"/>
              <w:color w:val="auto"/>
              <w:sz w:val="28"/>
              <w:szCs w:val="28"/>
            </w:rPr>
            <w:t>表1 项目基本情况</w:t>
          </w:r>
          <w:r>
            <w:rPr>
              <w:rFonts w:hint="default" w:ascii="Times New Roman" w:hAnsi="Times New Roman" w:cs="Times New Roman"/>
              <w:color w:val="auto"/>
              <w:sz w:val="28"/>
              <w:szCs w:val="28"/>
            </w:rPr>
            <w:tab/>
          </w:r>
          <w:r>
            <w:rPr>
              <w:rFonts w:hint="default" w:ascii="Times New Roman" w:hAnsi="Times New Roman" w:cs="Times New Roman"/>
              <w:color w:val="auto"/>
              <w:sz w:val="28"/>
              <w:szCs w:val="28"/>
            </w:rPr>
            <w:fldChar w:fldCharType="begin"/>
          </w:r>
          <w:r>
            <w:rPr>
              <w:rFonts w:hint="default" w:ascii="Times New Roman" w:hAnsi="Times New Roman" w:cs="Times New Roman"/>
              <w:color w:val="auto"/>
              <w:sz w:val="28"/>
              <w:szCs w:val="28"/>
            </w:rPr>
            <w:instrText xml:space="preserve"> PAGEREF _Toc19979 \h </w:instrText>
          </w:r>
          <w:r>
            <w:rPr>
              <w:rFonts w:hint="default" w:ascii="Times New Roman" w:hAnsi="Times New Roman" w:cs="Times New Roman"/>
              <w:color w:val="auto"/>
              <w:sz w:val="28"/>
              <w:szCs w:val="28"/>
            </w:rPr>
            <w:fldChar w:fldCharType="separate"/>
          </w:r>
          <w:r>
            <w:rPr>
              <w:rFonts w:hint="default" w:ascii="Times New Roman" w:hAnsi="Times New Roman" w:cs="Times New Roman"/>
              <w:color w:val="auto"/>
              <w:sz w:val="28"/>
              <w:szCs w:val="28"/>
            </w:rPr>
            <w:t>1</w:t>
          </w:r>
          <w:r>
            <w:rPr>
              <w:rFonts w:hint="default" w:ascii="Times New Roman" w:hAnsi="Times New Roman" w:cs="Times New Roman"/>
              <w:color w:val="auto"/>
              <w:sz w:val="28"/>
              <w:szCs w:val="28"/>
            </w:rPr>
            <w:fldChar w:fldCharType="end"/>
          </w:r>
          <w:r>
            <w:rPr>
              <w:rFonts w:hint="default" w:ascii="Times New Roman" w:hAnsi="Times New Roman" w:cs="Times New Roman"/>
              <w:color w:val="auto"/>
              <w:sz w:val="28"/>
              <w:szCs w:val="28"/>
            </w:rPr>
            <w:fldChar w:fldCharType="end"/>
          </w:r>
        </w:p>
        <w:p w14:paraId="2DA467E2">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_Toc20432 </w:instrText>
          </w:r>
          <w:r>
            <w:rPr>
              <w:color w:val="auto"/>
              <w:sz w:val="28"/>
              <w:szCs w:val="28"/>
            </w:rPr>
            <w:fldChar w:fldCharType="separate"/>
          </w:r>
          <w:r>
            <w:rPr>
              <w:rFonts w:ascii="Times New Roman" w:hAnsi="Times New Roman" w:eastAsia="宋体" w:cs="Times New Roman"/>
              <w:bCs/>
              <w:color w:val="auto"/>
              <w:kern w:val="44"/>
              <w:sz w:val="28"/>
              <w:szCs w:val="28"/>
              <w:lang w:val="en-US" w:eastAsia="zh-CN" w:bidi="ar-SA"/>
            </w:rPr>
            <w:t xml:space="preserve">表2 </w:t>
          </w:r>
          <w:r>
            <w:rPr>
              <w:rFonts w:hint="eastAsia" w:ascii="Times New Roman" w:hAnsi="Times New Roman" w:eastAsia="宋体" w:cs="Times New Roman"/>
              <w:bCs/>
              <w:color w:val="auto"/>
              <w:kern w:val="44"/>
              <w:sz w:val="28"/>
              <w:szCs w:val="28"/>
              <w:lang w:val="en-US" w:eastAsia="zh-CN" w:bidi="ar-SA"/>
            </w:rPr>
            <w:t>放射源</w:t>
          </w:r>
          <w:r>
            <w:rPr>
              <w:color w:val="auto"/>
              <w:sz w:val="28"/>
              <w:szCs w:val="28"/>
            </w:rPr>
            <w:tab/>
          </w:r>
          <w:r>
            <w:rPr>
              <w:color w:val="auto"/>
              <w:sz w:val="28"/>
              <w:szCs w:val="28"/>
            </w:rPr>
            <w:fldChar w:fldCharType="begin"/>
          </w:r>
          <w:r>
            <w:rPr>
              <w:color w:val="auto"/>
              <w:sz w:val="28"/>
              <w:szCs w:val="28"/>
            </w:rPr>
            <w:instrText xml:space="preserve"> PAGEREF _Toc20432 \h </w:instrText>
          </w:r>
          <w:r>
            <w:rPr>
              <w:color w:val="auto"/>
              <w:sz w:val="28"/>
              <w:szCs w:val="28"/>
            </w:rPr>
            <w:fldChar w:fldCharType="separate"/>
          </w:r>
          <w:r>
            <w:rPr>
              <w:color w:val="auto"/>
              <w:sz w:val="28"/>
              <w:szCs w:val="28"/>
            </w:rPr>
            <w:t>15</w:t>
          </w:r>
          <w:r>
            <w:rPr>
              <w:color w:val="auto"/>
              <w:sz w:val="28"/>
              <w:szCs w:val="28"/>
            </w:rPr>
            <w:fldChar w:fldCharType="end"/>
          </w:r>
          <w:r>
            <w:rPr>
              <w:color w:val="auto"/>
              <w:sz w:val="28"/>
              <w:szCs w:val="28"/>
            </w:rPr>
            <w:fldChar w:fldCharType="end"/>
          </w:r>
        </w:p>
        <w:p w14:paraId="5FDA3E4D">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_Toc27448 </w:instrText>
          </w:r>
          <w:r>
            <w:rPr>
              <w:color w:val="auto"/>
              <w:sz w:val="28"/>
              <w:szCs w:val="28"/>
            </w:rPr>
            <w:fldChar w:fldCharType="separate"/>
          </w:r>
          <w:r>
            <w:rPr>
              <w:rFonts w:ascii="Times New Roman" w:hAnsi="Times New Roman" w:eastAsia="宋体" w:cs="Times New Roman"/>
              <w:bCs/>
              <w:color w:val="auto"/>
              <w:kern w:val="44"/>
              <w:sz w:val="28"/>
              <w:szCs w:val="28"/>
              <w:lang w:val="en-US" w:eastAsia="zh-CN" w:bidi="ar-SA"/>
            </w:rPr>
            <w:t xml:space="preserve">表3 </w:t>
          </w:r>
          <w:r>
            <w:rPr>
              <w:rFonts w:hint="eastAsia" w:ascii="Times New Roman" w:hAnsi="Times New Roman" w:eastAsia="宋体" w:cs="Times New Roman"/>
              <w:bCs/>
              <w:color w:val="auto"/>
              <w:kern w:val="44"/>
              <w:sz w:val="28"/>
              <w:szCs w:val="28"/>
              <w:lang w:val="en-US" w:eastAsia="zh-CN" w:bidi="ar-SA"/>
            </w:rPr>
            <w:t>非密封放射性物质</w:t>
          </w:r>
          <w:r>
            <w:rPr>
              <w:color w:val="auto"/>
              <w:sz w:val="28"/>
              <w:szCs w:val="28"/>
            </w:rPr>
            <w:tab/>
          </w:r>
          <w:r>
            <w:rPr>
              <w:color w:val="auto"/>
              <w:sz w:val="28"/>
              <w:szCs w:val="28"/>
            </w:rPr>
            <w:fldChar w:fldCharType="begin"/>
          </w:r>
          <w:r>
            <w:rPr>
              <w:color w:val="auto"/>
              <w:sz w:val="28"/>
              <w:szCs w:val="28"/>
            </w:rPr>
            <w:instrText xml:space="preserve"> PAGEREF _Toc27448 \h </w:instrText>
          </w:r>
          <w:r>
            <w:rPr>
              <w:color w:val="auto"/>
              <w:sz w:val="28"/>
              <w:szCs w:val="28"/>
            </w:rPr>
            <w:fldChar w:fldCharType="separate"/>
          </w:r>
          <w:r>
            <w:rPr>
              <w:color w:val="auto"/>
              <w:sz w:val="28"/>
              <w:szCs w:val="28"/>
            </w:rPr>
            <w:t>15</w:t>
          </w:r>
          <w:r>
            <w:rPr>
              <w:color w:val="auto"/>
              <w:sz w:val="28"/>
              <w:szCs w:val="28"/>
            </w:rPr>
            <w:fldChar w:fldCharType="end"/>
          </w:r>
          <w:r>
            <w:rPr>
              <w:color w:val="auto"/>
              <w:sz w:val="28"/>
              <w:szCs w:val="28"/>
            </w:rPr>
            <w:fldChar w:fldCharType="end"/>
          </w:r>
        </w:p>
        <w:p w14:paraId="08EBDF46">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_Toc15180 </w:instrText>
          </w:r>
          <w:r>
            <w:rPr>
              <w:color w:val="auto"/>
              <w:sz w:val="28"/>
              <w:szCs w:val="28"/>
            </w:rPr>
            <w:fldChar w:fldCharType="separate"/>
          </w:r>
          <w:r>
            <w:rPr>
              <w:rFonts w:ascii="Times New Roman" w:hAnsi="Times New Roman" w:eastAsia="宋体" w:cs="Times New Roman"/>
              <w:bCs/>
              <w:color w:val="auto"/>
              <w:kern w:val="44"/>
              <w:sz w:val="28"/>
              <w:szCs w:val="28"/>
              <w:lang w:val="en-US" w:eastAsia="zh-CN" w:bidi="ar-SA"/>
            </w:rPr>
            <w:t xml:space="preserve">表4 </w:t>
          </w:r>
          <w:r>
            <w:rPr>
              <w:rFonts w:hint="eastAsia" w:ascii="Times New Roman" w:hAnsi="Times New Roman" w:eastAsia="宋体" w:cs="Times New Roman"/>
              <w:bCs/>
              <w:color w:val="auto"/>
              <w:kern w:val="44"/>
              <w:sz w:val="28"/>
              <w:szCs w:val="28"/>
              <w:lang w:val="en-US" w:eastAsia="zh-CN" w:bidi="ar-SA"/>
            </w:rPr>
            <w:t>射线装置</w:t>
          </w:r>
          <w:r>
            <w:rPr>
              <w:color w:val="auto"/>
              <w:sz w:val="28"/>
              <w:szCs w:val="28"/>
            </w:rPr>
            <w:tab/>
          </w:r>
          <w:r>
            <w:rPr>
              <w:color w:val="auto"/>
              <w:sz w:val="28"/>
              <w:szCs w:val="28"/>
            </w:rPr>
            <w:fldChar w:fldCharType="begin"/>
          </w:r>
          <w:r>
            <w:rPr>
              <w:color w:val="auto"/>
              <w:sz w:val="28"/>
              <w:szCs w:val="28"/>
            </w:rPr>
            <w:instrText xml:space="preserve"> PAGEREF _Toc15180 \h </w:instrText>
          </w:r>
          <w:r>
            <w:rPr>
              <w:color w:val="auto"/>
              <w:sz w:val="28"/>
              <w:szCs w:val="28"/>
            </w:rPr>
            <w:fldChar w:fldCharType="separate"/>
          </w:r>
          <w:r>
            <w:rPr>
              <w:color w:val="auto"/>
              <w:sz w:val="28"/>
              <w:szCs w:val="28"/>
            </w:rPr>
            <w:t>16</w:t>
          </w:r>
          <w:r>
            <w:rPr>
              <w:color w:val="auto"/>
              <w:sz w:val="28"/>
              <w:szCs w:val="28"/>
            </w:rPr>
            <w:fldChar w:fldCharType="end"/>
          </w:r>
          <w:r>
            <w:rPr>
              <w:color w:val="auto"/>
              <w:sz w:val="28"/>
              <w:szCs w:val="28"/>
            </w:rPr>
            <w:fldChar w:fldCharType="end"/>
          </w:r>
        </w:p>
        <w:p w14:paraId="7C180B3E">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_Toc5850 </w:instrText>
          </w:r>
          <w:r>
            <w:rPr>
              <w:color w:val="auto"/>
              <w:sz w:val="28"/>
              <w:szCs w:val="28"/>
            </w:rPr>
            <w:fldChar w:fldCharType="separate"/>
          </w:r>
          <w:r>
            <w:rPr>
              <w:color w:val="auto"/>
              <w:sz w:val="28"/>
              <w:szCs w:val="28"/>
            </w:rPr>
            <w:t xml:space="preserve">表5 </w:t>
          </w:r>
          <w:r>
            <w:rPr>
              <w:rFonts w:hint="eastAsia"/>
              <w:color w:val="auto"/>
              <w:sz w:val="28"/>
              <w:szCs w:val="28"/>
            </w:rPr>
            <w:t>废弃物（重点是放射性废弃物）</w:t>
          </w:r>
          <w:r>
            <w:rPr>
              <w:color w:val="auto"/>
              <w:sz w:val="28"/>
              <w:szCs w:val="28"/>
            </w:rPr>
            <w:tab/>
          </w:r>
          <w:r>
            <w:rPr>
              <w:color w:val="auto"/>
              <w:sz w:val="28"/>
              <w:szCs w:val="28"/>
            </w:rPr>
            <w:fldChar w:fldCharType="begin"/>
          </w:r>
          <w:r>
            <w:rPr>
              <w:color w:val="auto"/>
              <w:sz w:val="28"/>
              <w:szCs w:val="28"/>
            </w:rPr>
            <w:instrText xml:space="preserve"> PAGEREF _Toc5850 \h </w:instrText>
          </w:r>
          <w:r>
            <w:rPr>
              <w:color w:val="auto"/>
              <w:sz w:val="28"/>
              <w:szCs w:val="28"/>
            </w:rPr>
            <w:fldChar w:fldCharType="separate"/>
          </w:r>
          <w:r>
            <w:rPr>
              <w:color w:val="auto"/>
              <w:sz w:val="28"/>
              <w:szCs w:val="28"/>
            </w:rPr>
            <w:t>17</w:t>
          </w:r>
          <w:r>
            <w:rPr>
              <w:color w:val="auto"/>
              <w:sz w:val="28"/>
              <w:szCs w:val="28"/>
            </w:rPr>
            <w:fldChar w:fldCharType="end"/>
          </w:r>
          <w:r>
            <w:rPr>
              <w:color w:val="auto"/>
              <w:sz w:val="28"/>
              <w:szCs w:val="28"/>
            </w:rPr>
            <w:fldChar w:fldCharType="end"/>
          </w:r>
        </w:p>
        <w:p w14:paraId="3A806011">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_Toc18627 </w:instrText>
          </w:r>
          <w:r>
            <w:rPr>
              <w:color w:val="auto"/>
              <w:sz w:val="28"/>
              <w:szCs w:val="28"/>
            </w:rPr>
            <w:fldChar w:fldCharType="separate"/>
          </w:r>
          <w:r>
            <w:rPr>
              <w:color w:val="auto"/>
              <w:sz w:val="28"/>
              <w:szCs w:val="28"/>
            </w:rPr>
            <w:t xml:space="preserve">表6 </w:t>
          </w:r>
          <w:r>
            <w:rPr>
              <w:rFonts w:hint="eastAsia"/>
              <w:color w:val="auto"/>
              <w:sz w:val="28"/>
              <w:szCs w:val="28"/>
            </w:rPr>
            <w:t>评价依据</w:t>
          </w:r>
          <w:r>
            <w:rPr>
              <w:color w:val="auto"/>
              <w:sz w:val="28"/>
              <w:szCs w:val="28"/>
            </w:rPr>
            <w:tab/>
          </w:r>
          <w:r>
            <w:rPr>
              <w:color w:val="auto"/>
              <w:sz w:val="28"/>
              <w:szCs w:val="28"/>
            </w:rPr>
            <w:fldChar w:fldCharType="begin"/>
          </w:r>
          <w:r>
            <w:rPr>
              <w:color w:val="auto"/>
              <w:sz w:val="28"/>
              <w:szCs w:val="28"/>
            </w:rPr>
            <w:instrText xml:space="preserve"> PAGEREF _Toc18627 \h </w:instrText>
          </w:r>
          <w:r>
            <w:rPr>
              <w:color w:val="auto"/>
              <w:sz w:val="28"/>
              <w:szCs w:val="28"/>
            </w:rPr>
            <w:fldChar w:fldCharType="separate"/>
          </w:r>
          <w:r>
            <w:rPr>
              <w:color w:val="auto"/>
              <w:sz w:val="28"/>
              <w:szCs w:val="28"/>
            </w:rPr>
            <w:t>18</w:t>
          </w:r>
          <w:r>
            <w:rPr>
              <w:color w:val="auto"/>
              <w:sz w:val="28"/>
              <w:szCs w:val="28"/>
            </w:rPr>
            <w:fldChar w:fldCharType="end"/>
          </w:r>
          <w:r>
            <w:rPr>
              <w:color w:val="auto"/>
              <w:sz w:val="28"/>
              <w:szCs w:val="28"/>
            </w:rPr>
            <w:fldChar w:fldCharType="end"/>
          </w:r>
        </w:p>
        <w:p w14:paraId="0C3FF310">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_Toc11644 </w:instrText>
          </w:r>
          <w:r>
            <w:rPr>
              <w:color w:val="auto"/>
              <w:sz w:val="28"/>
              <w:szCs w:val="28"/>
            </w:rPr>
            <w:fldChar w:fldCharType="separate"/>
          </w:r>
          <w:r>
            <w:rPr>
              <w:rFonts w:ascii="Times New Roman" w:hAnsi="Times New Roman" w:eastAsia="宋体" w:cs="Times New Roman"/>
              <w:bCs/>
              <w:color w:val="auto"/>
              <w:kern w:val="44"/>
              <w:sz w:val="28"/>
              <w:szCs w:val="28"/>
              <w:lang w:val="en-US" w:eastAsia="zh-CN" w:bidi="ar-SA"/>
            </w:rPr>
            <w:t xml:space="preserve">表7 </w:t>
          </w:r>
          <w:r>
            <w:rPr>
              <w:rFonts w:hint="eastAsia" w:ascii="Times New Roman" w:hAnsi="Times New Roman" w:eastAsia="宋体" w:cs="Times New Roman"/>
              <w:bCs/>
              <w:color w:val="auto"/>
              <w:kern w:val="44"/>
              <w:sz w:val="28"/>
              <w:szCs w:val="28"/>
              <w:lang w:val="en-US" w:eastAsia="zh-CN" w:bidi="ar-SA"/>
            </w:rPr>
            <w:t>保护目标与评价标准</w:t>
          </w:r>
          <w:r>
            <w:rPr>
              <w:color w:val="auto"/>
              <w:sz w:val="28"/>
              <w:szCs w:val="28"/>
            </w:rPr>
            <w:tab/>
          </w:r>
          <w:r>
            <w:rPr>
              <w:color w:val="auto"/>
              <w:sz w:val="28"/>
              <w:szCs w:val="28"/>
            </w:rPr>
            <w:fldChar w:fldCharType="begin"/>
          </w:r>
          <w:r>
            <w:rPr>
              <w:color w:val="auto"/>
              <w:sz w:val="28"/>
              <w:szCs w:val="28"/>
            </w:rPr>
            <w:instrText xml:space="preserve"> PAGEREF _Toc11644 \h </w:instrText>
          </w:r>
          <w:r>
            <w:rPr>
              <w:color w:val="auto"/>
              <w:sz w:val="28"/>
              <w:szCs w:val="28"/>
            </w:rPr>
            <w:fldChar w:fldCharType="separate"/>
          </w:r>
          <w:r>
            <w:rPr>
              <w:color w:val="auto"/>
              <w:sz w:val="28"/>
              <w:szCs w:val="28"/>
            </w:rPr>
            <w:t>20</w:t>
          </w:r>
          <w:r>
            <w:rPr>
              <w:color w:val="auto"/>
              <w:sz w:val="28"/>
              <w:szCs w:val="28"/>
            </w:rPr>
            <w:fldChar w:fldCharType="end"/>
          </w:r>
          <w:r>
            <w:rPr>
              <w:color w:val="auto"/>
              <w:sz w:val="28"/>
              <w:szCs w:val="28"/>
            </w:rPr>
            <w:fldChar w:fldCharType="end"/>
          </w:r>
        </w:p>
        <w:p w14:paraId="57DC8F47">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_Toc30566 </w:instrText>
          </w:r>
          <w:r>
            <w:rPr>
              <w:color w:val="auto"/>
              <w:sz w:val="28"/>
              <w:szCs w:val="28"/>
            </w:rPr>
            <w:fldChar w:fldCharType="separate"/>
          </w:r>
          <w:r>
            <w:rPr>
              <w:color w:val="auto"/>
              <w:sz w:val="28"/>
              <w:szCs w:val="28"/>
            </w:rPr>
            <w:t xml:space="preserve">表8 </w:t>
          </w:r>
          <w:r>
            <w:rPr>
              <w:rFonts w:hint="eastAsia"/>
              <w:color w:val="auto"/>
              <w:sz w:val="28"/>
              <w:szCs w:val="28"/>
            </w:rPr>
            <w:t>环境质量与辐射现状</w:t>
          </w:r>
          <w:r>
            <w:rPr>
              <w:color w:val="auto"/>
              <w:sz w:val="28"/>
              <w:szCs w:val="28"/>
            </w:rPr>
            <w:tab/>
          </w:r>
          <w:r>
            <w:rPr>
              <w:color w:val="auto"/>
              <w:sz w:val="28"/>
              <w:szCs w:val="28"/>
            </w:rPr>
            <w:fldChar w:fldCharType="begin"/>
          </w:r>
          <w:r>
            <w:rPr>
              <w:color w:val="auto"/>
              <w:sz w:val="28"/>
              <w:szCs w:val="28"/>
            </w:rPr>
            <w:instrText xml:space="preserve"> PAGEREF _Toc30566 \h </w:instrText>
          </w:r>
          <w:r>
            <w:rPr>
              <w:color w:val="auto"/>
              <w:sz w:val="28"/>
              <w:szCs w:val="28"/>
            </w:rPr>
            <w:fldChar w:fldCharType="separate"/>
          </w:r>
          <w:r>
            <w:rPr>
              <w:color w:val="auto"/>
              <w:sz w:val="28"/>
              <w:szCs w:val="28"/>
            </w:rPr>
            <w:t>26</w:t>
          </w:r>
          <w:r>
            <w:rPr>
              <w:color w:val="auto"/>
              <w:sz w:val="28"/>
              <w:szCs w:val="28"/>
            </w:rPr>
            <w:fldChar w:fldCharType="end"/>
          </w:r>
          <w:r>
            <w:rPr>
              <w:color w:val="auto"/>
              <w:sz w:val="28"/>
              <w:szCs w:val="28"/>
            </w:rPr>
            <w:fldChar w:fldCharType="end"/>
          </w:r>
        </w:p>
        <w:p w14:paraId="5527F3DA">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_Toc15126 </w:instrText>
          </w:r>
          <w:r>
            <w:rPr>
              <w:color w:val="auto"/>
              <w:sz w:val="28"/>
              <w:szCs w:val="28"/>
            </w:rPr>
            <w:fldChar w:fldCharType="separate"/>
          </w:r>
          <w:r>
            <w:rPr>
              <w:rFonts w:ascii="Times New Roman" w:hAnsi="Times New Roman" w:eastAsia="宋体" w:cs="Times New Roman"/>
              <w:bCs/>
              <w:color w:val="auto"/>
              <w:kern w:val="44"/>
              <w:sz w:val="28"/>
              <w:szCs w:val="28"/>
              <w:lang w:val="en-US" w:eastAsia="zh-CN" w:bidi="ar-SA"/>
            </w:rPr>
            <w:t xml:space="preserve">表9 </w:t>
          </w:r>
          <w:r>
            <w:rPr>
              <w:rFonts w:hint="eastAsia" w:ascii="Times New Roman" w:hAnsi="Times New Roman" w:eastAsia="宋体" w:cs="Times New Roman"/>
              <w:bCs/>
              <w:color w:val="auto"/>
              <w:kern w:val="44"/>
              <w:sz w:val="28"/>
              <w:szCs w:val="28"/>
              <w:lang w:val="en-US" w:eastAsia="zh-CN" w:bidi="ar-SA"/>
            </w:rPr>
            <w:t>项目工程分析与源项</w:t>
          </w:r>
          <w:r>
            <w:rPr>
              <w:color w:val="auto"/>
              <w:sz w:val="28"/>
              <w:szCs w:val="28"/>
            </w:rPr>
            <w:tab/>
          </w:r>
          <w:r>
            <w:rPr>
              <w:color w:val="auto"/>
              <w:sz w:val="28"/>
              <w:szCs w:val="28"/>
            </w:rPr>
            <w:fldChar w:fldCharType="begin"/>
          </w:r>
          <w:r>
            <w:rPr>
              <w:color w:val="auto"/>
              <w:sz w:val="28"/>
              <w:szCs w:val="28"/>
            </w:rPr>
            <w:instrText xml:space="preserve"> PAGEREF _Toc15126 \h </w:instrText>
          </w:r>
          <w:r>
            <w:rPr>
              <w:color w:val="auto"/>
              <w:sz w:val="28"/>
              <w:szCs w:val="28"/>
            </w:rPr>
            <w:fldChar w:fldCharType="separate"/>
          </w:r>
          <w:r>
            <w:rPr>
              <w:color w:val="auto"/>
              <w:sz w:val="28"/>
              <w:szCs w:val="28"/>
            </w:rPr>
            <w:t>31</w:t>
          </w:r>
          <w:r>
            <w:rPr>
              <w:color w:val="auto"/>
              <w:sz w:val="28"/>
              <w:szCs w:val="28"/>
            </w:rPr>
            <w:fldChar w:fldCharType="end"/>
          </w:r>
          <w:r>
            <w:rPr>
              <w:color w:val="auto"/>
              <w:sz w:val="28"/>
              <w:szCs w:val="28"/>
            </w:rPr>
            <w:fldChar w:fldCharType="end"/>
          </w:r>
        </w:p>
        <w:p w14:paraId="176E2E3C">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_Toc11952 </w:instrText>
          </w:r>
          <w:r>
            <w:rPr>
              <w:color w:val="auto"/>
              <w:sz w:val="28"/>
              <w:szCs w:val="28"/>
            </w:rPr>
            <w:fldChar w:fldCharType="separate"/>
          </w:r>
          <w:r>
            <w:rPr>
              <w:color w:val="auto"/>
              <w:sz w:val="28"/>
              <w:szCs w:val="28"/>
            </w:rPr>
            <w:t xml:space="preserve">表10 </w:t>
          </w:r>
          <w:r>
            <w:rPr>
              <w:rFonts w:hint="eastAsia"/>
              <w:color w:val="auto"/>
              <w:sz w:val="28"/>
              <w:szCs w:val="28"/>
            </w:rPr>
            <w:t>辐射安全与防护</w:t>
          </w:r>
          <w:r>
            <w:rPr>
              <w:color w:val="auto"/>
              <w:sz w:val="28"/>
              <w:szCs w:val="28"/>
            </w:rPr>
            <w:tab/>
          </w:r>
          <w:r>
            <w:rPr>
              <w:color w:val="auto"/>
              <w:sz w:val="28"/>
              <w:szCs w:val="28"/>
            </w:rPr>
            <w:fldChar w:fldCharType="begin"/>
          </w:r>
          <w:r>
            <w:rPr>
              <w:color w:val="auto"/>
              <w:sz w:val="28"/>
              <w:szCs w:val="28"/>
            </w:rPr>
            <w:instrText xml:space="preserve"> PAGEREF _Toc11952 \h </w:instrText>
          </w:r>
          <w:r>
            <w:rPr>
              <w:color w:val="auto"/>
              <w:sz w:val="28"/>
              <w:szCs w:val="28"/>
            </w:rPr>
            <w:fldChar w:fldCharType="separate"/>
          </w:r>
          <w:r>
            <w:rPr>
              <w:color w:val="auto"/>
              <w:sz w:val="28"/>
              <w:szCs w:val="28"/>
            </w:rPr>
            <w:t>38</w:t>
          </w:r>
          <w:r>
            <w:rPr>
              <w:color w:val="auto"/>
              <w:sz w:val="28"/>
              <w:szCs w:val="28"/>
            </w:rPr>
            <w:fldChar w:fldCharType="end"/>
          </w:r>
          <w:r>
            <w:rPr>
              <w:color w:val="auto"/>
              <w:sz w:val="28"/>
              <w:szCs w:val="28"/>
            </w:rPr>
            <w:fldChar w:fldCharType="end"/>
          </w:r>
        </w:p>
        <w:p w14:paraId="4583B605">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_Toc28431 </w:instrText>
          </w:r>
          <w:r>
            <w:rPr>
              <w:color w:val="auto"/>
              <w:sz w:val="28"/>
              <w:szCs w:val="28"/>
            </w:rPr>
            <w:fldChar w:fldCharType="separate"/>
          </w:r>
          <w:r>
            <w:rPr>
              <w:color w:val="auto"/>
              <w:sz w:val="28"/>
              <w:szCs w:val="28"/>
            </w:rPr>
            <w:t xml:space="preserve">表11 </w:t>
          </w:r>
          <w:r>
            <w:rPr>
              <w:rFonts w:hint="eastAsia"/>
              <w:color w:val="auto"/>
              <w:sz w:val="28"/>
              <w:szCs w:val="28"/>
            </w:rPr>
            <w:t>环境影响分析</w:t>
          </w:r>
          <w:r>
            <w:rPr>
              <w:color w:val="auto"/>
              <w:sz w:val="28"/>
              <w:szCs w:val="28"/>
            </w:rPr>
            <w:tab/>
          </w:r>
          <w:r>
            <w:rPr>
              <w:color w:val="auto"/>
              <w:sz w:val="28"/>
              <w:szCs w:val="28"/>
            </w:rPr>
            <w:fldChar w:fldCharType="begin"/>
          </w:r>
          <w:r>
            <w:rPr>
              <w:color w:val="auto"/>
              <w:sz w:val="28"/>
              <w:szCs w:val="28"/>
            </w:rPr>
            <w:instrText xml:space="preserve"> PAGEREF _Toc28431 \h </w:instrText>
          </w:r>
          <w:r>
            <w:rPr>
              <w:color w:val="auto"/>
              <w:sz w:val="28"/>
              <w:szCs w:val="28"/>
            </w:rPr>
            <w:fldChar w:fldCharType="separate"/>
          </w:r>
          <w:r>
            <w:rPr>
              <w:color w:val="auto"/>
              <w:sz w:val="28"/>
              <w:szCs w:val="28"/>
            </w:rPr>
            <w:t>42</w:t>
          </w:r>
          <w:r>
            <w:rPr>
              <w:color w:val="auto"/>
              <w:sz w:val="28"/>
              <w:szCs w:val="28"/>
            </w:rPr>
            <w:fldChar w:fldCharType="end"/>
          </w:r>
          <w:r>
            <w:rPr>
              <w:color w:val="auto"/>
              <w:sz w:val="28"/>
              <w:szCs w:val="28"/>
            </w:rPr>
            <w:fldChar w:fldCharType="end"/>
          </w:r>
        </w:p>
        <w:p w14:paraId="1C526AD0">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_Toc5855 </w:instrText>
          </w:r>
          <w:r>
            <w:rPr>
              <w:color w:val="auto"/>
              <w:sz w:val="28"/>
              <w:szCs w:val="28"/>
            </w:rPr>
            <w:fldChar w:fldCharType="separate"/>
          </w:r>
          <w:r>
            <w:rPr>
              <w:color w:val="auto"/>
              <w:sz w:val="28"/>
              <w:szCs w:val="28"/>
            </w:rPr>
            <w:t xml:space="preserve">表12 </w:t>
          </w:r>
          <w:r>
            <w:rPr>
              <w:rFonts w:hint="eastAsia"/>
              <w:color w:val="auto"/>
              <w:sz w:val="28"/>
              <w:szCs w:val="28"/>
            </w:rPr>
            <w:t>辐射安全管理</w:t>
          </w:r>
          <w:r>
            <w:rPr>
              <w:color w:val="auto"/>
              <w:sz w:val="28"/>
              <w:szCs w:val="28"/>
            </w:rPr>
            <w:tab/>
          </w:r>
          <w:r>
            <w:rPr>
              <w:color w:val="auto"/>
              <w:sz w:val="28"/>
              <w:szCs w:val="28"/>
            </w:rPr>
            <w:fldChar w:fldCharType="begin"/>
          </w:r>
          <w:r>
            <w:rPr>
              <w:color w:val="auto"/>
              <w:sz w:val="28"/>
              <w:szCs w:val="28"/>
            </w:rPr>
            <w:instrText xml:space="preserve"> PAGEREF _Toc5855 \h </w:instrText>
          </w:r>
          <w:r>
            <w:rPr>
              <w:color w:val="auto"/>
              <w:sz w:val="28"/>
              <w:szCs w:val="28"/>
            </w:rPr>
            <w:fldChar w:fldCharType="separate"/>
          </w:r>
          <w:r>
            <w:rPr>
              <w:color w:val="auto"/>
              <w:sz w:val="28"/>
              <w:szCs w:val="28"/>
            </w:rPr>
            <w:t>59</w:t>
          </w:r>
          <w:r>
            <w:rPr>
              <w:color w:val="auto"/>
              <w:sz w:val="28"/>
              <w:szCs w:val="28"/>
            </w:rPr>
            <w:fldChar w:fldCharType="end"/>
          </w:r>
          <w:r>
            <w:rPr>
              <w:color w:val="auto"/>
              <w:sz w:val="28"/>
              <w:szCs w:val="28"/>
            </w:rPr>
            <w:fldChar w:fldCharType="end"/>
          </w:r>
        </w:p>
        <w:p w14:paraId="79D2C171">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_Toc30040 </w:instrText>
          </w:r>
          <w:r>
            <w:rPr>
              <w:color w:val="auto"/>
              <w:sz w:val="28"/>
              <w:szCs w:val="28"/>
            </w:rPr>
            <w:fldChar w:fldCharType="separate"/>
          </w:r>
          <w:r>
            <w:rPr>
              <w:color w:val="auto"/>
              <w:sz w:val="28"/>
              <w:szCs w:val="28"/>
            </w:rPr>
            <w:t xml:space="preserve">表13 </w:t>
          </w:r>
          <w:r>
            <w:rPr>
              <w:rFonts w:hint="eastAsia"/>
              <w:color w:val="auto"/>
              <w:sz w:val="28"/>
              <w:szCs w:val="28"/>
            </w:rPr>
            <w:t>结论与建议</w:t>
          </w:r>
          <w:r>
            <w:rPr>
              <w:color w:val="auto"/>
              <w:sz w:val="28"/>
              <w:szCs w:val="28"/>
            </w:rPr>
            <w:tab/>
          </w:r>
          <w:r>
            <w:rPr>
              <w:color w:val="auto"/>
              <w:sz w:val="28"/>
              <w:szCs w:val="28"/>
            </w:rPr>
            <w:fldChar w:fldCharType="begin"/>
          </w:r>
          <w:r>
            <w:rPr>
              <w:color w:val="auto"/>
              <w:sz w:val="28"/>
              <w:szCs w:val="28"/>
            </w:rPr>
            <w:instrText xml:space="preserve"> PAGEREF _Toc30040 \h </w:instrText>
          </w:r>
          <w:r>
            <w:rPr>
              <w:color w:val="auto"/>
              <w:sz w:val="28"/>
              <w:szCs w:val="28"/>
            </w:rPr>
            <w:fldChar w:fldCharType="separate"/>
          </w:r>
          <w:r>
            <w:rPr>
              <w:color w:val="auto"/>
              <w:sz w:val="28"/>
              <w:szCs w:val="28"/>
            </w:rPr>
            <w:t>66</w:t>
          </w:r>
          <w:r>
            <w:rPr>
              <w:color w:val="auto"/>
              <w:sz w:val="28"/>
              <w:szCs w:val="28"/>
            </w:rPr>
            <w:fldChar w:fldCharType="end"/>
          </w:r>
          <w:r>
            <w:rPr>
              <w:color w:val="auto"/>
              <w:sz w:val="28"/>
              <w:szCs w:val="28"/>
            </w:rPr>
            <w:fldChar w:fldCharType="end"/>
          </w:r>
        </w:p>
        <w:p w14:paraId="2C745F0A">
          <w:pPr>
            <w:pStyle w:val="33"/>
            <w:tabs>
              <w:tab w:val="right" w:leader="dot" w:pos="9746"/>
            </w:tabs>
            <w:ind w:firstLine="560" w:firstLineChars="200"/>
            <w:rPr>
              <w:color w:val="auto"/>
              <w:sz w:val="28"/>
              <w:szCs w:val="28"/>
            </w:rPr>
          </w:pPr>
          <w:r>
            <w:rPr>
              <w:color w:val="auto"/>
              <w:sz w:val="28"/>
              <w:szCs w:val="28"/>
            </w:rPr>
            <w:fldChar w:fldCharType="begin"/>
          </w:r>
          <w:r>
            <w:rPr>
              <w:color w:val="auto"/>
              <w:sz w:val="28"/>
              <w:szCs w:val="28"/>
            </w:rPr>
            <w:instrText xml:space="preserve"> HYPERLINK \l _Toc26141 </w:instrText>
          </w:r>
          <w:r>
            <w:rPr>
              <w:color w:val="auto"/>
              <w:sz w:val="28"/>
              <w:szCs w:val="28"/>
            </w:rPr>
            <w:fldChar w:fldCharType="separate"/>
          </w:r>
          <w:r>
            <w:rPr>
              <w:color w:val="auto"/>
              <w:sz w:val="28"/>
              <w:szCs w:val="28"/>
              <w:lang w:val="en-US" w:eastAsia="zh-CN"/>
            </w:rPr>
            <w:t xml:space="preserve">表14 </w:t>
          </w:r>
          <w:r>
            <w:rPr>
              <w:rFonts w:hint="eastAsia"/>
              <w:color w:val="auto"/>
              <w:sz w:val="28"/>
              <w:szCs w:val="28"/>
              <w:lang w:val="en-US" w:eastAsia="zh-CN"/>
            </w:rPr>
            <w:t>审批</w:t>
          </w:r>
          <w:r>
            <w:rPr>
              <w:color w:val="auto"/>
              <w:sz w:val="28"/>
              <w:szCs w:val="28"/>
            </w:rPr>
            <w:tab/>
          </w:r>
          <w:r>
            <w:rPr>
              <w:color w:val="auto"/>
              <w:sz w:val="28"/>
              <w:szCs w:val="28"/>
            </w:rPr>
            <w:fldChar w:fldCharType="begin"/>
          </w:r>
          <w:r>
            <w:rPr>
              <w:color w:val="auto"/>
              <w:sz w:val="28"/>
              <w:szCs w:val="28"/>
            </w:rPr>
            <w:instrText xml:space="preserve"> PAGEREF _Toc26141 \h </w:instrText>
          </w:r>
          <w:r>
            <w:rPr>
              <w:color w:val="auto"/>
              <w:sz w:val="28"/>
              <w:szCs w:val="28"/>
            </w:rPr>
            <w:fldChar w:fldCharType="separate"/>
          </w:r>
          <w:r>
            <w:rPr>
              <w:color w:val="auto"/>
              <w:sz w:val="28"/>
              <w:szCs w:val="28"/>
            </w:rPr>
            <w:t>69</w:t>
          </w:r>
          <w:r>
            <w:rPr>
              <w:color w:val="auto"/>
              <w:sz w:val="28"/>
              <w:szCs w:val="28"/>
            </w:rPr>
            <w:fldChar w:fldCharType="end"/>
          </w:r>
          <w:r>
            <w:rPr>
              <w:color w:val="auto"/>
              <w:sz w:val="28"/>
              <w:szCs w:val="28"/>
            </w:rPr>
            <w:fldChar w:fldCharType="end"/>
          </w:r>
        </w:p>
        <w:p w14:paraId="7587BA54">
          <w:pPr>
            <w:pStyle w:val="7"/>
            <w:ind w:firstLine="560" w:firstLineChars="200"/>
            <w:rPr>
              <w:rFonts w:asciiTheme="minorAscii" w:hAnsiTheme="minorAscii" w:eastAsiaTheme="minorEastAsia" w:cstheme="minorBidi"/>
              <w:color w:val="auto"/>
              <w:kern w:val="2"/>
              <w:sz w:val="21"/>
              <w:szCs w:val="22"/>
              <w:lang w:val="en-US" w:eastAsia="zh-CN" w:bidi="ar-SA"/>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AndChars" w:linePitch="312" w:charSpace="0"/>
            </w:sectPr>
          </w:pPr>
          <w:r>
            <w:rPr>
              <w:color w:val="auto"/>
              <w:sz w:val="28"/>
              <w:szCs w:val="28"/>
            </w:rPr>
            <w:fldChar w:fldCharType="end"/>
          </w:r>
        </w:p>
      </w:sdtContent>
    </w:sdt>
    <w:p w14:paraId="7FF0355E">
      <w:pPr>
        <w:spacing w:line="360" w:lineRule="auto"/>
        <w:ind w:firstLine="562" w:firstLineChars="200"/>
        <w:rPr>
          <w:rFonts w:hint="default" w:ascii="Times New Roman" w:hAnsi="Times New Roman" w:eastAsia="宋体" w:cs="Times New Roman"/>
          <w:b/>
          <w:bCs/>
          <w:color w:val="auto"/>
          <w:sz w:val="28"/>
          <w:szCs w:val="28"/>
        </w:rPr>
      </w:pPr>
      <w:r>
        <w:rPr>
          <w:rFonts w:hint="default" w:ascii="Times New Roman" w:hAnsi="Times New Roman" w:eastAsia="宋体" w:cs="Times New Roman"/>
          <w:b/>
          <w:bCs/>
          <w:color w:val="auto"/>
          <w:sz w:val="28"/>
          <w:szCs w:val="28"/>
        </w:rPr>
        <w:t>附图：</w:t>
      </w:r>
    </w:p>
    <w:p w14:paraId="4DE907EE">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附图1：项目地理位置图；</w:t>
      </w:r>
    </w:p>
    <w:p w14:paraId="153526D1">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附图2：项目周边环境位置关系图；</w:t>
      </w:r>
    </w:p>
    <w:p w14:paraId="6910498F">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附图3：医院平面布置图；</w:t>
      </w:r>
    </w:p>
    <w:p w14:paraId="63A6FDF8">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附图4：本项目与淮南市生态红线位置关系图；</w:t>
      </w:r>
    </w:p>
    <w:p w14:paraId="097DFF4C">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附图</w:t>
      </w:r>
      <w:r>
        <w:rPr>
          <w:rFonts w:hint="eastAsia" w:ascii="Times New Roman" w:hAnsi="Times New Roman" w:eastAsia="宋体" w:cs="Times New Roman"/>
          <w:snapToGrid w:val="0"/>
          <w:color w:val="auto"/>
          <w:kern w:val="0"/>
          <w:sz w:val="24"/>
          <w:szCs w:val="21"/>
          <w:lang w:val="en-US" w:eastAsia="zh-CN" w:bidi="ar-SA"/>
        </w:rPr>
        <w:t>5</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本项目与淮南市环境管控单元关系图</w:t>
      </w:r>
      <w:r>
        <w:rPr>
          <w:rFonts w:hint="default" w:ascii="Times New Roman" w:hAnsi="Times New Roman" w:eastAsia="宋体" w:cs="Times New Roman"/>
          <w:snapToGrid w:val="0"/>
          <w:color w:val="auto"/>
          <w:kern w:val="0"/>
          <w:sz w:val="24"/>
          <w:szCs w:val="21"/>
          <w:lang w:val="en-US" w:eastAsia="zh-CN" w:bidi="ar-SA"/>
        </w:rPr>
        <w:t>；</w:t>
      </w:r>
    </w:p>
    <w:p w14:paraId="5E782A34">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附图</w:t>
      </w:r>
      <w:r>
        <w:rPr>
          <w:rFonts w:hint="eastAsia" w:ascii="Times New Roman" w:hAnsi="Times New Roman" w:eastAsia="宋体" w:cs="Times New Roman"/>
          <w:snapToGrid w:val="0"/>
          <w:color w:val="auto"/>
          <w:kern w:val="0"/>
          <w:sz w:val="24"/>
          <w:szCs w:val="21"/>
          <w:lang w:val="en-US" w:eastAsia="zh-CN" w:bidi="ar-SA"/>
        </w:rPr>
        <w:t>6</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项目辐射评价范围图</w:t>
      </w:r>
      <w:r>
        <w:rPr>
          <w:rFonts w:hint="default" w:ascii="Times New Roman" w:hAnsi="Times New Roman" w:eastAsia="宋体" w:cs="Times New Roman"/>
          <w:snapToGrid w:val="0"/>
          <w:color w:val="auto"/>
          <w:kern w:val="0"/>
          <w:sz w:val="24"/>
          <w:szCs w:val="21"/>
          <w:lang w:val="en-US" w:eastAsia="zh-CN" w:bidi="ar-SA"/>
        </w:rPr>
        <w:t>；</w:t>
      </w:r>
    </w:p>
    <w:p w14:paraId="1A934532">
      <w:pPr>
        <w:widowControl w:val="0"/>
        <w:spacing w:line="276" w:lineRule="auto"/>
        <w:ind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附图</w:t>
      </w:r>
      <w:r>
        <w:rPr>
          <w:rFonts w:hint="eastAsia" w:ascii="Times New Roman" w:hAnsi="Times New Roman" w:eastAsia="宋体" w:cs="Times New Roman"/>
          <w:snapToGrid w:val="0"/>
          <w:color w:val="auto"/>
          <w:kern w:val="0"/>
          <w:sz w:val="24"/>
          <w:szCs w:val="21"/>
          <w:lang w:val="en-US" w:eastAsia="zh-CN" w:bidi="ar-SA"/>
        </w:rPr>
        <w:t>7</w:t>
      </w:r>
      <w:r>
        <w:rPr>
          <w:rFonts w:hint="default" w:ascii="Times New Roman" w:hAnsi="Times New Roman" w:eastAsia="宋体" w:cs="Times New Roman"/>
          <w:snapToGrid w:val="0"/>
          <w:color w:val="auto"/>
          <w:kern w:val="0"/>
          <w:sz w:val="24"/>
          <w:szCs w:val="21"/>
          <w:lang w:val="en-US" w:eastAsia="zh-CN" w:bidi="ar-SA"/>
        </w:rPr>
        <w:t>：项目噪声评价范围图。</w:t>
      </w:r>
    </w:p>
    <w:p w14:paraId="0F35AA99">
      <w:pPr>
        <w:pStyle w:val="2"/>
        <w:rPr>
          <w:rFonts w:hint="default"/>
          <w:color w:val="auto"/>
          <w:lang w:val="en-US" w:eastAsia="zh-CN"/>
        </w:rPr>
      </w:pPr>
    </w:p>
    <w:p w14:paraId="5BAE756F">
      <w:pPr>
        <w:spacing w:line="360" w:lineRule="auto"/>
        <w:ind w:firstLine="562" w:firstLineChars="200"/>
        <w:rPr>
          <w:rFonts w:hint="default" w:ascii="Times New Roman" w:hAnsi="Times New Roman" w:eastAsia="宋体" w:cs="Times New Roman"/>
          <w:b/>
          <w:bCs/>
          <w:color w:val="auto"/>
          <w:sz w:val="28"/>
          <w:szCs w:val="28"/>
        </w:rPr>
      </w:pPr>
      <w:r>
        <w:rPr>
          <w:rFonts w:hint="default" w:ascii="Times New Roman" w:hAnsi="Times New Roman" w:eastAsia="宋体" w:cs="Times New Roman"/>
          <w:b/>
          <w:bCs/>
          <w:color w:val="auto"/>
          <w:sz w:val="28"/>
          <w:szCs w:val="28"/>
        </w:rPr>
        <w:t>附件：</w:t>
      </w:r>
    </w:p>
    <w:p w14:paraId="583D28FC">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附件1：环评委托书；</w:t>
      </w:r>
    </w:p>
    <w:p w14:paraId="614BC112">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附件2：资料确认单；</w:t>
      </w:r>
    </w:p>
    <w:p w14:paraId="3AC8D6D1">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附件3：</w:t>
      </w:r>
      <w:r>
        <w:rPr>
          <w:rFonts w:hint="eastAsia" w:ascii="Times New Roman" w:hAnsi="Times New Roman" w:eastAsia="宋体" w:cs="Times New Roman"/>
          <w:snapToGrid w:val="0"/>
          <w:color w:val="auto"/>
          <w:kern w:val="0"/>
          <w:sz w:val="24"/>
          <w:szCs w:val="21"/>
          <w:lang w:val="en-US" w:eastAsia="zh-CN" w:bidi="ar-SA"/>
        </w:rPr>
        <w:t>立项备案文件</w:t>
      </w:r>
      <w:r>
        <w:rPr>
          <w:rFonts w:hint="default" w:ascii="Times New Roman" w:hAnsi="Times New Roman" w:eastAsia="宋体" w:cs="Times New Roman"/>
          <w:snapToGrid w:val="0"/>
          <w:color w:val="auto"/>
          <w:kern w:val="0"/>
          <w:sz w:val="24"/>
          <w:szCs w:val="21"/>
          <w:lang w:val="en-US" w:eastAsia="zh-CN" w:bidi="ar-SA"/>
        </w:rPr>
        <w:t>；</w:t>
      </w:r>
    </w:p>
    <w:p w14:paraId="2A6B3EBF">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附件4：医院</w:t>
      </w:r>
      <w:r>
        <w:rPr>
          <w:rFonts w:hint="eastAsia" w:ascii="Times New Roman" w:hAnsi="Times New Roman" w:eastAsia="宋体" w:cs="Times New Roman"/>
          <w:snapToGrid w:val="0"/>
          <w:color w:val="auto"/>
          <w:kern w:val="0"/>
          <w:sz w:val="24"/>
          <w:szCs w:val="21"/>
          <w:lang w:val="en-US" w:eastAsia="zh-CN" w:bidi="ar-SA"/>
        </w:rPr>
        <w:t>院区建设项目</w:t>
      </w:r>
      <w:r>
        <w:rPr>
          <w:rFonts w:hint="default" w:ascii="Times New Roman" w:hAnsi="Times New Roman" w:eastAsia="宋体" w:cs="Times New Roman"/>
          <w:snapToGrid w:val="0"/>
          <w:color w:val="auto"/>
          <w:kern w:val="0"/>
          <w:sz w:val="24"/>
          <w:szCs w:val="21"/>
          <w:lang w:val="en-US" w:eastAsia="zh-CN" w:bidi="ar-SA"/>
        </w:rPr>
        <w:t>环评批复</w:t>
      </w:r>
      <w:r>
        <w:rPr>
          <w:rFonts w:hint="eastAsia" w:ascii="Times New Roman" w:hAnsi="Times New Roman" w:eastAsia="宋体" w:cs="Times New Roman"/>
          <w:snapToGrid w:val="0"/>
          <w:color w:val="auto"/>
          <w:kern w:val="0"/>
          <w:sz w:val="24"/>
          <w:szCs w:val="21"/>
          <w:lang w:val="en-US" w:eastAsia="zh-CN" w:bidi="ar-SA"/>
        </w:rPr>
        <w:t>及验收意见</w:t>
      </w:r>
      <w:r>
        <w:rPr>
          <w:rFonts w:hint="default" w:ascii="Times New Roman" w:hAnsi="Times New Roman" w:cs="Times New Roman"/>
          <w:snapToGrid w:val="0"/>
          <w:color w:val="auto"/>
          <w:kern w:val="0"/>
          <w:sz w:val="24"/>
          <w:szCs w:val="21"/>
          <w:lang w:val="en-US" w:eastAsia="zh-CN" w:bidi="ar-SA"/>
        </w:rPr>
        <w:t>；</w:t>
      </w:r>
    </w:p>
    <w:p w14:paraId="1BAEFCC6">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附件5：</w:t>
      </w:r>
      <w:r>
        <w:rPr>
          <w:rFonts w:hint="eastAsia" w:ascii="Times New Roman" w:hAnsi="Times New Roman" w:eastAsia="宋体" w:cs="Times New Roman"/>
          <w:snapToGrid w:val="0"/>
          <w:color w:val="auto"/>
          <w:kern w:val="0"/>
          <w:sz w:val="24"/>
          <w:szCs w:val="21"/>
          <w:lang w:val="en-US" w:eastAsia="zh-CN" w:bidi="ar-SA"/>
        </w:rPr>
        <w:t>辐射安全许可证</w:t>
      </w:r>
      <w:r>
        <w:rPr>
          <w:rFonts w:hint="default" w:ascii="Times New Roman" w:hAnsi="Times New Roman" w:eastAsia="宋体" w:cs="Times New Roman"/>
          <w:snapToGrid w:val="0"/>
          <w:color w:val="auto"/>
          <w:kern w:val="0"/>
          <w:sz w:val="24"/>
          <w:szCs w:val="21"/>
          <w:lang w:val="en-US" w:eastAsia="zh-CN" w:bidi="ar-SA"/>
        </w:rPr>
        <w:t>；</w:t>
      </w:r>
    </w:p>
    <w:p w14:paraId="0CC19A5D">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附件6：辐射安全管理小组成立文件；</w:t>
      </w:r>
    </w:p>
    <w:p w14:paraId="20E88126">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w:t>
      </w:r>
      <w:r>
        <w:rPr>
          <w:rFonts w:hint="eastAsia" w:ascii="Times New Roman" w:hAnsi="Times New Roman" w:eastAsia="宋体" w:cs="Times New Roman"/>
          <w:snapToGrid w:val="0"/>
          <w:color w:val="auto"/>
          <w:kern w:val="0"/>
          <w:sz w:val="24"/>
          <w:szCs w:val="21"/>
          <w:lang w:val="en-US" w:eastAsia="zh-CN" w:bidi="ar-SA"/>
        </w:rPr>
        <w:t>7</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辐射安全与防护管理制度；</w:t>
      </w:r>
    </w:p>
    <w:p w14:paraId="58A797E5">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w:t>
      </w:r>
      <w:r>
        <w:rPr>
          <w:rFonts w:hint="eastAsia" w:ascii="Times New Roman" w:hAnsi="Times New Roman" w:eastAsia="宋体" w:cs="Times New Roman"/>
          <w:snapToGrid w:val="0"/>
          <w:color w:val="auto"/>
          <w:kern w:val="0"/>
          <w:sz w:val="24"/>
          <w:szCs w:val="21"/>
          <w:lang w:val="en-US" w:eastAsia="zh-CN" w:bidi="ar-SA"/>
        </w:rPr>
        <w:t>8</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辐射工作人员考核、健康体检及个人剂量报告</w:t>
      </w:r>
      <w:r>
        <w:rPr>
          <w:rFonts w:hint="default" w:ascii="Times New Roman" w:hAnsi="Times New Roman" w:eastAsia="宋体" w:cs="Times New Roman"/>
          <w:snapToGrid w:val="0"/>
          <w:color w:val="auto"/>
          <w:kern w:val="0"/>
          <w:sz w:val="24"/>
          <w:szCs w:val="21"/>
          <w:lang w:val="en-US" w:eastAsia="zh-CN" w:bidi="ar-SA"/>
        </w:rPr>
        <w:t>；</w:t>
      </w:r>
    </w:p>
    <w:p w14:paraId="02BEBA98">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w:t>
      </w:r>
      <w:r>
        <w:rPr>
          <w:rFonts w:hint="eastAsia" w:ascii="Times New Roman" w:hAnsi="Times New Roman" w:eastAsia="宋体" w:cs="Times New Roman"/>
          <w:snapToGrid w:val="0"/>
          <w:color w:val="auto"/>
          <w:kern w:val="0"/>
          <w:sz w:val="24"/>
          <w:szCs w:val="21"/>
          <w:lang w:val="en-US" w:eastAsia="zh-CN" w:bidi="ar-SA"/>
        </w:rPr>
        <w:t>9</w:t>
      </w:r>
      <w:r>
        <w:rPr>
          <w:rFonts w:hint="default" w:ascii="Times New Roman" w:hAnsi="Times New Roman" w:eastAsia="宋体" w:cs="Times New Roman"/>
          <w:snapToGrid w:val="0"/>
          <w:color w:val="auto"/>
          <w:kern w:val="0"/>
          <w:sz w:val="24"/>
          <w:szCs w:val="21"/>
          <w:lang w:val="en-US" w:eastAsia="zh-CN" w:bidi="ar-SA"/>
        </w:rPr>
        <w:t>：辐射工作场所防护效果年度检测报告；</w:t>
      </w:r>
    </w:p>
    <w:p w14:paraId="23C42255">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highlight w:val="none"/>
          <w:lang w:val="en-US" w:eastAsia="zh-CN" w:bidi="ar-SA"/>
        </w:rPr>
      </w:pPr>
      <w:r>
        <w:rPr>
          <w:rFonts w:hint="default" w:ascii="Times New Roman" w:hAnsi="Times New Roman" w:eastAsia="宋体" w:cs="Times New Roman"/>
          <w:snapToGrid w:val="0"/>
          <w:color w:val="auto"/>
          <w:kern w:val="0"/>
          <w:sz w:val="24"/>
          <w:szCs w:val="21"/>
          <w:highlight w:val="none"/>
          <w:lang w:val="en-US" w:eastAsia="zh-CN" w:bidi="ar-SA"/>
        </w:rPr>
        <w:t>附件1</w:t>
      </w:r>
      <w:r>
        <w:rPr>
          <w:rFonts w:hint="eastAsia" w:ascii="Times New Roman" w:hAnsi="Times New Roman" w:eastAsia="宋体" w:cs="Times New Roman"/>
          <w:snapToGrid w:val="0"/>
          <w:color w:val="auto"/>
          <w:kern w:val="0"/>
          <w:sz w:val="24"/>
          <w:szCs w:val="21"/>
          <w:highlight w:val="none"/>
          <w:lang w:val="en-US" w:eastAsia="zh-CN" w:bidi="ar-SA"/>
        </w:rPr>
        <w:t>0</w:t>
      </w:r>
      <w:r>
        <w:rPr>
          <w:rFonts w:hint="default" w:ascii="Times New Roman" w:hAnsi="Times New Roman" w:eastAsia="宋体" w:cs="Times New Roman"/>
          <w:snapToGrid w:val="0"/>
          <w:color w:val="auto"/>
          <w:kern w:val="0"/>
          <w:sz w:val="24"/>
          <w:szCs w:val="21"/>
          <w:highlight w:val="none"/>
          <w:lang w:val="en-US" w:eastAsia="zh-CN" w:bidi="ar-SA"/>
        </w:rPr>
        <w:t>：</w:t>
      </w:r>
      <w:r>
        <w:rPr>
          <w:rFonts w:hint="eastAsia" w:ascii="Times New Roman" w:hAnsi="Times New Roman" w:eastAsia="宋体" w:cs="Times New Roman"/>
          <w:snapToGrid w:val="0"/>
          <w:color w:val="auto"/>
          <w:kern w:val="0"/>
          <w:sz w:val="24"/>
          <w:szCs w:val="21"/>
          <w:highlight w:val="none"/>
          <w:lang w:val="en-US" w:eastAsia="zh-CN" w:bidi="ar-SA"/>
        </w:rPr>
        <w:t>DSA机房设计图</w:t>
      </w:r>
      <w:r>
        <w:rPr>
          <w:rFonts w:hint="default" w:ascii="Times New Roman" w:hAnsi="Times New Roman" w:eastAsia="宋体" w:cs="Times New Roman"/>
          <w:snapToGrid w:val="0"/>
          <w:color w:val="auto"/>
          <w:kern w:val="0"/>
          <w:sz w:val="24"/>
          <w:szCs w:val="21"/>
          <w:highlight w:val="none"/>
          <w:lang w:val="en-US" w:eastAsia="zh-CN" w:bidi="ar-SA"/>
        </w:rPr>
        <w:t>；</w:t>
      </w:r>
    </w:p>
    <w:p w14:paraId="384893C0">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附件1</w:t>
      </w:r>
      <w:r>
        <w:rPr>
          <w:rFonts w:hint="eastAsia" w:ascii="Times New Roman" w:hAnsi="Times New Roman" w:eastAsia="宋体" w:cs="Times New Roman"/>
          <w:snapToGrid w:val="0"/>
          <w:color w:val="auto"/>
          <w:kern w:val="0"/>
          <w:sz w:val="24"/>
          <w:szCs w:val="21"/>
          <w:lang w:val="en-US" w:eastAsia="zh-CN" w:bidi="ar-SA"/>
        </w:rPr>
        <w:t>1</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类比项目监测报告</w:t>
      </w:r>
      <w:r>
        <w:rPr>
          <w:rFonts w:hint="default" w:ascii="Times New Roman" w:hAnsi="Times New Roman" w:eastAsia="宋体" w:cs="Times New Roman"/>
          <w:snapToGrid w:val="0"/>
          <w:color w:val="auto"/>
          <w:kern w:val="0"/>
          <w:sz w:val="24"/>
          <w:szCs w:val="21"/>
          <w:lang w:val="en-US" w:eastAsia="zh-CN" w:bidi="ar-SA"/>
        </w:rPr>
        <w:t>；</w:t>
      </w:r>
    </w:p>
    <w:p w14:paraId="3447C11E">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default" w:ascii="Times New Roman" w:hAnsi="Times New Roman" w:eastAsia="宋体" w:cs="Times New Roman"/>
          <w:snapToGrid w:val="0"/>
          <w:color w:val="auto"/>
          <w:kern w:val="0"/>
          <w:sz w:val="24"/>
          <w:szCs w:val="21"/>
          <w:highlight w:val="yellow"/>
          <w:lang w:val="en-US" w:eastAsia="zh-CN" w:bidi="ar-SA"/>
        </w:rPr>
      </w:pPr>
      <w:r>
        <w:rPr>
          <w:rFonts w:hint="default" w:ascii="Times New Roman" w:hAnsi="Times New Roman" w:eastAsia="宋体" w:cs="Times New Roman"/>
          <w:snapToGrid w:val="0"/>
          <w:color w:val="auto"/>
          <w:kern w:val="0"/>
          <w:sz w:val="24"/>
          <w:szCs w:val="21"/>
          <w:highlight w:val="none"/>
          <w:lang w:val="en-US" w:eastAsia="zh-CN" w:bidi="ar-SA"/>
        </w:rPr>
        <w:t>附件1</w:t>
      </w:r>
      <w:r>
        <w:rPr>
          <w:rFonts w:hint="eastAsia" w:ascii="Times New Roman" w:hAnsi="Times New Roman" w:eastAsia="宋体" w:cs="Times New Roman"/>
          <w:snapToGrid w:val="0"/>
          <w:color w:val="auto"/>
          <w:kern w:val="0"/>
          <w:sz w:val="24"/>
          <w:szCs w:val="21"/>
          <w:highlight w:val="none"/>
          <w:lang w:val="en-US" w:eastAsia="zh-CN" w:bidi="ar-SA"/>
        </w:rPr>
        <w:t>2</w:t>
      </w:r>
      <w:r>
        <w:rPr>
          <w:rFonts w:hint="default" w:ascii="Times New Roman" w:hAnsi="Times New Roman" w:eastAsia="宋体" w:cs="Times New Roman"/>
          <w:snapToGrid w:val="0"/>
          <w:color w:val="auto"/>
          <w:kern w:val="0"/>
          <w:sz w:val="24"/>
          <w:szCs w:val="21"/>
          <w:highlight w:val="none"/>
          <w:lang w:val="en-US" w:eastAsia="zh-CN" w:bidi="ar-SA"/>
        </w:rPr>
        <w:t>：</w:t>
      </w:r>
      <w:r>
        <w:rPr>
          <w:rFonts w:hint="eastAsia" w:ascii="Times New Roman" w:hAnsi="Times New Roman" w:eastAsia="宋体" w:cs="Times New Roman"/>
          <w:snapToGrid w:val="0"/>
          <w:color w:val="auto"/>
          <w:kern w:val="0"/>
          <w:sz w:val="24"/>
          <w:szCs w:val="21"/>
          <w:highlight w:val="none"/>
          <w:lang w:val="en-US" w:eastAsia="zh-CN" w:bidi="ar-SA"/>
        </w:rPr>
        <w:t>环境质量本底监测报告</w:t>
      </w:r>
      <w:r>
        <w:rPr>
          <w:rFonts w:hint="default" w:ascii="Times New Roman" w:hAnsi="Times New Roman" w:eastAsia="宋体" w:cs="Times New Roman"/>
          <w:snapToGrid w:val="0"/>
          <w:color w:val="auto"/>
          <w:kern w:val="0"/>
          <w:sz w:val="24"/>
          <w:szCs w:val="21"/>
          <w:highlight w:val="none"/>
          <w:lang w:val="en-US" w:eastAsia="zh-CN" w:bidi="ar-SA"/>
        </w:rPr>
        <w:t>；</w:t>
      </w:r>
    </w:p>
    <w:p w14:paraId="6DC6D8AF">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eastAsia"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附件1</w:t>
      </w:r>
      <w:r>
        <w:rPr>
          <w:rFonts w:hint="eastAsia" w:ascii="Times New Roman" w:hAnsi="Times New Roman" w:eastAsia="宋体" w:cs="Times New Roman"/>
          <w:snapToGrid w:val="0"/>
          <w:color w:val="auto"/>
          <w:kern w:val="0"/>
          <w:sz w:val="24"/>
          <w:szCs w:val="21"/>
          <w:lang w:val="en-US" w:eastAsia="zh-CN" w:bidi="ar-SA"/>
        </w:rPr>
        <w:t>3</w:t>
      </w:r>
      <w:r>
        <w:rPr>
          <w:rFonts w:hint="default" w:ascii="Times New Roman" w:hAnsi="Times New Roman" w:eastAsia="宋体" w:cs="Times New Roman"/>
          <w:snapToGrid w:val="0"/>
          <w:color w:val="auto"/>
          <w:kern w:val="0"/>
          <w:sz w:val="24"/>
          <w:szCs w:val="21"/>
          <w:lang w:val="en-US" w:eastAsia="zh-CN" w:bidi="ar-SA"/>
        </w:rPr>
        <w:t>：医疗废物处置协议</w:t>
      </w:r>
      <w:r>
        <w:rPr>
          <w:rFonts w:hint="eastAsia" w:ascii="Times New Roman" w:hAnsi="Times New Roman" w:eastAsia="宋体" w:cs="Times New Roman"/>
          <w:snapToGrid w:val="0"/>
          <w:color w:val="auto"/>
          <w:kern w:val="0"/>
          <w:sz w:val="24"/>
          <w:szCs w:val="21"/>
          <w:lang w:val="en-US" w:eastAsia="zh-CN" w:bidi="ar-SA"/>
        </w:rPr>
        <w:t>；</w:t>
      </w:r>
    </w:p>
    <w:p w14:paraId="0B3C18ED">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附件14：污水纳管协议；</w:t>
      </w:r>
    </w:p>
    <w:p w14:paraId="05144B3B">
      <w:pPr>
        <w:keepNext w:val="0"/>
        <w:keepLines w:val="0"/>
        <w:pageBreakBefore w:val="0"/>
        <w:widowControl w:val="0"/>
        <w:kinsoku/>
        <w:wordWrap/>
        <w:overflowPunct/>
        <w:topLinePunct w:val="0"/>
        <w:autoSpaceDE/>
        <w:autoSpaceDN/>
        <w:bidi w:val="0"/>
        <w:adjustRightInd/>
        <w:snapToGrid/>
        <w:spacing w:line="276" w:lineRule="auto"/>
        <w:ind w:firstLine="480" w:firstLineChars="200"/>
        <w:jc w:val="both"/>
        <w:textAlignment w:val="auto"/>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附件15：承诺书；</w:t>
      </w:r>
    </w:p>
    <w:p w14:paraId="423ADA28">
      <w:pPr>
        <w:pStyle w:val="3"/>
        <w:bidi w:val="0"/>
        <w:rPr>
          <w:rFonts w:hint="eastAsia"/>
          <w:color w:val="auto"/>
        </w:rPr>
      </w:pPr>
      <w:bookmarkStart w:id="2" w:name="_Toc19979"/>
      <w:bookmarkStart w:id="3" w:name="_Toc56003412"/>
      <w:bookmarkStart w:id="4" w:name="_Toc56004450"/>
      <w:bookmarkStart w:id="5" w:name="_Toc4183"/>
      <w:bookmarkStart w:id="6" w:name="_Toc67739907"/>
      <w:bookmarkStart w:id="7" w:name="_Toc16278"/>
    </w:p>
    <w:p w14:paraId="05679854">
      <w:pPr>
        <w:rPr>
          <w:rFonts w:hint="eastAsia"/>
          <w:color w:val="auto"/>
        </w:rPr>
      </w:pPr>
    </w:p>
    <w:p w14:paraId="5677094E">
      <w:pPr>
        <w:pStyle w:val="3"/>
        <w:bidi w:val="0"/>
        <w:rPr>
          <w:rFonts w:hint="eastAsia"/>
          <w:color w:val="auto"/>
        </w:rPr>
      </w:pPr>
    </w:p>
    <w:p w14:paraId="1996C20A">
      <w:pPr>
        <w:rPr>
          <w:rFonts w:hint="eastAsia"/>
          <w:color w:val="auto"/>
        </w:rPr>
      </w:pPr>
    </w:p>
    <w:p w14:paraId="0926C5F3">
      <w:pPr>
        <w:pStyle w:val="3"/>
        <w:bidi w:val="0"/>
        <w:rPr>
          <w:rFonts w:hint="eastAsia"/>
          <w:color w:val="auto"/>
        </w:rPr>
        <w:sectPr>
          <w:headerReference r:id="rId4" w:type="default"/>
          <w:footerReference r:id="rId5" w:type="default"/>
          <w:pgSz w:w="11906" w:h="16838"/>
          <w:pgMar w:top="1417" w:right="1080" w:bottom="1417" w:left="1080" w:header="851" w:footer="992" w:gutter="0"/>
          <w:pgNumType w:fmt="decimal" w:start="1"/>
          <w:cols w:space="0" w:num="1"/>
          <w:rtlGutter w:val="0"/>
          <w:docGrid w:type="lines" w:linePitch="312" w:charSpace="0"/>
        </w:sectPr>
      </w:pPr>
    </w:p>
    <w:p w14:paraId="4D0D9EF1">
      <w:pPr>
        <w:pStyle w:val="3"/>
        <w:bidi w:val="0"/>
        <w:rPr>
          <w:rFonts w:hint="eastAsia"/>
          <w:color w:val="auto"/>
        </w:rPr>
      </w:pPr>
      <w:r>
        <w:rPr>
          <w:rFonts w:hint="eastAsia"/>
          <w:color w:val="auto"/>
        </w:rPr>
        <w:t>表1 项目基本情况</w:t>
      </w:r>
      <w:bookmarkEnd w:id="2"/>
      <w:bookmarkEnd w:id="3"/>
      <w:bookmarkEnd w:id="4"/>
      <w:bookmarkEnd w:id="5"/>
      <w:bookmarkEnd w:id="6"/>
      <w:bookmarkEnd w:id="7"/>
    </w:p>
    <w:tbl>
      <w:tblPr>
        <w:tblStyle w:val="18"/>
        <w:tblW w:w="9787" w:type="dxa"/>
        <w:tblInd w:w="116"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460"/>
        <w:gridCol w:w="1305"/>
        <w:gridCol w:w="1341"/>
        <w:gridCol w:w="153"/>
        <w:gridCol w:w="639"/>
        <w:gridCol w:w="1007"/>
        <w:gridCol w:w="1334"/>
        <w:gridCol w:w="1322"/>
        <w:gridCol w:w="1018"/>
        <w:gridCol w:w="1208"/>
      </w:tblGrid>
      <w:tr w14:paraId="47ACBB1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46D13007">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建设项目名称</w:t>
            </w:r>
          </w:p>
        </w:tc>
        <w:tc>
          <w:tcPr>
            <w:tcW w:w="8022" w:type="dxa"/>
            <w:gridSpan w:val="8"/>
            <w:vAlign w:val="center"/>
          </w:tcPr>
          <w:p w14:paraId="530DDBDC">
            <w:pPr>
              <w:keepNext w:val="0"/>
              <w:keepLines w:val="0"/>
              <w:widowControl w:val="0"/>
              <w:suppressLineNumbers w:val="0"/>
              <w:spacing w:before="0" w:beforeAutospacing="0" w:after="0" w:afterAutospacing="0" w:line="360" w:lineRule="auto"/>
              <w:ind w:left="0" w:right="0" w:firstLine="199" w:firstLineChars="83"/>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寿县安康医院新增DSA设备项目</w:t>
            </w:r>
          </w:p>
        </w:tc>
      </w:tr>
      <w:tr w14:paraId="381FED7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4061B96B">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建设单位</w:t>
            </w:r>
          </w:p>
        </w:tc>
        <w:tc>
          <w:tcPr>
            <w:tcW w:w="8022" w:type="dxa"/>
            <w:gridSpan w:val="8"/>
            <w:vAlign w:val="center"/>
          </w:tcPr>
          <w:p w14:paraId="0182F2D9">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寿县安康医院</w:t>
            </w:r>
          </w:p>
        </w:tc>
      </w:tr>
      <w:tr w14:paraId="069C6ED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474EEB3C">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法人代表</w:t>
            </w:r>
          </w:p>
        </w:tc>
        <w:tc>
          <w:tcPr>
            <w:tcW w:w="2133" w:type="dxa"/>
            <w:gridSpan w:val="3"/>
            <w:vAlign w:val="center"/>
          </w:tcPr>
          <w:p w14:paraId="1CEC8AF0">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梁缘</w:t>
            </w:r>
          </w:p>
        </w:tc>
        <w:tc>
          <w:tcPr>
            <w:tcW w:w="1007" w:type="dxa"/>
            <w:vAlign w:val="center"/>
          </w:tcPr>
          <w:p w14:paraId="30462102">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联系人</w:t>
            </w:r>
          </w:p>
        </w:tc>
        <w:tc>
          <w:tcPr>
            <w:tcW w:w="1334" w:type="dxa"/>
            <w:vAlign w:val="center"/>
          </w:tcPr>
          <w:p w14:paraId="7EF14E8C">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田胜权</w:t>
            </w:r>
          </w:p>
        </w:tc>
        <w:tc>
          <w:tcPr>
            <w:tcW w:w="1322" w:type="dxa"/>
            <w:vAlign w:val="center"/>
          </w:tcPr>
          <w:p w14:paraId="2B14DD46">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联系电话</w:t>
            </w:r>
          </w:p>
        </w:tc>
        <w:tc>
          <w:tcPr>
            <w:tcW w:w="2226" w:type="dxa"/>
            <w:gridSpan w:val="2"/>
            <w:vAlign w:val="center"/>
          </w:tcPr>
          <w:p w14:paraId="046B99B4">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b w:val="0"/>
                <w:snapToGrid w:val="0"/>
                <w:color w:val="auto"/>
                <w:kern w:val="0"/>
                <w:sz w:val="24"/>
                <w:szCs w:val="24"/>
                <w:lang w:val="en-US" w:eastAsia="zh-CN" w:bidi="ar-SA"/>
              </w:rPr>
              <w:t>13805648871</w:t>
            </w:r>
          </w:p>
        </w:tc>
      </w:tr>
      <w:tr w14:paraId="1A7BACD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01D82F8B">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注册地址</w:t>
            </w:r>
          </w:p>
        </w:tc>
        <w:tc>
          <w:tcPr>
            <w:tcW w:w="8022" w:type="dxa"/>
            <w:gridSpan w:val="8"/>
            <w:vAlign w:val="center"/>
          </w:tcPr>
          <w:p w14:paraId="465FD60D">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安徽省淮南市寿县安丰镇石集街道</w:t>
            </w:r>
          </w:p>
        </w:tc>
      </w:tr>
      <w:tr w14:paraId="750BF00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33081480">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项目建设地点</w:t>
            </w:r>
          </w:p>
        </w:tc>
        <w:tc>
          <w:tcPr>
            <w:tcW w:w="8022" w:type="dxa"/>
            <w:gridSpan w:val="8"/>
            <w:vAlign w:val="center"/>
          </w:tcPr>
          <w:p w14:paraId="2ED57C70">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安徽省淮南市寿县安丰镇石集街道寿县安康医院综合楼一楼</w:t>
            </w:r>
          </w:p>
        </w:tc>
      </w:tr>
      <w:tr w14:paraId="651C721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43A38E19">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立项审批部门</w:t>
            </w:r>
          </w:p>
        </w:tc>
        <w:tc>
          <w:tcPr>
            <w:tcW w:w="3140" w:type="dxa"/>
            <w:gridSpan w:val="4"/>
            <w:vAlign w:val="center"/>
          </w:tcPr>
          <w:p w14:paraId="0F1CFB46">
            <w:pPr>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寿县发展和改革委员会</w:t>
            </w:r>
          </w:p>
        </w:tc>
        <w:tc>
          <w:tcPr>
            <w:tcW w:w="1334" w:type="dxa"/>
            <w:vAlign w:val="center"/>
          </w:tcPr>
          <w:p w14:paraId="6B8EDE70">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项目编码</w:t>
            </w:r>
          </w:p>
        </w:tc>
        <w:tc>
          <w:tcPr>
            <w:tcW w:w="3548" w:type="dxa"/>
            <w:gridSpan w:val="3"/>
            <w:vAlign w:val="center"/>
          </w:tcPr>
          <w:p w14:paraId="3B088843">
            <w:pPr>
              <w:pStyle w:val="2"/>
              <w:keepNext w:val="0"/>
              <w:keepLines w:val="0"/>
              <w:suppressLineNumbers w:val="0"/>
              <w:spacing w:before="0" w:beforeAutospacing="0" w:after="0" w:afterAutospacing="0"/>
              <w:ind w:left="0" w:leftChars="0" w:right="0" w:firstLine="0" w:firstLineChars="0"/>
              <w:jc w:val="center"/>
              <w:rPr>
                <w:rFonts w:hint="default" w:eastAsia="宋体"/>
                <w:color w:val="auto"/>
                <w:lang w:val="en-US" w:eastAsia="zh-CN"/>
              </w:rPr>
            </w:pPr>
            <w:r>
              <w:rPr>
                <w:rFonts w:hint="eastAsia"/>
                <w:color w:val="auto"/>
                <w:lang w:val="en-US" w:eastAsia="zh-CN"/>
              </w:rPr>
              <w:t>2407-340422-04-05-942853</w:t>
            </w:r>
          </w:p>
        </w:tc>
      </w:tr>
      <w:tr w14:paraId="5F0A22C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765" w:type="dxa"/>
            <w:gridSpan w:val="2"/>
            <w:vAlign w:val="center"/>
          </w:tcPr>
          <w:p w14:paraId="5C074F3C">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建设项目总投资(万元)</w:t>
            </w:r>
          </w:p>
        </w:tc>
        <w:tc>
          <w:tcPr>
            <w:tcW w:w="1494" w:type="dxa"/>
            <w:gridSpan w:val="2"/>
            <w:vAlign w:val="center"/>
          </w:tcPr>
          <w:p w14:paraId="1DA62994">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400</w:t>
            </w:r>
          </w:p>
        </w:tc>
        <w:tc>
          <w:tcPr>
            <w:tcW w:w="1646" w:type="dxa"/>
            <w:gridSpan w:val="2"/>
            <w:vAlign w:val="center"/>
          </w:tcPr>
          <w:p w14:paraId="2DE02739">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项目环保投资(万元)</w:t>
            </w:r>
          </w:p>
        </w:tc>
        <w:tc>
          <w:tcPr>
            <w:tcW w:w="1334" w:type="dxa"/>
            <w:vAlign w:val="center"/>
          </w:tcPr>
          <w:p w14:paraId="093B0D32">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30</w:t>
            </w:r>
          </w:p>
        </w:tc>
        <w:tc>
          <w:tcPr>
            <w:tcW w:w="2340" w:type="dxa"/>
            <w:gridSpan w:val="2"/>
            <w:vAlign w:val="center"/>
          </w:tcPr>
          <w:p w14:paraId="4A5BFDDC">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投资比例（环保投资/总投资）</w:t>
            </w:r>
          </w:p>
        </w:tc>
        <w:tc>
          <w:tcPr>
            <w:tcW w:w="1208" w:type="dxa"/>
            <w:vAlign w:val="center"/>
          </w:tcPr>
          <w:p w14:paraId="5D4314F4">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7.5%</w:t>
            </w:r>
          </w:p>
        </w:tc>
      </w:tr>
      <w:tr w14:paraId="118F6AD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765" w:type="dxa"/>
            <w:gridSpan w:val="2"/>
            <w:vAlign w:val="center"/>
          </w:tcPr>
          <w:p w14:paraId="670A86B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项目性质</w:t>
            </w:r>
          </w:p>
        </w:tc>
        <w:tc>
          <w:tcPr>
            <w:tcW w:w="4474" w:type="dxa"/>
            <w:gridSpan w:val="5"/>
            <w:vAlign w:val="center"/>
          </w:tcPr>
          <w:p w14:paraId="7A16E44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新建</w:t>
            </w:r>
            <w:r>
              <w:rPr>
                <w:rFonts w:hint="default" w:ascii="Times New Roman" w:hAnsi="Times New Roman" w:eastAsia="宋体" w:cs="Times New Roman"/>
                <w:snapToGrid w:val="0"/>
                <w:color w:val="auto"/>
                <w:kern w:val="0"/>
                <w:sz w:val="24"/>
                <w:szCs w:val="24"/>
                <w:lang w:val="en-US" w:eastAsia="zh-CN" w:bidi="ar-SA"/>
              </w:rPr>
              <w:sym w:font="Wingdings 2" w:char="0052"/>
            </w:r>
            <w:r>
              <w:rPr>
                <w:rFonts w:hint="default" w:ascii="Times New Roman" w:hAnsi="Times New Roman" w:eastAsia="宋体" w:cs="Times New Roman"/>
                <w:snapToGrid w:val="0"/>
                <w:color w:val="auto"/>
                <w:kern w:val="0"/>
                <w:sz w:val="24"/>
                <w:szCs w:val="24"/>
                <w:lang w:val="en-US" w:eastAsia="zh-CN" w:bidi="ar-SA"/>
              </w:rPr>
              <w:t>改建</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扩建</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eastAsia" w:ascii="Times New Roman" w:hAnsi="Times New Roman" w:eastAsia="宋体" w:cs="Times New Roman"/>
                <w:snapToGrid w:val="0"/>
                <w:color w:val="auto"/>
                <w:kern w:val="0"/>
                <w:sz w:val="24"/>
                <w:szCs w:val="24"/>
                <w:lang w:val="en-US" w:eastAsia="zh-CN" w:bidi="ar-SA"/>
              </w:rPr>
              <w:t>其他</w:t>
            </w:r>
          </w:p>
        </w:tc>
        <w:tc>
          <w:tcPr>
            <w:tcW w:w="2340" w:type="dxa"/>
            <w:gridSpan w:val="2"/>
            <w:vAlign w:val="center"/>
          </w:tcPr>
          <w:p w14:paraId="570F9C6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占地面积</w:t>
            </w:r>
            <w:r>
              <w:rPr>
                <w:rFonts w:hint="default" w:ascii="Times New Roman" w:hAnsi="Times New Roman" w:eastAsia="宋体" w:cs="Times New Roman"/>
                <w:snapToGrid w:val="0"/>
                <w:color w:val="auto"/>
                <w:kern w:val="0"/>
                <w:sz w:val="24"/>
                <w:szCs w:val="24"/>
                <w:lang w:val="en-US" w:eastAsia="zh-CN" w:bidi="ar-SA"/>
              </w:rPr>
              <w:t>(m</w:t>
            </w:r>
            <w:r>
              <w:rPr>
                <w:rFonts w:hint="default" w:ascii="Times New Roman" w:hAnsi="Times New Roman" w:eastAsia="宋体" w:cs="Times New Roman"/>
                <w:snapToGrid w:val="0"/>
                <w:color w:val="auto"/>
                <w:kern w:val="0"/>
                <w:sz w:val="24"/>
                <w:szCs w:val="24"/>
                <w:vertAlign w:val="superscript"/>
                <w:lang w:val="en-US" w:eastAsia="zh-CN" w:bidi="ar-SA"/>
              </w:rPr>
              <w:t>2</w:t>
            </w:r>
            <w:r>
              <w:rPr>
                <w:rFonts w:hint="default" w:ascii="Times New Roman" w:hAnsi="Times New Roman" w:eastAsia="宋体" w:cs="Times New Roman"/>
                <w:snapToGrid w:val="0"/>
                <w:color w:val="auto"/>
                <w:kern w:val="0"/>
                <w:sz w:val="24"/>
                <w:szCs w:val="24"/>
                <w:lang w:val="en-US" w:eastAsia="zh-CN" w:bidi="ar-SA"/>
              </w:rPr>
              <w:t>)</w:t>
            </w:r>
          </w:p>
        </w:tc>
        <w:tc>
          <w:tcPr>
            <w:tcW w:w="1208" w:type="dxa"/>
            <w:vAlign w:val="center"/>
          </w:tcPr>
          <w:p w14:paraId="7E248FF3">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b w:val="0"/>
                <w:snapToGrid w:val="0"/>
                <w:color w:val="auto"/>
                <w:kern w:val="0"/>
                <w:sz w:val="24"/>
                <w:szCs w:val="24"/>
                <w:lang w:val="en-US" w:eastAsia="zh-CN" w:bidi="ar-SA"/>
              </w:rPr>
              <w:t>约100</w:t>
            </w:r>
          </w:p>
        </w:tc>
      </w:tr>
      <w:tr w14:paraId="6908ACD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460" w:type="dxa"/>
            <w:vMerge w:val="restart"/>
            <w:vAlign w:val="center"/>
          </w:tcPr>
          <w:p w14:paraId="4D077DEE">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应用类型</w:t>
            </w:r>
          </w:p>
        </w:tc>
        <w:tc>
          <w:tcPr>
            <w:tcW w:w="1305" w:type="dxa"/>
            <w:vMerge w:val="restart"/>
            <w:vAlign w:val="center"/>
          </w:tcPr>
          <w:p w14:paraId="745A9565">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放射源</w:t>
            </w:r>
          </w:p>
        </w:tc>
        <w:tc>
          <w:tcPr>
            <w:tcW w:w="1341" w:type="dxa"/>
            <w:vAlign w:val="center"/>
          </w:tcPr>
          <w:p w14:paraId="0C0A1BF8">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销售</w:t>
            </w:r>
          </w:p>
        </w:tc>
        <w:tc>
          <w:tcPr>
            <w:tcW w:w="6681" w:type="dxa"/>
            <w:gridSpan w:val="7"/>
            <w:vAlign w:val="center"/>
          </w:tcPr>
          <w:p w14:paraId="7040AECA">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 xml:space="preserve">Ⅰ类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 xml:space="preserve">Ⅱ类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 xml:space="preserve">Ⅲ类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 xml:space="preserve">Ⅳ类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Ⅴ类</w:t>
            </w:r>
          </w:p>
        </w:tc>
      </w:tr>
      <w:tr w14:paraId="196E87E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460" w:type="dxa"/>
            <w:vMerge w:val="continue"/>
            <w:vAlign w:val="center"/>
          </w:tcPr>
          <w:p w14:paraId="23F2F7F9">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continue"/>
            <w:vAlign w:val="center"/>
          </w:tcPr>
          <w:p w14:paraId="58C3A41A">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41" w:type="dxa"/>
            <w:vAlign w:val="center"/>
          </w:tcPr>
          <w:p w14:paraId="78612A58">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使用</w:t>
            </w:r>
          </w:p>
        </w:tc>
        <w:tc>
          <w:tcPr>
            <w:tcW w:w="6681" w:type="dxa"/>
            <w:gridSpan w:val="7"/>
            <w:vAlign w:val="center"/>
          </w:tcPr>
          <w:p w14:paraId="18FB110B">
            <w:pPr>
              <w:keepNext w:val="0"/>
              <w:keepLines w:val="0"/>
              <w:widowControl w:val="0"/>
              <w:suppressLineNumbers w:val="0"/>
              <w:spacing w:before="0" w:beforeAutospacing="0" w:after="0" w:afterAutospacing="0" w:line="360" w:lineRule="auto"/>
              <w:ind w:left="0" w:right="0" w:firstLine="456"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 xml:space="preserve">Ⅰ类（医疗使用） </w:t>
            </w: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 xml:space="preserve">Ⅱ类 </w:t>
            </w: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 xml:space="preserve">Ⅲ类 </w:t>
            </w: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 xml:space="preserve">Ⅳ类 </w:t>
            </w: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Ⅴ类</w:t>
            </w:r>
          </w:p>
        </w:tc>
      </w:tr>
      <w:tr w14:paraId="361069D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460" w:type="dxa"/>
            <w:vMerge w:val="continue"/>
            <w:vAlign w:val="center"/>
          </w:tcPr>
          <w:p w14:paraId="6DEB1102">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restart"/>
            <w:vAlign w:val="center"/>
          </w:tcPr>
          <w:p w14:paraId="5F7BB11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非密封放射性物质</w:t>
            </w:r>
          </w:p>
        </w:tc>
        <w:tc>
          <w:tcPr>
            <w:tcW w:w="1341" w:type="dxa"/>
            <w:vAlign w:val="center"/>
          </w:tcPr>
          <w:p w14:paraId="1EDFBECB">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生产</w:t>
            </w:r>
          </w:p>
        </w:tc>
        <w:tc>
          <w:tcPr>
            <w:tcW w:w="6681" w:type="dxa"/>
            <w:gridSpan w:val="7"/>
            <w:vAlign w:val="center"/>
          </w:tcPr>
          <w:p w14:paraId="23F0BECA">
            <w:pPr>
              <w:keepNext w:val="0"/>
              <w:keepLines w:val="0"/>
              <w:widowControl w:val="0"/>
              <w:suppressLineNumbers w:val="0"/>
              <w:spacing w:before="0" w:beforeAutospacing="0" w:after="0" w:afterAutospacing="0" w:line="360" w:lineRule="auto"/>
              <w:ind w:left="0" w:right="0" w:firstLine="456"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制备PET用放射性药物</w:t>
            </w:r>
          </w:p>
        </w:tc>
      </w:tr>
      <w:tr w14:paraId="4BCFE26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460" w:type="dxa"/>
            <w:vMerge w:val="continue"/>
            <w:vAlign w:val="center"/>
          </w:tcPr>
          <w:p w14:paraId="114B8BB5">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continue"/>
            <w:vAlign w:val="center"/>
          </w:tcPr>
          <w:p w14:paraId="499284DD">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41" w:type="dxa"/>
            <w:vAlign w:val="center"/>
          </w:tcPr>
          <w:p w14:paraId="059A2A7A">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销售</w:t>
            </w:r>
          </w:p>
        </w:tc>
        <w:tc>
          <w:tcPr>
            <w:tcW w:w="6681" w:type="dxa"/>
            <w:gridSpan w:val="7"/>
            <w:vAlign w:val="center"/>
          </w:tcPr>
          <w:p w14:paraId="1A8E0371">
            <w:pPr>
              <w:keepNext w:val="0"/>
              <w:keepLines w:val="0"/>
              <w:widowControl w:val="0"/>
              <w:suppressLineNumbers w:val="0"/>
              <w:spacing w:before="0" w:beforeAutospacing="0" w:after="0" w:afterAutospacing="0" w:line="360" w:lineRule="auto"/>
              <w:ind w:left="0" w:right="0" w:firstLine="456"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spacing w:val="-6"/>
                <w:kern w:val="0"/>
                <w:sz w:val="24"/>
                <w:szCs w:val="24"/>
                <w:lang w:val="en-US" w:eastAsia="zh-CN" w:bidi="ar-SA"/>
              </w:rPr>
              <w:t>/</w:t>
            </w:r>
          </w:p>
        </w:tc>
      </w:tr>
      <w:tr w14:paraId="30A4D37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15" w:hRule="atLeast"/>
        </w:trPr>
        <w:tc>
          <w:tcPr>
            <w:tcW w:w="460" w:type="dxa"/>
            <w:vMerge w:val="continue"/>
            <w:vAlign w:val="center"/>
          </w:tcPr>
          <w:p w14:paraId="0C45D594">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continue"/>
            <w:vAlign w:val="center"/>
          </w:tcPr>
          <w:p w14:paraId="06C68A11">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41" w:type="dxa"/>
            <w:vAlign w:val="center"/>
          </w:tcPr>
          <w:p w14:paraId="18375C07">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使用</w:t>
            </w:r>
          </w:p>
        </w:tc>
        <w:tc>
          <w:tcPr>
            <w:tcW w:w="6681" w:type="dxa"/>
            <w:gridSpan w:val="7"/>
            <w:vAlign w:val="center"/>
          </w:tcPr>
          <w:p w14:paraId="33F81F2A">
            <w:pPr>
              <w:keepNext w:val="0"/>
              <w:keepLines w:val="0"/>
              <w:widowControl w:val="0"/>
              <w:suppressLineNumbers w:val="0"/>
              <w:spacing w:before="0" w:beforeAutospacing="0" w:after="0" w:afterAutospacing="0" w:line="360" w:lineRule="auto"/>
              <w:ind w:left="0" w:right="0" w:firstLine="456"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 xml:space="preserve">乙 </w:t>
            </w:r>
            <w:r>
              <w:rPr>
                <w:rFonts w:hint="default" w:ascii="Times New Roman" w:hAnsi="Times New Roman" w:eastAsia="宋体" w:cs="Times New Roman"/>
                <w:snapToGrid w:val="0"/>
                <w:color w:val="auto"/>
                <w:spacing w:val="-6"/>
                <w:kern w:val="0"/>
                <w:sz w:val="24"/>
                <w:szCs w:val="24"/>
                <w:lang w:val="en-US" w:eastAsia="zh-CN" w:bidi="ar-SA"/>
              </w:rPr>
              <w:sym w:font="Wingdings 2" w:char="00A3"/>
            </w:r>
            <w:r>
              <w:rPr>
                <w:rFonts w:hint="default" w:ascii="Times New Roman" w:hAnsi="Times New Roman" w:eastAsia="宋体" w:cs="Times New Roman"/>
                <w:snapToGrid w:val="0"/>
                <w:color w:val="auto"/>
                <w:spacing w:val="-6"/>
                <w:kern w:val="0"/>
                <w:sz w:val="24"/>
                <w:szCs w:val="24"/>
                <w:lang w:val="en-US" w:eastAsia="zh-CN" w:bidi="ar-SA"/>
              </w:rPr>
              <w:t>丙</w:t>
            </w:r>
          </w:p>
        </w:tc>
      </w:tr>
      <w:tr w14:paraId="05BD31C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460" w:type="dxa"/>
            <w:vMerge w:val="continue"/>
            <w:vAlign w:val="center"/>
          </w:tcPr>
          <w:p w14:paraId="0E095E66">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restart"/>
            <w:vAlign w:val="center"/>
          </w:tcPr>
          <w:p w14:paraId="7418BF73">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射线装置</w:t>
            </w:r>
          </w:p>
        </w:tc>
        <w:tc>
          <w:tcPr>
            <w:tcW w:w="1341" w:type="dxa"/>
            <w:vAlign w:val="center"/>
          </w:tcPr>
          <w:p w14:paraId="727EB7F5">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生产</w:t>
            </w:r>
          </w:p>
        </w:tc>
        <w:tc>
          <w:tcPr>
            <w:tcW w:w="6681" w:type="dxa"/>
            <w:gridSpan w:val="7"/>
            <w:vAlign w:val="center"/>
          </w:tcPr>
          <w:p w14:paraId="3EC86EC6">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 xml:space="preserve">Ⅱ类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Ⅲ类</w:t>
            </w:r>
          </w:p>
        </w:tc>
      </w:tr>
      <w:tr w14:paraId="4238A33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460" w:type="dxa"/>
            <w:vMerge w:val="continue"/>
            <w:vAlign w:val="center"/>
          </w:tcPr>
          <w:p w14:paraId="35730C2D">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continue"/>
            <w:vAlign w:val="center"/>
          </w:tcPr>
          <w:p w14:paraId="39E669D1">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41" w:type="dxa"/>
            <w:vAlign w:val="center"/>
          </w:tcPr>
          <w:p w14:paraId="47868D54">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销售</w:t>
            </w:r>
          </w:p>
        </w:tc>
        <w:tc>
          <w:tcPr>
            <w:tcW w:w="6681" w:type="dxa"/>
            <w:gridSpan w:val="7"/>
            <w:vAlign w:val="center"/>
          </w:tcPr>
          <w:p w14:paraId="01CDE488">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 xml:space="preserve">Ⅱ类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Ⅲ类</w:t>
            </w:r>
          </w:p>
        </w:tc>
      </w:tr>
      <w:tr w14:paraId="3F9A931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460" w:type="dxa"/>
            <w:vMerge w:val="continue"/>
            <w:vAlign w:val="center"/>
          </w:tcPr>
          <w:p w14:paraId="5A903648">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Merge w:val="continue"/>
            <w:vAlign w:val="center"/>
          </w:tcPr>
          <w:p w14:paraId="18261CFA">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41" w:type="dxa"/>
            <w:vAlign w:val="center"/>
          </w:tcPr>
          <w:p w14:paraId="19AEF3ED">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52"/>
            </w:r>
            <w:r>
              <w:rPr>
                <w:rFonts w:hint="default" w:ascii="Times New Roman" w:hAnsi="Times New Roman" w:eastAsia="宋体" w:cs="Times New Roman"/>
                <w:snapToGrid w:val="0"/>
                <w:color w:val="auto"/>
                <w:kern w:val="0"/>
                <w:sz w:val="24"/>
                <w:szCs w:val="24"/>
                <w:lang w:val="en-US" w:eastAsia="zh-CN" w:bidi="ar-SA"/>
              </w:rPr>
              <w:t>使用</w:t>
            </w:r>
          </w:p>
        </w:tc>
        <w:tc>
          <w:tcPr>
            <w:tcW w:w="6681" w:type="dxa"/>
            <w:gridSpan w:val="7"/>
            <w:vAlign w:val="center"/>
          </w:tcPr>
          <w:p w14:paraId="3317A68E">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sym w:font="Wingdings 2" w:char="0052"/>
            </w:r>
            <w:r>
              <w:rPr>
                <w:rFonts w:hint="default" w:ascii="Times New Roman" w:hAnsi="Times New Roman" w:eastAsia="宋体" w:cs="Times New Roman"/>
                <w:snapToGrid w:val="0"/>
                <w:color w:val="auto"/>
                <w:kern w:val="0"/>
                <w:sz w:val="24"/>
                <w:szCs w:val="24"/>
                <w:lang w:val="en-US" w:eastAsia="zh-CN" w:bidi="ar-SA"/>
              </w:rPr>
              <w:t xml:space="preserve">Ⅱ类 </w:t>
            </w:r>
            <w:r>
              <w:rPr>
                <w:rFonts w:hint="default" w:ascii="Times New Roman" w:hAnsi="Times New Roman" w:eastAsia="宋体" w:cs="Times New Roman"/>
                <w:snapToGrid w:val="0"/>
                <w:color w:val="auto"/>
                <w:kern w:val="0"/>
                <w:sz w:val="24"/>
                <w:szCs w:val="24"/>
                <w:lang w:val="en-US" w:eastAsia="zh-CN" w:bidi="ar-SA"/>
              </w:rPr>
              <w:sym w:font="Wingdings 2" w:char="00A3"/>
            </w:r>
            <w:r>
              <w:rPr>
                <w:rFonts w:hint="default" w:ascii="Times New Roman" w:hAnsi="Times New Roman" w:eastAsia="宋体" w:cs="Times New Roman"/>
                <w:snapToGrid w:val="0"/>
                <w:color w:val="auto"/>
                <w:kern w:val="0"/>
                <w:sz w:val="24"/>
                <w:szCs w:val="24"/>
                <w:lang w:val="en-US" w:eastAsia="zh-CN" w:bidi="ar-SA"/>
              </w:rPr>
              <w:t>Ⅲ类</w:t>
            </w:r>
          </w:p>
        </w:tc>
      </w:tr>
      <w:tr w14:paraId="50E0593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460" w:type="dxa"/>
            <w:vMerge w:val="continue"/>
            <w:vAlign w:val="center"/>
          </w:tcPr>
          <w:p w14:paraId="76C2496C">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p>
        </w:tc>
        <w:tc>
          <w:tcPr>
            <w:tcW w:w="1305" w:type="dxa"/>
            <w:vAlign w:val="center"/>
          </w:tcPr>
          <w:p w14:paraId="167A1351">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其他</w:t>
            </w:r>
          </w:p>
        </w:tc>
        <w:tc>
          <w:tcPr>
            <w:tcW w:w="8022" w:type="dxa"/>
            <w:gridSpan w:val="8"/>
            <w:vAlign w:val="center"/>
          </w:tcPr>
          <w:p w14:paraId="33D957EE">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w:t>
            </w:r>
          </w:p>
        </w:tc>
      </w:tr>
      <w:tr w14:paraId="5FE7D30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9787" w:type="dxa"/>
            <w:gridSpan w:val="10"/>
            <w:vAlign w:val="center"/>
          </w:tcPr>
          <w:p w14:paraId="76334F1C">
            <w:pPr>
              <w:keepNext w:val="0"/>
              <w:keepLines w:val="0"/>
              <w:widowControl w:val="0"/>
              <w:suppressLineNumbers w:val="0"/>
              <w:spacing w:before="0" w:beforeAutospacing="0" w:after="0" w:afterAutospacing="0" w:line="360" w:lineRule="auto"/>
              <w:ind w:left="0" w:right="0"/>
              <w:jc w:val="both"/>
              <w:rPr>
                <w:rFonts w:hint="default"/>
                <w:b/>
                <w:bCs/>
                <w:color w:val="auto"/>
                <w:sz w:val="28"/>
                <w:szCs w:val="28"/>
                <w:lang w:val="en-US" w:eastAsia="zh-CN"/>
              </w:rPr>
            </w:pPr>
            <w:r>
              <w:rPr>
                <w:rFonts w:hint="default"/>
                <w:b/>
                <w:bCs/>
                <w:color w:val="auto"/>
                <w:sz w:val="28"/>
                <w:szCs w:val="28"/>
                <w:lang w:val="en-US" w:eastAsia="zh-CN"/>
              </w:rPr>
              <w:t>项目概述：</w:t>
            </w:r>
          </w:p>
          <w:p w14:paraId="72B3ED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2" w:firstLineChars="200"/>
              <w:jc w:val="both"/>
              <w:textAlignment w:val="auto"/>
              <w:rPr>
                <w:rFonts w:hint="default"/>
                <w:b/>
                <w:bCs/>
                <w:color w:val="auto"/>
                <w:sz w:val="24"/>
                <w:szCs w:val="24"/>
                <w:lang w:val="en-US" w:eastAsia="zh-CN"/>
              </w:rPr>
            </w:pPr>
            <w:r>
              <w:rPr>
                <w:rFonts w:hint="default"/>
                <w:b/>
                <w:bCs/>
                <w:color w:val="auto"/>
                <w:sz w:val="24"/>
                <w:szCs w:val="24"/>
                <w:lang w:val="en-US" w:eastAsia="zh-CN"/>
              </w:rPr>
              <w:t>1、医院概况</w:t>
            </w:r>
          </w:p>
          <w:p w14:paraId="7F92B62C">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jc w:val="left"/>
              <w:textAlignment w:val="auto"/>
              <w:rPr>
                <w:rFonts w:hint="eastAsia"/>
                <w:color w:val="auto"/>
                <w:lang w:eastAsia="zh-CN"/>
              </w:rPr>
            </w:pPr>
            <w:r>
              <w:rPr>
                <w:rFonts w:hint="eastAsia"/>
                <w:color w:val="auto"/>
                <w:lang w:eastAsia="zh-CN"/>
              </w:rPr>
              <w:t>寿县安康医院成立于2015年09月10日，为安康医疗投资管理公司投资5000万元全额控股的集医疗、教学、急救、康复、养老为一体的现代化二级综合性民营非营利性医院，医院位于寿县腹地安丰镇寿六路石吴路交叉口南侧，肩负着安丰周边地区的医疗服务、疾病防控、公共卫生管理、预防保健等医疗卫生任务和基层医院的转诊任务。医院是职工医疗保险、新型农村合作医疗、城镇居民医疗保险等定点医疗机构。同时为六安市第二人民医院定点对口支援单位。</w:t>
            </w:r>
          </w:p>
          <w:p w14:paraId="5D707397">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jc w:val="left"/>
              <w:textAlignment w:val="auto"/>
              <w:rPr>
                <w:rFonts w:hint="eastAsia"/>
                <w:color w:val="auto"/>
                <w:lang w:eastAsia="zh-CN"/>
              </w:rPr>
            </w:pPr>
            <w:r>
              <w:rPr>
                <w:rFonts w:hint="eastAsia"/>
                <w:color w:val="auto"/>
                <w:lang w:eastAsia="zh-CN"/>
              </w:rPr>
              <w:t>医院占地面积120亩，建筑面积18600平方米，其中医院综合楼12000平方米，职工宿舍、食堂等附属用房4000平方米，老年公寓2600平方米，医院开放床位19</w:t>
            </w:r>
            <w:r>
              <w:rPr>
                <w:rFonts w:hint="eastAsia"/>
                <w:color w:val="auto"/>
                <w:lang w:val="en-US" w:eastAsia="zh-CN"/>
              </w:rPr>
              <w:t>4</w:t>
            </w:r>
            <w:r>
              <w:rPr>
                <w:rFonts w:hint="eastAsia"/>
                <w:color w:val="auto"/>
                <w:lang w:eastAsia="zh-CN"/>
              </w:rPr>
              <w:t>张，养老床位144张。开设内科、外科、妇科、产科、儿科、急诊、重症医学、血液净化、五官科、中医科等临床科室，设有检验科、医学影像科（含</w:t>
            </w:r>
            <w:r>
              <w:rPr>
                <w:rFonts w:hint="eastAsia"/>
                <w:color w:val="auto"/>
                <w:lang w:val="en-US" w:eastAsia="zh-CN"/>
              </w:rPr>
              <w:t>CT</w:t>
            </w:r>
            <w:r>
              <w:rPr>
                <w:rFonts w:hint="eastAsia"/>
                <w:color w:val="auto"/>
                <w:lang w:eastAsia="zh-CN"/>
              </w:rPr>
              <w:t>、放射、彩超），电子内窥镜室、心电图室等医技科室，同时配有静脉配液中心、消毒供应室、层流洁净手术室。</w:t>
            </w:r>
          </w:p>
          <w:p w14:paraId="76690CAB">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jc w:val="left"/>
              <w:textAlignment w:val="auto"/>
              <w:rPr>
                <w:rFonts w:hint="eastAsia"/>
                <w:color w:val="auto"/>
                <w:lang w:eastAsia="zh-CN"/>
              </w:rPr>
            </w:pPr>
            <w:r>
              <w:rPr>
                <w:rFonts w:hint="eastAsia"/>
                <w:color w:val="auto"/>
                <w:lang w:eastAsia="zh-CN"/>
              </w:rPr>
              <w:t>目前医院拥有市内先进的医疗设备，主要有</w:t>
            </w:r>
            <w:r>
              <w:rPr>
                <w:rFonts w:hint="eastAsia"/>
                <w:color w:val="auto"/>
                <w:highlight w:val="none"/>
                <w:lang w:eastAsia="zh-CN"/>
              </w:rPr>
              <w:t>荷兰产飞利浦</w:t>
            </w:r>
            <w:r>
              <w:rPr>
                <w:rFonts w:hint="eastAsia"/>
                <w:color w:val="auto"/>
                <w:highlight w:val="none"/>
                <w:lang w:val="en-US" w:eastAsia="zh-CN"/>
              </w:rPr>
              <w:t>CT</w:t>
            </w:r>
            <w:r>
              <w:rPr>
                <w:rFonts w:hint="eastAsia"/>
                <w:color w:val="auto"/>
                <w:lang w:eastAsia="zh-CN"/>
              </w:rPr>
              <w:t>、</w:t>
            </w:r>
            <w:r>
              <w:rPr>
                <w:rFonts w:hint="eastAsia"/>
                <w:color w:val="auto"/>
                <w:lang w:val="en-US" w:eastAsia="zh-CN"/>
              </w:rPr>
              <w:t>DR</w:t>
            </w:r>
            <w:r>
              <w:rPr>
                <w:rFonts w:hint="eastAsia"/>
                <w:color w:val="auto"/>
                <w:lang w:eastAsia="zh-CN"/>
              </w:rPr>
              <w:t>、四维彩超；美国产电子腹腔镜系统，日本产奥林巴斯电子胃镜；赛诺迈德-9050型全自动生化分析仪，bd-9120全自动血培养仪，bd-9100全自动细菌分析仪，雅培i1000化学发光仪等。</w:t>
            </w:r>
          </w:p>
          <w:p w14:paraId="33E64FF9">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textAlignment w:val="auto"/>
              <w:rPr>
                <w:rFonts w:hint="eastAsia"/>
                <w:color w:val="auto"/>
                <w:lang w:val="en-US" w:eastAsia="zh-CN"/>
              </w:rPr>
            </w:pPr>
            <w:r>
              <w:rPr>
                <w:rFonts w:hint="eastAsia"/>
                <w:color w:val="auto"/>
                <w:lang w:eastAsia="zh-CN"/>
              </w:rPr>
              <w:t>寿县</w:t>
            </w:r>
            <w:r>
              <w:rPr>
                <w:rFonts w:hint="default"/>
                <w:color w:val="auto"/>
              </w:rPr>
              <w:t>安康医院运用现代化的管理体制，广纳管理人才和医学人才，以事业留人、感情留人、待遇留人的人才观，让医院拥有了一支思想新、业务精、医德高的高素质医疗团队。从而满足了该地区病人多元化、多层次的服务需求。安康医院以自省、精业、厚德、安康 的院训精神为宗旨，竭诚为广大患者服务</w:t>
            </w:r>
            <w:r>
              <w:rPr>
                <w:rFonts w:hint="eastAsia"/>
                <w:color w:val="auto"/>
                <w:lang w:val="en-US" w:eastAsia="zh-CN"/>
              </w:rPr>
              <w:t>。</w:t>
            </w:r>
          </w:p>
          <w:p w14:paraId="615CB796">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textAlignment w:val="auto"/>
              <w:rPr>
                <w:rFonts w:hint="default"/>
                <w:color w:val="auto"/>
                <w:lang w:val="en-US"/>
              </w:rPr>
            </w:pPr>
            <w:r>
              <w:rPr>
                <w:rFonts w:hint="eastAsia" w:cs="Times New Roman"/>
                <w:color w:val="auto"/>
                <w:lang w:eastAsia="zh-CN"/>
              </w:rPr>
              <w:t>寿县安康医院建设项目位于寿县安丰镇镇区南侧，寿六路和石吴路交叉口处，总投资 4500万元，总建筑面积18600平方米。项目主体工程建设6层综合楼1栋，内设综合门诊、放射科、妇产科、皮肤科、外科儿科等科室，共有病床194张，配套建设电气、给排水、消防系统污水处理系统等。综合楼、职工宿舍楼、食堂等，配套建设废水处理设施、固废收集设施等。寿寿县安康医院建设项目</w:t>
            </w:r>
            <w:r>
              <w:rPr>
                <w:rFonts w:hint="default" w:ascii="Times New Roman" w:hAnsi="Times New Roman" w:cs="Times New Roman"/>
                <w:color w:val="auto"/>
                <w:lang w:eastAsia="zh-CN"/>
              </w:rPr>
              <w:t>主要建设内容组成及规模</w:t>
            </w:r>
            <w:r>
              <w:rPr>
                <w:rFonts w:hint="eastAsia" w:cs="Times New Roman"/>
                <w:color w:val="auto"/>
                <w:lang w:eastAsia="zh-CN"/>
              </w:rPr>
              <w:t>中包括“6层综合楼”，其中包括本项目拟改建</w:t>
            </w:r>
            <w:r>
              <w:rPr>
                <w:rFonts w:hint="eastAsia" w:cs="Times New Roman"/>
                <w:color w:val="auto"/>
                <w:lang w:val="en-US" w:eastAsia="zh-CN"/>
              </w:rPr>
              <w:t>DSA机房现有工程。</w:t>
            </w:r>
          </w:p>
          <w:p w14:paraId="32D5BA14">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textAlignment w:val="auto"/>
              <w:rPr>
                <w:rFonts w:hint="default"/>
                <w:color w:val="auto"/>
                <w:lang w:val="en-US" w:eastAsia="zh-CN"/>
              </w:rPr>
            </w:pPr>
            <w:r>
              <w:rPr>
                <w:rFonts w:hint="eastAsia"/>
                <w:color w:val="auto"/>
                <w:lang w:eastAsia="zh-CN"/>
              </w:rPr>
              <w:t>《安徽省寿县安康医院建设项目环境影响报告书》（以下简称“报告书”）已于</w:t>
            </w:r>
            <w:r>
              <w:rPr>
                <w:rFonts w:hint="eastAsia"/>
                <w:color w:val="auto"/>
                <w:lang w:val="en-US" w:eastAsia="zh-CN"/>
              </w:rPr>
              <w:t>2015年10月20日取得寿县环境保护局的批复（寿环评〔</w:t>
            </w:r>
            <w:r>
              <w:rPr>
                <w:rFonts w:hint="default"/>
                <w:color w:val="auto"/>
                <w:lang w:val="en-US" w:eastAsia="zh-CN"/>
              </w:rPr>
              <w:t>20</w:t>
            </w:r>
            <w:r>
              <w:rPr>
                <w:rFonts w:hint="eastAsia"/>
                <w:color w:val="auto"/>
                <w:lang w:val="en-US" w:eastAsia="zh-CN"/>
              </w:rPr>
              <w:t>15〕65号文件）。该项目</w:t>
            </w:r>
            <w:r>
              <w:rPr>
                <w:rFonts w:hint="eastAsia"/>
                <w:color w:val="auto"/>
                <w:lang w:eastAsia="zh-CN"/>
              </w:rPr>
              <w:t>已于</w:t>
            </w:r>
            <w:r>
              <w:rPr>
                <w:rFonts w:hint="eastAsia"/>
                <w:color w:val="auto"/>
                <w:lang w:val="en-US" w:eastAsia="zh-CN"/>
              </w:rPr>
              <w:t>2017年9月26日通过寿县环境保护局竣工环保验收《关于安徽省寿县安康医院建设项目竣工环境保护验收意见的函》（寿环评〔</w:t>
            </w:r>
            <w:r>
              <w:rPr>
                <w:rFonts w:hint="default"/>
                <w:color w:val="auto"/>
                <w:lang w:val="en-US" w:eastAsia="zh-CN"/>
              </w:rPr>
              <w:t>20</w:t>
            </w:r>
            <w:r>
              <w:rPr>
                <w:rFonts w:hint="eastAsia"/>
                <w:color w:val="auto"/>
                <w:lang w:val="en-US" w:eastAsia="zh-CN"/>
              </w:rPr>
              <w:t>17〕31号文件），具体内容见附件4。</w:t>
            </w:r>
          </w:p>
          <w:p w14:paraId="416A55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60" w:lineRule="exact"/>
              <w:ind w:left="0" w:leftChars="0" w:right="0" w:rightChars="0" w:firstLine="482" w:firstLineChars="200"/>
              <w:jc w:val="both"/>
              <w:textAlignment w:val="auto"/>
              <w:rPr>
                <w:rFonts w:hint="default"/>
                <w:color w:val="auto"/>
                <w:sz w:val="24"/>
                <w:szCs w:val="24"/>
                <w:lang w:val="en-US" w:eastAsia="zh-CN"/>
              </w:rPr>
            </w:pPr>
            <w:r>
              <w:rPr>
                <w:rFonts w:hint="default" w:ascii="Times New Roman" w:hAnsi="Times New Roman" w:cs="Times New Roman" w:eastAsiaTheme="minorEastAsia"/>
                <w:b/>
                <w:bCs/>
                <w:color w:val="auto"/>
                <w:kern w:val="2"/>
                <w:sz w:val="24"/>
                <w:szCs w:val="24"/>
                <w:lang w:val="en-US" w:eastAsia="zh-CN" w:bidi="ar-SA"/>
              </w:rPr>
              <w:t>2、</w:t>
            </w:r>
            <w:r>
              <w:rPr>
                <w:rFonts w:hint="default"/>
                <w:b/>
                <w:bCs/>
                <w:color w:val="auto"/>
                <w:sz w:val="24"/>
                <w:szCs w:val="24"/>
                <w:lang w:val="en-US" w:eastAsia="zh-CN"/>
              </w:rPr>
              <w:t>项目建设规模、目的和任务由来</w:t>
            </w:r>
          </w:p>
          <w:p w14:paraId="02C8256B">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textAlignment w:val="auto"/>
              <w:rPr>
                <w:rFonts w:hint="default"/>
                <w:color w:val="auto"/>
                <w:highlight w:val="yellow"/>
                <w:lang w:val="en-US" w:eastAsia="zh-CN"/>
              </w:rPr>
            </w:pPr>
            <w:r>
              <w:rPr>
                <w:rFonts w:hint="default"/>
                <w:color w:val="auto"/>
                <w:lang w:val="en-US" w:eastAsia="zh-CN"/>
              </w:rPr>
              <w:t>为有效改善医疗基础设施条件，提高医院学术水平和防病治病能力，进一步方便广大人民群众就医，满足广大人民群众的治疗需求</w:t>
            </w:r>
            <w:r>
              <w:rPr>
                <w:rFonts w:hint="eastAsia"/>
                <w:color w:val="auto"/>
                <w:lang w:val="en-US" w:eastAsia="zh-CN"/>
              </w:rPr>
              <w:t>以及</w:t>
            </w:r>
            <w:r>
              <w:rPr>
                <w:rFonts w:hint="eastAsia"/>
                <w:color w:val="auto"/>
                <w:highlight w:val="none"/>
                <w:lang w:val="en-US" w:eastAsia="zh-CN"/>
              </w:rPr>
              <w:t>建设发展需要</w:t>
            </w:r>
            <w:r>
              <w:rPr>
                <w:rFonts w:hint="default"/>
                <w:color w:val="auto"/>
                <w:highlight w:val="none"/>
                <w:lang w:val="en-US" w:eastAsia="zh-CN"/>
              </w:rPr>
              <w:t>，</w:t>
            </w:r>
            <w:r>
              <w:rPr>
                <w:rFonts w:hint="eastAsia" w:ascii="Times New Roman" w:hAnsi="Times New Roman" w:eastAsia="宋体" w:cs="Times New Roman"/>
                <w:snapToGrid w:val="0"/>
                <w:color w:val="auto"/>
                <w:kern w:val="0"/>
                <w:sz w:val="24"/>
                <w:szCs w:val="21"/>
                <w:highlight w:val="none"/>
                <w:lang w:val="en-US" w:eastAsia="zh-CN" w:bidi="ar-SA"/>
              </w:rPr>
              <w:t>寿县安康医院</w:t>
            </w:r>
            <w:r>
              <w:rPr>
                <w:rFonts w:hint="eastAsia" w:cs="Times New Roman"/>
                <w:snapToGrid w:val="0"/>
                <w:color w:val="auto"/>
                <w:kern w:val="0"/>
                <w:sz w:val="24"/>
                <w:szCs w:val="21"/>
                <w:highlight w:val="none"/>
                <w:lang w:val="en-US" w:eastAsia="zh-CN" w:bidi="ar-SA"/>
              </w:rPr>
              <w:t>拟建设“</w:t>
            </w:r>
            <w:r>
              <w:rPr>
                <w:rFonts w:hint="eastAsia" w:ascii="Times New Roman" w:hAnsi="Times New Roman" w:eastAsia="宋体" w:cs="Times New Roman"/>
                <w:snapToGrid w:val="0"/>
                <w:color w:val="auto"/>
                <w:kern w:val="0"/>
                <w:sz w:val="24"/>
                <w:szCs w:val="21"/>
                <w:highlight w:val="none"/>
                <w:lang w:val="en-US" w:eastAsia="zh-CN" w:bidi="ar-SA"/>
              </w:rPr>
              <w:t>寿县安康医院新增DSA设备项目</w:t>
            </w:r>
            <w:r>
              <w:rPr>
                <w:rFonts w:hint="eastAsia" w:cs="Times New Roman"/>
                <w:snapToGrid w:val="0"/>
                <w:color w:val="auto"/>
                <w:kern w:val="0"/>
                <w:sz w:val="24"/>
                <w:szCs w:val="21"/>
                <w:highlight w:val="none"/>
                <w:lang w:val="en-US" w:eastAsia="zh-CN" w:bidi="ar-SA"/>
              </w:rPr>
              <w:t>”，</w:t>
            </w:r>
            <w:r>
              <w:rPr>
                <w:rFonts w:hint="eastAsia" w:ascii="Times New Roman" w:hAnsi="Times New Roman" w:eastAsia="宋体" w:cs="Times New Roman"/>
                <w:snapToGrid w:val="0"/>
                <w:color w:val="auto"/>
                <w:kern w:val="0"/>
                <w:sz w:val="24"/>
                <w:szCs w:val="21"/>
                <w:highlight w:val="none"/>
                <w:lang w:val="en-US" w:eastAsia="zh-CN" w:bidi="ar-SA"/>
              </w:rPr>
              <w:t>寿县安康医院</w:t>
            </w:r>
            <w:r>
              <w:rPr>
                <w:rFonts w:hint="eastAsia" w:cs="Times New Roman"/>
                <w:snapToGrid w:val="0"/>
                <w:color w:val="auto"/>
                <w:kern w:val="0"/>
                <w:sz w:val="24"/>
                <w:szCs w:val="21"/>
                <w:highlight w:val="none"/>
                <w:lang w:val="en-US" w:eastAsia="zh-CN" w:bidi="ar-SA"/>
              </w:rPr>
              <w:t>于2024年7月3日取得了寿县发展改革委项</w:t>
            </w:r>
            <w:r>
              <w:rPr>
                <w:rFonts w:hint="eastAsia" w:ascii="Times New Roman" w:hAnsi="Times New Roman" w:eastAsia="宋体" w:cs="Times New Roman"/>
                <w:snapToGrid w:val="0"/>
                <w:color w:val="auto"/>
                <w:kern w:val="0"/>
                <w:sz w:val="24"/>
                <w:szCs w:val="21"/>
                <w:highlight w:val="none"/>
                <w:lang w:val="en-US" w:eastAsia="zh-CN" w:bidi="ar-SA"/>
              </w:rPr>
              <w:t>寿县安康医院新增DSA设备项目</w:t>
            </w:r>
            <w:r>
              <w:rPr>
                <w:rFonts w:hint="eastAsia" w:cs="Times New Roman"/>
                <w:snapToGrid w:val="0"/>
                <w:color w:val="auto"/>
                <w:kern w:val="0"/>
                <w:sz w:val="24"/>
                <w:szCs w:val="21"/>
                <w:highlight w:val="none"/>
                <w:lang w:val="en-US" w:eastAsia="zh-CN" w:bidi="ar-SA"/>
              </w:rPr>
              <w:t>目备案表，项目代码为</w:t>
            </w:r>
            <w:r>
              <w:rPr>
                <w:rFonts w:hint="eastAsia"/>
                <w:color w:val="auto"/>
                <w:highlight w:val="none"/>
                <w:lang w:val="en-US" w:eastAsia="zh-CN"/>
              </w:rPr>
              <w:t>2407-340422-04-05-942853，项目具体内容为：</w:t>
            </w:r>
            <w:r>
              <w:rPr>
                <w:rFonts w:hint="eastAsia"/>
                <w:color w:val="auto"/>
                <w:highlight w:val="none"/>
                <w:lang w:val="en-US" w:eastAsia="zh-CN"/>
              </w:rPr>
              <w:t>寿县安康医院拟对</w:t>
            </w:r>
            <w:r>
              <w:rPr>
                <w:rFonts w:hint="eastAsia"/>
                <w:color w:val="auto"/>
                <w:highlight w:val="none"/>
                <w:lang w:val="en-US" w:eastAsia="zh-CN"/>
              </w:rPr>
              <w:t>综合楼1层东北侧闲置房间</w:t>
            </w:r>
            <w:r>
              <w:rPr>
                <w:rFonts w:hint="default"/>
                <w:color w:val="auto"/>
                <w:highlight w:val="none"/>
                <w:lang w:val="en-US" w:eastAsia="zh-CN"/>
              </w:rPr>
              <w:t>进行</w:t>
            </w:r>
            <w:r>
              <w:rPr>
                <w:rFonts w:hint="eastAsia"/>
                <w:color w:val="auto"/>
                <w:highlight w:val="none"/>
                <w:lang w:val="en-US" w:eastAsia="zh-CN"/>
              </w:rPr>
              <w:t>辐射</w:t>
            </w:r>
            <w:r>
              <w:rPr>
                <w:rFonts w:hint="default"/>
                <w:color w:val="auto"/>
                <w:highlight w:val="none"/>
                <w:lang w:val="en-US" w:eastAsia="zh-CN"/>
              </w:rPr>
              <w:t>防护</w:t>
            </w:r>
            <w:r>
              <w:rPr>
                <w:rFonts w:hint="eastAsia"/>
                <w:color w:val="auto"/>
                <w:highlight w:val="none"/>
                <w:lang w:val="en-US" w:eastAsia="zh-CN"/>
              </w:rPr>
              <w:t>改造，建设一间DSA机房</w:t>
            </w:r>
            <w:r>
              <w:rPr>
                <w:rFonts w:hint="eastAsia"/>
                <w:color w:val="auto"/>
                <w:highlight w:val="none"/>
                <w:lang w:val="en-US" w:eastAsia="zh-CN"/>
              </w:rPr>
              <w:t>，并拟购买</w:t>
            </w:r>
            <w:r>
              <w:rPr>
                <w:rFonts w:hint="eastAsia"/>
                <w:color w:val="auto"/>
                <w:highlight w:val="none"/>
                <w:lang w:val="en-US" w:eastAsia="zh-CN"/>
              </w:rPr>
              <w:t>一台DSA安装于DSA机房，项目估算总投资400万元。项目备案文件</w:t>
            </w:r>
            <w:r>
              <w:rPr>
                <w:rFonts w:hint="default"/>
                <w:color w:val="auto"/>
                <w:highlight w:val="none"/>
                <w:lang w:val="en-US" w:eastAsia="zh-CN"/>
              </w:rPr>
              <w:t>详见附件</w:t>
            </w:r>
            <w:r>
              <w:rPr>
                <w:rFonts w:hint="eastAsia"/>
                <w:color w:val="auto"/>
                <w:highlight w:val="none"/>
                <w:lang w:val="en-US" w:eastAsia="zh-CN"/>
              </w:rPr>
              <w:t>3</w:t>
            </w:r>
            <w:r>
              <w:rPr>
                <w:rFonts w:hint="default"/>
                <w:color w:val="auto"/>
                <w:highlight w:val="none"/>
                <w:lang w:val="en-US" w:eastAsia="zh-CN"/>
              </w:rPr>
              <w:t>。</w:t>
            </w:r>
          </w:p>
          <w:p w14:paraId="5CE99F17">
            <w:pPr>
              <w:pStyle w:val="23"/>
              <w:keepNext w:val="0"/>
              <w:keepLines w:val="0"/>
              <w:suppressLineNumbers w:val="0"/>
              <w:spacing w:before="0" w:beforeAutospacing="0" w:after="0" w:afterAutospacing="0"/>
              <w:ind w:left="0" w:right="0" w:firstLine="480"/>
              <w:rPr>
                <w:rFonts w:hint="default" w:cs="Times New Roman"/>
                <w:color w:val="auto"/>
                <w:lang w:val="en-US" w:eastAsia="zh-CN"/>
              </w:rPr>
            </w:pPr>
            <w:r>
              <w:rPr>
                <w:rFonts w:hint="default"/>
                <w:color w:val="auto"/>
                <w:lang w:val="en-US" w:eastAsia="zh-CN"/>
              </w:rPr>
              <w:t>本次</w:t>
            </w:r>
            <w:r>
              <w:rPr>
                <w:rFonts w:hint="eastAsia"/>
                <w:color w:val="auto"/>
                <w:lang w:val="en-US" w:eastAsia="zh-CN"/>
              </w:rPr>
              <w:t>寿县安康医院新增DSA设备项目</w:t>
            </w:r>
            <w:r>
              <w:rPr>
                <w:rFonts w:hint="default"/>
                <w:color w:val="auto"/>
                <w:lang w:val="en-US" w:eastAsia="zh-CN"/>
              </w:rPr>
              <w:t>建设内容主要为：</w:t>
            </w:r>
            <w:r>
              <w:rPr>
                <w:rFonts w:hint="eastAsia"/>
                <w:color w:val="auto"/>
                <w:lang w:val="en-US" w:eastAsia="zh-CN"/>
              </w:rPr>
              <w:t>拟对综合楼</w:t>
            </w:r>
            <w:r>
              <w:rPr>
                <w:rFonts w:hint="eastAsia" w:cs="Times New Roman"/>
                <w:color w:val="auto"/>
                <w:lang w:val="en-US" w:eastAsia="zh-CN"/>
              </w:rPr>
              <w:t>一层东北侧闲置房间</w:t>
            </w:r>
            <w:r>
              <w:rPr>
                <w:rFonts w:hint="default"/>
                <w:color w:val="auto"/>
                <w:lang w:val="en-US" w:eastAsia="zh-CN"/>
              </w:rPr>
              <w:t>进行</w:t>
            </w:r>
            <w:r>
              <w:rPr>
                <w:rFonts w:hint="eastAsia"/>
                <w:color w:val="auto"/>
                <w:lang w:val="en-US" w:eastAsia="zh-CN"/>
              </w:rPr>
              <w:t>辐射</w:t>
            </w:r>
            <w:r>
              <w:rPr>
                <w:rFonts w:hint="default"/>
                <w:color w:val="auto"/>
                <w:lang w:val="en-US" w:eastAsia="zh-CN"/>
              </w:rPr>
              <w:t>防护</w:t>
            </w:r>
            <w:r>
              <w:rPr>
                <w:rFonts w:hint="eastAsia"/>
                <w:color w:val="auto"/>
                <w:lang w:val="en-US" w:eastAsia="zh-CN"/>
              </w:rPr>
              <w:t>改造</w:t>
            </w:r>
            <w:r>
              <w:rPr>
                <w:rFonts w:hint="eastAsia"/>
                <w:color w:val="auto"/>
                <w:highlight w:val="none"/>
                <w:lang w:val="en-US" w:eastAsia="zh-CN"/>
              </w:rPr>
              <w:t>，建设一间DSA机房，并拟购买一台DSA安装于DSA机房</w:t>
            </w:r>
            <w:r>
              <w:rPr>
                <w:rFonts w:hint="eastAsia"/>
                <w:color w:val="auto"/>
                <w:highlight w:val="none"/>
                <w:lang w:val="en-US" w:eastAsia="zh-CN"/>
              </w:rPr>
              <w:t>。建设</w:t>
            </w:r>
            <w:r>
              <w:rPr>
                <w:rFonts w:hint="eastAsia" w:cs="Times New Roman"/>
                <w:color w:val="auto"/>
                <w:lang w:val="en-US" w:eastAsia="zh-CN"/>
              </w:rPr>
              <w:t>方案如下：</w:t>
            </w:r>
          </w:p>
          <w:p w14:paraId="455ED89D">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cs="Times New Roman"/>
                <w:color w:val="auto"/>
                <w:highlight w:val="none"/>
                <w:lang w:val="en-US" w:eastAsia="zh-CN"/>
              </w:rPr>
            </w:pPr>
            <w:r>
              <w:rPr>
                <w:rFonts w:hint="eastAsia" w:ascii="Times New Roman" w:hAnsi="Times New Roman" w:eastAsia="宋体" w:cs="Times New Roman"/>
                <w:color w:val="auto"/>
                <w:lang w:val="en-US" w:eastAsia="zh-CN"/>
              </w:rPr>
              <w:t>改建前：</w:t>
            </w:r>
            <w:r>
              <w:rPr>
                <w:rFonts w:hint="eastAsia" w:cs="Times New Roman"/>
                <w:color w:val="auto"/>
                <w:lang w:val="en-US" w:eastAsia="zh-CN"/>
              </w:rPr>
              <w:t>计划作为DSA机房区域的</w:t>
            </w:r>
            <w:r>
              <w:rPr>
                <w:rFonts w:hint="default" w:ascii="Times New Roman" w:hAnsi="Times New Roman" w:eastAsia="宋体" w:cs="Times New Roman"/>
                <w:color w:val="auto"/>
                <w:lang w:val="en-US" w:eastAsia="zh-CN"/>
              </w:rPr>
              <w:t>闲置房间</w:t>
            </w:r>
            <w:r>
              <w:rPr>
                <w:rFonts w:hint="default" w:ascii="Times New Roman" w:hAnsi="Times New Roman" w:cs="Times New Roman"/>
                <w:color w:val="auto"/>
                <w:highlight w:val="none"/>
                <w:lang w:val="en-US" w:eastAsia="zh-CN"/>
              </w:rPr>
              <w:t>四侧墙体</w:t>
            </w:r>
            <w:r>
              <w:rPr>
                <w:rFonts w:hint="eastAsia" w:ascii="Times New Roman" w:hAnsi="Times New Roman" w:cs="Times New Roman"/>
                <w:color w:val="auto"/>
                <w:highlight w:val="none"/>
                <w:lang w:val="en-US" w:eastAsia="zh-CN"/>
              </w:rPr>
              <w:t>为2</w:t>
            </w:r>
            <w:r>
              <w:rPr>
                <w:rFonts w:hint="eastAsia" w:cs="Times New Roman"/>
                <w:color w:val="auto"/>
                <w:highlight w:val="none"/>
                <w:lang w:val="en-US" w:eastAsia="zh-CN"/>
              </w:rPr>
              <w:t>0</w:t>
            </w:r>
            <w:r>
              <w:rPr>
                <w:rFonts w:hint="eastAsia" w:ascii="Times New Roman" w:hAnsi="Times New Roman" w:cs="Times New Roman"/>
                <w:color w:val="auto"/>
                <w:highlight w:val="none"/>
                <w:lang w:val="en-US" w:eastAsia="zh-CN"/>
              </w:rPr>
              <w:t>0mm的</w:t>
            </w:r>
            <w:r>
              <w:rPr>
                <w:rFonts w:hint="eastAsia" w:cs="Times New Roman"/>
                <w:color w:val="auto"/>
                <w:highlight w:val="none"/>
                <w:lang w:val="en-US" w:eastAsia="zh-CN"/>
              </w:rPr>
              <w:t>空心</w:t>
            </w:r>
            <w:r>
              <w:rPr>
                <w:rFonts w:hint="eastAsia" w:ascii="Times New Roman" w:hAnsi="Times New Roman" w:cs="Times New Roman"/>
                <w:color w:val="auto"/>
                <w:highlight w:val="none"/>
                <w:lang w:val="en-US" w:eastAsia="zh-CN"/>
              </w:rPr>
              <w:t>砖墙</w:t>
            </w:r>
            <w:r>
              <w:rPr>
                <w:rFonts w:hint="default" w:ascii="Times New Roman" w:hAnsi="Times New Roman" w:cs="Times New Roman"/>
                <w:color w:val="auto"/>
                <w:highlight w:val="none"/>
                <w:lang w:val="en-US" w:eastAsia="zh-CN"/>
              </w:rPr>
              <w:t>，</w:t>
            </w:r>
            <w:r>
              <w:rPr>
                <w:rFonts w:hint="eastAsia" w:ascii="Times New Roman" w:hAnsi="Times New Roman" w:cs="Times New Roman"/>
                <w:color w:val="auto"/>
                <w:highlight w:val="none"/>
                <w:lang w:val="en-US" w:eastAsia="zh-CN"/>
              </w:rPr>
              <w:t>顶部为1</w:t>
            </w:r>
            <w:r>
              <w:rPr>
                <w:rFonts w:hint="eastAsia" w:cs="Times New Roman"/>
                <w:color w:val="auto"/>
                <w:highlight w:val="none"/>
                <w:lang w:val="en-US" w:eastAsia="zh-CN"/>
              </w:rPr>
              <w:t>50m</w:t>
            </w:r>
            <w:r>
              <w:rPr>
                <w:rFonts w:hint="eastAsia" w:ascii="Times New Roman" w:hAnsi="Times New Roman" w:cs="Times New Roman"/>
                <w:color w:val="auto"/>
                <w:highlight w:val="none"/>
                <w:lang w:val="en-US" w:eastAsia="zh-CN"/>
              </w:rPr>
              <w:t>m混凝土（密度不小于2.35g/cm³），</w:t>
            </w:r>
            <w:r>
              <w:rPr>
                <w:rFonts w:hint="default" w:ascii="Times New Roman" w:hAnsi="Times New Roman" w:cs="Times New Roman"/>
                <w:color w:val="auto"/>
                <w:highlight w:val="none"/>
                <w:lang w:val="en-US" w:eastAsia="zh-CN"/>
              </w:rPr>
              <w:t>地面为</w:t>
            </w:r>
            <w:r>
              <w:rPr>
                <w:rFonts w:hint="eastAsia" w:ascii="Times New Roman" w:hAnsi="Times New Roman" w:cs="Times New Roman"/>
                <w:color w:val="auto"/>
                <w:highlight w:val="none"/>
                <w:lang w:val="en-US" w:eastAsia="zh-CN"/>
              </w:rPr>
              <w:t>混凝土</w:t>
            </w:r>
            <w:r>
              <w:rPr>
                <w:rFonts w:hint="eastAsia" w:ascii="Times New Roman" w:hAnsi="Times New Roman" w:eastAsia="宋体" w:cs="Times New Roman"/>
                <w:color w:val="auto"/>
                <w:lang w:val="en-US" w:eastAsia="zh-CN"/>
              </w:rPr>
              <w:t>地基加</w:t>
            </w:r>
            <w:r>
              <w:rPr>
                <w:rFonts w:hint="default" w:ascii="Times New Roman" w:hAnsi="Times New Roman" w:eastAsia="宋体" w:cs="Times New Roman"/>
                <w:color w:val="auto"/>
                <w:lang w:val="en-US" w:eastAsia="zh-CN"/>
              </w:rPr>
              <w:t>土壤层</w:t>
            </w:r>
            <w:r>
              <w:rPr>
                <w:rFonts w:hint="eastAsia" w:cs="Times New Roman"/>
                <w:color w:val="auto"/>
                <w:highlight w:val="none"/>
                <w:lang w:val="en-US" w:eastAsia="zh-CN"/>
              </w:rPr>
              <w:t>，无地下工程</w:t>
            </w:r>
            <w:r>
              <w:rPr>
                <w:rFonts w:hint="default" w:ascii="Times New Roman" w:hAnsi="Times New Roman" w:cs="Times New Roman"/>
                <w:color w:val="auto"/>
                <w:highlight w:val="none"/>
                <w:lang w:val="en-US" w:eastAsia="zh-CN"/>
              </w:rPr>
              <w:t>。</w:t>
            </w:r>
          </w:p>
          <w:p w14:paraId="167F1DBA">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Lines="0" w:afterAutospacing="0" w:line="460" w:lineRule="exact"/>
              <w:ind w:left="0" w:right="0" w:firstLine="480" w:firstLineChars="200"/>
              <w:textAlignment w:val="auto"/>
              <w:rPr>
                <w:rFonts w:hint="default"/>
                <w:color w:val="auto"/>
                <w:lang w:val="en-US" w:eastAsia="zh-CN"/>
              </w:rPr>
            </w:pPr>
            <w:r>
              <w:rPr>
                <w:rFonts w:hint="default" w:ascii="Times New Roman" w:hAnsi="Times New Roman" w:cs="Times New Roman"/>
                <w:color w:val="auto"/>
                <w:highlight w:val="none"/>
                <w:lang w:val="en-US" w:eastAsia="zh-CN"/>
              </w:rPr>
              <w:t>防护改造建设内容为：</w:t>
            </w:r>
            <w:r>
              <w:rPr>
                <w:rFonts w:hint="eastAsia" w:cs="Times New Roman"/>
                <w:color w:val="auto"/>
                <w:highlight w:val="none"/>
                <w:lang w:val="en-US" w:eastAsia="zh-CN"/>
              </w:rPr>
              <w:t>机房南侧内部新建240mm厚实心砖墙(机房与设备间隔断)+粉刷30mm厚硫酸钡水泥+墙面装饰板；东、西、北三面墙加砌120mm厚实心砖墙+粉刷30mm厚硫酸钡水泥+墙面装饰板；北侧</w:t>
            </w:r>
            <w:r>
              <w:rPr>
                <w:rFonts w:hint="default" w:ascii="Times New Roman" w:hAnsi="Times New Roman" w:cs="Times New Roman"/>
                <w:color w:val="auto"/>
                <w:highlight w:val="none"/>
                <w:lang w:val="en-US" w:eastAsia="zh-CN"/>
              </w:rPr>
              <w:t>墙面玻璃窗拆除用200mm厚实心砖封堵</w:t>
            </w:r>
            <w:r>
              <w:rPr>
                <w:rFonts w:hint="eastAsia" w:cs="Times New Roman"/>
                <w:color w:val="auto"/>
                <w:highlight w:val="none"/>
                <w:lang w:val="en-US" w:eastAsia="zh-CN"/>
              </w:rPr>
              <w:t>；顶部离地面3.4m</w:t>
            </w:r>
            <w:r>
              <w:rPr>
                <w:rFonts w:hint="eastAsia" w:cs="Times New Roman"/>
                <w:color w:val="auto"/>
                <w:highlight w:val="none"/>
                <w:lang w:val="en-US" w:eastAsia="zh-CN"/>
              </w:rPr>
              <w:t>高度制钢架龙骨+15mm厚硫酸钡防辐射板+1mmPb铅板，然后离地面2.9m高度铝扣板吊顶；控制室</w:t>
            </w:r>
            <w:r>
              <w:rPr>
                <w:rFonts w:hint="default" w:ascii="Times New Roman" w:hAnsi="Times New Roman" w:cs="Times New Roman"/>
                <w:color w:val="auto"/>
                <w:highlight w:val="none"/>
                <w:lang w:val="en-US" w:eastAsia="zh-CN"/>
              </w:rPr>
              <w:t>平推铅门</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污物通道铅门</w:t>
            </w:r>
            <w:r>
              <w:rPr>
                <w:rFonts w:hint="eastAsia" w:cs="Times New Roman"/>
                <w:color w:val="auto"/>
                <w:highlight w:val="none"/>
                <w:lang w:val="en-US" w:eastAsia="zh-CN"/>
              </w:rPr>
              <w:t>以及缓冲间</w:t>
            </w:r>
            <w:r>
              <w:rPr>
                <w:rFonts w:hint="default" w:ascii="Times New Roman" w:hAnsi="Times New Roman" w:cs="Times New Roman"/>
                <w:color w:val="auto"/>
                <w:highlight w:val="none"/>
                <w:lang w:val="en-US" w:eastAsia="zh-CN"/>
              </w:rPr>
              <w:t>电动铅门</w:t>
            </w:r>
            <w:r>
              <w:rPr>
                <w:rFonts w:hint="eastAsia" w:cs="Times New Roman"/>
                <w:color w:val="auto"/>
                <w:highlight w:val="none"/>
                <w:lang w:val="en-US" w:eastAsia="zh-CN"/>
              </w:rPr>
              <w:t>防护当量均为3mmPb，观察窗</w:t>
            </w:r>
            <w:r>
              <w:rPr>
                <w:rFonts w:hint="default" w:ascii="Times New Roman" w:hAnsi="Times New Roman" w:cs="Times New Roman"/>
                <w:color w:val="auto"/>
                <w:highlight w:val="none"/>
                <w:lang w:val="en-US" w:eastAsia="zh-CN"/>
              </w:rPr>
              <w:t>铅玻璃防护当量</w:t>
            </w:r>
            <w:r>
              <w:rPr>
                <w:rFonts w:hint="eastAsia" w:cs="Times New Roman"/>
                <w:color w:val="auto"/>
                <w:highlight w:val="none"/>
                <w:lang w:val="en-US" w:eastAsia="zh-CN"/>
              </w:rPr>
              <w:t>为4 mmPb</w:t>
            </w:r>
            <w:r>
              <w:rPr>
                <w:rFonts w:hint="default" w:ascii="Times New Roman" w:hAnsi="Times New Roman" w:cs="Times New Roman"/>
                <w:color w:val="auto"/>
                <w:highlight w:val="none"/>
                <w:lang w:val="en-US" w:eastAsia="zh-CN"/>
              </w:rPr>
              <w:t>；机房</w:t>
            </w:r>
            <w:r>
              <w:rPr>
                <w:rFonts w:hint="eastAsia" w:ascii="Times New Roman" w:hAnsi="Times New Roman" w:cs="Times New Roman"/>
                <w:color w:val="auto"/>
                <w:highlight w:val="none"/>
                <w:lang w:val="en-US" w:eastAsia="zh-CN"/>
              </w:rPr>
              <w:t>设置</w:t>
            </w:r>
            <w:r>
              <w:rPr>
                <w:rFonts w:hint="default" w:ascii="Times New Roman" w:hAnsi="Times New Roman" w:cs="Times New Roman"/>
                <w:color w:val="auto"/>
                <w:highlight w:val="none"/>
                <w:lang w:val="en-US" w:eastAsia="zh-CN"/>
              </w:rPr>
              <w:t>动力通风系统，安装低噪音进、排风机(700m</w:t>
            </w:r>
            <w:r>
              <w:rPr>
                <w:rFonts w:hint="eastAsia" w:cs="Times New Roman"/>
                <w:color w:val="auto"/>
                <w:highlight w:val="none"/>
                <w:vertAlign w:val="superscript"/>
                <w:lang w:val="en-US" w:eastAsia="zh-CN"/>
              </w:rPr>
              <w:t>3</w:t>
            </w:r>
            <w:r>
              <w:rPr>
                <w:rFonts w:hint="default" w:ascii="Times New Roman" w:hAnsi="Times New Roman" w:cs="Times New Roman"/>
                <w:color w:val="auto"/>
                <w:highlight w:val="none"/>
                <w:lang w:val="en-US" w:eastAsia="zh-CN"/>
              </w:rPr>
              <w:t>/h)一套</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进、出风口孔位置离地3</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5m以上</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倾斜进墙</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墙内风管用2mm</w:t>
            </w:r>
            <w:r>
              <w:rPr>
                <w:rFonts w:hint="eastAsia" w:cs="Times New Roman"/>
                <w:color w:val="auto"/>
                <w:highlight w:val="none"/>
                <w:lang w:val="en-US" w:eastAsia="zh-CN"/>
              </w:rPr>
              <w:t>P</w:t>
            </w:r>
            <w:r>
              <w:rPr>
                <w:rFonts w:hint="default" w:ascii="Times New Roman" w:hAnsi="Times New Roman" w:cs="Times New Roman"/>
                <w:color w:val="auto"/>
                <w:highlight w:val="none"/>
                <w:lang w:val="en-US" w:eastAsia="zh-CN"/>
              </w:rPr>
              <w:t>b铅板包围防护</w:t>
            </w:r>
            <w:r>
              <w:rPr>
                <w:rFonts w:hint="default"/>
                <w:color w:val="auto"/>
                <w:lang w:val="en-US" w:eastAsia="zh-CN"/>
              </w:rPr>
              <w:t>。本项目</w:t>
            </w:r>
            <w:r>
              <w:rPr>
                <w:rFonts w:hint="eastAsia"/>
                <w:color w:val="auto"/>
                <w:lang w:val="en-US" w:eastAsia="zh-CN"/>
              </w:rPr>
              <w:t>具体</w:t>
            </w:r>
            <w:r>
              <w:rPr>
                <w:rFonts w:hint="default"/>
                <w:color w:val="auto"/>
                <w:lang w:val="en-US" w:eastAsia="zh-CN"/>
              </w:rPr>
              <w:t>建设内容详见下表1-1</w:t>
            </w:r>
            <w:r>
              <w:rPr>
                <w:rFonts w:hint="eastAsia"/>
                <w:color w:val="auto"/>
                <w:lang w:val="en-US" w:eastAsia="zh-CN"/>
              </w:rPr>
              <w:t>。</w:t>
            </w:r>
          </w:p>
          <w:p w14:paraId="642BF281">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2" w:firstLineChars="200"/>
              <w:jc w:val="center"/>
              <w:textAlignment w:val="auto"/>
              <w:rPr>
                <w:rFonts w:hint="default"/>
                <w:b/>
                <w:bCs/>
                <w:color w:val="auto"/>
                <w:lang w:val="en-US" w:eastAsia="zh-CN"/>
              </w:rPr>
            </w:pPr>
            <w:r>
              <w:rPr>
                <w:rFonts w:hint="default"/>
                <w:b/>
                <w:bCs/>
                <w:color w:val="auto"/>
                <w:lang w:val="en-US" w:eastAsia="zh-CN"/>
              </w:rPr>
              <w:t>表1-1  项目建设内容及规模一览表</w:t>
            </w:r>
          </w:p>
          <w:tbl>
            <w:tblPr>
              <w:tblStyle w:val="18"/>
              <w:tblW w:w="962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9"/>
              <w:gridCol w:w="811"/>
              <w:gridCol w:w="7056"/>
              <w:gridCol w:w="678"/>
            </w:tblGrid>
            <w:tr w14:paraId="72885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79" w:type="dxa"/>
                  <w:vAlign w:val="center"/>
                </w:tcPr>
                <w:p w14:paraId="144B382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项目组成</w:t>
                  </w:r>
                </w:p>
              </w:tc>
              <w:tc>
                <w:tcPr>
                  <w:tcW w:w="7867" w:type="dxa"/>
                  <w:gridSpan w:val="2"/>
                  <w:vAlign w:val="center"/>
                </w:tcPr>
                <w:p w14:paraId="1C6A9BB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建设内容</w:t>
                  </w:r>
                </w:p>
              </w:tc>
              <w:tc>
                <w:tcPr>
                  <w:tcW w:w="678" w:type="dxa"/>
                  <w:vAlign w:val="center"/>
                </w:tcPr>
                <w:p w14:paraId="005B620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备注</w:t>
                  </w:r>
                </w:p>
              </w:tc>
            </w:tr>
            <w:tr w14:paraId="578F6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4" w:hRule="atLeast"/>
              </w:trPr>
              <w:tc>
                <w:tcPr>
                  <w:tcW w:w="1079" w:type="dxa"/>
                  <w:vAlign w:val="center"/>
                </w:tcPr>
                <w:p w14:paraId="04A49C8F">
                  <w:pPr>
                    <w:keepNext w:val="0"/>
                    <w:keepLines w:val="0"/>
                    <w:widowControl w:val="0"/>
                    <w:suppressLineNumbers w:val="0"/>
                    <w:spacing w:before="0" w:beforeAutospacing="0" w:after="0" w:afterAutospacing="0" w:line="240" w:lineRule="auto"/>
                    <w:ind w:left="0" w:right="0" w:firstLine="0" w:firstLineChars="0"/>
                    <w:jc w:val="left"/>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主体工程</w:t>
                  </w:r>
                </w:p>
              </w:tc>
              <w:tc>
                <w:tcPr>
                  <w:tcW w:w="7867" w:type="dxa"/>
                  <w:gridSpan w:val="2"/>
                  <w:vAlign w:val="center"/>
                </w:tcPr>
                <w:p w14:paraId="5D36FB2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default" w:ascii="Times New Roman" w:hAnsi="Times New Roman" w:eastAsia="宋体" w:cs="Times New Roman"/>
                      <w:snapToGrid w:val="0"/>
                      <w:color w:val="auto"/>
                      <w:kern w:val="0"/>
                      <w:sz w:val="21"/>
                      <w:szCs w:val="21"/>
                      <w:highlight w:val="none"/>
                      <w:lang w:val="en-US" w:eastAsia="zh-CN" w:bidi="ar-SA"/>
                    </w:rPr>
                    <w:t>机房位于</w:t>
                  </w:r>
                  <w:r>
                    <w:rPr>
                      <w:rFonts w:hint="eastAsia" w:ascii="Times New Roman" w:hAnsi="Times New Roman" w:eastAsia="宋体" w:cs="Times New Roman"/>
                      <w:snapToGrid w:val="0"/>
                      <w:color w:val="auto"/>
                      <w:kern w:val="0"/>
                      <w:sz w:val="21"/>
                      <w:szCs w:val="21"/>
                      <w:highlight w:val="none"/>
                      <w:lang w:val="en-US" w:eastAsia="zh-CN" w:bidi="ar-SA"/>
                    </w:rPr>
                    <w:t>综合楼1楼东北侧闲置房间</w:t>
                  </w:r>
                  <w:r>
                    <w:rPr>
                      <w:rFonts w:hint="default" w:ascii="Times New Roman" w:hAnsi="Times New Roman" w:eastAsia="宋体" w:cs="Times New Roman"/>
                      <w:snapToGrid w:val="0"/>
                      <w:color w:val="auto"/>
                      <w:kern w:val="0"/>
                      <w:sz w:val="21"/>
                      <w:szCs w:val="21"/>
                      <w:highlight w:val="none"/>
                      <w:lang w:val="en-US" w:eastAsia="zh-CN" w:bidi="ar-SA"/>
                    </w:rPr>
                    <w:t>。</w:t>
                  </w:r>
                </w:p>
                <w:p w14:paraId="2FDB5C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eastAsia="宋体" w:cs="Times New Roman"/>
                      <w:snapToGrid w:val="0"/>
                      <w:color w:val="auto"/>
                      <w:kern w:val="0"/>
                      <w:sz w:val="21"/>
                      <w:szCs w:val="21"/>
                      <w:highlight w:val="none"/>
                      <w:lang w:val="en-US" w:eastAsia="zh-CN" w:bidi="ar-SA"/>
                    </w:rPr>
                    <w:t>手术室原建筑</w:t>
                  </w:r>
                  <w:r>
                    <w:rPr>
                      <w:rFonts w:hint="eastAsia" w:ascii="Times New Roman" w:hAnsi="Times New Roman" w:eastAsia="宋体" w:cs="Times New Roman"/>
                      <w:snapToGrid w:val="0"/>
                      <w:color w:val="auto"/>
                      <w:kern w:val="0"/>
                      <w:sz w:val="21"/>
                      <w:szCs w:val="21"/>
                      <w:highlight w:val="none"/>
                      <w:lang w:val="en-US" w:eastAsia="zh-CN" w:bidi="ar-SA"/>
                    </w:rPr>
                    <w:t>结构</w:t>
                  </w:r>
                  <w:r>
                    <w:rPr>
                      <w:rFonts w:hint="default" w:ascii="Times New Roman" w:hAnsi="Times New Roman" w:eastAsia="宋体" w:cs="Times New Roman"/>
                      <w:snapToGrid w:val="0"/>
                      <w:color w:val="auto"/>
                      <w:kern w:val="0"/>
                      <w:sz w:val="21"/>
                      <w:szCs w:val="21"/>
                      <w:highlight w:val="none"/>
                      <w:lang w:val="en-US" w:eastAsia="zh-CN" w:bidi="ar-SA"/>
                    </w:rPr>
                    <w:t>：</w:t>
                  </w:r>
                  <w:r>
                    <w:rPr>
                      <w:rFonts w:hint="default" w:ascii="Times New Roman" w:hAnsi="Times New Roman" w:cs="Times New Roman"/>
                      <w:color w:val="auto"/>
                      <w:sz w:val="21"/>
                      <w:szCs w:val="21"/>
                      <w:highlight w:val="none"/>
                      <w:lang w:val="en-US" w:eastAsia="zh-CN"/>
                    </w:rPr>
                    <w:t>四侧墙体为200mm的空心砖墙，顶部为150mm混凝土，地面为混凝土地基加土壤层，无地下工程。</w:t>
                  </w:r>
                </w:p>
                <w:p w14:paraId="6B46E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default" w:ascii="Times New Roman" w:hAnsi="Times New Roman" w:eastAsia="宋体" w:cs="Times New Roman"/>
                      <w:snapToGrid w:val="0"/>
                      <w:color w:val="auto"/>
                      <w:kern w:val="0"/>
                      <w:sz w:val="21"/>
                      <w:szCs w:val="21"/>
                      <w:highlight w:val="none"/>
                      <w:lang w:val="en-US" w:eastAsia="zh-CN" w:bidi="ar-SA"/>
                    </w:rPr>
                    <w:t>防护改造建设内容：</w:t>
                  </w:r>
                </w:p>
                <w:p w14:paraId="3079B51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①</w:t>
                  </w:r>
                  <w:r>
                    <w:rPr>
                      <w:rFonts w:hint="default" w:ascii="Times New Roman" w:hAnsi="Times New Roman" w:eastAsia="宋体" w:cs="Times New Roman"/>
                      <w:snapToGrid w:val="0"/>
                      <w:color w:val="auto"/>
                      <w:kern w:val="0"/>
                      <w:sz w:val="21"/>
                      <w:szCs w:val="21"/>
                      <w:highlight w:val="none"/>
                      <w:lang w:val="en-US" w:eastAsia="zh-CN" w:bidi="ar-SA"/>
                    </w:rPr>
                    <w:t>机房南侧内部</w:t>
                  </w:r>
                  <w:r>
                    <w:rPr>
                      <w:rFonts w:hint="eastAsia" w:ascii="Times New Roman" w:hAnsi="Times New Roman" w:eastAsia="宋体" w:cs="Times New Roman"/>
                      <w:snapToGrid w:val="0"/>
                      <w:color w:val="auto"/>
                      <w:kern w:val="0"/>
                      <w:sz w:val="21"/>
                      <w:szCs w:val="21"/>
                      <w:highlight w:val="none"/>
                      <w:lang w:val="en-US" w:eastAsia="zh-CN" w:bidi="ar-SA"/>
                    </w:rPr>
                    <w:t>新建</w:t>
                  </w:r>
                  <w:r>
                    <w:rPr>
                      <w:rFonts w:hint="default" w:ascii="Times New Roman" w:hAnsi="Times New Roman" w:eastAsia="宋体" w:cs="Times New Roman"/>
                      <w:snapToGrid w:val="0"/>
                      <w:color w:val="auto"/>
                      <w:kern w:val="0"/>
                      <w:sz w:val="21"/>
                      <w:szCs w:val="21"/>
                      <w:highlight w:val="none"/>
                      <w:lang w:val="en-US" w:eastAsia="zh-CN" w:bidi="ar-SA"/>
                    </w:rPr>
                    <w:t>240mm厚实心砖墙(机房与设备间隔断)+粉刷30mm厚硫酸钡水泥+墙面装饰板；东、西、北三面墙加砌120mm厚实心砖墙+粉刷30mm厚硫酸钡水泥+墙面装饰板；北侧墙面玻璃窗拆除用200mm厚实心砖封堵；</w:t>
                  </w:r>
                </w:p>
                <w:p w14:paraId="52A143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②</w:t>
                  </w:r>
                  <w:r>
                    <w:rPr>
                      <w:rFonts w:hint="default" w:ascii="Times New Roman" w:hAnsi="Times New Roman" w:eastAsia="宋体" w:cs="Times New Roman"/>
                      <w:snapToGrid w:val="0"/>
                      <w:color w:val="auto"/>
                      <w:kern w:val="0"/>
                      <w:sz w:val="21"/>
                      <w:szCs w:val="21"/>
                      <w:highlight w:val="none"/>
                      <w:lang w:val="en-US" w:eastAsia="zh-CN" w:bidi="ar-SA"/>
                    </w:rPr>
                    <w:t>顶部改为楼板层1</w:t>
                  </w:r>
                  <w:r>
                    <w:rPr>
                      <w:rFonts w:hint="eastAsia" w:ascii="Times New Roman" w:hAnsi="Times New Roman" w:eastAsia="宋体" w:cs="Times New Roman"/>
                      <w:snapToGrid w:val="0"/>
                      <w:color w:val="auto"/>
                      <w:kern w:val="0"/>
                      <w:sz w:val="21"/>
                      <w:szCs w:val="21"/>
                      <w:highlight w:val="none"/>
                      <w:lang w:val="en-US" w:eastAsia="zh-CN" w:bidi="ar-SA"/>
                    </w:rPr>
                    <w:t>5</w:t>
                  </w:r>
                  <w:r>
                    <w:rPr>
                      <w:rFonts w:hint="default" w:ascii="Times New Roman" w:hAnsi="Times New Roman" w:eastAsia="宋体" w:cs="Times New Roman"/>
                      <w:snapToGrid w:val="0"/>
                      <w:color w:val="auto"/>
                      <w:kern w:val="0"/>
                      <w:sz w:val="21"/>
                      <w:szCs w:val="21"/>
                      <w:highlight w:val="none"/>
                      <w:lang w:val="en-US" w:eastAsia="zh-CN" w:bidi="ar-SA"/>
                    </w:rPr>
                    <w:t>cm混凝土</w:t>
                  </w:r>
                  <w:r>
                    <w:rPr>
                      <w:rFonts w:hint="eastAsia" w:ascii="Times New Roman" w:hAnsi="Times New Roman" w:eastAsia="宋体" w:cs="Times New Roman"/>
                      <w:snapToGrid w:val="0"/>
                      <w:color w:val="auto"/>
                      <w:kern w:val="0"/>
                      <w:sz w:val="21"/>
                      <w:szCs w:val="21"/>
                      <w:highlight w:val="none"/>
                      <w:lang w:val="en-US" w:eastAsia="zh-CN" w:bidi="ar-SA"/>
                    </w:rPr>
                    <w:t>（</w:t>
                  </w:r>
                  <w:r>
                    <w:rPr>
                      <w:rFonts w:hint="default" w:ascii="Times New Roman" w:hAnsi="Times New Roman" w:eastAsia="宋体" w:cs="Times New Roman"/>
                      <w:snapToGrid w:val="0"/>
                      <w:color w:val="auto"/>
                      <w:kern w:val="0"/>
                      <w:sz w:val="21"/>
                      <w:szCs w:val="21"/>
                      <w:highlight w:val="none"/>
                      <w:lang w:val="en-US" w:eastAsia="zh-CN" w:bidi="ar-SA"/>
                    </w:rPr>
                    <w:t>密度</w:t>
                  </w:r>
                  <w:r>
                    <w:rPr>
                      <w:rFonts w:hint="eastAsia" w:ascii="Times New Roman" w:hAnsi="Times New Roman" w:eastAsia="宋体" w:cs="Times New Roman"/>
                      <w:snapToGrid w:val="0"/>
                      <w:color w:val="auto"/>
                      <w:kern w:val="0"/>
                      <w:sz w:val="21"/>
                      <w:szCs w:val="21"/>
                      <w:highlight w:val="none"/>
                      <w:lang w:val="en-US" w:eastAsia="zh-CN" w:bidi="ar-SA"/>
                    </w:rPr>
                    <w:t>不小于</w:t>
                  </w:r>
                  <w:r>
                    <w:rPr>
                      <w:rFonts w:hint="default" w:ascii="Times New Roman" w:hAnsi="Times New Roman" w:eastAsia="宋体" w:cs="Times New Roman"/>
                      <w:snapToGrid w:val="0"/>
                      <w:color w:val="auto"/>
                      <w:kern w:val="0"/>
                      <w:sz w:val="21"/>
                      <w:szCs w:val="21"/>
                      <w:highlight w:val="none"/>
                      <w:lang w:val="en-US" w:eastAsia="zh-CN" w:bidi="ar-SA"/>
                    </w:rPr>
                    <w:t>2.35g/cm³</w:t>
                  </w:r>
                  <w:r>
                    <w:rPr>
                      <w:rFonts w:hint="eastAsia" w:ascii="Times New Roman" w:hAnsi="Times New Roman" w:eastAsia="宋体" w:cs="Times New Roman"/>
                      <w:snapToGrid w:val="0"/>
                      <w:color w:val="auto"/>
                      <w:kern w:val="0"/>
                      <w:sz w:val="21"/>
                      <w:szCs w:val="21"/>
                      <w:highlight w:val="none"/>
                      <w:lang w:val="en-US" w:eastAsia="zh-CN" w:bidi="ar-SA"/>
                    </w:rPr>
                    <w:t>）</w:t>
                  </w:r>
                  <w:r>
                    <w:rPr>
                      <w:rFonts w:hint="default" w:ascii="Times New Roman" w:hAnsi="Times New Roman" w:eastAsia="宋体" w:cs="Times New Roman"/>
                      <w:snapToGrid w:val="0"/>
                      <w:color w:val="auto"/>
                      <w:kern w:val="0"/>
                      <w:sz w:val="21"/>
                      <w:szCs w:val="21"/>
                      <w:highlight w:val="none"/>
                      <w:lang w:val="en-US" w:eastAsia="zh-CN" w:bidi="ar-SA"/>
                    </w:rPr>
                    <w:t>+钢架龙骨+</w:t>
                  </w:r>
                  <w:r>
                    <w:rPr>
                      <w:rFonts w:hint="eastAsia" w:ascii="Times New Roman" w:hAnsi="Times New Roman" w:eastAsia="宋体" w:cs="Times New Roman"/>
                      <w:snapToGrid w:val="0"/>
                      <w:color w:val="auto"/>
                      <w:kern w:val="0"/>
                      <w:sz w:val="21"/>
                      <w:szCs w:val="21"/>
                      <w:highlight w:val="none"/>
                      <w:lang w:val="en-US" w:eastAsia="zh-CN" w:bidi="ar-SA"/>
                    </w:rPr>
                    <w:t>15mm厚硫酸钡防辐射板+1mmPb铅板+铝扣板吊顶</w:t>
                  </w:r>
                  <w:r>
                    <w:rPr>
                      <w:rFonts w:hint="default" w:ascii="Times New Roman" w:hAnsi="Times New Roman" w:eastAsia="宋体" w:cs="Times New Roman"/>
                      <w:snapToGrid w:val="0"/>
                      <w:color w:val="auto"/>
                      <w:kern w:val="0"/>
                      <w:sz w:val="21"/>
                      <w:szCs w:val="21"/>
                      <w:highlight w:val="none"/>
                      <w:lang w:val="en-US" w:eastAsia="zh-CN" w:bidi="ar-SA"/>
                    </w:rPr>
                    <w:t>；</w:t>
                  </w:r>
                </w:p>
                <w:p w14:paraId="306746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③控制室</w:t>
                  </w:r>
                  <w:r>
                    <w:rPr>
                      <w:rFonts w:hint="default" w:ascii="Times New Roman" w:hAnsi="Times New Roman" w:eastAsia="宋体" w:cs="Times New Roman"/>
                      <w:snapToGrid w:val="0"/>
                      <w:color w:val="auto"/>
                      <w:kern w:val="0"/>
                      <w:sz w:val="21"/>
                      <w:szCs w:val="21"/>
                      <w:highlight w:val="none"/>
                      <w:lang w:val="en-US" w:eastAsia="zh-CN" w:bidi="ar-SA"/>
                    </w:rPr>
                    <w:t>平推铅门、污物通道铅门以及缓冲间电动铅门防护当量均为3mmPb；</w:t>
                  </w:r>
                </w:p>
                <w:p w14:paraId="494C8B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④</w:t>
                  </w:r>
                  <w:r>
                    <w:rPr>
                      <w:rFonts w:hint="default" w:ascii="Times New Roman" w:hAnsi="Times New Roman" w:eastAsia="宋体" w:cs="Times New Roman"/>
                      <w:snapToGrid w:val="0"/>
                      <w:color w:val="auto"/>
                      <w:kern w:val="0"/>
                      <w:sz w:val="21"/>
                      <w:szCs w:val="21"/>
                      <w:highlight w:val="none"/>
                      <w:lang w:val="en-US" w:eastAsia="zh-CN" w:bidi="ar-SA"/>
                    </w:rPr>
                    <w:t>观察窗铅玻璃防护当量为4mmPb；</w:t>
                  </w:r>
                </w:p>
                <w:p w14:paraId="202FA9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napToGrid w:val="0"/>
                      <w:color w:val="auto"/>
                      <w:kern w:val="0"/>
                      <w:sz w:val="21"/>
                      <w:szCs w:val="21"/>
                      <w:highlight w:val="none"/>
                      <w:lang w:val="en-US" w:eastAsia="zh-CN" w:bidi="ar-SA"/>
                    </w:rPr>
                    <w:t>⑤机房南侧区域改为缓冲间（3.0m*2.2m）、</w:t>
                  </w:r>
                  <w:r>
                    <w:rPr>
                      <w:rFonts w:hint="eastAsia" w:cs="Times New Roman"/>
                      <w:color w:val="auto"/>
                      <w:highlight w:val="none"/>
                      <w:lang w:val="en-US" w:eastAsia="zh-CN"/>
                    </w:rPr>
                    <w:t>设备间（</w:t>
                  </w:r>
                  <w:r>
                    <w:rPr>
                      <w:rFonts w:hint="default" w:ascii="Times New Roman" w:hAnsi="Times New Roman" w:cs="Times New Roman"/>
                      <w:color w:val="auto"/>
                      <w:highlight w:val="none"/>
                      <w:lang w:val="en-US" w:eastAsia="zh-CN"/>
                    </w:rPr>
                    <w:t>2.5m*2.</w:t>
                  </w:r>
                  <w:r>
                    <w:rPr>
                      <w:rFonts w:hint="eastAsia" w:ascii="Times New Roman" w:hAnsi="Times New Roman" w:cs="Times New Roman"/>
                      <w:color w:val="auto"/>
                      <w:highlight w:val="none"/>
                      <w:lang w:val="en-US" w:eastAsia="zh-CN"/>
                    </w:rPr>
                    <w:t>2</w:t>
                  </w:r>
                  <w:r>
                    <w:rPr>
                      <w:rFonts w:hint="default" w:ascii="Times New Roman" w:hAnsi="Times New Roman" w:cs="Times New Roman"/>
                      <w:color w:val="auto"/>
                      <w:highlight w:val="none"/>
                      <w:lang w:val="en-US" w:eastAsia="zh-CN"/>
                    </w:rPr>
                    <w:t>m</w:t>
                  </w:r>
                  <w:r>
                    <w:rPr>
                      <w:rFonts w:hint="eastAsia" w:cs="Times New Roman"/>
                      <w:color w:val="auto"/>
                      <w:highlight w:val="none"/>
                      <w:lang w:val="en-US" w:eastAsia="zh-CN"/>
                    </w:rPr>
                    <w:t>）。</w:t>
                  </w:r>
                </w:p>
              </w:tc>
              <w:tc>
                <w:tcPr>
                  <w:tcW w:w="678" w:type="dxa"/>
                  <w:vAlign w:val="center"/>
                </w:tcPr>
                <w:p w14:paraId="180E96C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改</w:t>
                  </w:r>
                  <w:r>
                    <w:rPr>
                      <w:rFonts w:hint="default" w:ascii="Times New Roman" w:hAnsi="Times New Roman" w:eastAsia="宋体" w:cs="Times New Roman"/>
                      <w:color w:val="auto"/>
                      <w:sz w:val="21"/>
                      <w:szCs w:val="21"/>
                      <w:lang w:val="en-US" w:eastAsia="zh-CN"/>
                    </w:rPr>
                    <w:t>建</w:t>
                  </w:r>
                </w:p>
              </w:tc>
            </w:tr>
            <w:tr w14:paraId="580BF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9" w:type="dxa"/>
                  <w:vAlign w:val="center"/>
                </w:tcPr>
                <w:p w14:paraId="7C442D6B">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napToGrid w:val="0"/>
                      <w:color w:val="auto"/>
                      <w:kern w:val="0"/>
                      <w:sz w:val="21"/>
                      <w:szCs w:val="21"/>
                      <w:highlight w:val="none"/>
                      <w:lang w:val="en-US" w:eastAsia="zh-CN" w:bidi="ar-SA"/>
                    </w:rPr>
                    <w:t>辅助工程</w:t>
                  </w:r>
                </w:p>
              </w:tc>
              <w:tc>
                <w:tcPr>
                  <w:tcW w:w="7867" w:type="dxa"/>
                  <w:gridSpan w:val="2"/>
                  <w:vAlign w:val="center"/>
                </w:tcPr>
                <w:p w14:paraId="16A4A69E">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highlight w:val="none"/>
                      <w:lang w:val="en-US" w:eastAsia="zh-CN"/>
                    </w:rPr>
                    <w:t>机房东侧辅助用房改造建设为控制室、卫生间等</w:t>
                  </w:r>
                </w:p>
              </w:tc>
              <w:tc>
                <w:tcPr>
                  <w:tcW w:w="678" w:type="dxa"/>
                  <w:vAlign w:val="center"/>
                </w:tcPr>
                <w:p w14:paraId="3763B0C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改</w:t>
                  </w:r>
                  <w:r>
                    <w:rPr>
                      <w:rFonts w:hint="default" w:ascii="Times New Roman" w:hAnsi="Times New Roman" w:eastAsia="宋体" w:cs="Times New Roman"/>
                      <w:color w:val="auto"/>
                      <w:sz w:val="21"/>
                      <w:szCs w:val="21"/>
                      <w:lang w:val="en-US" w:eastAsia="zh-CN"/>
                    </w:rPr>
                    <w:t>建</w:t>
                  </w:r>
                </w:p>
              </w:tc>
            </w:tr>
            <w:tr w14:paraId="316FC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9" w:type="dxa"/>
                  <w:vAlign w:val="center"/>
                </w:tcPr>
                <w:p w14:paraId="5969CB01">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napToGrid w:val="0"/>
                      <w:color w:val="auto"/>
                      <w:kern w:val="0"/>
                      <w:sz w:val="21"/>
                      <w:szCs w:val="21"/>
                      <w:highlight w:val="none"/>
                      <w:lang w:val="en-US" w:eastAsia="zh-CN" w:bidi="ar-SA"/>
                    </w:rPr>
                    <w:t>公用工程</w:t>
                  </w:r>
                </w:p>
              </w:tc>
              <w:tc>
                <w:tcPr>
                  <w:tcW w:w="7867" w:type="dxa"/>
                  <w:gridSpan w:val="2"/>
                  <w:vAlign w:val="center"/>
                </w:tcPr>
                <w:p w14:paraId="11C3E7D2">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highlight w:val="none"/>
                      <w:lang w:val="en-US" w:eastAsia="zh-CN"/>
                    </w:rPr>
                    <w:t>供水、供电依托</w:t>
                  </w:r>
                  <w:r>
                    <w:rPr>
                      <w:rFonts w:hint="eastAsia" w:ascii="Times New Roman" w:hAnsi="Times New Roman" w:eastAsia="宋体" w:cs="Times New Roman"/>
                      <w:snapToGrid w:val="0"/>
                      <w:color w:val="auto"/>
                      <w:kern w:val="0"/>
                      <w:sz w:val="21"/>
                      <w:szCs w:val="21"/>
                      <w:highlight w:val="none"/>
                      <w:lang w:val="en-US" w:eastAsia="zh-CN" w:bidi="ar-SA"/>
                    </w:rPr>
                    <w:t>综合楼</w:t>
                  </w:r>
                  <w:r>
                    <w:rPr>
                      <w:rFonts w:hint="eastAsia" w:ascii="Times New Roman" w:hAnsi="Times New Roman" w:eastAsia="宋体" w:cs="Times New Roman"/>
                      <w:color w:val="auto"/>
                      <w:sz w:val="21"/>
                      <w:szCs w:val="21"/>
                      <w:highlight w:val="none"/>
                      <w:lang w:val="en-US" w:eastAsia="zh-CN"/>
                    </w:rPr>
                    <w:t>现有供水、供电管网</w:t>
                  </w:r>
                </w:p>
              </w:tc>
              <w:tc>
                <w:tcPr>
                  <w:tcW w:w="678" w:type="dxa"/>
                  <w:vAlign w:val="center"/>
                </w:tcPr>
                <w:p w14:paraId="659B973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依托</w:t>
                  </w:r>
                </w:p>
              </w:tc>
            </w:tr>
            <w:tr w14:paraId="186CA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9" w:type="dxa"/>
                  <w:vMerge w:val="restart"/>
                  <w:vAlign w:val="center"/>
                </w:tcPr>
                <w:p w14:paraId="7333EAD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环保工程</w:t>
                  </w:r>
                </w:p>
              </w:tc>
              <w:tc>
                <w:tcPr>
                  <w:tcW w:w="811" w:type="dxa"/>
                  <w:vAlign w:val="center"/>
                </w:tcPr>
                <w:p w14:paraId="449BD6D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污水处理</w:t>
                  </w:r>
                </w:p>
              </w:tc>
              <w:tc>
                <w:tcPr>
                  <w:tcW w:w="7056" w:type="dxa"/>
                  <w:vAlign w:val="center"/>
                </w:tcPr>
                <w:p w14:paraId="2580F69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生活污水经化粪池预处理后，与医疗废水</w:t>
                  </w:r>
                  <w:r>
                    <w:rPr>
                      <w:rFonts w:hint="eastAsia" w:ascii="Times New Roman" w:hAnsi="Times New Roman" w:eastAsia="宋体" w:cs="Times New Roman"/>
                      <w:color w:val="auto"/>
                      <w:sz w:val="21"/>
                      <w:szCs w:val="21"/>
                      <w:lang w:val="en-US" w:eastAsia="zh-CN"/>
                    </w:rPr>
                    <w:t>一并</w:t>
                  </w:r>
                  <w:r>
                    <w:rPr>
                      <w:rFonts w:hint="default" w:ascii="Times New Roman" w:hAnsi="Times New Roman" w:eastAsia="宋体" w:cs="Times New Roman"/>
                      <w:color w:val="auto"/>
                      <w:sz w:val="21"/>
                      <w:szCs w:val="21"/>
                      <w:lang w:val="en-US" w:eastAsia="zh-CN"/>
                    </w:rPr>
                    <w:t>进入医院自建的污水处理站处理达到《</w:t>
                  </w:r>
                  <w:r>
                    <w:rPr>
                      <w:rFonts w:hint="eastAsia" w:ascii="Times New Roman" w:hAnsi="Times New Roman" w:eastAsia="宋体" w:cs="Times New Roman"/>
                      <w:color w:val="auto"/>
                      <w:sz w:val="21"/>
                      <w:szCs w:val="21"/>
                      <w:lang w:val="en-US" w:eastAsia="zh-CN"/>
                    </w:rPr>
                    <w:t>医疗机构水污染物排放标准</w:t>
                  </w:r>
                  <w:r>
                    <w:rPr>
                      <w:rFonts w:hint="default" w:ascii="Times New Roman" w:hAnsi="Times New Roman" w:eastAsia="宋体" w:cs="Times New Roman"/>
                      <w:color w:val="auto"/>
                      <w:sz w:val="21"/>
                      <w:szCs w:val="21"/>
                      <w:lang w:val="en-US" w:eastAsia="zh-CN"/>
                    </w:rPr>
                    <w:t>》（GB18466-2005）表2中预处理标准后，经院区总排污口排入市政污水管网，进入</w:t>
                  </w:r>
                  <w:r>
                    <w:rPr>
                      <w:rFonts w:hint="eastAsia" w:ascii="Times New Roman" w:hAnsi="Times New Roman" w:eastAsia="宋体" w:cs="Times New Roman"/>
                      <w:color w:val="auto"/>
                      <w:sz w:val="21"/>
                      <w:szCs w:val="21"/>
                      <w:lang w:val="en-US" w:eastAsia="zh-CN"/>
                    </w:rPr>
                    <w:t>寿县安丰镇污水处理厂</w:t>
                  </w:r>
                  <w:r>
                    <w:rPr>
                      <w:rFonts w:hint="default" w:ascii="Times New Roman" w:hAnsi="Times New Roman" w:eastAsia="宋体" w:cs="Times New Roman"/>
                      <w:color w:val="auto"/>
                      <w:sz w:val="21"/>
                      <w:szCs w:val="21"/>
                      <w:lang w:val="en-US" w:eastAsia="zh-CN"/>
                    </w:rPr>
                    <w:t>处理达标排放。</w:t>
                  </w:r>
                </w:p>
              </w:tc>
              <w:tc>
                <w:tcPr>
                  <w:tcW w:w="678" w:type="dxa"/>
                  <w:vAlign w:val="center"/>
                </w:tcPr>
                <w:p w14:paraId="4D915F7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依托</w:t>
                  </w:r>
                </w:p>
              </w:tc>
            </w:tr>
            <w:tr w14:paraId="52B22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9" w:type="dxa"/>
                  <w:vMerge w:val="continue"/>
                  <w:vAlign w:val="center"/>
                </w:tcPr>
                <w:p w14:paraId="63C3A30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p>
              </w:tc>
              <w:tc>
                <w:tcPr>
                  <w:tcW w:w="811" w:type="dxa"/>
                  <w:vAlign w:val="center"/>
                </w:tcPr>
                <w:p w14:paraId="6095B1F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机房通风</w:t>
                  </w:r>
                </w:p>
              </w:tc>
              <w:tc>
                <w:tcPr>
                  <w:tcW w:w="7056" w:type="dxa"/>
                  <w:vAlign w:val="center"/>
                </w:tcPr>
                <w:p w14:paraId="2F5B9960">
                  <w:pPr>
                    <w:keepNext w:val="0"/>
                    <w:keepLines w:val="0"/>
                    <w:widowControl w:val="0"/>
                    <w:suppressLineNumbers w:val="0"/>
                    <w:tabs>
                      <w:tab w:val="left" w:pos="2386"/>
                    </w:tabs>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机房设置动力通风系统，安装低噪音进、排风机(700m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val="en-US" w:eastAsia="zh-CN"/>
                    </w:rPr>
                    <w:t>/h)一套，进、出风口孔位置离地3.5m以上，倾斜进墙，墙内风管用2mmPb铅板包围防护。</w:t>
                  </w:r>
                </w:p>
              </w:tc>
              <w:tc>
                <w:tcPr>
                  <w:tcW w:w="678" w:type="dxa"/>
                  <w:vAlign w:val="center"/>
                </w:tcPr>
                <w:p w14:paraId="5AC3112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新建</w:t>
                  </w:r>
                </w:p>
              </w:tc>
            </w:tr>
            <w:tr w14:paraId="66272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9" w:type="dxa"/>
                  <w:vMerge w:val="continue"/>
                  <w:vAlign w:val="center"/>
                </w:tcPr>
                <w:p w14:paraId="0502F3A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p>
              </w:tc>
              <w:tc>
                <w:tcPr>
                  <w:tcW w:w="811" w:type="dxa"/>
                  <w:vAlign w:val="center"/>
                </w:tcPr>
                <w:p w14:paraId="2D56F52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固废处置</w:t>
                  </w:r>
                </w:p>
              </w:tc>
              <w:tc>
                <w:tcPr>
                  <w:tcW w:w="7056" w:type="dxa"/>
                  <w:vAlign w:val="center"/>
                </w:tcPr>
                <w:p w14:paraId="6120970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本项目运营产生的医疗废物在</w:t>
                  </w:r>
                  <w:r>
                    <w:rPr>
                      <w:rFonts w:hint="default" w:ascii="Times New Roman" w:hAnsi="Times New Roman" w:eastAsia="宋体" w:cs="Times New Roman"/>
                      <w:color w:val="auto"/>
                      <w:sz w:val="21"/>
                      <w:szCs w:val="21"/>
                      <w:lang w:eastAsia="zh-CN"/>
                    </w:rPr>
                    <w:t>医疗废物暂存间</w:t>
                  </w:r>
                  <w:r>
                    <w:rPr>
                      <w:rFonts w:hint="default" w:ascii="Times New Roman" w:hAnsi="Times New Roman" w:eastAsia="宋体" w:cs="Times New Roman"/>
                      <w:color w:val="auto"/>
                      <w:sz w:val="21"/>
                      <w:szCs w:val="21"/>
                    </w:rPr>
                    <w:t>暂存后交由有资质单位处置。生活垃圾由环卫部门每日清运</w:t>
                  </w:r>
                  <w:r>
                    <w:rPr>
                      <w:rFonts w:hint="default" w:ascii="Times New Roman" w:hAnsi="Times New Roman" w:eastAsia="宋体" w:cs="Times New Roman"/>
                      <w:color w:val="auto"/>
                      <w:sz w:val="21"/>
                      <w:szCs w:val="21"/>
                      <w:lang w:eastAsia="zh-CN"/>
                    </w:rPr>
                    <w:t>。</w:t>
                  </w:r>
                </w:p>
              </w:tc>
              <w:tc>
                <w:tcPr>
                  <w:tcW w:w="678" w:type="dxa"/>
                  <w:vAlign w:val="center"/>
                </w:tcPr>
                <w:p w14:paraId="298C9ED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依托</w:t>
                  </w:r>
                </w:p>
              </w:tc>
            </w:tr>
            <w:tr w14:paraId="637EA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9" w:type="dxa"/>
                  <w:vMerge w:val="continue"/>
                  <w:vAlign w:val="center"/>
                </w:tcPr>
                <w:p w14:paraId="5564C8A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p>
              </w:tc>
              <w:tc>
                <w:tcPr>
                  <w:tcW w:w="811" w:type="dxa"/>
                  <w:vAlign w:val="center"/>
                </w:tcPr>
                <w:p w14:paraId="49DDB75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噪声治理</w:t>
                  </w:r>
                </w:p>
              </w:tc>
              <w:tc>
                <w:tcPr>
                  <w:tcW w:w="7056" w:type="dxa"/>
                  <w:vAlign w:val="center"/>
                </w:tcPr>
                <w:p w14:paraId="167630F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安装低噪声通风风机，采取隔声、减震等降噪措施</w:t>
                  </w:r>
                  <w:r>
                    <w:rPr>
                      <w:rFonts w:hint="default" w:ascii="Times New Roman" w:hAnsi="Times New Roman" w:eastAsia="宋体" w:cs="Times New Roman"/>
                      <w:color w:val="auto"/>
                      <w:sz w:val="21"/>
                      <w:szCs w:val="21"/>
                      <w:lang w:eastAsia="zh-CN"/>
                    </w:rPr>
                    <w:t>。</w:t>
                  </w:r>
                </w:p>
              </w:tc>
              <w:tc>
                <w:tcPr>
                  <w:tcW w:w="678" w:type="dxa"/>
                  <w:vAlign w:val="center"/>
                </w:tcPr>
                <w:p w14:paraId="0EBD934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新建</w:t>
                  </w:r>
                </w:p>
              </w:tc>
            </w:tr>
          </w:tbl>
          <w:p w14:paraId="18B228B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color w:val="auto"/>
                <w:lang w:val="en-US" w:eastAsia="zh-CN"/>
              </w:rPr>
            </w:pPr>
            <w:r>
              <w:rPr>
                <w:rFonts w:hint="default"/>
                <w:color w:val="auto"/>
                <w:sz w:val="24"/>
                <w:szCs w:val="24"/>
                <w:lang w:val="en-US" w:eastAsia="zh-CN"/>
              </w:rPr>
              <w:t>本项目核技术应用情况详见表</w:t>
            </w:r>
            <w:r>
              <w:rPr>
                <w:rFonts w:hint="default" w:ascii="Times New Roman" w:hAnsi="Times New Roman" w:cs="Times New Roman"/>
                <w:color w:val="auto"/>
                <w:sz w:val="24"/>
                <w:szCs w:val="24"/>
                <w:lang w:val="en-US" w:eastAsia="zh-CN"/>
              </w:rPr>
              <w:t>1-2</w:t>
            </w:r>
            <w:r>
              <w:rPr>
                <w:rFonts w:hint="default"/>
                <w:color w:val="auto"/>
                <w:sz w:val="24"/>
                <w:szCs w:val="24"/>
                <w:lang w:val="en-US" w:eastAsia="zh-CN"/>
              </w:rPr>
              <w:t>。</w:t>
            </w:r>
          </w:p>
          <w:p w14:paraId="375C11F3">
            <w:pPr>
              <w:keepNext w:val="0"/>
              <w:keepLines w:val="0"/>
              <w:widowControl w:val="0"/>
              <w:suppressLineNumbers w:val="0"/>
              <w:spacing w:before="0" w:beforeAutospacing="0" w:after="0" w:afterAutospacing="0" w:line="240" w:lineRule="auto"/>
              <w:ind w:left="0" w:right="0"/>
              <w:jc w:val="center"/>
              <w:rPr>
                <w:rFonts w:hint="default" w:ascii="Times New Roman" w:hAnsi="Times New Roman" w:cs="Times New Roman" w:eastAsiaTheme="minorEastAsia"/>
                <w:b/>
                <w:bCs/>
                <w:color w:val="auto"/>
                <w:sz w:val="24"/>
                <w:szCs w:val="24"/>
                <w:lang w:val="en-US" w:eastAsia="zh-CN"/>
              </w:rPr>
            </w:pPr>
            <w:r>
              <w:rPr>
                <w:rFonts w:hint="default" w:ascii="Times New Roman" w:hAnsi="Times New Roman" w:cs="Times New Roman" w:eastAsiaTheme="minorEastAsia"/>
                <w:b/>
                <w:bCs/>
                <w:color w:val="auto"/>
                <w:sz w:val="24"/>
                <w:szCs w:val="24"/>
                <w:lang w:val="en-US" w:eastAsia="zh-CN"/>
              </w:rPr>
              <w:t>表1-2  本次环评射线装置应用情况一览表</w:t>
            </w:r>
          </w:p>
          <w:tbl>
            <w:tblPr>
              <w:tblStyle w:val="18"/>
              <w:tblW w:w="96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0"/>
              <w:gridCol w:w="495"/>
              <w:gridCol w:w="1046"/>
              <w:gridCol w:w="1009"/>
              <w:gridCol w:w="682"/>
              <w:gridCol w:w="1486"/>
              <w:gridCol w:w="1439"/>
              <w:gridCol w:w="1600"/>
              <w:gridCol w:w="840"/>
            </w:tblGrid>
            <w:tr w14:paraId="04237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1080" w:type="dxa"/>
                  <w:vAlign w:val="center"/>
                </w:tcPr>
                <w:p w14:paraId="60CC81E7">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设备名称</w:t>
                  </w:r>
                </w:p>
              </w:tc>
              <w:tc>
                <w:tcPr>
                  <w:tcW w:w="495" w:type="dxa"/>
                  <w:vAlign w:val="center"/>
                </w:tcPr>
                <w:p w14:paraId="7B42E08D">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数量</w:t>
                  </w:r>
                </w:p>
              </w:tc>
              <w:tc>
                <w:tcPr>
                  <w:tcW w:w="1046" w:type="dxa"/>
                  <w:vAlign w:val="center"/>
                </w:tcPr>
                <w:p w14:paraId="4304BC09">
                  <w:pPr>
                    <w:keepNext w:val="0"/>
                    <w:keepLines w:val="0"/>
                    <w:widowControl w:val="0"/>
                    <w:suppressLineNumbers w:val="0"/>
                    <w:spacing w:before="0" w:beforeAutospacing="0" w:after="0" w:afterAutospacing="0" w:line="240" w:lineRule="auto"/>
                    <w:ind w:left="0" w:right="0"/>
                    <w:jc w:val="center"/>
                    <w:rPr>
                      <w:rFonts w:hint="default"/>
                      <w:color w:val="auto"/>
                      <w:lang w:val="en-US" w:eastAsia="zh-CN"/>
                    </w:rPr>
                  </w:pPr>
                  <w:r>
                    <w:rPr>
                      <w:rFonts w:hint="eastAsia"/>
                      <w:color w:val="auto"/>
                      <w:lang w:val="en-US" w:eastAsia="zh-CN"/>
                    </w:rPr>
                    <w:t>最大</w:t>
                  </w:r>
                  <w:r>
                    <w:rPr>
                      <w:rFonts w:hint="default"/>
                      <w:color w:val="auto"/>
                      <w:lang w:val="en-US" w:eastAsia="zh-CN"/>
                    </w:rPr>
                    <w:t>管电压</w:t>
                  </w:r>
                </w:p>
              </w:tc>
              <w:tc>
                <w:tcPr>
                  <w:tcW w:w="1009" w:type="dxa"/>
                  <w:vAlign w:val="center"/>
                </w:tcPr>
                <w:p w14:paraId="0C7F527B">
                  <w:pPr>
                    <w:keepNext w:val="0"/>
                    <w:keepLines w:val="0"/>
                    <w:widowControl w:val="0"/>
                    <w:suppressLineNumbers w:val="0"/>
                    <w:spacing w:before="0" w:beforeAutospacing="0" w:after="0" w:afterAutospacing="0" w:line="240" w:lineRule="auto"/>
                    <w:ind w:left="0" w:right="0"/>
                    <w:jc w:val="center"/>
                    <w:rPr>
                      <w:rFonts w:hint="default"/>
                      <w:color w:val="auto"/>
                      <w:lang w:val="en-US" w:eastAsia="zh-CN"/>
                    </w:rPr>
                  </w:pPr>
                  <w:r>
                    <w:rPr>
                      <w:rFonts w:hint="eastAsia"/>
                      <w:color w:val="auto"/>
                      <w:lang w:val="en-US" w:eastAsia="zh-CN"/>
                    </w:rPr>
                    <w:t>最大</w:t>
                  </w:r>
                  <w:r>
                    <w:rPr>
                      <w:rFonts w:hint="default"/>
                      <w:color w:val="auto"/>
                      <w:lang w:val="en-US" w:eastAsia="zh-CN"/>
                    </w:rPr>
                    <w:t>管电流</w:t>
                  </w:r>
                </w:p>
              </w:tc>
              <w:tc>
                <w:tcPr>
                  <w:tcW w:w="682" w:type="dxa"/>
                  <w:vAlign w:val="center"/>
                </w:tcPr>
                <w:p w14:paraId="736967D3">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类别</w:t>
                  </w:r>
                </w:p>
              </w:tc>
              <w:tc>
                <w:tcPr>
                  <w:tcW w:w="1486" w:type="dxa"/>
                  <w:vAlign w:val="center"/>
                </w:tcPr>
                <w:p w14:paraId="43AD1938">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工作场所情况</w:t>
                  </w:r>
                </w:p>
              </w:tc>
              <w:tc>
                <w:tcPr>
                  <w:tcW w:w="1439" w:type="dxa"/>
                  <w:vAlign w:val="center"/>
                </w:tcPr>
                <w:p w14:paraId="6AC7206B">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使用情况</w:t>
                  </w:r>
                </w:p>
              </w:tc>
              <w:tc>
                <w:tcPr>
                  <w:tcW w:w="1600" w:type="dxa"/>
                  <w:vAlign w:val="center"/>
                </w:tcPr>
                <w:p w14:paraId="7E00D522">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型号</w:t>
                  </w:r>
                </w:p>
              </w:tc>
              <w:tc>
                <w:tcPr>
                  <w:tcW w:w="840" w:type="dxa"/>
                  <w:vAlign w:val="center"/>
                </w:tcPr>
                <w:p w14:paraId="0960391B">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eastAsia"/>
                      <w:color w:val="auto"/>
                      <w:lang w:val="en-US" w:eastAsia="zh-CN"/>
                    </w:rPr>
                    <w:t>备注</w:t>
                  </w:r>
                </w:p>
              </w:tc>
            </w:tr>
            <w:tr w14:paraId="3F116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1080" w:type="dxa"/>
                  <w:vAlign w:val="center"/>
                </w:tcPr>
                <w:p w14:paraId="174C3987">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DSA</w:t>
                  </w:r>
                </w:p>
              </w:tc>
              <w:tc>
                <w:tcPr>
                  <w:tcW w:w="495" w:type="dxa"/>
                  <w:vAlign w:val="center"/>
                </w:tcPr>
                <w:p w14:paraId="294FB830">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1</w:t>
                  </w:r>
                </w:p>
              </w:tc>
              <w:tc>
                <w:tcPr>
                  <w:tcW w:w="1046" w:type="dxa"/>
                  <w:vAlign w:val="center"/>
                </w:tcPr>
                <w:p w14:paraId="5F326497">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125kV</w:t>
                  </w:r>
                </w:p>
              </w:tc>
              <w:tc>
                <w:tcPr>
                  <w:tcW w:w="1009" w:type="dxa"/>
                  <w:vAlign w:val="center"/>
                </w:tcPr>
                <w:p w14:paraId="409B7CDF">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1000mA</w:t>
                  </w:r>
                </w:p>
              </w:tc>
              <w:tc>
                <w:tcPr>
                  <w:tcW w:w="682" w:type="dxa"/>
                  <w:vAlign w:val="center"/>
                </w:tcPr>
                <w:p w14:paraId="174C5C33">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Ⅱ</w:t>
                  </w:r>
                </w:p>
              </w:tc>
              <w:tc>
                <w:tcPr>
                  <w:tcW w:w="1486" w:type="dxa"/>
                  <w:vAlign w:val="center"/>
                </w:tcPr>
                <w:p w14:paraId="27F26EC5">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eastAsia" w:ascii="Times New Roman" w:hAnsi="Times New Roman" w:eastAsia="宋体" w:cs="Times New Roman"/>
                      <w:snapToGrid w:val="0"/>
                      <w:color w:val="auto"/>
                      <w:kern w:val="0"/>
                      <w:sz w:val="21"/>
                      <w:szCs w:val="21"/>
                      <w:highlight w:val="none"/>
                      <w:lang w:val="en-US" w:eastAsia="zh-CN" w:bidi="ar-SA"/>
                    </w:rPr>
                    <w:t>综合楼</w:t>
                  </w:r>
                  <w:r>
                    <w:rPr>
                      <w:rFonts w:hint="eastAsia"/>
                      <w:color w:val="auto"/>
                      <w:lang w:val="en-US" w:eastAsia="zh-CN"/>
                    </w:rPr>
                    <w:t>1楼DSA</w:t>
                  </w:r>
                  <w:r>
                    <w:rPr>
                      <w:rFonts w:hint="default"/>
                      <w:color w:val="auto"/>
                      <w:lang w:val="en-US" w:eastAsia="zh-CN"/>
                    </w:rPr>
                    <w:t>机房</w:t>
                  </w:r>
                </w:p>
              </w:tc>
              <w:tc>
                <w:tcPr>
                  <w:tcW w:w="1439" w:type="dxa"/>
                  <w:vAlign w:val="center"/>
                </w:tcPr>
                <w:p w14:paraId="202C1EE9">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default"/>
                      <w:color w:val="auto"/>
                      <w:lang w:val="en-US" w:eastAsia="zh-CN"/>
                    </w:rPr>
                    <w:t>拟购置</w:t>
                  </w:r>
                </w:p>
              </w:tc>
              <w:tc>
                <w:tcPr>
                  <w:tcW w:w="1600" w:type="dxa"/>
                  <w:vAlign w:val="center"/>
                </w:tcPr>
                <w:p w14:paraId="1A2A072D">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eastAsia"/>
                      <w:color w:val="auto"/>
                      <w:highlight w:val="none"/>
                      <w:lang w:val="en-US" w:eastAsia="zh-CN"/>
                    </w:rPr>
                    <w:t>Azurion3 M15</w:t>
                  </w:r>
                </w:p>
              </w:tc>
              <w:tc>
                <w:tcPr>
                  <w:tcW w:w="840" w:type="dxa"/>
                  <w:vAlign w:val="center"/>
                </w:tcPr>
                <w:p w14:paraId="05EC94D7">
                  <w:pPr>
                    <w:keepNext w:val="0"/>
                    <w:keepLines w:val="0"/>
                    <w:widowControl w:val="0"/>
                    <w:suppressLineNumbers w:val="0"/>
                    <w:spacing w:before="0" w:beforeAutospacing="0" w:after="0" w:afterAutospacing="0" w:line="240" w:lineRule="auto"/>
                    <w:ind w:left="0" w:right="0" w:firstLine="0" w:firstLineChars="0"/>
                    <w:jc w:val="center"/>
                    <w:rPr>
                      <w:rFonts w:hint="default"/>
                      <w:color w:val="auto"/>
                      <w:lang w:val="en-US" w:eastAsia="zh-CN"/>
                    </w:rPr>
                  </w:pPr>
                  <w:r>
                    <w:rPr>
                      <w:rFonts w:hint="eastAsia"/>
                      <w:color w:val="auto"/>
                      <w:lang w:val="en-US" w:eastAsia="zh-CN"/>
                    </w:rPr>
                    <w:t>/</w:t>
                  </w:r>
                </w:p>
              </w:tc>
            </w:tr>
          </w:tbl>
          <w:p w14:paraId="46E96A9F">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460" w:lineRule="exact"/>
              <w:ind w:left="0" w:right="0" w:firstLine="480" w:firstLineChars="200"/>
              <w:jc w:val="left"/>
              <w:textAlignment w:val="auto"/>
              <w:rPr>
                <w:rFonts w:hint="default"/>
                <w:color w:val="auto"/>
                <w:sz w:val="24"/>
                <w:szCs w:val="24"/>
                <w:lang w:val="en-US" w:eastAsia="zh-CN"/>
              </w:rPr>
            </w:pPr>
            <w:r>
              <w:rPr>
                <w:rFonts w:hint="default"/>
                <w:color w:val="auto"/>
                <w:sz w:val="24"/>
                <w:szCs w:val="24"/>
                <w:lang w:val="en-US" w:eastAsia="zh-CN"/>
              </w:rPr>
              <w:t>本项目DSA用于开展心血管介入手术，预计手术量</w:t>
            </w:r>
            <w:r>
              <w:rPr>
                <w:rFonts w:hint="eastAsia"/>
                <w:color w:val="auto"/>
                <w:sz w:val="24"/>
                <w:szCs w:val="24"/>
                <w:lang w:val="en-US" w:eastAsia="zh-CN"/>
              </w:rPr>
              <w:t>3</w:t>
            </w:r>
            <w:r>
              <w:rPr>
                <w:rFonts w:hint="default"/>
                <w:color w:val="auto"/>
                <w:sz w:val="24"/>
                <w:szCs w:val="24"/>
                <w:lang w:val="en-US" w:eastAsia="zh-CN"/>
              </w:rPr>
              <w:t>00台/年，</w:t>
            </w:r>
            <w:r>
              <w:rPr>
                <w:rFonts w:hint="eastAsia"/>
                <w:color w:val="auto"/>
                <w:sz w:val="24"/>
                <w:szCs w:val="24"/>
                <w:lang w:val="en-US" w:eastAsia="zh-CN"/>
              </w:rPr>
              <w:t>医院初步拟</w:t>
            </w:r>
            <w:r>
              <w:rPr>
                <w:rFonts w:hint="default"/>
                <w:color w:val="auto"/>
                <w:sz w:val="24"/>
                <w:szCs w:val="24"/>
                <w:lang w:val="en-US" w:eastAsia="zh-CN"/>
              </w:rPr>
              <w:t>配备</w:t>
            </w:r>
            <w:r>
              <w:rPr>
                <w:rFonts w:hint="eastAsia"/>
                <w:color w:val="auto"/>
                <w:sz w:val="24"/>
                <w:szCs w:val="24"/>
                <w:lang w:val="en-US" w:eastAsia="zh-CN"/>
              </w:rPr>
              <w:t>5名介入手术医护</w:t>
            </w:r>
            <w:r>
              <w:rPr>
                <w:rFonts w:hint="default"/>
                <w:color w:val="auto"/>
                <w:sz w:val="24"/>
                <w:szCs w:val="24"/>
                <w:lang w:val="en-US" w:eastAsia="zh-CN"/>
              </w:rPr>
              <w:t>人员</w:t>
            </w:r>
            <w:r>
              <w:rPr>
                <w:rFonts w:hint="eastAsia"/>
                <w:color w:val="auto"/>
                <w:sz w:val="24"/>
                <w:szCs w:val="24"/>
                <w:lang w:val="en-US" w:eastAsia="zh-CN"/>
              </w:rPr>
              <w:t>，</w:t>
            </w:r>
            <w:r>
              <w:rPr>
                <w:rFonts w:hint="default"/>
                <w:color w:val="auto"/>
                <w:sz w:val="24"/>
                <w:szCs w:val="24"/>
                <w:lang w:val="en-US" w:eastAsia="zh-CN"/>
              </w:rPr>
              <w:t>从现有辐射工作人员</w:t>
            </w:r>
            <w:r>
              <w:rPr>
                <w:rFonts w:hint="eastAsia"/>
                <w:color w:val="auto"/>
                <w:sz w:val="24"/>
                <w:szCs w:val="24"/>
                <w:lang w:val="en-US" w:eastAsia="zh-CN"/>
              </w:rPr>
              <w:t>和医护人员</w:t>
            </w:r>
            <w:r>
              <w:rPr>
                <w:rFonts w:hint="default"/>
                <w:color w:val="auto"/>
                <w:sz w:val="24"/>
                <w:szCs w:val="24"/>
                <w:lang w:val="en-US" w:eastAsia="zh-CN"/>
              </w:rPr>
              <w:t>中调剂</w:t>
            </w:r>
            <w:r>
              <w:rPr>
                <w:rFonts w:hint="eastAsia"/>
                <w:color w:val="auto"/>
                <w:sz w:val="24"/>
                <w:szCs w:val="24"/>
                <w:lang w:val="en-US" w:eastAsia="zh-CN"/>
              </w:rPr>
              <w:t>，随着后期医院相应人员设施完善，将逐步增加辐射工作人员。</w:t>
            </w:r>
          </w:p>
          <w:p w14:paraId="4AA4656F">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rPr>
            </w:pPr>
            <w:r>
              <w:rPr>
                <w:rFonts w:hint="default"/>
                <w:color w:val="auto"/>
              </w:rPr>
              <w:t>根据《中华人民共和国环境保护法》《中华人民共和国环境影响评价法》《中华人民共和国放射</w:t>
            </w:r>
            <w:r>
              <w:rPr>
                <w:rFonts w:hint="eastAsia"/>
                <w:color w:val="auto"/>
                <w:lang w:eastAsia="zh-CN"/>
              </w:rPr>
              <w:t>性</w:t>
            </w:r>
            <w:r>
              <w:rPr>
                <w:rFonts w:hint="default"/>
                <w:color w:val="auto"/>
              </w:rPr>
              <w:t>污染防治法》《建设项目环境保护管理条例》《放射性同位素与射线装置安全和防护条例》和《放射性同位素与射线装置安全许可管理办法》等法律法规的规定，本项目需进行环境影响评价</w:t>
            </w:r>
            <w:r>
              <w:rPr>
                <w:rFonts w:hint="default"/>
                <w:color w:val="auto"/>
                <w:lang w:eastAsia="zh-CN"/>
              </w:rPr>
              <w:t>。</w:t>
            </w:r>
            <w:r>
              <w:rPr>
                <w:rFonts w:hint="default"/>
                <w:color w:val="auto"/>
              </w:rPr>
              <w:t>根据国家卫生计生委、国家环境部</w:t>
            </w:r>
            <w:r>
              <w:rPr>
                <w:rFonts w:hint="eastAsia" w:ascii="宋体" w:hAnsi="宋体" w:eastAsia="宋体" w:cs="宋体"/>
                <w:color w:val="auto"/>
              </w:rPr>
              <w:t>“</w:t>
            </w:r>
            <w:r>
              <w:rPr>
                <w:rFonts w:hint="default"/>
                <w:color w:val="auto"/>
              </w:rPr>
              <w:t>关于发布《射线装置分类》的公告</w:t>
            </w:r>
            <w:r>
              <w:rPr>
                <w:rFonts w:hint="eastAsia" w:ascii="宋体" w:hAnsi="宋体" w:eastAsia="宋体" w:cs="宋体"/>
                <w:color w:val="auto"/>
              </w:rPr>
              <w:t>”</w:t>
            </w:r>
            <w:r>
              <w:rPr>
                <w:rFonts w:hint="default"/>
                <w:color w:val="auto"/>
              </w:rPr>
              <w:t>（公告2017年第66号）中规定，DSA属于Ⅱ类射线装置</w:t>
            </w:r>
            <w:r>
              <w:rPr>
                <w:rFonts w:hint="default"/>
                <w:color w:val="auto"/>
                <w:lang w:eastAsia="zh-CN"/>
              </w:rPr>
              <w:t>，</w:t>
            </w:r>
            <w:r>
              <w:rPr>
                <w:rFonts w:hint="default"/>
                <w:color w:val="auto"/>
              </w:rPr>
              <w:t>对照《建设项目环境影响评价分类管理名录（2021版）》，本项目属于名录</w:t>
            </w:r>
            <w:r>
              <w:rPr>
                <w:rFonts w:hint="eastAsia"/>
                <w:color w:val="auto"/>
              </w:rPr>
              <w:t>“五十五、核与辐射；172.核技术利用建设项目；使用Ⅱ类射线装置的”类，</w:t>
            </w:r>
            <w:r>
              <w:rPr>
                <w:rFonts w:hint="default"/>
                <w:color w:val="auto"/>
              </w:rPr>
              <w:t>需编制环境影响报告表。</w:t>
            </w:r>
            <w:r>
              <w:rPr>
                <w:rFonts w:hint="eastAsia"/>
                <w:color w:val="auto"/>
                <w:lang w:eastAsia="zh-CN"/>
              </w:rPr>
              <w:t>寿县安康医院</w:t>
            </w:r>
            <w:r>
              <w:rPr>
                <w:rFonts w:hint="default"/>
                <w:color w:val="auto"/>
              </w:rPr>
              <w:t>委托</w:t>
            </w:r>
            <w:r>
              <w:rPr>
                <w:rFonts w:hint="default"/>
                <w:color w:val="auto"/>
                <w:lang w:eastAsia="zh-CN"/>
              </w:rPr>
              <w:t>六安渌源环境安全技术有限公司承担该项目的</w:t>
            </w:r>
            <w:r>
              <w:rPr>
                <w:rFonts w:hint="default"/>
                <w:color w:val="auto"/>
              </w:rPr>
              <w:t>环境影响评价</w:t>
            </w:r>
            <w:r>
              <w:rPr>
                <w:rFonts w:hint="default"/>
                <w:color w:val="auto"/>
                <w:lang w:eastAsia="zh-CN"/>
              </w:rPr>
              <w:t>工作</w:t>
            </w:r>
            <w:r>
              <w:rPr>
                <w:rFonts w:hint="default"/>
                <w:color w:val="auto"/>
              </w:rPr>
              <w:t>（委托书见附件</w:t>
            </w:r>
            <w:r>
              <w:rPr>
                <w:rFonts w:hint="default"/>
                <w:color w:val="auto"/>
                <w:lang w:val="en-US" w:eastAsia="zh-CN"/>
              </w:rPr>
              <w:t>1</w:t>
            </w:r>
            <w:r>
              <w:rPr>
                <w:rFonts w:hint="default"/>
                <w:color w:val="auto"/>
              </w:rPr>
              <w:t>）。</w:t>
            </w:r>
          </w:p>
          <w:p w14:paraId="4D45357F">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接受委托后我公司组织技术人员对评价项目现场及周边环境进行了实地踏勘、调研、监测，并收集了有关技术资料，在此基础上编制完成了《</w:t>
            </w:r>
            <w:r>
              <w:rPr>
                <w:rFonts w:hint="eastAsia"/>
                <w:color w:val="auto"/>
                <w:lang w:val="en-US" w:eastAsia="zh-CN"/>
              </w:rPr>
              <w:t>寿县安康医院新增DSA设备项目</w:t>
            </w:r>
            <w:r>
              <w:rPr>
                <w:rFonts w:hint="default"/>
                <w:color w:val="auto"/>
                <w:lang w:val="en-US" w:eastAsia="zh-CN"/>
              </w:rPr>
              <w:t>环境影响报告表》，报请生态环境主管部门审查、审批，以期为本项目实施和管理提供技术依据。</w:t>
            </w:r>
          </w:p>
          <w:p w14:paraId="05839381">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2" w:firstLineChars="200"/>
              <w:textAlignment w:val="auto"/>
              <w:rPr>
                <w:rFonts w:hint="default"/>
                <w:b/>
                <w:bCs/>
                <w:color w:val="auto"/>
                <w:lang w:val="en-US" w:eastAsia="zh-CN"/>
              </w:rPr>
            </w:pPr>
            <w:r>
              <w:rPr>
                <w:rFonts w:hint="default"/>
                <w:b/>
                <w:bCs/>
                <w:color w:val="auto"/>
                <w:lang w:val="en-US" w:eastAsia="zh-CN"/>
              </w:rPr>
              <w:t>3、项目位置</w:t>
            </w:r>
          </w:p>
          <w:p w14:paraId="22B81935">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（1）院区地理位置</w:t>
            </w:r>
          </w:p>
          <w:p w14:paraId="30D96310">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eastAsia"/>
                <w:color w:val="auto"/>
                <w:lang w:val="en-US" w:eastAsia="zh-CN"/>
              </w:rPr>
              <w:t>寿县安康医院</w:t>
            </w:r>
            <w:r>
              <w:rPr>
                <w:rFonts w:hint="default"/>
                <w:color w:val="auto"/>
                <w:lang w:val="en-US" w:eastAsia="zh-CN"/>
              </w:rPr>
              <w:t>位于</w:t>
            </w:r>
            <w:r>
              <w:rPr>
                <w:rFonts w:hint="eastAsia"/>
                <w:color w:val="auto"/>
                <w:lang w:val="en-US" w:eastAsia="zh-CN"/>
              </w:rPr>
              <w:t>安徽省淮南市寿县安丰镇石集街道，寿六路与石吴路交叉口南侧，</w:t>
            </w:r>
            <w:r>
              <w:rPr>
                <w:rFonts w:hint="default"/>
                <w:color w:val="auto"/>
                <w:lang w:val="en-US" w:eastAsia="zh-CN"/>
              </w:rPr>
              <w:t>医院东侧为</w:t>
            </w:r>
            <w:r>
              <w:rPr>
                <w:rFonts w:hint="eastAsia"/>
                <w:color w:val="auto"/>
                <w:lang w:val="en-US" w:eastAsia="zh-CN"/>
              </w:rPr>
              <w:t>石吴路，医院南侧为空地，西侧为寿六路、液化气站，北侧为安丰驾考中心。</w:t>
            </w:r>
            <w:r>
              <w:rPr>
                <w:rFonts w:hint="default"/>
                <w:color w:val="auto"/>
                <w:lang w:val="en-US" w:eastAsia="zh-CN"/>
              </w:rPr>
              <w:t>医院地理位置图见附图1，周边环境位置关系图见附图2。</w:t>
            </w:r>
          </w:p>
          <w:p w14:paraId="4B01BFF0">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rPr>
            </w:pPr>
            <w:r>
              <w:rPr>
                <w:rFonts w:hint="default"/>
                <w:color w:val="auto"/>
              </w:rPr>
              <w:t>（2）</w:t>
            </w:r>
            <w:r>
              <w:rPr>
                <w:rFonts w:hint="eastAsia"/>
                <w:color w:val="auto"/>
                <w:lang w:val="en-US" w:eastAsia="zh-CN"/>
              </w:rPr>
              <w:t>DSA机房</w:t>
            </w:r>
            <w:r>
              <w:rPr>
                <w:rFonts w:hint="default"/>
                <w:color w:val="auto"/>
              </w:rPr>
              <w:t>在院区的位置</w:t>
            </w:r>
          </w:p>
          <w:p w14:paraId="294B21A1">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医院内</w:t>
            </w:r>
            <w:r>
              <w:rPr>
                <w:rFonts w:hint="eastAsia"/>
                <w:color w:val="auto"/>
                <w:lang w:val="en-US" w:eastAsia="zh-CN"/>
              </w:rPr>
              <w:t>北部</w:t>
            </w:r>
            <w:r>
              <w:rPr>
                <w:rFonts w:hint="default"/>
                <w:color w:val="auto"/>
                <w:lang w:val="en-US" w:eastAsia="zh-CN"/>
              </w:rPr>
              <w:t>自</w:t>
            </w:r>
            <w:r>
              <w:rPr>
                <w:rFonts w:hint="eastAsia"/>
                <w:color w:val="auto"/>
                <w:lang w:val="en-US" w:eastAsia="zh-CN"/>
              </w:rPr>
              <w:t>西</w:t>
            </w:r>
            <w:r>
              <w:rPr>
                <w:rFonts w:hint="default"/>
                <w:color w:val="auto"/>
                <w:lang w:val="en-US" w:eastAsia="zh-CN"/>
              </w:rPr>
              <w:t>往</w:t>
            </w:r>
            <w:r>
              <w:rPr>
                <w:rFonts w:hint="eastAsia"/>
                <w:color w:val="auto"/>
                <w:lang w:val="en-US" w:eastAsia="zh-CN"/>
              </w:rPr>
              <w:t>东</w:t>
            </w:r>
            <w:r>
              <w:rPr>
                <w:rFonts w:hint="default"/>
                <w:color w:val="auto"/>
                <w:lang w:val="en-US" w:eastAsia="zh-CN"/>
              </w:rPr>
              <w:t>依次为</w:t>
            </w:r>
            <w:r>
              <w:rPr>
                <w:rFonts w:hint="eastAsia"/>
                <w:color w:val="auto"/>
                <w:lang w:val="en-US" w:eastAsia="zh-CN"/>
              </w:rPr>
              <w:t>综合楼、倒班宿舍楼、食堂、停车场及医废暂存间，医院南部</w:t>
            </w:r>
            <w:r>
              <w:rPr>
                <w:rFonts w:hint="default"/>
                <w:color w:val="auto"/>
                <w:lang w:val="en-US" w:eastAsia="zh-CN"/>
              </w:rPr>
              <w:t>自</w:t>
            </w:r>
            <w:r>
              <w:rPr>
                <w:rFonts w:hint="eastAsia"/>
                <w:color w:val="auto"/>
                <w:lang w:val="en-US" w:eastAsia="zh-CN"/>
              </w:rPr>
              <w:t>西</w:t>
            </w:r>
            <w:r>
              <w:rPr>
                <w:rFonts w:hint="default"/>
                <w:color w:val="auto"/>
                <w:lang w:val="en-US" w:eastAsia="zh-CN"/>
              </w:rPr>
              <w:t>往</w:t>
            </w:r>
            <w:r>
              <w:rPr>
                <w:rFonts w:hint="eastAsia"/>
                <w:color w:val="auto"/>
                <w:lang w:val="en-US" w:eastAsia="zh-CN"/>
              </w:rPr>
              <w:t>东</w:t>
            </w:r>
            <w:r>
              <w:rPr>
                <w:rFonts w:hint="default"/>
                <w:color w:val="auto"/>
                <w:lang w:val="en-US" w:eastAsia="zh-CN"/>
              </w:rPr>
              <w:t>依次为</w:t>
            </w:r>
            <w:r>
              <w:rPr>
                <w:rFonts w:hint="eastAsia"/>
                <w:color w:val="auto"/>
                <w:lang w:val="en-US" w:eastAsia="zh-CN"/>
              </w:rPr>
              <w:t>行政楼、空地、污水处理站</w:t>
            </w:r>
            <w:r>
              <w:rPr>
                <w:rFonts w:hint="default"/>
                <w:color w:val="auto"/>
                <w:lang w:val="en-US" w:eastAsia="zh-CN"/>
              </w:rPr>
              <w:t>。</w:t>
            </w:r>
          </w:p>
          <w:p w14:paraId="14F54280">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textAlignment w:val="auto"/>
              <w:rPr>
                <w:rFonts w:hint="default"/>
                <w:color w:val="auto"/>
                <w:lang w:val="en-US" w:eastAsia="zh-CN"/>
              </w:rPr>
            </w:pPr>
            <w:r>
              <w:rPr>
                <w:rFonts w:hint="default"/>
                <w:color w:val="auto"/>
                <w:lang w:val="en-US" w:eastAsia="zh-CN"/>
              </w:rPr>
              <w:t>本项目</w:t>
            </w:r>
            <w:r>
              <w:rPr>
                <w:rFonts w:hint="eastAsia"/>
                <w:color w:val="auto"/>
                <w:lang w:val="en-US" w:eastAsia="zh-CN"/>
              </w:rPr>
              <w:t>DSA机房</w:t>
            </w:r>
            <w:r>
              <w:rPr>
                <w:rFonts w:hint="default"/>
                <w:color w:val="auto"/>
                <w:lang w:val="en-US" w:eastAsia="zh-CN"/>
              </w:rPr>
              <w:t>位于医</w:t>
            </w:r>
            <w:r>
              <w:rPr>
                <w:rFonts w:hint="eastAsia"/>
                <w:color w:val="auto"/>
                <w:lang w:val="en-US" w:eastAsia="zh-CN"/>
              </w:rPr>
              <w:t>院综合楼1层</w:t>
            </w:r>
            <w:r>
              <w:rPr>
                <w:rFonts w:hint="default"/>
                <w:color w:val="auto"/>
                <w:lang w:val="en-US" w:eastAsia="zh-CN"/>
              </w:rPr>
              <w:t>，</w:t>
            </w:r>
            <w:r>
              <w:rPr>
                <w:rFonts w:hint="eastAsia"/>
                <w:color w:val="auto"/>
                <w:lang w:val="en-US" w:eastAsia="zh-CN"/>
              </w:rPr>
              <w:t>东侧为倒班宿舍楼，南</w:t>
            </w:r>
            <w:r>
              <w:rPr>
                <w:rFonts w:hint="default"/>
                <w:color w:val="auto"/>
                <w:lang w:val="en-US" w:eastAsia="zh-CN"/>
              </w:rPr>
              <w:t>侧</w:t>
            </w:r>
            <w:r>
              <w:rPr>
                <w:rFonts w:hint="eastAsia"/>
                <w:color w:val="auto"/>
                <w:lang w:val="en-US" w:eastAsia="zh-CN"/>
              </w:rPr>
              <w:t>为行政楼</w:t>
            </w:r>
            <w:r>
              <w:rPr>
                <w:rFonts w:hint="default"/>
                <w:color w:val="auto"/>
                <w:lang w:val="en-US" w:eastAsia="zh-CN"/>
              </w:rPr>
              <w:t>，</w:t>
            </w:r>
            <w:r>
              <w:rPr>
                <w:rFonts w:hint="eastAsia"/>
                <w:color w:val="auto"/>
                <w:lang w:val="en-US" w:eastAsia="zh-CN"/>
              </w:rPr>
              <w:t>西侧为休闲区，北侧为厂界</w:t>
            </w:r>
            <w:r>
              <w:rPr>
                <w:rFonts w:hint="default"/>
                <w:color w:val="auto"/>
                <w:lang w:val="en-US" w:eastAsia="zh-CN"/>
              </w:rPr>
              <w:t>。医院平面图详见附图3。</w:t>
            </w:r>
          </w:p>
          <w:p w14:paraId="7DF14E10">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（3）本项目DSA机房在</w:t>
            </w:r>
            <w:r>
              <w:rPr>
                <w:rFonts w:hint="eastAsia"/>
                <w:color w:val="auto"/>
                <w:lang w:val="en-US" w:eastAsia="zh-CN"/>
              </w:rPr>
              <w:t>住院部</w:t>
            </w:r>
            <w:r>
              <w:rPr>
                <w:rFonts w:hint="default"/>
                <w:color w:val="auto"/>
                <w:lang w:val="en-US" w:eastAsia="zh-CN"/>
              </w:rPr>
              <w:t>中的位置</w:t>
            </w:r>
          </w:p>
          <w:p w14:paraId="1C35F1E6">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本项目DSA机房位于</w:t>
            </w:r>
            <w:r>
              <w:rPr>
                <w:rFonts w:hint="eastAsia"/>
                <w:color w:val="auto"/>
                <w:lang w:val="en-US" w:eastAsia="zh-CN"/>
              </w:rPr>
              <w:t>综合楼</w:t>
            </w:r>
            <w:r>
              <w:rPr>
                <w:rFonts w:hint="default"/>
                <w:color w:val="auto"/>
                <w:lang w:val="en-US" w:eastAsia="zh-CN"/>
              </w:rPr>
              <w:t>1层，东侧为</w:t>
            </w:r>
            <w:r>
              <w:rPr>
                <w:rFonts w:hint="eastAsia"/>
                <w:color w:val="auto"/>
                <w:lang w:val="en-US" w:eastAsia="zh-CN"/>
              </w:rPr>
              <w:t>控制室、</w:t>
            </w:r>
            <w:r>
              <w:rPr>
                <w:rFonts w:hint="default"/>
                <w:color w:val="auto"/>
                <w:lang w:val="en-US" w:eastAsia="zh-CN"/>
              </w:rPr>
              <w:t>住院门厅</w:t>
            </w:r>
            <w:r>
              <w:rPr>
                <w:rFonts w:hint="eastAsia"/>
                <w:color w:val="auto"/>
                <w:lang w:val="en-US" w:eastAsia="zh-CN"/>
              </w:rPr>
              <w:t>、电梯厅、放射科诊室等，</w:t>
            </w:r>
            <w:r>
              <w:rPr>
                <w:rFonts w:hint="default"/>
                <w:color w:val="auto"/>
                <w:lang w:val="en-US" w:eastAsia="zh-CN"/>
              </w:rPr>
              <w:t>南侧为</w:t>
            </w:r>
            <w:r>
              <w:rPr>
                <w:rFonts w:hint="eastAsia"/>
                <w:color w:val="auto"/>
                <w:lang w:val="en-US" w:eastAsia="zh-CN"/>
              </w:rPr>
              <w:t>走廊、检验中心等</w:t>
            </w:r>
            <w:r>
              <w:rPr>
                <w:rFonts w:hint="default"/>
                <w:color w:val="auto"/>
                <w:lang w:val="en-US" w:eastAsia="zh-CN"/>
              </w:rPr>
              <w:t>，西侧</w:t>
            </w:r>
            <w:r>
              <w:rPr>
                <w:rFonts w:hint="eastAsia"/>
                <w:color w:val="auto"/>
                <w:lang w:val="en-US" w:eastAsia="zh-CN"/>
              </w:rPr>
              <w:t>为楼梯间、消防中控室及走廊等，</w:t>
            </w:r>
            <w:r>
              <w:rPr>
                <w:rFonts w:hint="default"/>
                <w:color w:val="auto"/>
                <w:lang w:val="en-US" w:eastAsia="zh-CN"/>
              </w:rPr>
              <w:t>北侧为医院</w:t>
            </w:r>
            <w:r>
              <w:rPr>
                <w:rFonts w:hint="eastAsia"/>
                <w:color w:val="auto"/>
                <w:lang w:val="en-US" w:eastAsia="zh-CN"/>
              </w:rPr>
              <w:t>内部道路</w:t>
            </w:r>
            <w:r>
              <w:rPr>
                <w:rFonts w:hint="default"/>
                <w:color w:val="auto"/>
                <w:lang w:val="en-US" w:eastAsia="zh-CN"/>
              </w:rPr>
              <w:t>。DSA机房下方为</w:t>
            </w:r>
            <w:r>
              <w:rPr>
                <w:rFonts w:hint="eastAsia"/>
                <w:color w:val="auto"/>
                <w:lang w:val="en-US" w:eastAsia="zh-CN"/>
              </w:rPr>
              <w:t>土壤层</w:t>
            </w:r>
            <w:r>
              <w:rPr>
                <w:rFonts w:hint="default"/>
                <w:color w:val="auto"/>
                <w:lang w:val="en-US" w:eastAsia="zh-CN"/>
              </w:rPr>
              <w:t>，正上方为</w:t>
            </w:r>
            <w:r>
              <w:rPr>
                <w:rFonts w:hint="eastAsia"/>
                <w:color w:val="auto"/>
                <w:lang w:val="en-US" w:eastAsia="zh-CN"/>
              </w:rPr>
              <w:t>五官科室和口腔科，本次评价要求医院将五官科室和口腔科改设为活动室、库房等不涉及人员长期停留的科室，详见附件15</w:t>
            </w:r>
            <w:r>
              <w:rPr>
                <w:rFonts w:hint="default"/>
                <w:color w:val="auto"/>
                <w:lang w:val="en-US" w:eastAsia="zh-CN"/>
              </w:rPr>
              <w:t>。项目层平面图详见图1-1。</w:t>
            </w:r>
          </w:p>
          <w:p w14:paraId="1A9AA528">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（4）选址合理性分析</w:t>
            </w:r>
          </w:p>
          <w:p w14:paraId="461E7C46">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按照《电离辐射防护与辐射源安全基本标准》（GB18871-2002）关于</w:t>
            </w:r>
            <w:r>
              <w:rPr>
                <w:rFonts w:hint="eastAsia"/>
                <w:color w:val="auto"/>
                <w:lang w:val="en-US" w:eastAsia="zh-CN"/>
              </w:rPr>
              <w:t>“源的选址与定位”规定，国家只对“具有放射性物质和可能造成这些放射性物质释放的源”应考</w:t>
            </w:r>
            <w:r>
              <w:rPr>
                <w:rFonts w:hint="default"/>
                <w:color w:val="auto"/>
                <w:lang w:val="en-US" w:eastAsia="zh-CN"/>
              </w:rPr>
              <w:t>虑场址特征的规定，</w:t>
            </w:r>
            <w:r>
              <w:rPr>
                <w:rFonts w:hint="eastAsia"/>
                <w:color w:val="auto"/>
                <w:lang w:val="en-US" w:eastAsia="zh-CN"/>
              </w:rPr>
              <w:t>对其他</w:t>
            </w:r>
            <w:r>
              <w:rPr>
                <w:rFonts w:hint="default"/>
                <w:color w:val="auto"/>
                <w:lang w:val="en-US" w:eastAsia="zh-CN"/>
              </w:rPr>
              <w:t>源的选址未作明文规定。本项目DSA的应用为</w:t>
            </w:r>
            <w:r>
              <w:rPr>
                <w:rFonts w:hint="eastAsia"/>
                <w:color w:val="auto"/>
                <w:lang w:val="en-US" w:eastAsia="zh-CN"/>
              </w:rPr>
              <w:t>Ⅱ类</w:t>
            </w:r>
            <w:r>
              <w:rPr>
                <w:rFonts w:hint="default"/>
                <w:color w:val="auto"/>
                <w:lang w:val="en-US" w:eastAsia="zh-CN"/>
              </w:rPr>
              <w:t>射线装置在医学上的应用，本项目在正常运行和事故工况下，均不会造成放射性物质的释放。因此，对这类医用核技术应用项目选址国家未加明确限制。</w:t>
            </w:r>
          </w:p>
          <w:p w14:paraId="75282794">
            <w:pPr>
              <w:pStyle w:val="2"/>
              <w:keepNext w:val="0"/>
              <w:keepLines w:val="0"/>
              <w:pageBreakBefore w:val="0"/>
              <w:widowControl w:val="0"/>
              <w:suppressLineNumbers w:val="0"/>
              <w:kinsoku/>
              <w:wordWrap/>
              <w:overflowPunct/>
              <w:topLinePunct w:val="0"/>
              <w:autoSpaceDE/>
              <w:autoSpaceDN/>
              <w:bidi w:val="0"/>
              <w:spacing w:before="0" w:beforeAutospacing="0" w:after="0" w:afterLines="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医院位于</w:t>
            </w:r>
            <w:r>
              <w:rPr>
                <w:rFonts w:hint="eastAsia"/>
                <w:color w:val="auto"/>
                <w:lang w:val="en-US" w:eastAsia="zh-CN"/>
              </w:rPr>
              <w:t>安徽省淮南市寿县安丰镇石集街道</w:t>
            </w:r>
            <w:r>
              <w:rPr>
                <w:rFonts w:hint="default"/>
                <w:color w:val="auto"/>
                <w:lang w:val="en-US" w:eastAsia="zh-CN"/>
              </w:rPr>
              <w:t>，交通便利，能为患者提供方便的就医条件。</w:t>
            </w:r>
          </w:p>
          <w:p w14:paraId="19333265">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从机房周围环境来看，</w:t>
            </w:r>
            <w:r>
              <w:rPr>
                <w:rFonts w:hint="default"/>
                <w:color w:val="auto"/>
                <w:lang w:val="en-US" w:eastAsia="zh-CN"/>
              </w:rPr>
              <w:t>本项目DSA机房位于</w:t>
            </w:r>
            <w:r>
              <w:rPr>
                <w:rFonts w:hint="eastAsia"/>
                <w:color w:val="auto"/>
                <w:lang w:val="en-US" w:eastAsia="zh-CN"/>
              </w:rPr>
              <w:t>综合楼</w:t>
            </w:r>
            <w:r>
              <w:rPr>
                <w:rFonts w:hint="default"/>
                <w:color w:val="auto"/>
                <w:lang w:val="en-US" w:eastAsia="zh-CN"/>
              </w:rPr>
              <w:t>1层，东侧为</w:t>
            </w:r>
            <w:r>
              <w:rPr>
                <w:rFonts w:hint="eastAsia"/>
                <w:color w:val="auto"/>
                <w:lang w:val="en-US" w:eastAsia="zh-CN"/>
              </w:rPr>
              <w:t>控制室、</w:t>
            </w:r>
            <w:r>
              <w:rPr>
                <w:rFonts w:hint="default"/>
                <w:color w:val="auto"/>
                <w:lang w:val="en-US" w:eastAsia="zh-CN"/>
              </w:rPr>
              <w:t>住院门厅</w:t>
            </w:r>
            <w:r>
              <w:rPr>
                <w:rFonts w:hint="eastAsia"/>
                <w:color w:val="auto"/>
                <w:lang w:val="en-US" w:eastAsia="zh-CN"/>
              </w:rPr>
              <w:t>、电梯厅、放射科诊室等，</w:t>
            </w:r>
            <w:r>
              <w:rPr>
                <w:rFonts w:hint="default"/>
                <w:color w:val="auto"/>
                <w:lang w:val="en-US" w:eastAsia="zh-CN"/>
              </w:rPr>
              <w:t>南侧为</w:t>
            </w:r>
            <w:r>
              <w:rPr>
                <w:rFonts w:hint="eastAsia"/>
                <w:color w:val="auto"/>
                <w:lang w:val="en-US" w:eastAsia="zh-CN"/>
              </w:rPr>
              <w:t>走廊、检验中心等</w:t>
            </w:r>
            <w:r>
              <w:rPr>
                <w:rFonts w:hint="default"/>
                <w:color w:val="auto"/>
                <w:lang w:val="en-US" w:eastAsia="zh-CN"/>
              </w:rPr>
              <w:t>，西侧</w:t>
            </w:r>
            <w:r>
              <w:rPr>
                <w:rFonts w:hint="eastAsia"/>
                <w:color w:val="auto"/>
                <w:lang w:val="en-US" w:eastAsia="zh-CN"/>
              </w:rPr>
              <w:t>为楼梯间、消防中控室及走廊等，</w:t>
            </w:r>
            <w:r>
              <w:rPr>
                <w:rFonts w:hint="default"/>
                <w:color w:val="auto"/>
                <w:lang w:val="en-US" w:eastAsia="zh-CN"/>
              </w:rPr>
              <w:t>北侧为医院</w:t>
            </w:r>
            <w:r>
              <w:rPr>
                <w:rFonts w:hint="eastAsia"/>
                <w:color w:val="auto"/>
                <w:lang w:val="en-US" w:eastAsia="zh-CN"/>
              </w:rPr>
              <w:t>内部道路</w:t>
            </w:r>
            <w:r>
              <w:rPr>
                <w:rFonts w:hint="default"/>
                <w:color w:val="auto"/>
                <w:lang w:val="en-US" w:eastAsia="zh-CN"/>
              </w:rPr>
              <w:t>。DSA机房下方为</w:t>
            </w:r>
            <w:r>
              <w:rPr>
                <w:rFonts w:hint="eastAsia"/>
                <w:color w:val="auto"/>
                <w:lang w:val="en-US" w:eastAsia="zh-CN"/>
              </w:rPr>
              <w:t>土壤层</w:t>
            </w:r>
            <w:r>
              <w:rPr>
                <w:rFonts w:hint="default"/>
                <w:color w:val="auto"/>
                <w:lang w:val="en-US" w:eastAsia="zh-CN"/>
              </w:rPr>
              <w:t>，</w:t>
            </w:r>
            <w:r>
              <w:rPr>
                <w:rFonts w:hint="default"/>
                <w:color w:val="auto"/>
                <w:highlight w:val="none"/>
                <w:lang w:val="en-US" w:eastAsia="zh-CN"/>
              </w:rPr>
              <w:t>正上方为</w:t>
            </w:r>
            <w:r>
              <w:rPr>
                <w:rFonts w:hint="eastAsia"/>
                <w:color w:val="auto"/>
                <w:highlight w:val="none"/>
                <w:lang w:val="en-US" w:eastAsia="zh-CN"/>
              </w:rPr>
              <w:t>五官科室和口腔科，本次评价要求医院将五官科室和口腔科改设为活动室、库房等不涉及人员长期停留的科室，避开</w:t>
            </w:r>
            <w:r>
              <w:rPr>
                <w:rFonts w:hint="eastAsia" w:cs="Times New Roman"/>
                <w:color w:val="auto"/>
                <w:highlight w:val="none"/>
                <w:lang w:val="en-US" w:eastAsia="zh-CN"/>
              </w:rPr>
              <w:t>DSA</w:t>
            </w:r>
            <w:r>
              <w:rPr>
                <w:rFonts w:hint="default" w:ascii="Times New Roman" w:hAnsi="Times New Roman" w:cs="Times New Roman"/>
                <w:color w:val="auto"/>
                <w:highlight w:val="none"/>
                <w:lang w:val="en-US" w:eastAsia="zh-CN"/>
              </w:rPr>
              <w:t>设备</w:t>
            </w:r>
            <w:r>
              <w:rPr>
                <w:rFonts w:hint="eastAsia" w:cs="Times New Roman"/>
                <w:color w:val="auto"/>
                <w:highlight w:val="none"/>
                <w:lang w:val="en-US" w:eastAsia="zh-CN"/>
              </w:rPr>
              <w:t>X射线的主射线方向</w:t>
            </w:r>
            <w:r>
              <w:rPr>
                <w:rFonts w:hint="eastAsia" w:cs="Times New Roman"/>
                <w:color w:val="auto"/>
                <w:highlight w:val="none"/>
                <w:lang w:val="en-US" w:eastAsia="zh-CN"/>
              </w:rPr>
              <w:t>。综上，DSA机房</w:t>
            </w:r>
            <w:r>
              <w:rPr>
                <w:rFonts w:hint="default" w:ascii="Times New Roman" w:hAnsi="Times New Roman" w:cs="Times New Roman"/>
                <w:color w:val="auto"/>
                <w:highlight w:val="none"/>
                <w:lang w:val="en-US" w:eastAsia="zh-CN"/>
              </w:rPr>
              <w:t>布置方案符合《放射诊断放射防护要求》（GBZ130-2020）中对DSA工作场所平面布局的要求。</w:t>
            </w:r>
          </w:p>
          <w:p w14:paraId="2C31CF82">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为保护本项目周边其他科室工作人员和公众，医院对DSA机房加强了防护，DSA机房屏蔽防护措施满足《放射诊断放射防护要求》（GBZ130-2020）中对机房辐射防护的要求。从类比分析结果可知，机房外辐射剂量率能满足《放射诊断放射防护要求》（GBZ130-2020）的要求。在医院预计的工作负荷正常工作状态下，本项目设备运行对辐射工作人员和公众的附加年有效剂量均低于项目管理目标（介入手术医护人员年有效剂量不超过10mSv，其他职业人员年有效剂量不超过5mSv，公众年有效剂量不超过0.25mSv），符合《电离辐射防护与辐射源安全基本标准》（GB18871-2002）中关于</w:t>
            </w:r>
            <w:r>
              <w:rPr>
                <w:rFonts w:hint="eastAsia" w:ascii="宋体" w:hAnsi="宋体" w:eastAsia="宋体" w:cs="宋体"/>
                <w:color w:val="auto"/>
                <w:highlight w:val="none"/>
                <w:lang w:val="en-US" w:eastAsia="zh-CN"/>
              </w:rPr>
              <w:t>“剂量限值”的要求。项目运营期产生的“三废”及噪声</w:t>
            </w:r>
            <w:r>
              <w:rPr>
                <w:rFonts w:hint="default" w:ascii="Times New Roman" w:hAnsi="Times New Roman" w:cs="Times New Roman"/>
                <w:color w:val="auto"/>
                <w:highlight w:val="none"/>
                <w:lang w:val="en-US" w:eastAsia="zh-CN"/>
              </w:rPr>
              <w:t>均采取了相应的治理措施，符合相关标准要求。</w:t>
            </w:r>
          </w:p>
          <w:p w14:paraId="6775FBA3">
            <w:pPr>
              <w:pStyle w:val="23"/>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textAlignment w:val="auto"/>
              <w:rPr>
                <w:rFonts w:hint="default"/>
                <w:color w:val="auto"/>
                <w:lang w:val="en-US" w:eastAsia="zh-CN"/>
              </w:rPr>
            </w:pPr>
            <w:r>
              <w:rPr>
                <w:rFonts w:hint="default"/>
                <w:color w:val="auto"/>
                <w:lang w:val="en-US" w:eastAsia="zh-CN"/>
              </w:rPr>
              <w:t>因此，从总体布局、方便患者就诊、治疗及对周围环境影响等方面考虑，本项目的选址合理。</w:t>
            </w:r>
          </w:p>
          <w:p w14:paraId="69C45F3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宋体" w:hAnsi="宋体" w:eastAsia="宋体" w:cs="宋体"/>
                <w:color w:val="auto"/>
                <w:kern w:val="0"/>
                <w:sz w:val="24"/>
                <w:szCs w:val="24"/>
                <w:lang w:val="en-US" w:eastAsia="zh-CN" w:bidi="ar"/>
              </w:rPr>
            </w:pPr>
            <w:r>
              <w:rPr>
                <w:rFonts w:hint="default"/>
              </w:rPr>
              <w:drawing>
                <wp:inline distT="0" distB="0" distL="114300" distR="114300">
                  <wp:extent cx="8565515" cy="5928360"/>
                  <wp:effectExtent l="0" t="0" r="15240" b="6985"/>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pic:cNvPicPr>
                        </pic:nvPicPr>
                        <pic:blipFill>
                          <a:blip r:embed="rId8"/>
                          <a:stretch>
                            <a:fillRect/>
                          </a:stretch>
                        </pic:blipFill>
                        <pic:spPr>
                          <a:xfrm rot="16200000">
                            <a:off x="0" y="0"/>
                            <a:ext cx="8565515" cy="5928360"/>
                          </a:xfrm>
                          <a:prstGeom prst="rect">
                            <a:avLst/>
                          </a:prstGeom>
                          <a:noFill/>
                          <a:ln>
                            <a:noFill/>
                          </a:ln>
                        </pic:spPr>
                      </pic:pic>
                    </a:graphicData>
                  </a:graphic>
                </wp:inline>
              </w:drawing>
            </w:r>
            <w:r>
              <w:rPr>
                <w:rFonts w:hint="default"/>
                <w:color w:val="auto"/>
              </w:rPr>
              <mc:AlternateContent>
                <mc:Choice Requires="wps">
                  <w:drawing>
                    <wp:anchor distT="0" distB="0" distL="114300" distR="114300" simplePos="0" relativeHeight="251660288" behindDoc="0" locked="0" layoutInCell="1" allowOverlap="1">
                      <wp:simplePos x="0" y="0"/>
                      <wp:positionH relativeFrom="column">
                        <wp:posOffset>4575810</wp:posOffset>
                      </wp:positionH>
                      <wp:positionV relativeFrom="paragraph">
                        <wp:posOffset>2899410</wp:posOffset>
                      </wp:positionV>
                      <wp:extent cx="2186940" cy="321945"/>
                      <wp:effectExtent l="0" t="0" r="1905" b="3810"/>
                      <wp:wrapNone/>
                      <wp:docPr id="75" name="文本框 75"/>
                      <wp:cNvGraphicFramePr/>
                      <a:graphic xmlns:a="http://schemas.openxmlformats.org/drawingml/2006/main">
                        <a:graphicData uri="http://schemas.microsoft.com/office/word/2010/wordprocessingShape">
                          <wps:wsp>
                            <wps:cNvSpPr txBox="1"/>
                            <wps:spPr>
                              <a:xfrm rot="16200000">
                                <a:off x="0" y="0"/>
                                <a:ext cx="2186940" cy="32194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12555C0B">
                                  <w:pPr>
                                    <w:rPr>
                                      <w:rFonts w:hint="default"/>
                                      <w:lang w:val="en-US" w:eastAsia="zh-CN"/>
                                    </w:rPr>
                                  </w:pPr>
                                  <w:r>
                                    <w:rPr>
                                      <w:rFonts w:hint="eastAsia"/>
                                      <w:b/>
                                      <w:bCs/>
                                      <w:color w:val="auto"/>
                                      <w:sz w:val="24"/>
                                      <w:szCs w:val="24"/>
                                      <w:lang w:val="en-US" w:eastAsia="zh-CN"/>
                                    </w:rPr>
                                    <w:t>图1-1  项目层平面图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0.3pt;margin-top:228.3pt;height:25.35pt;width:172.2pt;rotation:-5898240f;z-index:251660288;mso-width-relative:page;mso-height-relative:page;" fillcolor="#FFFFFF [3201]" filled="t" stroked="f" coordsize="21600,21600" o:gfxdata="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ObvBN/UAAAA&#10;DAEAAA8AAAAAAAAAAQAgAAAAIgAAAGRycy9kb3ducmV2LnhtbFBLAQIUABQAAAAIAIdO4kCQN/gC&#10;WgIAAKAEAAAOAAAAAAAAAAEAIAAAACMBAABkcnMvZTJvRG9jLnhtbFBLBQYAAAAABgAGAFkBAADv&#10;BQAAAAA=&#10;">
                      <v:fill on="t" focussize="0,0"/>
                      <v:stroke on="f" weight="0.5pt"/>
                      <v:imagedata o:title=""/>
                      <o:lock v:ext="edit" aspectratio="f"/>
                      <v:textbox>
                        <w:txbxContent>
                          <w:p w14:paraId="12555C0B">
                            <w:pPr>
                              <w:rPr>
                                <w:rFonts w:hint="default"/>
                                <w:lang w:val="en-US" w:eastAsia="zh-CN"/>
                              </w:rPr>
                            </w:pPr>
                            <w:r>
                              <w:rPr>
                                <w:rFonts w:hint="eastAsia"/>
                                <w:b/>
                                <w:bCs/>
                                <w:color w:val="auto"/>
                                <w:sz w:val="24"/>
                                <w:szCs w:val="24"/>
                                <w:lang w:val="en-US" w:eastAsia="zh-CN"/>
                              </w:rPr>
                              <w:t>图1-1  项目层平面图</w:t>
                            </w:r>
                          </w:p>
                        </w:txbxContent>
                      </v:textbox>
                    </v:shape>
                  </w:pict>
                </mc:Fallback>
              </mc:AlternateContent>
            </w:r>
          </w:p>
        </w:tc>
      </w:tr>
    </w:tbl>
    <w:tbl>
      <w:tblPr>
        <w:tblStyle w:val="18"/>
        <w:tblpPr w:leftFromText="180" w:rightFromText="180" w:vertAnchor="text" w:horzAnchor="page" w:tblpX="1146" w:tblpY="-25"/>
        <w:tblOverlap w:val="never"/>
        <w:tblW w:w="98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01"/>
      </w:tblGrid>
      <w:tr w14:paraId="7B4BA9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34" w:hRule="atLeast"/>
        </w:trPr>
        <w:tc>
          <w:tcPr>
            <w:tcW w:w="9801" w:type="dxa"/>
          </w:tcPr>
          <w:p w14:paraId="51A0AC3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color w:val="auto"/>
              </w:rPr>
            </w:pPr>
            <w:r>
              <w:rPr>
                <w:rFonts w:hint="default"/>
                <w:color w:val="auto"/>
              </w:rPr>
              <mc:AlternateContent>
                <mc:Choice Requires="wps">
                  <w:drawing>
                    <wp:anchor distT="0" distB="0" distL="114300" distR="114300" simplePos="0" relativeHeight="251661312" behindDoc="0" locked="0" layoutInCell="1" allowOverlap="1">
                      <wp:simplePos x="0" y="0"/>
                      <wp:positionH relativeFrom="column">
                        <wp:posOffset>4799330</wp:posOffset>
                      </wp:positionH>
                      <wp:positionV relativeFrom="paragraph">
                        <wp:posOffset>4069715</wp:posOffset>
                      </wp:positionV>
                      <wp:extent cx="2186940" cy="321945"/>
                      <wp:effectExtent l="0" t="0" r="1905" b="3810"/>
                      <wp:wrapNone/>
                      <wp:docPr id="78" name="文本框 78"/>
                      <wp:cNvGraphicFramePr/>
                      <a:graphic xmlns:a="http://schemas.openxmlformats.org/drawingml/2006/main">
                        <a:graphicData uri="http://schemas.microsoft.com/office/word/2010/wordprocessingShape">
                          <wps:wsp>
                            <wps:cNvSpPr txBox="1"/>
                            <wps:spPr>
                              <a:xfrm rot="16200000">
                                <a:off x="0" y="0"/>
                                <a:ext cx="2186940" cy="32194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35F108DC">
                                  <w:pPr>
                                    <w:rPr>
                                      <w:rFonts w:hint="default" w:eastAsiaTheme="minorEastAsia"/>
                                      <w:color w:val="auto"/>
                                      <w:sz w:val="24"/>
                                      <w:szCs w:val="24"/>
                                      <w:lang w:val="en-US" w:eastAsia="zh-CN"/>
                                    </w:rPr>
                                  </w:pPr>
                                  <w:r>
                                    <w:rPr>
                                      <w:rFonts w:hint="eastAsia"/>
                                      <w:b/>
                                      <w:bCs/>
                                      <w:color w:val="auto"/>
                                      <w:sz w:val="24"/>
                                      <w:szCs w:val="24"/>
                                      <w:lang w:val="en-US" w:eastAsia="zh-CN"/>
                                    </w:rPr>
                                    <w:t>图1-2  项目层正上方平面图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77.9pt;margin-top:320.45pt;height:25.35pt;width:172.2pt;rotation:-5898240f;z-index:251661312;mso-width-relative:page;mso-height-relative:page;" fillcolor="#FFFFFF [3201]" filled="t" stroked="f" coordsize="21600,21600" o:gfxdata="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kQm+v1QAAAAwB&#10;AAAPAAAAAAAAAAEAIAAAACIAAABkcnMvZG93bnJldi54bWxQSwECFAAUAAAACACHTuJAZZyFLVcC&#10;AACgBAAADgAAAAAAAAABACAAAAAkAQAAZHJzL2Uyb0RvYy54bWxQSwUGAAAAAAYABgBZAQAA7QUA&#10;AAAA&#10;">
                      <v:fill on="t" focussize="0,0"/>
                      <v:stroke on="f" weight="0.5pt"/>
                      <v:imagedata o:title=""/>
                      <o:lock v:ext="edit" aspectratio="f"/>
                      <v:textbox>
                        <w:txbxContent>
                          <w:p w14:paraId="35F108DC">
                            <w:pPr>
                              <w:rPr>
                                <w:rFonts w:hint="default" w:eastAsiaTheme="minorEastAsia"/>
                                <w:color w:val="auto"/>
                                <w:sz w:val="24"/>
                                <w:szCs w:val="24"/>
                                <w:lang w:val="en-US" w:eastAsia="zh-CN"/>
                              </w:rPr>
                            </w:pPr>
                            <w:r>
                              <w:rPr>
                                <w:rFonts w:hint="eastAsia"/>
                                <w:b/>
                                <w:bCs/>
                                <w:color w:val="auto"/>
                                <w:sz w:val="24"/>
                                <w:szCs w:val="24"/>
                                <w:lang w:val="en-US" w:eastAsia="zh-CN"/>
                              </w:rPr>
                              <w:t>图1-2  项目层正上方平面图</w:t>
                            </w:r>
                          </w:p>
                        </w:txbxContent>
                      </v:textbox>
                    </v:shape>
                  </w:pict>
                </mc:Fallback>
              </mc:AlternateContent>
            </w:r>
            <w:r>
              <w:rPr>
                <w:rFonts w:hint="default"/>
              </w:rPr>
              <w:drawing>
                <wp:inline distT="0" distB="0" distL="114300" distR="114300">
                  <wp:extent cx="8602980" cy="6102985"/>
                  <wp:effectExtent l="0" t="0" r="12065" b="762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9"/>
                          <a:stretch>
                            <a:fillRect/>
                          </a:stretch>
                        </pic:blipFill>
                        <pic:spPr>
                          <a:xfrm rot="16200000">
                            <a:off x="0" y="0"/>
                            <a:ext cx="8602980" cy="6102985"/>
                          </a:xfrm>
                          <a:prstGeom prst="rect">
                            <a:avLst/>
                          </a:prstGeom>
                          <a:noFill/>
                          <a:ln>
                            <a:noFill/>
                          </a:ln>
                        </pic:spPr>
                      </pic:pic>
                    </a:graphicData>
                  </a:graphic>
                </wp:inline>
              </w:drawing>
            </w:r>
            <w:r>
              <w:rPr>
                <w:rFonts w:hint="default"/>
                <w:color w:val="auto"/>
                <w:sz w:val="21"/>
              </w:rPr>
              <w:drawing>
                <wp:anchor distT="0" distB="0" distL="114300" distR="114300" simplePos="0" relativeHeight="251662336" behindDoc="0" locked="0" layoutInCell="1" allowOverlap="1">
                  <wp:simplePos x="0" y="0"/>
                  <wp:positionH relativeFrom="column">
                    <wp:posOffset>479425</wp:posOffset>
                  </wp:positionH>
                  <wp:positionV relativeFrom="paragraph">
                    <wp:posOffset>-113665</wp:posOffset>
                  </wp:positionV>
                  <wp:extent cx="661670" cy="1012190"/>
                  <wp:effectExtent l="0" t="0" r="16510" b="5080"/>
                  <wp:wrapNone/>
                  <wp:docPr id="5" name="图片 5" descr="指北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指北针"/>
                          <pic:cNvPicPr>
                            <a:picLocks noChangeAspect="1"/>
                          </pic:cNvPicPr>
                        </pic:nvPicPr>
                        <pic:blipFill>
                          <a:blip r:embed="rId10"/>
                          <a:stretch>
                            <a:fillRect/>
                          </a:stretch>
                        </pic:blipFill>
                        <pic:spPr>
                          <a:xfrm rot="16200000">
                            <a:off x="0" y="0"/>
                            <a:ext cx="661670" cy="1012190"/>
                          </a:xfrm>
                          <a:prstGeom prst="rect">
                            <a:avLst/>
                          </a:prstGeom>
                        </pic:spPr>
                      </pic:pic>
                    </a:graphicData>
                  </a:graphic>
                </wp:anchor>
              </w:drawing>
            </w:r>
          </w:p>
          <w:p w14:paraId="708EC11E">
            <w:pPr>
              <w:keepNext w:val="0"/>
              <w:keepLines w:val="0"/>
              <w:widowControl w:val="0"/>
              <w:suppressLineNumbers w:val="0"/>
              <w:bidi w:val="0"/>
              <w:spacing w:before="0" w:beforeAutospacing="0" w:after="0" w:afterAutospacing="0" w:line="360" w:lineRule="auto"/>
              <w:ind w:left="0" w:right="0" w:firstLine="482"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b/>
                <w:bCs/>
                <w:color w:val="auto"/>
                <w:kern w:val="2"/>
                <w:sz w:val="24"/>
                <w:szCs w:val="24"/>
                <w:lang w:val="en-US" w:eastAsia="zh-CN" w:bidi="ar-SA"/>
              </w:rPr>
              <w:t>4、</w:t>
            </w:r>
            <w:r>
              <w:rPr>
                <w:rFonts w:hint="eastAsia" w:ascii="宋体" w:hAnsi="宋体" w:eastAsia="宋体" w:cs="宋体"/>
                <w:b/>
                <w:bCs/>
                <w:color w:val="auto"/>
                <w:kern w:val="2"/>
                <w:sz w:val="24"/>
                <w:szCs w:val="24"/>
                <w:lang w:val="en-US" w:eastAsia="zh-CN" w:bidi="ar-SA"/>
              </w:rPr>
              <w:t>“三线一单”符</w:t>
            </w:r>
            <w:r>
              <w:rPr>
                <w:rFonts w:hint="default" w:ascii="Times New Roman" w:hAnsi="Times New Roman" w:eastAsia="宋体" w:cs="Times New Roman"/>
                <w:b/>
                <w:bCs/>
                <w:color w:val="auto"/>
                <w:kern w:val="2"/>
                <w:sz w:val="24"/>
                <w:szCs w:val="24"/>
                <w:lang w:val="en-US" w:eastAsia="zh-CN" w:bidi="ar-SA"/>
              </w:rPr>
              <w:t>合性分析</w:t>
            </w:r>
          </w:p>
          <w:p w14:paraId="3B5DF88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snapToGrid w:val="0"/>
                <w:color w:val="auto"/>
                <w:kern w:val="0"/>
                <w:sz w:val="24"/>
                <w:szCs w:val="21"/>
                <w:lang w:eastAsia="zh-CN"/>
              </w:rPr>
            </w:pPr>
            <w:r>
              <w:rPr>
                <w:rFonts w:hint="default" w:ascii="Times New Roman" w:hAnsi="Times New Roman" w:eastAsia="宋体" w:cs="Times New Roman"/>
                <w:snapToGrid w:val="0"/>
                <w:color w:val="auto"/>
                <w:kern w:val="0"/>
                <w:sz w:val="24"/>
                <w:szCs w:val="21"/>
                <w:lang w:eastAsia="zh-CN"/>
              </w:rPr>
              <w:t>根据原环境保护部</w:t>
            </w:r>
            <w:r>
              <w:rPr>
                <w:rFonts w:hint="eastAsia" w:ascii="宋体" w:hAnsi="宋体" w:eastAsia="宋体" w:cs="宋体"/>
                <w:snapToGrid w:val="0"/>
                <w:color w:val="auto"/>
                <w:kern w:val="0"/>
                <w:sz w:val="24"/>
                <w:szCs w:val="21"/>
                <w:lang w:eastAsia="zh-CN"/>
              </w:rPr>
              <w:t>“</w:t>
            </w:r>
            <w:r>
              <w:rPr>
                <w:rFonts w:hint="default" w:ascii="Times New Roman" w:hAnsi="Times New Roman" w:eastAsia="宋体" w:cs="Times New Roman"/>
                <w:snapToGrid w:val="0"/>
                <w:color w:val="auto"/>
                <w:kern w:val="0"/>
                <w:sz w:val="24"/>
                <w:szCs w:val="21"/>
                <w:lang w:eastAsia="zh-CN"/>
              </w:rPr>
              <w:t>环评〔2016〕150 号</w:t>
            </w:r>
            <w:r>
              <w:rPr>
                <w:rFonts w:hint="eastAsia" w:ascii="宋体" w:hAnsi="宋体" w:eastAsia="宋体" w:cs="宋体"/>
                <w:snapToGrid w:val="0"/>
                <w:color w:val="auto"/>
                <w:kern w:val="0"/>
                <w:sz w:val="24"/>
                <w:szCs w:val="21"/>
                <w:lang w:eastAsia="zh-CN"/>
              </w:rPr>
              <w:t>”</w:t>
            </w:r>
            <w:r>
              <w:rPr>
                <w:rFonts w:hint="default" w:ascii="Times New Roman" w:hAnsi="Times New Roman" w:eastAsia="宋体" w:cs="Times New Roman"/>
                <w:snapToGrid w:val="0"/>
                <w:color w:val="auto"/>
                <w:kern w:val="0"/>
                <w:sz w:val="24"/>
                <w:szCs w:val="21"/>
                <w:lang w:eastAsia="zh-CN"/>
              </w:rPr>
              <w:t>文《关于以改善环境质量为核心加强环境影响评价管理的通知》《安徽省人民政府关于加快实施</w:t>
            </w:r>
            <w:r>
              <w:rPr>
                <w:rFonts w:hint="eastAsia" w:ascii="宋体" w:hAnsi="宋体" w:eastAsia="宋体" w:cs="宋体"/>
                <w:snapToGrid w:val="0"/>
                <w:color w:val="auto"/>
                <w:kern w:val="0"/>
                <w:sz w:val="24"/>
                <w:szCs w:val="21"/>
                <w:lang w:eastAsia="zh-CN"/>
              </w:rPr>
              <w:t>“三线一单”</w:t>
            </w:r>
            <w:r>
              <w:rPr>
                <w:rFonts w:hint="default" w:ascii="Times New Roman" w:hAnsi="Times New Roman" w:eastAsia="宋体" w:cs="Times New Roman"/>
                <w:snapToGrid w:val="0"/>
                <w:color w:val="auto"/>
                <w:kern w:val="0"/>
                <w:sz w:val="24"/>
                <w:szCs w:val="21"/>
                <w:lang w:eastAsia="zh-CN"/>
              </w:rPr>
              <w:t>生态环境分区管控的通知》《安徽省</w:t>
            </w:r>
            <w:r>
              <w:rPr>
                <w:rFonts w:hint="eastAsia" w:ascii="Times New Roman" w:hAnsi="Times New Roman" w:eastAsia="宋体" w:cs="Times New Roman"/>
                <w:snapToGrid w:val="0"/>
                <w:color w:val="auto"/>
                <w:kern w:val="0"/>
                <w:sz w:val="24"/>
                <w:szCs w:val="21"/>
                <w:lang w:eastAsia="zh-CN"/>
              </w:rPr>
              <w:t>淮南市</w:t>
            </w:r>
            <w:r>
              <w:rPr>
                <w:rFonts w:hint="eastAsia" w:ascii="宋体" w:hAnsi="宋体" w:eastAsia="宋体" w:cs="宋体"/>
                <w:snapToGrid w:val="0"/>
                <w:color w:val="auto"/>
                <w:kern w:val="0"/>
                <w:sz w:val="24"/>
                <w:szCs w:val="21"/>
                <w:lang w:eastAsia="zh-CN"/>
              </w:rPr>
              <w:t>“三线一单”</w:t>
            </w:r>
            <w:r>
              <w:rPr>
                <w:rFonts w:hint="default" w:ascii="Times New Roman" w:hAnsi="Times New Roman" w:eastAsia="宋体" w:cs="Times New Roman"/>
                <w:snapToGrid w:val="0"/>
                <w:color w:val="auto"/>
                <w:kern w:val="0"/>
                <w:sz w:val="24"/>
                <w:szCs w:val="21"/>
                <w:lang w:eastAsia="zh-CN"/>
              </w:rPr>
              <w:t>文本》的要求，本</w:t>
            </w:r>
            <w:r>
              <w:rPr>
                <w:rFonts w:hint="eastAsia" w:ascii="Times New Roman" w:hAnsi="Times New Roman" w:eastAsia="宋体" w:cs="Times New Roman"/>
                <w:snapToGrid w:val="0"/>
                <w:color w:val="auto"/>
                <w:kern w:val="0"/>
                <w:sz w:val="24"/>
                <w:szCs w:val="21"/>
                <w:lang w:eastAsia="zh-CN"/>
              </w:rPr>
              <w:t>项目</w:t>
            </w:r>
            <w:r>
              <w:rPr>
                <w:rFonts w:hint="default" w:ascii="Times New Roman" w:hAnsi="Times New Roman" w:eastAsia="宋体" w:cs="Times New Roman"/>
                <w:snapToGrid w:val="0"/>
                <w:color w:val="auto"/>
                <w:kern w:val="0"/>
                <w:sz w:val="24"/>
                <w:szCs w:val="21"/>
                <w:lang w:eastAsia="zh-CN"/>
              </w:rPr>
              <w:t>与</w:t>
            </w:r>
            <w:r>
              <w:rPr>
                <w:rFonts w:hint="eastAsia" w:asciiTheme="minorEastAsia" w:hAnsiTheme="minorEastAsia" w:eastAsiaTheme="minorEastAsia" w:cstheme="minorEastAsia"/>
                <w:snapToGrid w:val="0"/>
                <w:color w:val="auto"/>
                <w:kern w:val="0"/>
                <w:sz w:val="24"/>
                <w:szCs w:val="21"/>
                <w:lang w:eastAsia="zh-CN"/>
              </w:rPr>
              <w:t>“三线一单”</w:t>
            </w:r>
            <w:r>
              <w:rPr>
                <w:rFonts w:hint="default" w:ascii="Times New Roman" w:hAnsi="Times New Roman" w:eastAsia="宋体" w:cs="Times New Roman"/>
                <w:snapToGrid w:val="0"/>
                <w:color w:val="auto"/>
                <w:kern w:val="0"/>
                <w:sz w:val="24"/>
                <w:szCs w:val="21"/>
                <w:lang w:eastAsia="zh-CN"/>
              </w:rPr>
              <w:t>的符合性分析见下。</w:t>
            </w:r>
          </w:p>
          <w:p w14:paraId="2F3268E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等线" w:cs="Times New Roman"/>
                <w:color w:val="auto"/>
                <w:sz w:val="24"/>
                <w:szCs w:val="24"/>
                <w:lang w:val="en-US" w:eastAsia="zh-CN"/>
              </w:rPr>
            </w:pPr>
            <w:r>
              <w:rPr>
                <w:rFonts w:hint="default" w:ascii="Times New Roman" w:hAnsi="Times New Roman" w:eastAsia="宋体" w:cs="Times New Roman"/>
                <w:b/>
                <w:bCs/>
                <w:color w:val="auto"/>
                <w:sz w:val="24"/>
                <w:szCs w:val="24"/>
              </w:rPr>
              <w:t>生态保护红线：</w:t>
            </w:r>
            <w:r>
              <w:rPr>
                <w:rFonts w:hint="default" w:ascii="Times New Roman" w:hAnsi="Times New Roman" w:eastAsia="宋体" w:cs="Times New Roman"/>
                <w:snapToGrid w:val="0"/>
                <w:color w:val="auto"/>
                <w:kern w:val="0"/>
                <w:sz w:val="24"/>
                <w:szCs w:val="21"/>
                <w:lang w:eastAsia="zh-CN"/>
              </w:rPr>
              <w:t>本项目位于</w:t>
            </w:r>
            <w:r>
              <w:rPr>
                <w:rFonts w:hint="eastAsia" w:ascii="Times New Roman" w:hAnsi="Times New Roman" w:eastAsia="宋体" w:cs="Times New Roman"/>
                <w:snapToGrid w:val="0"/>
                <w:color w:val="auto"/>
                <w:kern w:val="0"/>
                <w:sz w:val="24"/>
                <w:szCs w:val="21"/>
                <w:lang w:val="en-US" w:eastAsia="zh-CN" w:bidi="ar-SA"/>
              </w:rPr>
              <w:t>安徽省淮南市寿县安丰镇石集街道寿县安康医院综合楼1楼</w:t>
            </w:r>
            <w:r>
              <w:rPr>
                <w:rFonts w:hint="default" w:ascii="Times New Roman" w:hAnsi="Times New Roman" w:eastAsia="宋体" w:cs="Times New Roman"/>
                <w:snapToGrid w:val="0"/>
                <w:color w:val="auto"/>
                <w:kern w:val="0"/>
                <w:sz w:val="24"/>
                <w:szCs w:val="21"/>
                <w:lang w:eastAsia="zh-CN"/>
              </w:rPr>
              <w:t>，根据《</w:t>
            </w:r>
            <w:r>
              <w:rPr>
                <w:rFonts w:hint="eastAsia" w:ascii="Times New Roman" w:hAnsi="Times New Roman" w:eastAsia="宋体" w:cs="Times New Roman"/>
                <w:snapToGrid w:val="0"/>
                <w:color w:val="auto"/>
                <w:kern w:val="0"/>
                <w:sz w:val="24"/>
                <w:szCs w:val="21"/>
                <w:lang w:eastAsia="zh-CN"/>
              </w:rPr>
              <w:t>淮南市</w:t>
            </w:r>
            <w:r>
              <w:rPr>
                <w:rFonts w:hint="default" w:ascii="Times New Roman" w:hAnsi="Times New Roman" w:eastAsia="宋体" w:cs="Times New Roman"/>
                <w:snapToGrid w:val="0"/>
                <w:color w:val="auto"/>
                <w:kern w:val="0"/>
                <w:sz w:val="24"/>
                <w:szCs w:val="21"/>
                <w:lang w:eastAsia="zh-CN"/>
              </w:rPr>
              <w:t>生态保护红线图》，本项目不在生态保护红线内，项目距离最近的生态红线</w:t>
            </w:r>
            <w:r>
              <w:rPr>
                <w:rFonts w:hint="eastAsia" w:ascii="Times New Roman" w:hAnsi="Times New Roman" w:eastAsia="宋体" w:cs="Times New Roman"/>
                <w:snapToGrid w:val="0"/>
                <w:color w:val="auto"/>
                <w:kern w:val="0"/>
                <w:sz w:val="24"/>
                <w:szCs w:val="21"/>
                <w:lang w:eastAsia="zh-CN"/>
              </w:rPr>
              <w:t>“</w:t>
            </w:r>
            <w:r>
              <w:rPr>
                <w:rFonts w:hint="eastAsia" w:ascii="Times New Roman" w:hAnsi="Times New Roman" w:eastAsia="宋体" w:cs="Times New Roman"/>
                <w:snapToGrid w:val="0"/>
                <w:color w:val="auto"/>
                <w:kern w:val="0"/>
                <w:sz w:val="24"/>
                <w:szCs w:val="21"/>
                <w:lang w:val="en-US" w:eastAsia="zh-CN"/>
              </w:rPr>
              <w:t>东淝</w:t>
            </w:r>
            <w:r>
              <w:rPr>
                <w:rFonts w:hint="eastAsia" w:ascii="Times New Roman" w:hAnsi="Times New Roman" w:eastAsia="宋体" w:cs="Times New Roman"/>
                <w:snapToGrid w:val="0"/>
                <w:color w:val="auto"/>
                <w:kern w:val="0"/>
                <w:sz w:val="24"/>
                <w:szCs w:val="21"/>
                <w:lang w:eastAsia="zh-CN"/>
              </w:rPr>
              <w:t>河”</w:t>
            </w:r>
            <w:r>
              <w:rPr>
                <w:rFonts w:hint="default" w:ascii="Times New Roman" w:hAnsi="Times New Roman" w:eastAsia="宋体" w:cs="Times New Roman"/>
                <w:snapToGrid w:val="0"/>
                <w:color w:val="auto"/>
                <w:kern w:val="0"/>
                <w:sz w:val="24"/>
                <w:szCs w:val="21"/>
                <w:lang w:eastAsia="zh-CN"/>
              </w:rPr>
              <w:t>约</w:t>
            </w:r>
            <w:r>
              <w:rPr>
                <w:rFonts w:hint="eastAsia" w:ascii="Times New Roman" w:hAnsi="Times New Roman" w:eastAsia="宋体" w:cs="Times New Roman"/>
                <w:snapToGrid w:val="0"/>
                <w:color w:val="auto"/>
                <w:kern w:val="0"/>
                <w:sz w:val="24"/>
                <w:szCs w:val="21"/>
                <w:highlight w:val="none"/>
                <w:lang w:val="en-US" w:eastAsia="zh-CN"/>
              </w:rPr>
              <w:t>5km</w:t>
            </w:r>
            <w:r>
              <w:rPr>
                <w:rFonts w:hint="default" w:ascii="Times New Roman" w:hAnsi="Times New Roman" w:eastAsia="宋体" w:cs="Times New Roman"/>
                <w:snapToGrid w:val="0"/>
                <w:color w:val="auto"/>
                <w:kern w:val="0"/>
                <w:sz w:val="24"/>
                <w:szCs w:val="21"/>
                <w:lang w:eastAsia="zh-CN"/>
              </w:rPr>
              <w:t>。项目与生态红线的位置关</w:t>
            </w:r>
            <w:r>
              <w:rPr>
                <w:rFonts w:hint="default" w:ascii="Times New Roman" w:hAnsi="Times New Roman" w:eastAsia="宋体" w:cs="Times New Roman"/>
                <w:snapToGrid w:val="0"/>
                <w:color w:val="auto"/>
                <w:kern w:val="0"/>
                <w:sz w:val="24"/>
                <w:szCs w:val="21"/>
                <w:highlight w:val="none"/>
                <w:lang w:eastAsia="zh-CN"/>
              </w:rPr>
              <w:t>系详见附图</w:t>
            </w:r>
            <w:r>
              <w:rPr>
                <w:rFonts w:hint="eastAsia" w:ascii="Times New Roman" w:hAnsi="Times New Roman" w:eastAsia="宋体" w:cs="Times New Roman"/>
                <w:snapToGrid w:val="0"/>
                <w:color w:val="auto"/>
                <w:kern w:val="0"/>
                <w:sz w:val="24"/>
                <w:szCs w:val="21"/>
                <w:highlight w:val="none"/>
                <w:lang w:val="en-US" w:eastAsia="zh-CN"/>
              </w:rPr>
              <w:t>4</w:t>
            </w:r>
            <w:r>
              <w:rPr>
                <w:rFonts w:hint="default" w:ascii="Times New Roman" w:hAnsi="Times New Roman" w:eastAsia="宋体" w:cs="Times New Roman"/>
                <w:snapToGrid w:val="0"/>
                <w:color w:val="auto"/>
                <w:kern w:val="0"/>
                <w:sz w:val="24"/>
                <w:szCs w:val="21"/>
                <w:lang w:val="en-US" w:eastAsia="zh-CN"/>
              </w:rPr>
              <w:t>。因此，项目建设符合生态红线控制要求</w:t>
            </w:r>
            <w:r>
              <w:rPr>
                <w:rFonts w:hint="default" w:ascii="Times New Roman" w:hAnsi="Times New Roman" w:eastAsia="宋体" w:cs="Times New Roman"/>
                <w:snapToGrid w:val="0"/>
                <w:color w:val="auto"/>
                <w:kern w:val="0"/>
                <w:sz w:val="24"/>
                <w:szCs w:val="21"/>
                <w:lang w:val="en-US" w:eastAsia="zh-CN" w:bidi="ar-SA"/>
              </w:rPr>
              <w:t>。</w:t>
            </w:r>
          </w:p>
          <w:p w14:paraId="2DC9B895">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82" w:firstLineChars="200"/>
              <w:textAlignment w:val="auto"/>
              <w:rPr>
                <w:rFonts w:hint="default" w:ascii="Times New Roman" w:hAnsi="Times New Roman" w:eastAsia="宋体" w:cs="Times New Roman"/>
                <w:color w:val="auto"/>
                <w:highlight w:val="darkGray"/>
                <w:lang w:val="en-US" w:eastAsia="zh-CN"/>
              </w:rPr>
            </w:pPr>
            <w:r>
              <w:rPr>
                <w:rFonts w:hint="default" w:ascii="Times New Roman" w:hAnsi="Times New Roman" w:eastAsia="宋体" w:cs="Times New Roman"/>
                <w:b/>
                <w:bCs/>
                <w:snapToGrid w:val="0"/>
                <w:color w:val="auto"/>
                <w:kern w:val="0"/>
                <w:sz w:val="24"/>
                <w:szCs w:val="24"/>
                <w:lang w:val="en-US" w:eastAsia="zh-CN" w:bidi="ar-SA"/>
              </w:rPr>
              <w:t>环境质量底线：</w:t>
            </w:r>
            <w:r>
              <w:rPr>
                <w:rFonts w:hint="default" w:ascii="Times New Roman" w:hAnsi="Times New Roman" w:eastAsia="宋体" w:cs="Times New Roman"/>
                <w:snapToGrid w:val="0"/>
                <w:color w:val="auto"/>
                <w:kern w:val="0"/>
                <w:sz w:val="24"/>
                <w:szCs w:val="24"/>
                <w:lang w:val="en-US" w:eastAsia="zh-CN" w:bidi="ar-SA"/>
              </w:rPr>
              <w:t>本次评价委托</w:t>
            </w:r>
            <w:r>
              <w:rPr>
                <w:rFonts w:hint="eastAsia" w:cs="Times New Roman"/>
                <w:snapToGrid w:val="0"/>
                <w:color w:val="auto"/>
                <w:kern w:val="0"/>
                <w:sz w:val="24"/>
                <w:szCs w:val="24"/>
                <w:highlight w:val="none"/>
                <w:lang w:val="en-US" w:eastAsia="zh-CN" w:bidi="ar-SA"/>
              </w:rPr>
              <w:t>中国科学院合肥物质科学研究院计量与检测中心</w:t>
            </w:r>
            <w:r>
              <w:rPr>
                <w:rFonts w:hint="default" w:ascii="Times New Roman" w:hAnsi="Times New Roman" w:eastAsia="宋体" w:cs="Times New Roman"/>
                <w:snapToGrid w:val="0"/>
                <w:color w:val="auto"/>
                <w:kern w:val="0"/>
                <w:sz w:val="24"/>
                <w:szCs w:val="24"/>
                <w:highlight w:val="none"/>
                <w:lang w:val="en-US" w:eastAsia="zh-CN" w:bidi="ar-SA"/>
              </w:rPr>
              <w:t>于202</w:t>
            </w:r>
            <w:r>
              <w:rPr>
                <w:rFonts w:hint="eastAsia" w:cs="Times New Roman"/>
                <w:snapToGrid w:val="0"/>
                <w:color w:val="auto"/>
                <w:kern w:val="0"/>
                <w:sz w:val="24"/>
                <w:szCs w:val="24"/>
                <w:highlight w:val="none"/>
                <w:lang w:val="en-US" w:eastAsia="zh-CN" w:bidi="ar-SA"/>
              </w:rPr>
              <w:t>4</w:t>
            </w:r>
            <w:r>
              <w:rPr>
                <w:rFonts w:hint="default" w:ascii="Times New Roman" w:hAnsi="Times New Roman" w:eastAsia="宋体" w:cs="Times New Roman"/>
                <w:snapToGrid w:val="0"/>
                <w:color w:val="auto"/>
                <w:kern w:val="0"/>
                <w:sz w:val="24"/>
                <w:szCs w:val="24"/>
                <w:highlight w:val="none"/>
                <w:lang w:val="en-US" w:eastAsia="zh-CN" w:bidi="ar-SA"/>
              </w:rPr>
              <w:t>年</w:t>
            </w:r>
            <w:r>
              <w:rPr>
                <w:rFonts w:hint="eastAsia" w:cs="Times New Roman"/>
                <w:snapToGrid w:val="0"/>
                <w:color w:val="auto"/>
                <w:kern w:val="0"/>
                <w:sz w:val="24"/>
                <w:szCs w:val="24"/>
                <w:highlight w:val="none"/>
                <w:lang w:val="en-US" w:eastAsia="zh-CN" w:bidi="ar-SA"/>
              </w:rPr>
              <w:t>8</w:t>
            </w:r>
            <w:r>
              <w:rPr>
                <w:rFonts w:hint="default" w:ascii="Times New Roman" w:hAnsi="Times New Roman" w:eastAsia="宋体" w:cs="Times New Roman"/>
                <w:snapToGrid w:val="0"/>
                <w:color w:val="auto"/>
                <w:kern w:val="0"/>
                <w:sz w:val="24"/>
                <w:szCs w:val="24"/>
                <w:highlight w:val="none"/>
                <w:lang w:val="en-US" w:eastAsia="zh-CN" w:bidi="ar-SA"/>
              </w:rPr>
              <w:t>月</w:t>
            </w:r>
            <w:r>
              <w:rPr>
                <w:rFonts w:hint="eastAsia" w:cs="Times New Roman"/>
                <w:snapToGrid w:val="0"/>
                <w:color w:val="auto"/>
                <w:kern w:val="0"/>
                <w:sz w:val="24"/>
                <w:szCs w:val="24"/>
                <w:highlight w:val="none"/>
                <w:lang w:val="en-US" w:eastAsia="zh-CN" w:bidi="ar-SA"/>
              </w:rPr>
              <w:t>5</w:t>
            </w:r>
            <w:r>
              <w:rPr>
                <w:rFonts w:hint="default" w:ascii="Times New Roman" w:hAnsi="Times New Roman" w:eastAsia="宋体" w:cs="Times New Roman"/>
                <w:snapToGrid w:val="0"/>
                <w:color w:val="auto"/>
                <w:kern w:val="0"/>
                <w:sz w:val="24"/>
                <w:szCs w:val="24"/>
                <w:highlight w:val="none"/>
                <w:lang w:val="en-US" w:eastAsia="zh-CN" w:bidi="ar-SA"/>
              </w:rPr>
              <w:t>日对本项目周边进行辐射本底检测，本项目核技术应用场所周边环境辐射本底在</w:t>
            </w:r>
            <w:r>
              <w:rPr>
                <w:rFonts w:hint="eastAsia" w:cs="Times New Roman"/>
                <w:snapToGrid w:val="0"/>
                <w:color w:val="auto"/>
                <w:kern w:val="0"/>
                <w:sz w:val="24"/>
                <w:szCs w:val="24"/>
                <w:highlight w:val="none"/>
                <w:lang w:val="en-US" w:eastAsia="zh-CN" w:bidi="ar-SA"/>
              </w:rPr>
              <w:t>80.5</w:t>
            </w:r>
            <w:r>
              <w:rPr>
                <w:rFonts w:hint="default" w:ascii="Times New Roman" w:hAnsi="Times New Roman" w:eastAsia="微软雅黑" w:cs="Times New Roman"/>
                <w:snapToGrid w:val="0"/>
                <w:color w:val="auto"/>
                <w:kern w:val="0"/>
                <w:sz w:val="24"/>
                <w:szCs w:val="24"/>
                <w:highlight w:val="none"/>
                <w:lang w:val="en-US" w:eastAsia="zh-CN" w:bidi="ar-SA"/>
              </w:rPr>
              <w:t>±</w:t>
            </w:r>
            <w:r>
              <w:rPr>
                <w:rFonts w:hint="eastAsia" w:cs="Times New Roman"/>
                <w:snapToGrid w:val="0"/>
                <w:color w:val="auto"/>
                <w:kern w:val="0"/>
                <w:sz w:val="24"/>
                <w:szCs w:val="24"/>
                <w:highlight w:val="none"/>
                <w:lang w:val="en-US" w:eastAsia="zh-CN" w:bidi="ar-SA"/>
              </w:rPr>
              <w:t>1.6</w:t>
            </w:r>
            <w:r>
              <w:rPr>
                <w:rFonts w:hint="eastAsia"/>
                <w:color w:val="auto"/>
                <w:highlight w:val="none"/>
              </w:rPr>
              <w:t>～</w:t>
            </w:r>
            <w:r>
              <w:rPr>
                <w:rFonts w:hint="eastAsia"/>
                <w:color w:val="auto"/>
                <w:highlight w:val="none"/>
                <w:lang w:val="en-US" w:eastAsia="zh-CN"/>
              </w:rPr>
              <w:t>90.0</w:t>
            </w:r>
            <w:r>
              <w:rPr>
                <w:rFonts w:hint="default" w:ascii="Times New Roman" w:hAnsi="Times New Roman" w:eastAsia="微软雅黑" w:cs="Times New Roman"/>
                <w:snapToGrid w:val="0"/>
                <w:color w:val="auto"/>
                <w:kern w:val="0"/>
                <w:sz w:val="24"/>
                <w:szCs w:val="24"/>
                <w:highlight w:val="none"/>
                <w:lang w:val="en-US" w:eastAsia="zh-CN" w:bidi="ar-SA"/>
              </w:rPr>
              <w:t>±</w:t>
            </w:r>
            <w:r>
              <w:rPr>
                <w:rFonts w:hint="eastAsia" w:cs="Times New Roman"/>
                <w:snapToGrid w:val="0"/>
                <w:color w:val="auto"/>
                <w:kern w:val="0"/>
                <w:sz w:val="24"/>
                <w:szCs w:val="24"/>
                <w:highlight w:val="none"/>
                <w:lang w:val="en-US" w:eastAsia="zh-CN" w:bidi="ar-SA"/>
              </w:rPr>
              <w:t>1.4</w:t>
            </w:r>
            <w:r>
              <w:rPr>
                <w:rFonts w:hint="default" w:cs="Times New Roman"/>
                <w:color w:val="auto"/>
                <w:highlight w:val="none"/>
              </w:rPr>
              <w:t>n</w:t>
            </w:r>
            <w:r>
              <w:rPr>
                <w:rFonts w:hint="eastAsia"/>
                <w:color w:val="auto"/>
                <w:highlight w:val="none"/>
              </w:rPr>
              <w:t>Gy/h</w:t>
            </w:r>
            <w:r>
              <w:rPr>
                <w:rFonts w:hint="default" w:ascii="Times New Roman" w:hAnsi="Times New Roman" w:eastAsia="宋体" w:cs="Times New Roman"/>
                <w:snapToGrid w:val="0"/>
                <w:color w:val="auto"/>
                <w:kern w:val="0"/>
                <w:sz w:val="24"/>
                <w:szCs w:val="24"/>
                <w:highlight w:val="none"/>
                <w:lang w:val="en-US" w:eastAsia="zh-CN" w:bidi="ar-SA"/>
              </w:rPr>
              <w:t>范围内，与安徽省天然贯穿辐射水平基本相当，属于正常本底范围，区域辐射环境质量现状良好</w:t>
            </w:r>
            <w:r>
              <w:rPr>
                <w:rFonts w:hint="default" w:ascii="Times New Roman" w:hAnsi="Times New Roman" w:eastAsia="宋体" w:cs="Times New Roman"/>
                <w:snapToGrid w:val="0"/>
                <w:color w:val="auto"/>
                <w:kern w:val="0"/>
                <w:sz w:val="24"/>
                <w:szCs w:val="24"/>
                <w:lang w:val="en-US" w:eastAsia="zh-CN" w:bidi="ar-SA"/>
              </w:rPr>
              <w:t>。</w:t>
            </w:r>
            <w:r>
              <w:rPr>
                <w:rFonts w:hint="eastAsia"/>
                <w:color w:val="auto"/>
                <w:highlight w:val="none"/>
              </w:rPr>
              <w:t>根据《202</w:t>
            </w:r>
            <w:r>
              <w:rPr>
                <w:rFonts w:hint="eastAsia"/>
                <w:color w:val="auto"/>
                <w:highlight w:val="none"/>
                <w:lang w:val="en-US" w:eastAsia="zh-CN"/>
              </w:rPr>
              <w:t>3</w:t>
            </w:r>
            <w:r>
              <w:rPr>
                <w:rFonts w:hint="eastAsia"/>
                <w:color w:val="auto"/>
                <w:highlight w:val="none"/>
              </w:rPr>
              <w:t>年安徽省生态环境状况公报》中数据显示，202</w:t>
            </w:r>
            <w:r>
              <w:rPr>
                <w:rFonts w:hint="eastAsia"/>
                <w:color w:val="auto"/>
                <w:highlight w:val="none"/>
                <w:lang w:val="en-US" w:eastAsia="zh-CN"/>
              </w:rPr>
              <w:t>3</w:t>
            </w:r>
            <w:r>
              <w:rPr>
                <w:rFonts w:hint="eastAsia"/>
                <w:color w:val="auto"/>
                <w:highlight w:val="none"/>
              </w:rPr>
              <w:t>年，全省伽玛辐射空气吸收剂量率（含宇宙射线贡献值）平均值为</w:t>
            </w:r>
            <w:r>
              <w:rPr>
                <w:rFonts w:hint="eastAsia"/>
                <w:color w:val="auto"/>
              </w:rPr>
              <w:t>9</w:t>
            </w:r>
            <w:r>
              <w:rPr>
                <w:rFonts w:hint="eastAsia"/>
                <w:color w:val="auto"/>
                <w:lang w:val="en-US" w:eastAsia="zh-CN"/>
              </w:rPr>
              <w:t>7.0</w:t>
            </w:r>
            <w:r>
              <w:rPr>
                <w:rFonts w:hint="eastAsia"/>
                <w:color w:val="auto"/>
              </w:rPr>
              <w:t>纳戈瑞/小时，范围为</w:t>
            </w:r>
            <w:r>
              <w:rPr>
                <w:rFonts w:hint="eastAsia"/>
                <w:color w:val="auto"/>
                <w:lang w:val="en-US" w:eastAsia="zh-CN"/>
              </w:rPr>
              <w:t>59</w:t>
            </w:r>
            <w:r>
              <w:rPr>
                <w:rFonts w:hint="eastAsia"/>
                <w:color w:val="auto"/>
              </w:rPr>
              <w:t>～</w:t>
            </w:r>
            <w:r>
              <w:rPr>
                <w:rFonts w:hint="eastAsia"/>
                <w:color w:val="auto"/>
                <w:lang w:val="en-US" w:eastAsia="zh-CN"/>
              </w:rPr>
              <w:t>129</w:t>
            </w:r>
            <w:r>
              <w:rPr>
                <w:rFonts w:hint="default" w:cs="Times New Roman"/>
                <w:color w:val="auto"/>
              </w:rPr>
              <w:t>n</w:t>
            </w:r>
            <w:r>
              <w:rPr>
                <w:rFonts w:hint="eastAsia"/>
                <w:color w:val="auto"/>
              </w:rPr>
              <w:t>Gy/h。</w:t>
            </w:r>
            <w:r>
              <w:rPr>
                <w:rFonts w:hint="default" w:ascii="Times New Roman" w:hAnsi="Times New Roman" w:eastAsia="宋体" w:cs="Times New Roman"/>
                <w:snapToGrid w:val="0"/>
                <w:color w:val="auto"/>
                <w:kern w:val="0"/>
                <w:sz w:val="24"/>
                <w:szCs w:val="24"/>
                <w:lang w:val="en-US" w:eastAsia="zh-CN" w:bidi="ar-SA"/>
              </w:rPr>
              <w:t>项目采取辐射防护措施符合相关标准要求，项目运营后职业人员和公众所受附加剂量满足项目管理限值的要求，项目运营后对区域辐射环境影响很小</w:t>
            </w:r>
            <w:r>
              <w:rPr>
                <w:rFonts w:hint="eastAsia" w:cs="Times New Roman"/>
                <w:snapToGrid w:val="0"/>
                <w:color w:val="auto"/>
                <w:kern w:val="0"/>
                <w:sz w:val="24"/>
                <w:szCs w:val="24"/>
                <w:lang w:val="en-US" w:eastAsia="zh-CN" w:bidi="ar-SA"/>
              </w:rPr>
              <w:t>，</w:t>
            </w:r>
            <w:r>
              <w:rPr>
                <w:rFonts w:hint="eastAsia"/>
                <w:color w:val="auto"/>
                <w:lang w:val="en-US" w:eastAsia="zh-CN"/>
              </w:rPr>
              <w:t>环境质量良好。</w:t>
            </w:r>
          </w:p>
          <w:p w14:paraId="2C8E602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
                <w:bCs/>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本项目运营期产生的少量臭氧和氮氧化物，通过排风系统排出机房，排放浓度和排放量很低，对周围环境影响可以忽略。本项目病人</w:t>
            </w:r>
            <w:r>
              <w:rPr>
                <w:rFonts w:hint="eastAsia" w:ascii="Times New Roman" w:hAnsi="Times New Roman" w:eastAsia="宋体" w:cs="Times New Roman"/>
                <w:snapToGrid w:val="0"/>
                <w:color w:val="auto"/>
                <w:kern w:val="0"/>
                <w:sz w:val="24"/>
                <w:szCs w:val="24"/>
                <w:lang w:val="en-US" w:eastAsia="zh-CN" w:bidi="ar-SA"/>
              </w:rPr>
              <w:t>来自</w:t>
            </w:r>
            <w:r>
              <w:rPr>
                <w:rFonts w:hint="default" w:ascii="Times New Roman" w:hAnsi="Times New Roman" w:eastAsia="宋体" w:cs="Times New Roman"/>
                <w:snapToGrid w:val="0"/>
                <w:color w:val="auto"/>
                <w:kern w:val="0"/>
                <w:sz w:val="24"/>
                <w:szCs w:val="24"/>
                <w:lang w:val="en-US" w:eastAsia="zh-CN" w:bidi="ar-SA"/>
              </w:rPr>
              <w:t>医院的住院病人，辐射工作人员从现有工作人员中调剂，不新增医疗废物、废水及固废等</w:t>
            </w:r>
            <w:r>
              <w:rPr>
                <w:rFonts w:hint="eastAsia" w:ascii="Times New Roman" w:hAnsi="Times New Roman" w:eastAsia="宋体" w:cs="Times New Roman"/>
                <w:snapToGrid w:val="0"/>
                <w:color w:val="auto"/>
                <w:kern w:val="0"/>
                <w:sz w:val="24"/>
                <w:szCs w:val="24"/>
                <w:lang w:val="en-US" w:eastAsia="zh-CN" w:bidi="ar-SA"/>
              </w:rPr>
              <w:t>，</w:t>
            </w:r>
            <w:r>
              <w:rPr>
                <w:rFonts w:hint="default" w:ascii="Times New Roman" w:hAnsi="Times New Roman" w:eastAsia="宋体" w:cs="Times New Roman"/>
                <w:snapToGrid w:val="0"/>
                <w:color w:val="auto"/>
                <w:kern w:val="0"/>
                <w:sz w:val="24"/>
                <w:szCs w:val="24"/>
                <w:lang w:val="en-US" w:eastAsia="zh-CN" w:bidi="ar-SA"/>
              </w:rPr>
              <w:t>运营期产生的废水</w:t>
            </w:r>
            <w:r>
              <w:rPr>
                <w:rFonts w:hint="eastAsia" w:ascii="Times New Roman" w:hAnsi="Times New Roman" w:eastAsia="宋体" w:cs="Times New Roman"/>
                <w:snapToGrid w:val="0"/>
                <w:color w:val="auto"/>
                <w:kern w:val="0"/>
                <w:sz w:val="24"/>
                <w:szCs w:val="24"/>
                <w:lang w:val="en-US" w:eastAsia="zh-CN" w:bidi="ar-SA"/>
              </w:rPr>
              <w:t>、</w:t>
            </w:r>
            <w:r>
              <w:rPr>
                <w:rFonts w:hint="default" w:ascii="Times New Roman" w:hAnsi="Times New Roman" w:eastAsia="宋体" w:cs="Times New Roman"/>
                <w:snapToGrid w:val="0"/>
                <w:color w:val="auto"/>
                <w:kern w:val="0"/>
                <w:sz w:val="24"/>
                <w:szCs w:val="24"/>
                <w:lang w:val="en-US" w:eastAsia="zh-CN" w:bidi="ar-SA"/>
              </w:rPr>
              <w:t>固废</w:t>
            </w:r>
            <w:r>
              <w:rPr>
                <w:rFonts w:hint="eastAsia" w:ascii="Times New Roman" w:hAnsi="Times New Roman" w:eastAsia="宋体" w:cs="Times New Roman"/>
                <w:snapToGrid w:val="0"/>
                <w:color w:val="auto"/>
                <w:kern w:val="0"/>
                <w:sz w:val="24"/>
                <w:szCs w:val="24"/>
                <w:lang w:val="en-US" w:eastAsia="zh-CN" w:bidi="ar-SA"/>
              </w:rPr>
              <w:t>及</w:t>
            </w:r>
            <w:r>
              <w:rPr>
                <w:rFonts w:hint="default" w:ascii="Times New Roman" w:hAnsi="Times New Roman" w:eastAsia="宋体" w:cs="Times New Roman"/>
                <w:snapToGrid w:val="0"/>
                <w:color w:val="auto"/>
                <w:kern w:val="0"/>
                <w:sz w:val="24"/>
                <w:szCs w:val="21"/>
                <w:lang w:val="en-US" w:eastAsia="zh-CN" w:bidi="ar-SA"/>
              </w:rPr>
              <w:t>医疗废物</w:t>
            </w:r>
            <w:r>
              <w:rPr>
                <w:rFonts w:hint="default" w:ascii="Times New Roman" w:hAnsi="Times New Roman" w:eastAsia="宋体" w:cs="Times New Roman"/>
                <w:snapToGrid w:val="0"/>
                <w:color w:val="auto"/>
                <w:kern w:val="0"/>
                <w:sz w:val="24"/>
                <w:szCs w:val="24"/>
                <w:lang w:val="en-US" w:eastAsia="zh-CN" w:bidi="ar-SA"/>
              </w:rPr>
              <w:t>，依托医院废水和固废处理处置系统可以得到安全处理处置。本项目DSA机房室内的</w:t>
            </w:r>
            <w:r>
              <w:rPr>
                <w:rFonts w:hint="eastAsia" w:ascii="Times New Roman" w:hAnsi="Times New Roman" w:eastAsia="宋体" w:cs="Times New Roman"/>
                <w:snapToGrid w:val="0"/>
                <w:color w:val="auto"/>
                <w:kern w:val="0"/>
                <w:sz w:val="24"/>
                <w:szCs w:val="24"/>
                <w:lang w:val="en-US" w:eastAsia="zh-CN" w:bidi="ar-SA"/>
              </w:rPr>
              <w:t>通风</w:t>
            </w:r>
            <w:r>
              <w:rPr>
                <w:rFonts w:hint="default" w:ascii="Times New Roman" w:hAnsi="Times New Roman" w:eastAsia="宋体" w:cs="Times New Roman"/>
                <w:snapToGrid w:val="0"/>
                <w:color w:val="auto"/>
                <w:kern w:val="0"/>
                <w:sz w:val="24"/>
                <w:szCs w:val="24"/>
                <w:lang w:val="en-US" w:eastAsia="zh-CN" w:bidi="ar-SA"/>
              </w:rPr>
              <w:t>系统</w:t>
            </w:r>
            <w:r>
              <w:rPr>
                <w:rFonts w:hint="eastAsia" w:ascii="Times New Roman" w:hAnsi="Times New Roman" w:eastAsia="宋体" w:cs="Times New Roman"/>
                <w:snapToGrid w:val="0"/>
                <w:color w:val="auto"/>
                <w:kern w:val="0"/>
                <w:sz w:val="24"/>
                <w:szCs w:val="24"/>
                <w:lang w:val="en-US" w:eastAsia="zh-CN" w:bidi="ar-SA"/>
              </w:rPr>
              <w:t>安装低噪声风机，</w:t>
            </w:r>
            <w:r>
              <w:rPr>
                <w:rFonts w:hint="eastAsia" w:ascii="Times New Roman" w:hAnsi="Times New Roman" w:eastAsia="宋体" w:cs="Times New Roman"/>
                <w:snapToGrid w:val="0"/>
                <w:color w:val="auto"/>
                <w:kern w:val="0"/>
                <w:sz w:val="24"/>
                <w:szCs w:val="21"/>
                <w:lang w:val="en-US" w:eastAsia="zh-CN" w:bidi="ar-SA"/>
              </w:rPr>
              <w:t>经</w:t>
            </w:r>
            <w:r>
              <w:rPr>
                <w:rFonts w:hint="default" w:ascii="Times New Roman" w:hAnsi="Times New Roman" w:eastAsia="宋体" w:cs="Times New Roman"/>
                <w:snapToGrid w:val="0"/>
                <w:color w:val="auto"/>
                <w:kern w:val="0"/>
                <w:sz w:val="24"/>
                <w:szCs w:val="21"/>
                <w:lang w:val="en-US" w:eastAsia="zh-CN" w:bidi="ar-SA"/>
              </w:rPr>
              <w:t>隔声、减振降噪处理后，对周围声环境影响较小。</w:t>
            </w:r>
            <w:r>
              <w:rPr>
                <w:rFonts w:hint="default" w:ascii="Times New Roman" w:hAnsi="Times New Roman" w:eastAsia="宋体" w:cs="Times New Roman"/>
                <w:snapToGrid w:val="0"/>
                <w:color w:val="auto"/>
                <w:kern w:val="0"/>
                <w:sz w:val="24"/>
                <w:szCs w:val="24"/>
                <w:lang w:val="en-US" w:eastAsia="zh-CN" w:bidi="ar-SA"/>
              </w:rPr>
              <w:t>因此，在采取本次评价提出的污染防治措施后，项目运营产生的废气、废水、固废和噪声均可以得到有效治理和安全处置，不会突破区域环境质量底线。</w:t>
            </w:r>
            <w:r>
              <w:rPr>
                <w:rFonts w:hint="default" w:ascii="Times New Roman" w:hAnsi="Times New Roman" w:eastAsia="宋体" w:cs="Times New Roman"/>
                <w:snapToGrid w:val="0"/>
                <w:color w:val="auto"/>
                <w:kern w:val="0"/>
                <w:sz w:val="24"/>
                <w:szCs w:val="21"/>
                <w:lang w:val="en-US" w:eastAsia="zh-CN" w:bidi="ar-SA"/>
              </w:rPr>
              <w:t>综上，本项目满</w:t>
            </w:r>
            <w:r>
              <w:rPr>
                <w:rFonts w:hint="eastAsia" w:ascii="宋体" w:hAnsi="宋体" w:eastAsia="宋体" w:cs="宋体"/>
                <w:snapToGrid w:val="0"/>
                <w:color w:val="auto"/>
                <w:kern w:val="0"/>
                <w:sz w:val="24"/>
                <w:szCs w:val="21"/>
                <w:lang w:val="en-US" w:eastAsia="zh-CN" w:bidi="ar-SA"/>
              </w:rPr>
              <w:t>足“环境质量底线”要</w:t>
            </w:r>
            <w:r>
              <w:rPr>
                <w:rFonts w:hint="default" w:ascii="Times New Roman" w:hAnsi="Times New Roman" w:eastAsia="宋体" w:cs="Times New Roman"/>
                <w:snapToGrid w:val="0"/>
                <w:color w:val="auto"/>
                <w:kern w:val="0"/>
                <w:sz w:val="24"/>
                <w:szCs w:val="21"/>
                <w:lang w:val="en-US" w:eastAsia="zh-CN" w:bidi="ar-SA"/>
              </w:rPr>
              <w:t>求。</w:t>
            </w:r>
          </w:p>
          <w:p w14:paraId="0A24209B">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资源利用上线：</w:t>
            </w:r>
            <w:r>
              <w:rPr>
                <w:rFonts w:hint="default" w:ascii="Times New Roman" w:hAnsi="Times New Roman" w:eastAsia="宋体" w:cs="Times New Roman"/>
                <w:snapToGrid w:val="0"/>
                <w:color w:val="auto"/>
                <w:kern w:val="0"/>
                <w:sz w:val="24"/>
                <w:szCs w:val="21"/>
                <w:lang w:val="en-US" w:eastAsia="zh-CN" w:bidi="ar-SA"/>
              </w:rPr>
              <w:t>本项目不属于资源开发类项目，项目运营期利用的资源主要为电力资源，资源消耗量很少，没有突破资源利用上线。</w:t>
            </w:r>
          </w:p>
          <w:p w14:paraId="7910C99B">
            <w:pPr>
              <w:keepNext w:val="0"/>
              <w:keepLines w:val="0"/>
              <w:suppressLineNumbers w:val="0"/>
              <w:spacing w:before="0" w:beforeAutospacing="0" w:after="0" w:afterAutospacing="0" w:line="360" w:lineRule="auto"/>
              <w:ind w:left="0" w:right="0" w:firstLine="482" w:firstLineChars="200"/>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bCs/>
                <w:color w:val="auto"/>
                <w:sz w:val="24"/>
                <w:szCs w:val="24"/>
                <w:lang w:val="en-US" w:eastAsia="zh-CN"/>
              </w:rPr>
              <w:t>生态环境准入清</w:t>
            </w:r>
            <w:r>
              <w:rPr>
                <w:rFonts w:hint="default" w:ascii="Times New Roman" w:hAnsi="Times New Roman" w:eastAsia="宋体" w:cs="Times New Roman"/>
                <w:b/>
                <w:bCs/>
                <w:color w:val="auto"/>
                <w:sz w:val="24"/>
                <w:szCs w:val="24"/>
              </w:rPr>
              <w:t>单：</w:t>
            </w:r>
            <w:r>
              <w:rPr>
                <w:rFonts w:hint="default" w:ascii="Times New Roman" w:hAnsi="Times New Roman" w:eastAsia="宋体" w:cs="Times New Roman"/>
                <w:b w:val="0"/>
                <w:bCs w:val="0"/>
                <w:color w:val="auto"/>
                <w:sz w:val="24"/>
                <w:szCs w:val="24"/>
              </w:rPr>
              <w:t>本项目属于《产业结构调整指导目录（20</w:t>
            </w:r>
            <w:r>
              <w:rPr>
                <w:rFonts w:hint="eastAsia" w:ascii="Times New Roman" w:hAnsi="Times New Roman" w:eastAsia="宋体" w:cs="Times New Roman"/>
                <w:b w:val="0"/>
                <w:bCs w:val="0"/>
                <w:color w:val="auto"/>
                <w:sz w:val="24"/>
                <w:szCs w:val="24"/>
                <w:lang w:val="en-US" w:eastAsia="zh-CN"/>
              </w:rPr>
              <w:t>24</w:t>
            </w:r>
            <w:r>
              <w:rPr>
                <w:rFonts w:hint="default" w:ascii="Times New Roman" w:hAnsi="Times New Roman" w:eastAsia="宋体" w:cs="Times New Roman"/>
                <w:b w:val="0"/>
                <w:bCs w:val="0"/>
                <w:color w:val="auto"/>
                <w:sz w:val="24"/>
                <w:szCs w:val="24"/>
              </w:rPr>
              <w:t>年本）》中鼓励类，第十三项的医药类第</w:t>
            </w:r>
            <w:r>
              <w:rPr>
                <w:rFonts w:hint="default" w:ascii="Times New Roman" w:hAnsi="Times New Roman" w:eastAsia="宋体" w:cs="Times New Roman"/>
                <w:b w:val="0"/>
                <w:bCs w:val="0"/>
                <w:color w:val="auto"/>
                <w:sz w:val="24"/>
                <w:szCs w:val="24"/>
                <w:lang w:val="en-US" w:eastAsia="zh-CN"/>
              </w:rPr>
              <w:t>4</w:t>
            </w:r>
            <w:r>
              <w:rPr>
                <w:rFonts w:hint="eastAsia" w:ascii="宋体" w:hAnsi="宋体" w:eastAsia="宋体" w:cs="宋体"/>
                <w:b w:val="0"/>
                <w:bCs w:val="0"/>
                <w:color w:val="auto"/>
                <w:sz w:val="24"/>
                <w:szCs w:val="24"/>
              </w:rPr>
              <w:t>条</w:t>
            </w:r>
            <w:r>
              <w:rPr>
                <w:rFonts w:hint="eastAsia" w:ascii="宋体" w:hAnsi="宋体" w:eastAsia="宋体" w:cs="宋体"/>
                <w:color w:val="auto"/>
                <w:sz w:val="24"/>
                <w:szCs w:val="24"/>
              </w:rPr>
              <w:t>“高性能医学影像设备”</w:t>
            </w:r>
            <w:r>
              <w:rPr>
                <w:rFonts w:hint="eastAsia" w:ascii="宋体" w:hAnsi="宋体" w:eastAsia="宋体" w:cs="宋体"/>
                <w:b w:val="0"/>
                <w:bCs w:val="0"/>
                <w:color w:val="auto"/>
                <w:sz w:val="24"/>
                <w:szCs w:val="24"/>
              </w:rPr>
              <w:t>，为国</w:t>
            </w:r>
            <w:r>
              <w:rPr>
                <w:rFonts w:hint="default" w:ascii="Times New Roman" w:hAnsi="Times New Roman" w:eastAsia="宋体" w:cs="Times New Roman"/>
                <w:b w:val="0"/>
                <w:bCs w:val="0"/>
                <w:color w:val="auto"/>
                <w:sz w:val="24"/>
                <w:szCs w:val="24"/>
              </w:rPr>
              <w:t>家鼓励类项目，不属于高耗能高污染项目，故本项目符合生态环境准入要求。</w:t>
            </w:r>
          </w:p>
          <w:p w14:paraId="43FF9BAC">
            <w:pPr>
              <w:keepNext w:val="0"/>
              <w:keepLines w:val="0"/>
              <w:suppressLineNumbers w:val="0"/>
              <w:spacing w:before="0" w:beforeAutospacing="0" w:after="0" w:afterAutospacing="0" w:line="360" w:lineRule="auto"/>
              <w:ind w:left="0" w:right="0" w:firstLine="482" w:firstLineChars="200"/>
              <w:rPr>
                <w:rFonts w:hint="eastAsia"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b/>
                <w:bCs/>
                <w:color w:val="auto"/>
                <w:sz w:val="24"/>
                <w:szCs w:val="24"/>
                <w:lang w:val="en-US" w:eastAsia="zh-CN"/>
              </w:rPr>
              <w:t>生态环境分区管控</w:t>
            </w:r>
            <w:r>
              <w:rPr>
                <w:rFonts w:hint="eastAsia" w:ascii="Times New Roman" w:hAnsi="Times New Roman" w:eastAsia="宋体" w:cs="Times New Roman"/>
                <w:b/>
                <w:bCs/>
                <w:color w:val="auto"/>
                <w:sz w:val="24"/>
                <w:szCs w:val="24"/>
                <w:lang w:val="en-US" w:eastAsia="zh-CN"/>
              </w:rPr>
              <w:t>单元</w:t>
            </w:r>
            <w:r>
              <w:rPr>
                <w:rFonts w:hint="default" w:ascii="Times New Roman" w:hAnsi="Times New Roman" w:eastAsia="宋体" w:cs="Times New Roman"/>
                <w:b/>
                <w:bCs/>
                <w:color w:val="auto"/>
                <w:sz w:val="24"/>
                <w:szCs w:val="24"/>
              </w:rPr>
              <w:t>：</w:t>
            </w:r>
            <w:r>
              <w:rPr>
                <w:rFonts w:hint="default" w:ascii="Times New Roman" w:hAnsi="Times New Roman" w:eastAsia="宋体" w:cs="Times New Roman"/>
                <w:b w:val="0"/>
                <w:bCs w:val="0"/>
                <w:color w:val="auto"/>
                <w:sz w:val="24"/>
                <w:szCs w:val="24"/>
              </w:rPr>
              <w:t>根据《安徽省人民政府关于加快实施</w:t>
            </w:r>
            <w:r>
              <w:rPr>
                <w:rFonts w:hint="eastAsia" w:ascii="宋体" w:hAnsi="宋体" w:eastAsia="宋体" w:cs="宋体"/>
                <w:b w:val="0"/>
                <w:bCs w:val="0"/>
                <w:color w:val="auto"/>
                <w:sz w:val="24"/>
                <w:szCs w:val="24"/>
              </w:rPr>
              <w:t>“三线一单”</w:t>
            </w:r>
            <w:r>
              <w:rPr>
                <w:rFonts w:hint="default" w:ascii="Times New Roman" w:hAnsi="Times New Roman" w:eastAsia="宋体" w:cs="Times New Roman"/>
                <w:b w:val="0"/>
                <w:bCs w:val="0"/>
                <w:color w:val="auto"/>
                <w:sz w:val="24"/>
                <w:szCs w:val="24"/>
              </w:rPr>
              <w:t>生态环境分区管控的通知》（皖政秘〔2020〕124号），本项目位于</w:t>
            </w:r>
            <w:r>
              <w:rPr>
                <w:rFonts w:hint="eastAsia" w:ascii="Times New Roman" w:hAnsi="Times New Roman" w:eastAsia="宋体" w:cs="Times New Roman"/>
                <w:snapToGrid w:val="0"/>
                <w:color w:val="auto"/>
                <w:kern w:val="0"/>
                <w:sz w:val="24"/>
                <w:szCs w:val="21"/>
                <w:lang w:val="en-US" w:eastAsia="zh-CN" w:bidi="ar-SA"/>
              </w:rPr>
              <w:t>安徽省淮南市寿县安丰镇石集街道寿县安康医院综合楼1楼。</w:t>
            </w:r>
          </w:p>
          <w:p w14:paraId="6DB5A826">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对照《淮南市水环境分区管控图》，本项目位于城镇生活污染重点管控区，管控要求：依据《中华人民共和国水污染防治法》《水污染防治行动计划》《安徽省水污染防治工作方案》及《淮南市水污染防治工作方案》对重点管控区实施管控；依据《安徽省淮河流域水污染防治条例》对淮河流域实施管控；依据开发区规划、规划环评及审查意见相关要求对开发区实施管控；落实《“十四五”生态环境保护规划》《安徽省“十四五”生态环境保护规划》《安徽省“十四五”节能减排实施方案》等要求，新建、改建和扩建项目水污染物实施“等量替代”。</w:t>
            </w:r>
          </w:p>
          <w:p w14:paraId="7BC2234C">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对照《淮南市大气环境分区管控图》，本项目位于受体敏感重点管控区，管控要求：落实《安徽省大气污染防治条例》《“十四五”生态环境保护规划》《安徽省“十四五”生态环境保护规划》《淮南市大气污染防治条例》《重点行业挥发性有机物综合治理方案》等要求，严格目标实施计划，加强环境监管，促进生态环境质量好转。上年度PM</w:t>
            </w:r>
            <w:r>
              <w:rPr>
                <w:rFonts w:hint="eastAsia" w:ascii="Times New Roman" w:hAnsi="Times New Roman" w:eastAsia="宋体" w:cs="Times New Roman"/>
                <w:snapToGrid w:val="0"/>
                <w:color w:val="auto"/>
                <w:kern w:val="0"/>
                <w:sz w:val="24"/>
                <w:szCs w:val="21"/>
                <w:vertAlign w:val="subscript"/>
                <w:lang w:val="en-US" w:eastAsia="zh-CN" w:bidi="ar-SA"/>
              </w:rPr>
              <w:t>2.5</w:t>
            </w:r>
            <w:r>
              <w:rPr>
                <w:rFonts w:hint="eastAsia" w:ascii="Times New Roman" w:hAnsi="Times New Roman" w:eastAsia="宋体" w:cs="Times New Roman"/>
                <w:snapToGrid w:val="0"/>
                <w:color w:val="auto"/>
                <w:kern w:val="0"/>
                <w:sz w:val="24"/>
                <w:szCs w:val="21"/>
                <w:lang w:val="en-US" w:eastAsia="zh-CN" w:bidi="ar-SA"/>
              </w:rPr>
              <w:t>不达标城市新建、改建和扩建项目大气污染物实施“倍量替代”，执行特别排放标准的行业实施提标升级改造。</w:t>
            </w:r>
          </w:p>
          <w:p w14:paraId="3EF85E98">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对照《淮南市土壤环境风险分区防控图》，本项目位于一般防控区，防控要求：依据《中华人民共和国土壤污染防治法》《土壤污染防治行动计划》《安徽省土壤污染防治工作方案》《安徽省“十四五”生态环境保护规划》等要求及各市土壤污染防治工作方案对一般管控区实施管控。</w:t>
            </w:r>
          </w:p>
          <w:p w14:paraId="50ADF7D7">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sz w:val="24"/>
                <w:szCs w:val="24"/>
                <w:lang w:eastAsia="zh-CN"/>
              </w:rPr>
            </w:pPr>
            <w:r>
              <w:rPr>
                <w:rFonts w:hint="eastAsia" w:ascii="Times New Roman" w:hAnsi="Times New Roman" w:eastAsia="宋体" w:cs="Times New Roman"/>
                <w:snapToGrid w:val="0"/>
                <w:color w:val="auto"/>
                <w:kern w:val="0"/>
                <w:sz w:val="24"/>
                <w:szCs w:val="21"/>
                <w:lang w:val="en-US" w:eastAsia="zh-CN" w:bidi="ar-SA"/>
              </w:rPr>
              <w:t>综上，本项目</w:t>
            </w:r>
            <w:r>
              <w:rPr>
                <w:rFonts w:hint="default" w:ascii="Times New Roman" w:hAnsi="Times New Roman" w:eastAsia="宋体" w:cs="Times New Roman"/>
                <w:b w:val="0"/>
                <w:bCs w:val="0"/>
                <w:color w:val="auto"/>
                <w:sz w:val="24"/>
                <w:szCs w:val="24"/>
              </w:rPr>
              <w:t>位于重点管控单元（编号：</w:t>
            </w:r>
            <w:r>
              <w:rPr>
                <w:rFonts w:hint="default" w:ascii="Times New Roman" w:hAnsi="Times New Roman" w:eastAsia="宋体" w:cs="Times New Roman"/>
                <w:b w:val="0"/>
                <w:bCs w:val="0"/>
                <w:color w:val="auto"/>
                <w:sz w:val="24"/>
                <w:szCs w:val="24"/>
                <w:highlight w:val="none"/>
              </w:rPr>
              <w:t>ZH34042220022</w:t>
            </w:r>
            <w:r>
              <w:rPr>
                <w:rFonts w:hint="default" w:ascii="Times New Roman" w:hAnsi="Times New Roman" w:eastAsia="宋体" w:cs="Times New Roman"/>
                <w:b w:val="0"/>
                <w:bCs w:val="0"/>
                <w:color w:val="auto"/>
                <w:sz w:val="24"/>
                <w:szCs w:val="24"/>
              </w:rPr>
              <w:t>）区域</w:t>
            </w:r>
            <w:r>
              <w:rPr>
                <w:rFonts w:hint="eastAsia" w:ascii="Times New Roman" w:hAnsi="Times New Roman" w:eastAsia="宋体" w:cs="Times New Roman"/>
                <w:b w:val="0"/>
                <w:bCs w:val="0"/>
                <w:color w:val="auto"/>
                <w:sz w:val="24"/>
                <w:szCs w:val="24"/>
                <w:lang w:eastAsia="zh-CN"/>
              </w:rPr>
              <w:t>（详见附图</w:t>
            </w:r>
            <w:r>
              <w:rPr>
                <w:rFonts w:hint="eastAsia" w:ascii="Times New Roman" w:hAnsi="Times New Roman" w:eastAsia="宋体" w:cs="Times New Roman"/>
                <w:b w:val="0"/>
                <w:bCs w:val="0"/>
                <w:color w:val="auto"/>
                <w:sz w:val="24"/>
                <w:szCs w:val="24"/>
                <w:lang w:val="en-US" w:eastAsia="zh-CN"/>
              </w:rPr>
              <w:t>5</w:t>
            </w:r>
            <w:r>
              <w:rPr>
                <w:rFonts w:hint="eastAsia" w:ascii="Times New Roman" w:hAnsi="Times New Roman" w:eastAsia="宋体" w:cs="Times New Roman"/>
                <w:b w:val="0"/>
                <w:bCs w:val="0"/>
                <w:color w:val="auto"/>
                <w:sz w:val="24"/>
                <w:szCs w:val="24"/>
                <w:lang w:eastAsia="zh-CN"/>
              </w:rPr>
              <w:t>）</w:t>
            </w:r>
            <w:r>
              <w:rPr>
                <w:rFonts w:hint="default" w:ascii="Times New Roman" w:hAnsi="Times New Roman" w:eastAsia="宋体" w:cs="Times New Roman"/>
                <w:b w:val="0"/>
                <w:bCs w:val="0"/>
                <w:color w:val="auto"/>
                <w:sz w:val="24"/>
                <w:szCs w:val="24"/>
              </w:rPr>
              <w:t>。重点管控单元从加强污染物排放管控、环境风险防控和资源开发利用效率等方面，重点提出建设项目禁入清单、污染物排放管控、土壤风险防控、资源能源利用控制要求等。本项目为</w:t>
            </w:r>
            <w:r>
              <w:rPr>
                <w:rFonts w:hint="eastAsia" w:ascii="Times New Roman" w:hAnsi="Times New Roman" w:eastAsia="宋体" w:cs="Times New Roman"/>
                <w:b w:val="0"/>
                <w:bCs w:val="0"/>
                <w:color w:val="auto"/>
                <w:sz w:val="24"/>
                <w:szCs w:val="24"/>
                <w:lang w:eastAsia="zh-CN"/>
              </w:rPr>
              <w:t>核技术利用项目</w:t>
            </w:r>
            <w:r>
              <w:rPr>
                <w:rFonts w:hint="default" w:ascii="Times New Roman" w:hAnsi="Times New Roman" w:eastAsia="宋体" w:cs="Times New Roman"/>
                <w:b w:val="0"/>
                <w:bCs w:val="0"/>
                <w:color w:val="auto"/>
                <w:sz w:val="24"/>
                <w:szCs w:val="24"/>
              </w:rPr>
              <w:t>，不属于高能耗、高污染类建设项目，不属于</w:t>
            </w:r>
            <w:r>
              <w:rPr>
                <w:rFonts w:hint="eastAsia" w:ascii="Times New Roman" w:hAnsi="Times New Roman" w:eastAsia="宋体" w:cs="Times New Roman"/>
                <w:b w:val="0"/>
                <w:bCs w:val="0"/>
                <w:color w:val="auto"/>
                <w:sz w:val="24"/>
                <w:szCs w:val="24"/>
                <w:lang w:eastAsia="zh-CN"/>
              </w:rPr>
              <w:t>淮南市</w:t>
            </w:r>
            <w:r>
              <w:rPr>
                <w:rFonts w:hint="default" w:ascii="Times New Roman" w:hAnsi="Times New Roman" w:eastAsia="宋体" w:cs="Times New Roman"/>
                <w:b w:val="0"/>
                <w:bCs w:val="0"/>
                <w:color w:val="auto"/>
                <w:sz w:val="24"/>
                <w:szCs w:val="24"/>
              </w:rPr>
              <w:t>重点管控区禁止和限制开发类建设活动，不违背重点管控单元的生态环境准入要求。</w:t>
            </w:r>
          </w:p>
          <w:p w14:paraId="67EB8F8F">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等线" w:cs="Times New Roman"/>
                <w:color w:val="auto"/>
              </w:rPr>
            </w:pPr>
            <w:r>
              <w:rPr>
                <w:rFonts w:hint="default" w:ascii="Times New Roman" w:hAnsi="Times New Roman" w:eastAsia="宋体" w:cs="Times New Roman"/>
                <w:color w:val="auto"/>
                <w:sz w:val="24"/>
                <w:szCs w:val="24"/>
                <w:lang w:eastAsia="zh-CN"/>
              </w:rPr>
              <w:t>综上所述，本项目的建设符合</w:t>
            </w:r>
            <w:r>
              <w:rPr>
                <w:rFonts w:hint="eastAsia" w:ascii="宋体" w:hAnsi="宋体" w:eastAsia="宋体" w:cs="宋体"/>
                <w:color w:val="auto"/>
                <w:sz w:val="24"/>
                <w:szCs w:val="24"/>
              </w:rPr>
              <w:t>“三线一单”</w:t>
            </w:r>
            <w:r>
              <w:rPr>
                <w:rFonts w:hint="default" w:ascii="Times New Roman" w:hAnsi="Times New Roman" w:eastAsia="宋体" w:cs="Times New Roman"/>
                <w:color w:val="auto"/>
                <w:sz w:val="24"/>
                <w:szCs w:val="24"/>
                <w:lang w:eastAsia="zh-CN"/>
              </w:rPr>
              <w:t>要求。</w:t>
            </w:r>
          </w:p>
          <w:p w14:paraId="2300CCD6">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5、产业政策符合性</w:t>
            </w:r>
          </w:p>
          <w:p w14:paraId="1E2EB19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对照《产业结构调整指导目录（20</w:t>
            </w:r>
            <w:r>
              <w:rPr>
                <w:rFonts w:hint="eastAsia" w:ascii="Times New Roman" w:hAnsi="Times New Roman" w:eastAsia="宋体" w:cs="Times New Roman"/>
                <w:snapToGrid w:val="0"/>
                <w:color w:val="auto"/>
                <w:kern w:val="0"/>
                <w:sz w:val="24"/>
                <w:szCs w:val="21"/>
                <w:lang w:val="en-US" w:eastAsia="zh-CN" w:bidi="ar-SA"/>
              </w:rPr>
              <w:t>24</w:t>
            </w:r>
            <w:r>
              <w:rPr>
                <w:rFonts w:hint="default" w:ascii="Times New Roman" w:hAnsi="Times New Roman" w:eastAsia="宋体" w:cs="Times New Roman"/>
                <w:snapToGrid w:val="0"/>
                <w:color w:val="auto"/>
                <w:kern w:val="0"/>
                <w:sz w:val="24"/>
                <w:szCs w:val="21"/>
                <w:lang w:val="en-US" w:eastAsia="zh-CN" w:bidi="ar-SA"/>
              </w:rPr>
              <w:t>年本）》，本项目属于其中鼓励类，</w:t>
            </w:r>
            <w:r>
              <w:rPr>
                <w:rFonts w:hint="default" w:ascii="Times New Roman" w:hAnsi="Times New Roman" w:eastAsia="宋体" w:cs="Times New Roman"/>
                <w:b w:val="0"/>
                <w:bCs w:val="0"/>
                <w:color w:val="auto"/>
                <w:sz w:val="24"/>
                <w:szCs w:val="24"/>
              </w:rPr>
              <w:t>第十三项的医药类第</w:t>
            </w:r>
            <w:r>
              <w:rPr>
                <w:rFonts w:hint="eastAsia" w:ascii="宋体" w:hAnsi="宋体" w:eastAsia="宋体" w:cs="宋体"/>
                <w:b w:val="0"/>
                <w:bCs w:val="0"/>
                <w:color w:val="auto"/>
                <w:sz w:val="24"/>
                <w:szCs w:val="24"/>
                <w:lang w:val="en-US" w:eastAsia="zh-CN"/>
              </w:rPr>
              <w:t>4</w:t>
            </w:r>
            <w:r>
              <w:rPr>
                <w:rFonts w:hint="eastAsia" w:ascii="宋体" w:hAnsi="宋体" w:eastAsia="宋体" w:cs="宋体"/>
                <w:b w:val="0"/>
                <w:bCs w:val="0"/>
                <w:color w:val="auto"/>
                <w:sz w:val="24"/>
                <w:szCs w:val="24"/>
              </w:rPr>
              <w:t>条</w:t>
            </w:r>
            <w:r>
              <w:rPr>
                <w:rFonts w:hint="eastAsia" w:ascii="宋体" w:hAnsi="宋体" w:eastAsia="宋体" w:cs="宋体"/>
                <w:color w:val="auto"/>
                <w:sz w:val="24"/>
                <w:szCs w:val="24"/>
              </w:rPr>
              <w:t>“高性能医学影像设备”</w:t>
            </w:r>
            <w:r>
              <w:rPr>
                <w:rFonts w:hint="eastAsia" w:ascii="宋体" w:hAnsi="宋体" w:eastAsia="宋体" w:cs="宋体"/>
                <w:snapToGrid w:val="0"/>
                <w:color w:val="auto"/>
                <w:kern w:val="0"/>
                <w:sz w:val="24"/>
                <w:szCs w:val="21"/>
                <w:lang w:val="en-US" w:eastAsia="zh-CN" w:bidi="ar-SA"/>
              </w:rPr>
              <w:t>，为</w:t>
            </w:r>
            <w:r>
              <w:rPr>
                <w:rFonts w:hint="default" w:ascii="Times New Roman" w:hAnsi="Times New Roman" w:eastAsia="宋体" w:cs="Times New Roman"/>
                <w:snapToGrid w:val="0"/>
                <w:color w:val="auto"/>
                <w:kern w:val="0"/>
                <w:sz w:val="24"/>
                <w:szCs w:val="21"/>
                <w:lang w:val="en-US" w:eastAsia="zh-CN" w:bidi="ar-SA"/>
              </w:rPr>
              <w:t>国家鼓励类项目，故本项目符合国家产业政策。</w:t>
            </w:r>
          </w:p>
          <w:p w14:paraId="347D9E27">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6、实践正当性分析</w:t>
            </w:r>
          </w:p>
          <w:p w14:paraId="720DB1B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核技术在医学上的应用在我国是一门成熟的技术，它在医学诊断、治疗方面有其他技术无法替代的特点，对保障健康、拯救生命起了十分重要的作用。介入治疗是与内科、外科并列的临床三大学科，在治疗过程中对人体创伤小、治疗效果肯定且立竿见影。本项目DSA设备主要用于开展血管造影介入手术，符合医院以及所在地区的医疗服务需要。项目采取了符合国家标准要求的辐射防护措施，项目实施后，其对受照个人或社会所带来的利益足以弥补其可能引起的辐射危害。因此，该项目符合《电离辐射防护与辐射源安全基本标准》（GB18871-2002）中辐射防护</w:t>
            </w:r>
            <w:r>
              <w:rPr>
                <w:rFonts w:hint="eastAsia" w:ascii="宋体" w:hAnsi="宋体" w:eastAsia="宋体" w:cs="宋体"/>
                <w:snapToGrid w:val="0"/>
                <w:color w:val="auto"/>
                <w:kern w:val="0"/>
                <w:sz w:val="24"/>
                <w:szCs w:val="21"/>
                <w:lang w:val="en-US" w:eastAsia="zh-CN" w:bidi="ar-SA"/>
              </w:rPr>
              <w:t>“实践正当性”</w:t>
            </w:r>
            <w:r>
              <w:rPr>
                <w:rFonts w:hint="default" w:ascii="Times New Roman" w:hAnsi="Times New Roman" w:eastAsia="宋体" w:cs="Times New Roman"/>
                <w:snapToGrid w:val="0"/>
                <w:color w:val="auto"/>
                <w:kern w:val="0"/>
                <w:sz w:val="24"/>
                <w:szCs w:val="21"/>
                <w:lang w:val="en-US" w:eastAsia="zh-CN" w:bidi="ar-SA"/>
              </w:rPr>
              <w:t>的要求，该医疗照射实践是正当的。</w:t>
            </w:r>
          </w:p>
          <w:p w14:paraId="0D6BA95C">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7、代价利益分析</w:t>
            </w:r>
          </w:p>
          <w:p w14:paraId="756A5B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本项目符合区域医疗服务需要，能有效提高区域医疗服务水平，核技术在医学上的应用有利于提高疾病诊断正确率和有效治疗方案的提出，能有效减少患者疼痛和对患者损伤，总体上大大节省了医疗费用，争取了宝贵的治疗时间，该项目在保障病人健康的同时也为医院创造更大的经济效益。</w:t>
            </w:r>
          </w:p>
          <w:p w14:paraId="43ED724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snapToGrid w:val="0"/>
                <w:color w:val="auto"/>
                <w:kern w:val="0"/>
                <w:sz w:val="24"/>
                <w:szCs w:val="21"/>
                <w:lang w:val="en-US" w:eastAsia="zh-CN" w:bidi="ar-SA"/>
              </w:rPr>
              <w:t>为保护该项目周边其他科室工作人员和公众，机房顶及四侧墙体均加强了防护，从剂量预测结果可知，该项目介入手术医护人员年所受附加剂量满足项目管理限值10mSv的要求，一般辐射工作人员年所受附加剂量满足项目管理限值5mSv的要求，周围公众年所受附加剂量满足项目管理限值0.25mSv的要求，符合《电离辐射防护与辐射源安全基本标准》（GB18871-2002）中关于</w:t>
            </w:r>
            <w:r>
              <w:rPr>
                <w:rFonts w:hint="eastAsia" w:ascii="宋体" w:hAnsi="宋体" w:eastAsia="宋体" w:cs="宋体"/>
                <w:snapToGrid w:val="0"/>
                <w:color w:val="auto"/>
                <w:kern w:val="0"/>
                <w:sz w:val="24"/>
                <w:szCs w:val="21"/>
                <w:highlight w:val="none"/>
                <w:lang w:val="en-US" w:eastAsia="zh-CN" w:bidi="ar-SA"/>
              </w:rPr>
              <w:t>“剂量限值”</w:t>
            </w:r>
            <w:r>
              <w:rPr>
                <w:rFonts w:hint="default" w:ascii="Times New Roman" w:hAnsi="Times New Roman" w:eastAsia="宋体" w:cs="Times New Roman"/>
                <w:snapToGrid w:val="0"/>
                <w:color w:val="auto"/>
                <w:kern w:val="0"/>
                <w:sz w:val="24"/>
                <w:szCs w:val="21"/>
                <w:lang w:val="en-US" w:eastAsia="zh-CN" w:bidi="ar-SA"/>
              </w:rPr>
              <w:t>的要求。因此，从代价利益分析看，该项目是可行的</w:t>
            </w:r>
            <w:r>
              <w:rPr>
                <w:rFonts w:hint="default" w:ascii="Times New Roman" w:hAnsi="Times New Roman" w:eastAsia="宋体" w:cs="Times New Roman"/>
                <w:color w:val="auto"/>
                <w:sz w:val="24"/>
                <w:szCs w:val="24"/>
              </w:rPr>
              <w:t>。</w:t>
            </w:r>
          </w:p>
          <w:p w14:paraId="179D620B">
            <w:pPr>
              <w:pStyle w:val="23"/>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r>
              <w:rPr>
                <w:rFonts w:hint="default" w:ascii="Times New Roman" w:hAnsi="Times New Roman" w:cs="Times New Roman"/>
                <w:b/>
                <w:bCs/>
                <w:color w:val="auto"/>
                <w:lang w:val="en-US" w:eastAsia="zh-CN"/>
              </w:rPr>
              <w:t>8</w:t>
            </w:r>
            <w:r>
              <w:rPr>
                <w:rFonts w:hint="default" w:ascii="Times New Roman" w:hAnsi="Times New Roman" w:cs="Times New Roman"/>
                <w:b/>
                <w:bCs/>
                <w:color w:val="auto"/>
              </w:rPr>
              <w:t>、医院现有核技术利用情况</w:t>
            </w:r>
          </w:p>
          <w:p w14:paraId="3D6282C9">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（1）医院现有核技术利用项目</w:t>
            </w:r>
          </w:p>
          <w:p w14:paraId="11ACE4D1">
            <w:pPr>
              <w:pStyle w:val="23"/>
              <w:keepNext w:val="0"/>
              <w:keepLines w:val="0"/>
              <w:suppressLineNumbers w:val="0"/>
              <w:spacing w:before="0" w:beforeAutospacing="0" w:after="0" w:afterAutospacing="0"/>
              <w:ind w:left="0" w:right="0"/>
              <w:rPr>
                <w:rFonts w:hint="eastAsia" w:cs="Times New Roman"/>
                <w:color w:val="auto"/>
                <w:highlight w:val="none"/>
                <w:lang w:eastAsia="zh-CN"/>
              </w:rPr>
            </w:pPr>
            <w:r>
              <w:rPr>
                <w:rFonts w:hint="eastAsia" w:cs="Times New Roman"/>
                <w:color w:val="auto"/>
                <w:highlight w:val="none"/>
                <w:lang w:eastAsia="zh-CN"/>
              </w:rPr>
              <w:t>寿县安康医院首次申领的辐射安全许可证编号为：皖环辐证[</w:t>
            </w:r>
            <w:r>
              <w:rPr>
                <w:rFonts w:hint="eastAsia" w:cs="Times New Roman"/>
                <w:color w:val="auto"/>
                <w:highlight w:val="none"/>
                <w:lang w:val="en-US" w:eastAsia="zh-CN"/>
              </w:rPr>
              <w:t>D</w:t>
            </w:r>
            <w:r>
              <w:rPr>
                <w:rFonts w:hint="eastAsia" w:cs="Times New Roman"/>
                <w:color w:val="auto"/>
                <w:highlight w:val="none"/>
                <w:lang w:eastAsia="zh-CN"/>
              </w:rPr>
              <w:t>0</w:t>
            </w:r>
            <w:r>
              <w:rPr>
                <w:rFonts w:hint="eastAsia" w:cs="Times New Roman"/>
                <w:color w:val="auto"/>
                <w:highlight w:val="none"/>
                <w:lang w:val="en-US" w:eastAsia="zh-CN"/>
              </w:rPr>
              <w:t>175</w:t>
            </w:r>
            <w:r>
              <w:rPr>
                <w:rFonts w:hint="eastAsia" w:cs="Times New Roman"/>
                <w:color w:val="auto"/>
                <w:highlight w:val="none"/>
                <w:lang w:eastAsia="zh-CN"/>
              </w:rPr>
              <w:t>]。发证日期为202</w:t>
            </w:r>
            <w:r>
              <w:rPr>
                <w:rFonts w:hint="eastAsia" w:cs="Times New Roman"/>
                <w:color w:val="auto"/>
                <w:highlight w:val="none"/>
                <w:lang w:val="en-US" w:eastAsia="zh-CN"/>
              </w:rPr>
              <w:t>4</w:t>
            </w:r>
            <w:r>
              <w:rPr>
                <w:rFonts w:hint="eastAsia" w:cs="Times New Roman"/>
                <w:color w:val="auto"/>
                <w:highlight w:val="none"/>
                <w:lang w:eastAsia="zh-CN"/>
              </w:rPr>
              <w:t>年0</w:t>
            </w:r>
            <w:r>
              <w:rPr>
                <w:rFonts w:hint="eastAsia" w:cs="Times New Roman"/>
                <w:color w:val="auto"/>
                <w:highlight w:val="none"/>
                <w:lang w:val="en-US" w:eastAsia="zh-CN"/>
              </w:rPr>
              <w:t>7</w:t>
            </w:r>
            <w:r>
              <w:rPr>
                <w:rFonts w:hint="eastAsia" w:cs="Times New Roman"/>
                <w:color w:val="auto"/>
                <w:highlight w:val="none"/>
                <w:lang w:eastAsia="zh-CN"/>
              </w:rPr>
              <w:t>月</w:t>
            </w:r>
            <w:r>
              <w:rPr>
                <w:rFonts w:hint="eastAsia" w:cs="Times New Roman"/>
                <w:color w:val="auto"/>
                <w:highlight w:val="none"/>
                <w:lang w:val="en-US" w:eastAsia="zh-CN"/>
              </w:rPr>
              <w:t>2</w:t>
            </w:r>
            <w:r>
              <w:rPr>
                <w:rFonts w:hint="eastAsia" w:cs="Times New Roman"/>
                <w:color w:val="auto"/>
                <w:highlight w:val="none"/>
                <w:lang w:eastAsia="zh-CN"/>
              </w:rPr>
              <w:t>3日，有效期至202</w:t>
            </w:r>
            <w:r>
              <w:rPr>
                <w:rFonts w:hint="eastAsia" w:cs="Times New Roman"/>
                <w:color w:val="auto"/>
                <w:highlight w:val="none"/>
                <w:lang w:val="en-US" w:eastAsia="zh-CN"/>
              </w:rPr>
              <w:t>9</w:t>
            </w:r>
            <w:r>
              <w:rPr>
                <w:rFonts w:hint="eastAsia" w:cs="Times New Roman"/>
                <w:color w:val="auto"/>
                <w:highlight w:val="none"/>
                <w:lang w:eastAsia="zh-CN"/>
              </w:rPr>
              <w:t>年0</w:t>
            </w:r>
            <w:r>
              <w:rPr>
                <w:rFonts w:hint="eastAsia" w:cs="Times New Roman"/>
                <w:color w:val="auto"/>
                <w:highlight w:val="none"/>
                <w:lang w:val="en-US" w:eastAsia="zh-CN"/>
              </w:rPr>
              <w:t>7</w:t>
            </w:r>
            <w:r>
              <w:rPr>
                <w:rFonts w:hint="eastAsia" w:cs="Times New Roman"/>
                <w:color w:val="auto"/>
                <w:highlight w:val="none"/>
                <w:lang w:eastAsia="zh-CN"/>
              </w:rPr>
              <w:t>月</w:t>
            </w:r>
            <w:r>
              <w:rPr>
                <w:rFonts w:hint="eastAsia" w:cs="Times New Roman"/>
                <w:color w:val="auto"/>
                <w:highlight w:val="none"/>
                <w:lang w:val="en-US" w:eastAsia="zh-CN"/>
              </w:rPr>
              <w:t>2</w:t>
            </w:r>
            <w:r>
              <w:rPr>
                <w:rFonts w:hint="eastAsia" w:cs="Times New Roman"/>
                <w:color w:val="auto"/>
                <w:highlight w:val="none"/>
                <w:lang w:eastAsia="zh-CN"/>
              </w:rPr>
              <w:t>2日。其许可种类和范围为：使用Ⅲ类射线装置。医院现有辐射安全许可证详见附件5。</w:t>
            </w:r>
          </w:p>
          <w:p w14:paraId="28B42BAD">
            <w:pPr>
              <w:pStyle w:val="23"/>
              <w:keepNext w:val="0"/>
              <w:keepLines w:val="0"/>
              <w:suppressLineNumbers w:val="0"/>
              <w:spacing w:before="0" w:beforeAutospacing="0" w:after="0" w:afterAutospacing="0"/>
              <w:ind w:left="0" w:right="0"/>
              <w:rPr>
                <w:rFonts w:hint="default" w:ascii="Times New Roman" w:hAnsi="Times New Roman" w:cs="Times New Roman"/>
                <w:color w:val="auto"/>
                <w:highlight w:val="yellow"/>
                <w:lang w:val="en-US" w:eastAsia="zh-CN"/>
              </w:rPr>
            </w:pPr>
            <w:r>
              <w:rPr>
                <w:rFonts w:hint="eastAsia" w:cs="Times New Roman"/>
                <w:color w:val="auto"/>
                <w:highlight w:val="none"/>
                <w:lang w:eastAsia="zh-CN"/>
              </w:rPr>
              <w:t>寿县安康医院现有核技术应用项目具体情况详见下表</w:t>
            </w:r>
            <w:r>
              <w:rPr>
                <w:rFonts w:hint="default" w:ascii="Times New Roman" w:hAnsi="Times New Roman" w:cs="Times New Roman"/>
                <w:color w:val="auto"/>
                <w:highlight w:val="none"/>
                <w:lang w:val="en-US" w:eastAsia="zh-CN"/>
              </w:rPr>
              <w:t>。</w:t>
            </w:r>
          </w:p>
          <w:p w14:paraId="1F833706">
            <w:pPr>
              <w:pStyle w:val="2"/>
              <w:keepNext w:val="0"/>
              <w:keepLines w:val="0"/>
              <w:pageBreakBefore w:val="0"/>
              <w:widowControl w:val="0"/>
              <w:suppressLineNumbers w:val="0"/>
              <w:shd w:val="clear" w:fill="FFFFFF" w:themeFill="background1"/>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b/>
                <w:bCs/>
                <w:color w:val="auto"/>
                <w:highlight w:val="none"/>
                <w:lang w:val="en-US" w:eastAsia="zh-CN"/>
              </w:rPr>
            </w:pPr>
            <w:r>
              <w:rPr>
                <w:rFonts w:hint="eastAsia"/>
                <w:b/>
                <w:bCs/>
                <w:color w:val="auto"/>
                <w:highlight w:val="none"/>
                <w:lang w:val="en-US" w:eastAsia="zh-CN"/>
              </w:rPr>
              <w:t xml:space="preserve">表1-3  </w:t>
            </w:r>
            <w:r>
              <w:rPr>
                <w:rFonts w:hint="eastAsia"/>
                <w:b/>
                <w:bCs/>
                <w:color w:val="auto"/>
                <w:highlight w:val="none"/>
              </w:rPr>
              <w:t>医院现有核技术应用项目具体情况一览表</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456"/>
              <w:gridCol w:w="1741"/>
              <w:gridCol w:w="1469"/>
              <w:gridCol w:w="572"/>
              <w:gridCol w:w="2158"/>
              <w:gridCol w:w="993"/>
              <w:gridCol w:w="753"/>
              <w:gridCol w:w="1434"/>
            </w:tblGrid>
            <w:tr w14:paraId="4398E00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37" w:hRule="atLeast"/>
                <w:jc w:val="center"/>
              </w:trPr>
              <w:tc>
                <w:tcPr>
                  <w:tcW w:w="238" w:type="pct"/>
                  <w:tcBorders>
                    <w:top w:val="single" w:color="auto" w:sz="6" w:space="0"/>
                    <w:bottom w:val="single" w:color="auto" w:sz="6" w:space="0"/>
                  </w:tcBorders>
                  <w:shd w:val="clear" w:color="auto" w:fill="auto"/>
                  <w:vAlign w:val="center"/>
                </w:tcPr>
                <w:p w14:paraId="54105079">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序号</w:t>
                  </w:r>
                </w:p>
              </w:tc>
              <w:tc>
                <w:tcPr>
                  <w:tcW w:w="909" w:type="pct"/>
                  <w:tcBorders>
                    <w:top w:val="single" w:color="auto" w:sz="6" w:space="0"/>
                    <w:bottom w:val="single" w:color="auto" w:sz="6" w:space="0"/>
                  </w:tcBorders>
                  <w:shd w:val="clear" w:color="auto" w:fill="auto"/>
                  <w:vAlign w:val="center"/>
                </w:tcPr>
                <w:p w14:paraId="3C7069CB">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装置名称</w:t>
                  </w:r>
                </w:p>
              </w:tc>
              <w:tc>
                <w:tcPr>
                  <w:tcW w:w="767" w:type="pct"/>
                  <w:tcBorders>
                    <w:top w:val="single" w:color="auto" w:sz="6" w:space="0"/>
                    <w:bottom w:val="single" w:color="auto" w:sz="6" w:space="0"/>
                  </w:tcBorders>
                  <w:shd w:val="clear" w:color="auto" w:fill="auto"/>
                  <w:vAlign w:val="center"/>
                </w:tcPr>
                <w:p w14:paraId="7E065898">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规格型号</w:t>
                  </w:r>
                </w:p>
              </w:tc>
              <w:tc>
                <w:tcPr>
                  <w:tcW w:w="298" w:type="pct"/>
                  <w:tcBorders>
                    <w:top w:val="single" w:color="auto" w:sz="6" w:space="0"/>
                    <w:bottom w:val="single" w:color="auto" w:sz="6" w:space="0"/>
                  </w:tcBorders>
                  <w:shd w:val="clear" w:color="auto" w:fill="auto"/>
                  <w:vAlign w:val="center"/>
                </w:tcPr>
                <w:p w14:paraId="6194AA8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类别</w:t>
                  </w:r>
                </w:p>
              </w:tc>
              <w:tc>
                <w:tcPr>
                  <w:tcW w:w="1126" w:type="pct"/>
                  <w:tcBorders>
                    <w:top w:val="single" w:color="auto" w:sz="6" w:space="0"/>
                    <w:bottom w:val="single" w:color="auto" w:sz="6" w:space="0"/>
                  </w:tcBorders>
                  <w:shd w:val="clear" w:color="auto" w:fill="auto"/>
                  <w:vAlign w:val="center"/>
                </w:tcPr>
                <w:p w14:paraId="5C64D211">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用途</w:t>
                  </w:r>
                </w:p>
              </w:tc>
              <w:tc>
                <w:tcPr>
                  <w:tcW w:w="518" w:type="pct"/>
                  <w:tcBorders>
                    <w:top w:val="single" w:color="auto" w:sz="6" w:space="0"/>
                    <w:bottom w:val="single" w:color="auto" w:sz="6" w:space="0"/>
                  </w:tcBorders>
                  <w:shd w:val="clear" w:color="auto" w:fill="auto"/>
                  <w:vAlign w:val="center"/>
                </w:tcPr>
                <w:p w14:paraId="434B051C">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工作场所</w:t>
                  </w:r>
                </w:p>
              </w:tc>
              <w:tc>
                <w:tcPr>
                  <w:tcW w:w="393" w:type="pct"/>
                  <w:tcBorders>
                    <w:top w:val="single" w:color="auto" w:sz="6" w:space="0"/>
                    <w:bottom w:val="single" w:color="auto" w:sz="6" w:space="0"/>
                  </w:tcBorders>
                  <w:shd w:val="clear" w:color="auto" w:fill="auto"/>
                  <w:vAlign w:val="center"/>
                </w:tcPr>
                <w:p w14:paraId="171696A2">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使用情况</w:t>
                  </w:r>
                </w:p>
              </w:tc>
              <w:tc>
                <w:tcPr>
                  <w:tcW w:w="748" w:type="pct"/>
                  <w:tcBorders>
                    <w:top w:val="single" w:color="auto" w:sz="6" w:space="0"/>
                    <w:bottom w:val="single" w:color="auto" w:sz="6" w:space="0"/>
                  </w:tcBorders>
                  <w:shd w:val="clear" w:color="auto" w:fill="auto"/>
                  <w:vAlign w:val="center"/>
                </w:tcPr>
                <w:p w14:paraId="2FC4B50C">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环保手续履行情况</w:t>
                  </w:r>
                </w:p>
              </w:tc>
            </w:tr>
            <w:tr w14:paraId="458FB37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04" w:hRule="atLeast"/>
                <w:jc w:val="center"/>
              </w:trPr>
              <w:tc>
                <w:tcPr>
                  <w:tcW w:w="238" w:type="pct"/>
                  <w:tcBorders>
                    <w:top w:val="single" w:color="auto" w:sz="6" w:space="0"/>
                    <w:bottom w:val="single" w:color="auto" w:sz="6" w:space="0"/>
                  </w:tcBorders>
                  <w:shd w:val="clear" w:color="auto" w:fill="auto"/>
                  <w:vAlign w:val="center"/>
                </w:tcPr>
                <w:p w14:paraId="2540063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1</w:t>
                  </w:r>
                </w:p>
              </w:tc>
              <w:tc>
                <w:tcPr>
                  <w:tcW w:w="909" w:type="pct"/>
                  <w:tcBorders>
                    <w:top w:val="single" w:color="auto" w:sz="6" w:space="0"/>
                    <w:bottom w:val="single" w:color="auto" w:sz="6" w:space="0"/>
                  </w:tcBorders>
                  <w:shd w:val="clear" w:color="auto" w:fill="auto"/>
                  <w:vAlign w:val="center"/>
                </w:tcPr>
                <w:p w14:paraId="53E9AE68">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rPr>
                    <w:t>C</w:t>
                  </w:r>
                  <w:r>
                    <w:rPr>
                      <w:rFonts w:hint="eastAsia" w:ascii="Times New Roman" w:hAnsi="Times New Roman" w:eastAsia="宋体" w:cs="Times New Roman"/>
                      <w:color w:val="auto"/>
                      <w:sz w:val="21"/>
                      <w:szCs w:val="21"/>
                      <w:highlight w:val="none"/>
                      <w:lang w:eastAsia="zh-CN"/>
                    </w:rPr>
                    <w:t>型臂</w:t>
                  </w:r>
                </w:p>
              </w:tc>
              <w:tc>
                <w:tcPr>
                  <w:tcW w:w="767" w:type="pct"/>
                  <w:tcBorders>
                    <w:top w:val="single" w:color="auto" w:sz="6" w:space="0"/>
                    <w:bottom w:val="single" w:color="auto" w:sz="6" w:space="0"/>
                  </w:tcBorders>
                  <w:shd w:val="clear" w:color="auto" w:fill="auto"/>
                  <w:vAlign w:val="center"/>
                </w:tcPr>
                <w:p w14:paraId="480E3A9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DG3310C</w:t>
                  </w:r>
                </w:p>
              </w:tc>
              <w:tc>
                <w:tcPr>
                  <w:tcW w:w="298" w:type="pct"/>
                  <w:tcBorders>
                    <w:top w:val="single" w:color="auto" w:sz="6" w:space="0"/>
                    <w:bottom w:val="single" w:color="auto" w:sz="6" w:space="0"/>
                  </w:tcBorders>
                  <w:shd w:val="clear" w:color="auto" w:fill="auto"/>
                  <w:vAlign w:val="center"/>
                </w:tcPr>
                <w:p w14:paraId="4A5384F3">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eastAsia="zh-CN"/>
                    </w:rPr>
                    <w:t>Ⅲ</w:t>
                  </w:r>
                </w:p>
              </w:tc>
              <w:tc>
                <w:tcPr>
                  <w:tcW w:w="1126" w:type="pct"/>
                  <w:tcBorders>
                    <w:top w:val="single" w:color="auto" w:sz="6" w:space="0"/>
                    <w:bottom w:val="single" w:color="auto" w:sz="6" w:space="0"/>
                  </w:tcBorders>
                  <w:shd w:val="clear" w:color="auto" w:fill="auto"/>
                  <w:vAlign w:val="center"/>
                </w:tcPr>
                <w:p w14:paraId="068C2D0E">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rPr>
                    <w:t>医用诊断X射线装置</w:t>
                  </w:r>
                </w:p>
              </w:tc>
              <w:tc>
                <w:tcPr>
                  <w:tcW w:w="518" w:type="pct"/>
                  <w:tcBorders>
                    <w:top w:val="single" w:color="auto" w:sz="6" w:space="0"/>
                    <w:bottom w:val="single" w:color="auto" w:sz="6" w:space="0"/>
                  </w:tcBorders>
                  <w:shd w:val="clear" w:color="auto" w:fill="auto"/>
                  <w:vAlign w:val="center"/>
                </w:tcPr>
                <w:p w14:paraId="6B419E1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影像科</w:t>
                  </w:r>
                </w:p>
              </w:tc>
              <w:tc>
                <w:tcPr>
                  <w:tcW w:w="393" w:type="pct"/>
                  <w:tcBorders>
                    <w:top w:val="single" w:color="auto" w:sz="6" w:space="0"/>
                    <w:bottom w:val="single" w:color="auto" w:sz="6" w:space="0"/>
                  </w:tcBorders>
                  <w:shd w:val="clear" w:color="auto" w:fill="auto"/>
                  <w:vAlign w:val="center"/>
                </w:tcPr>
                <w:p w14:paraId="72D7678F">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在用</w:t>
                  </w:r>
                </w:p>
              </w:tc>
              <w:tc>
                <w:tcPr>
                  <w:tcW w:w="748" w:type="pct"/>
                  <w:tcBorders>
                    <w:top w:val="single" w:color="auto" w:sz="6" w:space="0"/>
                    <w:bottom w:val="single" w:color="auto" w:sz="6" w:space="0"/>
                  </w:tcBorders>
                  <w:shd w:val="clear" w:color="auto" w:fill="auto"/>
                  <w:vAlign w:val="center"/>
                </w:tcPr>
                <w:p w14:paraId="02D3DB2B">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已登记、已许可</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已</w:t>
                  </w:r>
                  <w:r>
                    <w:rPr>
                      <w:rFonts w:hint="eastAsia" w:cs="Times New Roman"/>
                      <w:color w:val="auto"/>
                      <w:sz w:val="21"/>
                      <w:szCs w:val="21"/>
                      <w:lang w:val="en-US" w:eastAsia="zh-CN"/>
                    </w:rPr>
                    <w:t>监测</w:t>
                  </w:r>
                </w:p>
              </w:tc>
            </w:tr>
            <w:tr w14:paraId="5549D51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238" w:type="pct"/>
                  <w:tcBorders>
                    <w:top w:val="single" w:color="auto" w:sz="6" w:space="0"/>
                    <w:bottom w:val="single" w:color="auto" w:sz="6" w:space="0"/>
                  </w:tcBorders>
                  <w:shd w:val="clear" w:color="auto" w:fill="auto"/>
                  <w:vAlign w:val="center"/>
                </w:tcPr>
                <w:p w14:paraId="08015006">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2</w:t>
                  </w:r>
                </w:p>
              </w:tc>
              <w:tc>
                <w:tcPr>
                  <w:tcW w:w="909" w:type="pct"/>
                  <w:tcBorders>
                    <w:top w:val="single" w:color="auto" w:sz="6" w:space="0"/>
                    <w:bottom w:val="single" w:color="auto" w:sz="6" w:space="0"/>
                  </w:tcBorders>
                  <w:shd w:val="clear" w:color="auto" w:fill="auto"/>
                  <w:vAlign w:val="center"/>
                </w:tcPr>
                <w:p w14:paraId="6324633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rPr>
                    <w:t>DR</w:t>
                  </w:r>
                </w:p>
              </w:tc>
              <w:tc>
                <w:tcPr>
                  <w:tcW w:w="767" w:type="pct"/>
                  <w:tcBorders>
                    <w:top w:val="single" w:color="auto" w:sz="6" w:space="0"/>
                    <w:bottom w:val="single" w:color="auto" w:sz="6" w:space="0"/>
                  </w:tcBorders>
                  <w:shd w:val="clear" w:color="auto" w:fill="auto"/>
                  <w:vAlign w:val="center"/>
                </w:tcPr>
                <w:p w14:paraId="11B44D5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Primary</w:t>
                  </w:r>
                  <w:r>
                    <w:rPr>
                      <w:rFonts w:hint="eastAsia" w:ascii="Times New Roman" w:hAnsi="Times New Roman" w:eastAsia="宋体" w:cs="Times New Roman"/>
                      <w:color w:val="auto"/>
                      <w:sz w:val="21"/>
                      <w:szCs w:val="21"/>
                      <w:highlight w:val="none"/>
                      <w:lang w:val="en-US" w:eastAsia="zh-CN"/>
                    </w:rPr>
                    <w:t xml:space="preserve"> </w:t>
                  </w:r>
                  <w:r>
                    <w:rPr>
                      <w:rFonts w:hint="default" w:ascii="Times New Roman" w:hAnsi="Times New Roman" w:eastAsia="宋体" w:cs="Times New Roman"/>
                      <w:color w:val="auto"/>
                      <w:sz w:val="21"/>
                      <w:szCs w:val="21"/>
                      <w:highlight w:val="none"/>
                      <w:lang w:val="en-US" w:eastAsia="zh-CN"/>
                    </w:rPr>
                    <w:t>Di</w:t>
                  </w:r>
                </w:p>
                <w:p w14:paraId="38A273E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agnost DR</w:t>
                  </w:r>
                </w:p>
              </w:tc>
              <w:tc>
                <w:tcPr>
                  <w:tcW w:w="298" w:type="pct"/>
                  <w:tcBorders>
                    <w:top w:val="single" w:color="auto" w:sz="6" w:space="0"/>
                    <w:bottom w:val="single" w:color="auto" w:sz="6" w:space="0"/>
                  </w:tcBorders>
                  <w:shd w:val="clear" w:color="auto" w:fill="auto"/>
                  <w:vAlign w:val="center"/>
                </w:tcPr>
                <w:p w14:paraId="7FF5B72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eastAsia="zh-CN"/>
                    </w:rPr>
                    <w:t>Ⅲ</w:t>
                  </w:r>
                </w:p>
              </w:tc>
              <w:tc>
                <w:tcPr>
                  <w:tcW w:w="1126" w:type="pct"/>
                  <w:tcBorders>
                    <w:top w:val="single" w:color="auto" w:sz="6" w:space="0"/>
                    <w:bottom w:val="single" w:color="auto" w:sz="6" w:space="0"/>
                  </w:tcBorders>
                  <w:shd w:val="clear" w:color="auto" w:fill="auto"/>
                  <w:vAlign w:val="center"/>
                </w:tcPr>
                <w:p w14:paraId="508B3BB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rPr>
                    <w:t>医用诊断X射线装置</w:t>
                  </w:r>
                </w:p>
              </w:tc>
              <w:tc>
                <w:tcPr>
                  <w:tcW w:w="518" w:type="pct"/>
                  <w:tcBorders>
                    <w:top w:val="single" w:color="auto" w:sz="6" w:space="0"/>
                    <w:bottom w:val="single" w:color="auto" w:sz="6" w:space="0"/>
                  </w:tcBorders>
                  <w:shd w:val="clear" w:color="auto" w:fill="auto"/>
                  <w:vAlign w:val="center"/>
                </w:tcPr>
                <w:p w14:paraId="1CD1EA8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影像科</w:t>
                  </w:r>
                </w:p>
              </w:tc>
              <w:tc>
                <w:tcPr>
                  <w:tcW w:w="393" w:type="pct"/>
                  <w:tcBorders>
                    <w:top w:val="single" w:color="auto" w:sz="6" w:space="0"/>
                    <w:bottom w:val="single" w:color="auto" w:sz="6" w:space="0"/>
                  </w:tcBorders>
                  <w:shd w:val="clear" w:color="auto" w:fill="auto"/>
                  <w:vAlign w:val="center"/>
                </w:tcPr>
                <w:p w14:paraId="6DD03C89">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在用</w:t>
                  </w:r>
                </w:p>
              </w:tc>
              <w:tc>
                <w:tcPr>
                  <w:tcW w:w="748" w:type="pct"/>
                  <w:tcBorders>
                    <w:top w:val="single" w:color="auto" w:sz="6" w:space="0"/>
                    <w:bottom w:val="single" w:color="auto" w:sz="6" w:space="0"/>
                  </w:tcBorders>
                  <w:shd w:val="clear" w:color="auto" w:fill="auto"/>
                  <w:vAlign w:val="center"/>
                </w:tcPr>
                <w:p w14:paraId="00B07376">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已登记、已许可</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已</w:t>
                  </w:r>
                  <w:r>
                    <w:rPr>
                      <w:rFonts w:hint="eastAsia" w:cs="Times New Roman"/>
                      <w:color w:val="auto"/>
                      <w:sz w:val="21"/>
                      <w:szCs w:val="21"/>
                      <w:lang w:val="en-US" w:eastAsia="zh-CN"/>
                    </w:rPr>
                    <w:t>监测</w:t>
                  </w:r>
                </w:p>
              </w:tc>
            </w:tr>
            <w:tr w14:paraId="6B5FA91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32" w:hRule="atLeast"/>
                <w:jc w:val="center"/>
              </w:trPr>
              <w:tc>
                <w:tcPr>
                  <w:tcW w:w="238" w:type="pct"/>
                  <w:tcBorders>
                    <w:top w:val="single" w:color="auto" w:sz="6" w:space="0"/>
                    <w:bottom w:val="single" w:color="auto" w:sz="6" w:space="0"/>
                  </w:tcBorders>
                  <w:shd w:val="clear" w:color="auto" w:fill="auto"/>
                  <w:vAlign w:val="center"/>
                </w:tcPr>
                <w:p w14:paraId="3781EA96">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w:t>
                  </w:r>
                </w:p>
              </w:tc>
              <w:tc>
                <w:tcPr>
                  <w:tcW w:w="909" w:type="pct"/>
                  <w:tcBorders>
                    <w:top w:val="single" w:color="auto" w:sz="6" w:space="0"/>
                    <w:bottom w:val="single" w:color="auto" w:sz="6" w:space="0"/>
                  </w:tcBorders>
                  <w:shd w:val="clear" w:color="auto" w:fill="auto"/>
                  <w:vAlign w:val="center"/>
                </w:tcPr>
                <w:p w14:paraId="5E72E84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rPr>
                    <w:t>CT</w:t>
                  </w:r>
                </w:p>
              </w:tc>
              <w:tc>
                <w:tcPr>
                  <w:tcW w:w="767" w:type="pct"/>
                  <w:tcBorders>
                    <w:top w:val="single" w:color="auto" w:sz="6" w:space="0"/>
                    <w:bottom w:val="single" w:color="auto" w:sz="6" w:space="0"/>
                  </w:tcBorders>
                  <w:shd w:val="clear" w:color="auto" w:fill="auto"/>
                  <w:vAlign w:val="center"/>
                </w:tcPr>
                <w:p w14:paraId="0561A0F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lang w:val="en-US" w:eastAsia="zh-CN"/>
                    </w:rPr>
                    <w:t>Ingenuity Core</w:t>
                  </w:r>
                  <w:r>
                    <w:rPr>
                      <w:rFonts w:hint="default" w:ascii="Times New Roman" w:hAnsi="Times New Roman" w:eastAsia="宋体" w:cs="Times New Roman"/>
                      <w:color w:val="auto"/>
                      <w:sz w:val="21"/>
                      <w:szCs w:val="21"/>
                    </w:rPr>
                    <w:t xml:space="preserve"> 128</w:t>
                  </w:r>
                </w:p>
              </w:tc>
              <w:tc>
                <w:tcPr>
                  <w:tcW w:w="298" w:type="pct"/>
                  <w:tcBorders>
                    <w:top w:val="single" w:color="auto" w:sz="6" w:space="0"/>
                    <w:bottom w:val="single" w:color="auto" w:sz="6" w:space="0"/>
                  </w:tcBorders>
                  <w:shd w:val="clear" w:color="auto" w:fill="auto"/>
                  <w:vAlign w:val="center"/>
                </w:tcPr>
                <w:p w14:paraId="7296ACBC">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highlight w:val="none"/>
                      <w:lang w:val="en-US" w:eastAsia="zh-CN" w:bidi="ar-SA"/>
                    </w:rPr>
                  </w:pPr>
                  <w:r>
                    <w:rPr>
                      <w:rFonts w:hint="default" w:ascii="Times New Roman" w:hAnsi="Times New Roman" w:eastAsia="宋体" w:cs="Times New Roman"/>
                      <w:color w:val="auto"/>
                      <w:sz w:val="21"/>
                      <w:szCs w:val="21"/>
                      <w:highlight w:val="none"/>
                      <w:lang w:eastAsia="zh-CN"/>
                    </w:rPr>
                    <w:t>Ⅲ</w:t>
                  </w:r>
                </w:p>
              </w:tc>
              <w:tc>
                <w:tcPr>
                  <w:tcW w:w="1126" w:type="pct"/>
                  <w:tcBorders>
                    <w:top w:val="single" w:color="auto" w:sz="6" w:space="0"/>
                    <w:bottom w:val="single" w:color="auto" w:sz="6" w:space="0"/>
                  </w:tcBorders>
                  <w:shd w:val="clear" w:color="auto" w:fill="auto"/>
                  <w:vAlign w:val="center"/>
                </w:tcPr>
                <w:p w14:paraId="0E7ED72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rPr>
                    <w:t>医用诊断X射线装置</w:t>
                  </w:r>
                </w:p>
              </w:tc>
              <w:tc>
                <w:tcPr>
                  <w:tcW w:w="518" w:type="pct"/>
                  <w:tcBorders>
                    <w:top w:val="single" w:color="auto" w:sz="6" w:space="0"/>
                    <w:bottom w:val="single" w:color="auto" w:sz="6" w:space="0"/>
                  </w:tcBorders>
                  <w:shd w:val="clear" w:color="auto" w:fill="auto"/>
                  <w:vAlign w:val="center"/>
                </w:tcPr>
                <w:p w14:paraId="524E7816">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影像科</w:t>
                  </w:r>
                </w:p>
              </w:tc>
              <w:tc>
                <w:tcPr>
                  <w:tcW w:w="393" w:type="pct"/>
                  <w:tcBorders>
                    <w:top w:val="single" w:color="auto" w:sz="6" w:space="0"/>
                    <w:bottom w:val="single" w:color="auto" w:sz="6" w:space="0"/>
                  </w:tcBorders>
                  <w:shd w:val="clear" w:color="auto" w:fill="auto"/>
                  <w:vAlign w:val="center"/>
                </w:tcPr>
                <w:p w14:paraId="1AE9B053">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在用</w:t>
                  </w:r>
                </w:p>
              </w:tc>
              <w:tc>
                <w:tcPr>
                  <w:tcW w:w="748" w:type="pct"/>
                  <w:tcBorders>
                    <w:top w:val="single" w:color="auto" w:sz="6" w:space="0"/>
                    <w:bottom w:val="single" w:color="auto" w:sz="6" w:space="0"/>
                  </w:tcBorders>
                  <w:shd w:val="clear" w:color="auto" w:fill="auto"/>
                  <w:vAlign w:val="center"/>
                </w:tcPr>
                <w:p w14:paraId="100195A5">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已登记、已许可</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已</w:t>
                  </w:r>
                  <w:r>
                    <w:rPr>
                      <w:rFonts w:hint="eastAsia" w:cs="Times New Roman"/>
                      <w:color w:val="auto"/>
                      <w:sz w:val="21"/>
                      <w:szCs w:val="21"/>
                      <w:lang w:val="en-US" w:eastAsia="zh-CN"/>
                    </w:rPr>
                    <w:t>监测</w:t>
                  </w:r>
                </w:p>
              </w:tc>
            </w:tr>
          </w:tbl>
          <w:p w14:paraId="7F60C5C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（2）</w:t>
            </w:r>
            <w:r>
              <w:rPr>
                <w:rFonts w:hint="default" w:ascii="Times New Roman" w:hAnsi="Times New Roman" w:eastAsia="宋体" w:cs="Times New Roman"/>
                <w:snapToGrid w:val="0"/>
                <w:color w:val="auto"/>
                <w:kern w:val="0"/>
                <w:sz w:val="24"/>
                <w:szCs w:val="21"/>
                <w:lang w:val="en-US" w:eastAsia="zh-CN" w:bidi="ar-SA"/>
              </w:rPr>
              <w:t>关于辐射安全与环境保护管理机构</w:t>
            </w:r>
          </w:p>
          <w:p w14:paraId="4E3E9C5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根据《中华人民共和国放射性污染防治法》和《放射性同位素与射线装置安全许可管理办法》（</w:t>
            </w:r>
            <w:r>
              <w:rPr>
                <w:rFonts w:hint="default" w:ascii="Times New Roman" w:hAnsi="Times New Roman" w:eastAsia="宋体" w:cs="Times New Roman"/>
                <w:snapToGrid w:val="0"/>
                <w:color w:val="auto"/>
                <w:kern w:val="0"/>
                <w:sz w:val="24"/>
                <w:szCs w:val="21"/>
                <w:lang w:val="en-US" w:eastAsia="zh-CN" w:bidi="ar-SA"/>
              </w:rPr>
              <w:t>2021年1月4日修订），</w:t>
            </w:r>
            <w:r>
              <w:rPr>
                <w:rFonts w:hint="eastAsia" w:ascii="Times New Roman" w:hAnsi="Times New Roman" w:eastAsia="宋体" w:cs="Times New Roman"/>
                <w:snapToGrid w:val="0"/>
                <w:color w:val="auto"/>
                <w:kern w:val="0"/>
                <w:sz w:val="24"/>
                <w:szCs w:val="21"/>
                <w:lang w:val="en-US" w:eastAsia="zh-CN" w:bidi="ar-SA"/>
              </w:rPr>
              <w:t>寿县安康医院</w:t>
            </w:r>
            <w:r>
              <w:rPr>
                <w:rFonts w:hint="default" w:ascii="Times New Roman" w:hAnsi="Times New Roman" w:eastAsia="宋体" w:cs="Times New Roman"/>
                <w:snapToGrid w:val="0"/>
                <w:color w:val="auto"/>
                <w:kern w:val="0"/>
                <w:sz w:val="24"/>
                <w:szCs w:val="21"/>
                <w:lang w:val="en-US" w:eastAsia="zh-CN" w:bidi="ar-SA"/>
              </w:rPr>
              <w:t>为满足</w:t>
            </w:r>
            <w:r>
              <w:rPr>
                <w:rFonts w:hint="eastAsia" w:ascii="Times New Roman" w:hAnsi="Times New Roman" w:eastAsia="宋体" w:cs="Times New Roman"/>
                <w:snapToGrid w:val="0"/>
                <w:color w:val="auto"/>
                <w:kern w:val="0"/>
                <w:sz w:val="24"/>
                <w:szCs w:val="21"/>
                <w:lang w:val="en-US" w:eastAsia="zh-CN" w:bidi="ar-SA"/>
              </w:rPr>
              <w:t>医院</w:t>
            </w:r>
            <w:r>
              <w:rPr>
                <w:rFonts w:hint="default" w:ascii="Times New Roman" w:hAnsi="Times New Roman" w:eastAsia="宋体" w:cs="Times New Roman"/>
                <w:snapToGrid w:val="0"/>
                <w:color w:val="auto"/>
                <w:kern w:val="0"/>
                <w:sz w:val="24"/>
                <w:szCs w:val="21"/>
                <w:lang w:val="en-US" w:eastAsia="zh-CN" w:bidi="ar-SA"/>
              </w:rPr>
              <w:t>辐射安全与环境保护管理的需求，已成立</w:t>
            </w:r>
            <w:bookmarkStart w:id="8" w:name="OLE_LINK11"/>
            <w:r>
              <w:rPr>
                <w:rFonts w:hint="eastAsia" w:ascii="Times New Roman" w:hAnsi="Times New Roman" w:eastAsia="宋体" w:cs="Times New Roman"/>
                <w:snapToGrid w:val="0"/>
                <w:color w:val="auto"/>
                <w:kern w:val="0"/>
                <w:sz w:val="24"/>
                <w:szCs w:val="21"/>
                <w:lang w:val="en-US" w:eastAsia="zh-CN" w:bidi="ar-SA"/>
              </w:rPr>
              <w:t>辐射安全防护领导小组</w:t>
            </w:r>
            <w:bookmarkEnd w:id="8"/>
            <w:r>
              <w:rPr>
                <w:rFonts w:hint="default" w:ascii="Times New Roman" w:hAnsi="Times New Roman" w:eastAsia="宋体" w:cs="Times New Roman"/>
                <w:snapToGrid w:val="0"/>
                <w:color w:val="auto"/>
                <w:kern w:val="0"/>
                <w:sz w:val="24"/>
                <w:szCs w:val="21"/>
                <w:lang w:val="en-US" w:eastAsia="zh-CN" w:bidi="ar-SA"/>
              </w:rPr>
              <w:t>，负责</w:t>
            </w:r>
            <w:r>
              <w:rPr>
                <w:rFonts w:hint="eastAsia" w:ascii="Times New Roman" w:hAnsi="Times New Roman" w:eastAsia="宋体" w:cs="Times New Roman"/>
                <w:snapToGrid w:val="0"/>
                <w:color w:val="auto"/>
                <w:kern w:val="0"/>
                <w:sz w:val="24"/>
                <w:szCs w:val="21"/>
                <w:lang w:val="en-US" w:eastAsia="zh-CN" w:bidi="ar-SA"/>
              </w:rPr>
              <w:t>医院</w:t>
            </w:r>
            <w:r>
              <w:rPr>
                <w:rFonts w:hint="default" w:ascii="Times New Roman" w:hAnsi="Times New Roman" w:eastAsia="宋体" w:cs="Times New Roman"/>
                <w:snapToGrid w:val="0"/>
                <w:color w:val="auto"/>
                <w:kern w:val="0"/>
                <w:sz w:val="24"/>
                <w:szCs w:val="21"/>
                <w:lang w:val="en-US" w:eastAsia="zh-CN" w:bidi="ar-SA"/>
              </w:rPr>
              <w:t>辐射安全与环境保护管理工作</w:t>
            </w:r>
            <w:r>
              <w:rPr>
                <w:rFonts w:hint="eastAsia" w:ascii="Times New Roman" w:hAnsi="Times New Roman" w:eastAsia="宋体" w:cs="Times New Roman"/>
                <w:snapToGrid w:val="0"/>
                <w:color w:val="auto"/>
                <w:kern w:val="0"/>
                <w:sz w:val="24"/>
                <w:szCs w:val="21"/>
                <w:highlight w:val="none"/>
                <w:lang w:val="en-US" w:eastAsia="zh-CN" w:bidi="ar-SA"/>
              </w:rPr>
              <w:t>（详见附件6）</w:t>
            </w:r>
            <w:r>
              <w:rPr>
                <w:rFonts w:hint="eastAsia" w:ascii="Times New Roman" w:hAnsi="Times New Roman" w:eastAsia="宋体" w:cs="Times New Roman"/>
                <w:snapToGrid w:val="0"/>
                <w:color w:val="auto"/>
                <w:kern w:val="0"/>
                <w:sz w:val="24"/>
                <w:szCs w:val="21"/>
                <w:lang w:val="en-US" w:eastAsia="zh-CN" w:bidi="ar-SA"/>
              </w:rPr>
              <w:t>。辐射安全防护管理领导小组成员如下：</w:t>
            </w:r>
          </w:p>
          <w:p w14:paraId="7DCC2CA6">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highlight w:val="none"/>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组  长：潘广义（院长）</w:t>
            </w:r>
          </w:p>
          <w:p w14:paraId="7FC3C54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highlight w:val="none"/>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副组长：曹继德（副院长）、徐娜（院长助理）</w:t>
            </w:r>
          </w:p>
          <w:p w14:paraId="577263AF">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highlight w:val="none"/>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成  员：秦智、田胜权、潘晓东</w:t>
            </w:r>
          </w:p>
          <w:p w14:paraId="1D75AE3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领导小组全面负责医院的放射诊疗、辐射安全管理工作。</w:t>
            </w:r>
          </w:p>
          <w:p w14:paraId="793EDFBB">
            <w:pPr>
              <w:pStyle w:val="2"/>
              <w:keepNext w:val="0"/>
              <w:keepLines w:val="0"/>
              <w:suppressLineNumbers w:val="0"/>
              <w:spacing w:before="0" w:beforeAutospacing="0" w:after="0" w:afterAutospacing="0"/>
              <w:ind w:left="0" w:right="0"/>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秦智同志为专职的放射诊疗管理人员，具体负责放射防护工作。其主要职责:</w:t>
            </w:r>
          </w:p>
          <w:p w14:paraId="3D7E33E1">
            <w:pPr>
              <w:pStyle w:val="2"/>
              <w:keepNext w:val="0"/>
              <w:keepLines w:val="0"/>
              <w:suppressLineNumbers w:val="0"/>
              <w:spacing w:before="0" w:beforeAutospacing="0" w:after="0" w:afterAutospacing="0"/>
              <w:ind w:left="0" w:right="0"/>
              <w:rPr>
                <w:rFonts w:hint="eastAsia" w:ascii="Times New Roman" w:hAnsi="Times New Roman" w:eastAsia="宋体" w:cs="Times New Roman"/>
                <w:snapToGrid w:val="0"/>
                <w:color w:val="auto"/>
                <w:kern w:val="0"/>
                <w:sz w:val="24"/>
                <w:szCs w:val="21"/>
                <w:lang w:val="en-US" w:eastAsia="zh-CN" w:bidi="ar-SA"/>
              </w:rPr>
            </w:pPr>
            <w:r>
              <w:rPr>
                <w:rFonts w:hint="eastAsia" w:cs="Times New Roman"/>
                <w:snapToGrid w:val="0"/>
                <w:color w:val="auto"/>
                <w:kern w:val="0"/>
                <w:sz w:val="24"/>
                <w:szCs w:val="21"/>
                <w:lang w:val="en-US" w:eastAsia="zh-CN" w:bidi="ar-SA"/>
              </w:rPr>
              <w:t>①</w:t>
            </w:r>
            <w:r>
              <w:rPr>
                <w:rFonts w:hint="eastAsia" w:ascii="Times New Roman" w:hAnsi="Times New Roman" w:eastAsia="宋体" w:cs="Times New Roman"/>
                <w:snapToGrid w:val="0"/>
                <w:color w:val="auto"/>
                <w:kern w:val="0"/>
                <w:sz w:val="24"/>
                <w:szCs w:val="21"/>
                <w:lang w:val="en-US" w:eastAsia="zh-CN" w:bidi="ar-SA"/>
              </w:rPr>
              <w:t>落实放射诊疗和辐射防护管理制度</w:t>
            </w:r>
            <w:r>
              <w:rPr>
                <w:rFonts w:hint="eastAsia" w:cs="Times New Roman"/>
                <w:snapToGrid w:val="0"/>
                <w:color w:val="auto"/>
                <w:kern w:val="0"/>
                <w:sz w:val="24"/>
                <w:szCs w:val="21"/>
                <w:lang w:val="en-US" w:eastAsia="zh-CN" w:bidi="ar-SA"/>
              </w:rPr>
              <w:t>：</w:t>
            </w:r>
          </w:p>
          <w:p w14:paraId="146EDB47">
            <w:pPr>
              <w:pStyle w:val="2"/>
              <w:keepNext w:val="0"/>
              <w:keepLines w:val="0"/>
              <w:suppressLineNumbers w:val="0"/>
              <w:spacing w:before="0" w:beforeAutospacing="0" w:after="0" w:afterAutospacing="0"/>
              <w:ind w:left="0" w:right="0"/>
              <w:rPr>
                <w:rFonts w:hint="eastAsia" w:ascii="Times New Roman" w:hAnsi="Times New Roman" w:eastAsia="宋体" w:cs="Times New Roman"/>
                <w:snapToGrid w:val="0"/>
                <w:color w:val="auto"/>
                <w:kern w:val="0"/>
                <w:sz w:val="24"/>
                <w:szCs w:val="21"/>
                <w:lang w:val="en-US" w:eastAsia="zh-CN" w:bidi="ar-SA"/>
              </w:rPr>
            </w:pPr>
            <w:r>
              <w:rPr>
                <w:rFonts w:hint="eastAsia" w:cs="Times New Roman"/>
                <w:snapToGrid w:val="0"/>
                <w:color w:val="auto"/>
                <w:kern w:val="0"/>
                <w:sz w:val="24"/>
                <w:szCs w:val="21"/>
                <w:lang w:val="en-US" w:eastAsia="zh-CN" w:bidi="ar-SA"/>
              </w:rPr>
              <w:t>②</w:t>
            </w:r>
            <w:r>
              <w:rPr>
                <w:rFonts w:hint="eastAsia" w:ascii="Times New Roman" w:hAnsi="Times New Roman" w:eastAsia="宋体" w:cs="Times New Roman"/>
                <w:snapToGrid w:val="0"/>
                <w:color w:val="auto"/>
                <w:kern w:val="0"/>
                <w:sz w:val="24"/>
                <w:szCs w:val="21"/>
                <w:lang w:val="en-US" w:eastAsia="zh-CN" w:bidi="ar-SA"/>
              </w:rPr>
              <w:t>定期组织对放射诊疗工作场所、设备和人员进行放射防护检测、监测</w:t>
            </w:r>
            <w:r>
              <w:rPr>
                <w:rFonts w:hint="eastAsia" w:cs="Times New Roman"/>
                <w:snapToGrid w:val="0"/>
                <w:color w:val="auto"/>
                <w:kern w:val="0"/>
                <w:sz w:val="24"/>
                <w:szCs w:val="21"/>
                <w:lang w:val="en-US" w:eastAsia="zh-CN" w:bidi="ar-SA"/>
              </w:rPr>
              <w:t>；</w:t>
            </w:r>
          </w:p>
          <w:p w14:paraId="669A6CAF">
            <w:pPr>
              <w:pStyle w:val="2"/>
              <w:keepNext w:val="0"/>
              <w:keepLines w:val="0"/>
              <w:suppressLineNumbers w:val="0"/>
              <w:spacing w:before="0" w:beforeAutospacing="0" w:after="0" w:afterAutospacing="0"/>
              <w:ind w:left="0" w:right="0"/>
              <w:rPr>
                <w:rFonts w:hint="eastAsia" w:ascii="Times New Roman" w:hAnsi="Times New Roman" w:eastAsia="宋体" w:cs="Times New Roman"/>
                <w:snapToGrid w:val="0"/>
                <w:color w:val="auto"/>
                <w:kern w:val="0"/>
                <w:sz w:val="24"/>
                <w:szCs w:val="21"/>
                <w:lang w:val="en-US" w:eastAsia="zh-CN" w:bidi="ar-SA"/>
              </w:rPr>
            </w:pPr>
            <w:r>
              <w:rPr>
                <w:rFonts w:hint="eastAsia" w:cs="Times New Roman"/>
                <w:snapToGrid w:val="0"/>
                <w:color w:val="auto"/>
                <w:kern w:val="0"/>
                <w:sz w:val="24"/>
                <w:szCs w:val="21"/>
                <w:lang w:val="en-US" w:eastAsia="zh-CN" w:bidi="ar-SA"/>
              </w:rPr>
              <w:t>③</w:t>
            </w:r>
            <w:r>
              <w:rPr>
                <w:rFonts w:hint="eastAsia" w:ascii="Times New Roman" w:hAnsi="Times New Roman" w:eastAsia="宋体" w:cs="Times New Roman"/>
                <w:snapToGrid w:val="0"/>
                <w:color w:val="auto"/>
                <w:kern w:val="0"/>
                <w:sz w:val="24"/>
                <w:szCs w:val="21"/>
                <w:lang w:val="en-US" w:eastAsia="zh-CN" w:bidi="ar-SA"/>
              </w:rPr>
              <w:t>组织放射诊疗工作人员接受专业技术、放射防护知识及有关规定的培训和健康检查</w:t>
            </w:r>
            <w:r>
              <w:rPr>
                <w:rFonts w:hint="eastAsia" w:cs="Times New Roman"/>
                <w:snapToGrid w:val="0"/>
                <w:color w:val="auto"/>
                <w:kern w:val="0"/>
                <w:sz w:val="24"/>
                <w:szCs w:val="21"/>
                <w:lang w:val="en-US" w:eastAsia="zh-CN" w:bidi="ar-SA"/>
              </w:rPr>
              <w:t>；</w:t>
            </w:r>
          </w:p>
          <w:p w14:paraId="0633A13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color w:val="auto"/>
              </w:rPr>
            </w:pPr>
            <w:r>
              <w:rPr>
                <w:rFonts w:hint="eastAsia" w:cs="Times New Roman"/>
                <w:snapToGrid w:val="0"/>
                <w:color w:val="auto"/>
                <w:kern w:val="0"/>
                <w:sz w:val="24"/>
                <w:szCs w:val="21"/>
                <w:lang w:val="en-US" w:eastAsia="zh-CN" w:bidi="ar-SA"/>
              </w:rPr>
              <w:t>④</w:t>
            </w:r>
            <w:r>
              <w:rPr>
                <w:rFonts w:hint="eastAsia" w:ascii="Times New Roman" w:hAnsi="Times New Roman" w:eastAsia="宋体" w:cs="Times New Roman"/>
                <w:snapToGrid w:val="0"/>
                <w:color w:val="auto"/>
                <w:kern w:val="0"/>
                <w:sz w:val="24"/>
                <w:szCs w:val="21"/>
                <w:lang w:val="en-US" w:eastAsia="zh-CN" w:bidi="ar-SA"/>
              </w:rPr>
              <w:t>记录发生的辐射安全不良事件，并及时上报。</w:t>
            </w:r>
          </w:p>
          <w:p w14:paraId="313BAB6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snapToGrid w:val="0"/>
                <w:color w:val="auto"/>
                <w:kern w:val="0"/>
                <w:sz w:val="24"/>
                <w:szCs w:val="21"/>
                <w:lang w:val="en-US" w:eastAsia="zh-CN" w:bidi="ar-SA"/>
              </w:rPr>
              <w:t>医院现有的</w:t>
            </w:r>
            <w:r>
              <w:rPr>
                <w:rFonts w:hint="default" w:ascii="Times New Roman" w:hAnsi="Times New Roman" w:eastAsia="宋体" w:cs="Times New Roman"/>
                <w:snapToGrid w:val="0"/>
                <w:color w:val="auto"/>
                <w:kern w:val="0"/>
                <w:sz w:val="24"/>
                <w:szCs w:val="21"/>
                <w:lang w:val="en-US" w:eastAsia="zh-CN" w:bidi="ar-SA"/>
              </w:rPr>
              <w:t>辐射安全与环境保护</w:t>
            </w:r>
            <w:r>
              <w:rPr>
                <w:rFonts w:hint="eastAsia" w:ascii="Times New Roman" w:hAnsi="Times New Roman" w:eastAsia="宋体" w:cs="Times New Roman"/>
                <w:snapToGrid w:val="0"/>
                <w:color w:val="auto"/>
                <w:kern w:val="0"/>
                <w:sz w:val="24"/>
                <w:szCs w:val="21"/>
                <w:lang w:val="en-US" w:eastAsia="zh-CN" w:bidi="ar-SA"/>
              </w:rPr>
              <w:t>管理机构为辐射安全防护领导小组，符合《放射性同位素与射线装置安全许可管理办法》（2</w:t>
            </w:r>
            <w:r>
              <w:rPr>
                <w:rFonts w:hint="default" w:ascii="Times New Roman" w:hAnsi="Times New Roman" w:eastAsia="宋体" w:cs="Times New Roman"/>
                <w:snapToGrid w:val="0"/>
                <w:color w:val="auto"/>
                <w:kern w:val="0"/>
                <w:sz w:val="24"/>
                <w:szCs w:val="21"/>
                <w:lang w:val="en-US" w:eastAsia="zh-CN" w:bidi="ar-SA"/>
              </w:rPr>
              <w:t>021</w:t>
            </w:r>
            <w:r>
              <w:rPr>
                <w:rFonts w:hint="eastAsia" w:ascii="Times New Roman" w:hAnsi="Times New Roman" w:eastAsia="宋体" w:cs="Times New Roman"/>
                <w:snapToGrid w:val="0"/>
                <w:color w:val="auto"/>
                <w:kern w:val="0"/>
                <w:sz w:val="24"/>
                <w:szCs w:val="21"/>
                <w:lang w:val="en-US" w:eastAsia="zh-CN" w:bidi="ar-SA"/>
              </w:rPr>
              <w:t>年</w:t>
            </w:r>
            <w:r>
              <w:rPr>
                <w:rFonts w:hint="default" w:ascii="Times New Roman" w:hAnsi="Times New Roman" w:eastAsia="宋体" w:cs="Times New Roman"/>
                <w:snapToGrid w:val="0"/>
                <w:color w:val="auto"/>
                <w:kern w:val="0"/>
                <w:sz w:val="24"/>
                <w:szCs w:val="21"/>
                <w:lang w:val="en-US" w:eastAsia="zh-CN" w:bidi="ar-SA"/>
              </w:rPr>
              <w:t>1</w:t>
            </w:r>
            <w:r>
              <w:rPr>
                <w:rFonts w:hint="eastAsia" w:ascii="Times New Roman" w:hAnsi="Times New Roman" w:eastAsia="宋体" w:cs="Times New Roman"/>
                <w:snapToGrid w:val="0"/>
                <w:color w:val="auto"/>
                <w:kern w:val="0"/>
                <w:sz w:val="24"/>
                <w:szCs w:val="21"/>
                <w:lang w:val="en-US" w:eastAsia="zh-CN" w:bidi="ar-SA"/>
              </w:rPr>
              <w:t>月4日修订）中“使用Ⅰ类、Ⅱ类、Ⅲ类放射源，使用Ⅰ类、Ⅱ类射线装置的，应当设有专门的辐射安全与环境保护管理机构，或者至少有</w:t>
            </w:r>
            <w:r>
              <w:rPr>
                <w:rFonts w:hint="default" w:ascii="Times New Roman" w:hAnsi="Times New Roman" w:eastAsia="宋体" w:cs="Times New Roman"/>
                <w:snapToGrid w:val="0"/>
                <w:color w:val="auto"/>
                <w:kern w:val="0"/>
                <w:sz w:val="24"/>
                <w:szCs w:val="21"/>
                <w:lang w:val="en-US" w:eastAsia="zh-CN" w:bidi="ar-SA"/>
              </w:rPr>
              <w:t>1名具有本科</w:t>
            </w:r>
            <w:r>
              <w:rPr>
                <w:rFonts w:hint="eastAsia" w:ascii="Times New Roman" w:hAnsi="Times New Roman" w:eastAsia="宋体" w:cs="Times New Roman"/>
                <w:snapToGrid w:val="0"/>
                <w:color w:val="auto"/>
                <w:kern w:val="0"/>
                <w:sz w:val="24"/>
                <w:szCs w:val="21"/>
                <w:lang w:val="en-US" w:eastAsia="zh-CN" w:bidi="ar-SA"/>
              </w:rPr>
              <w:t>及</w:t>
            </w:r>
            <w:r>
              <w:rPr>
                <w:rFonts w:hint="default" w:ascii="Times New Roman" w:hAnsi="Times New Roman" w:eastAsia="宋体" w:cs="Times New Roman"/>
                <w:snapToGrid w:val="0"/>
                <w:color w:val="auto"/>
                <w:kern w:val="0"/>
                <w:sz w:val="24"/>
                <w:szCs w:val="21"/>
                <w:lang w:val="en-US" w:eastAsia="zh-CN" w:bidi="ar-SA"/>
              </w:rPr>
              <w:t>以上学历的技术人</w:t>
            </w:r>
            <w:r>
              <w:rPr>
                <w:rFonts w:hint="eastAsia" w:ascii="Times New Roman" w:hAnsi="Times New Roman" w:eastAsia="宋体" w:cs="Times New Roman"/>
                <w:snapToGrid w:val="0"/>
                <w:color w:val="auto"/>
                <w:kern w:val="0"/>
                <w:sz w:val="24"/>
                <w:szCs w:val="21"/>
                <w:lang w:val="en-US" w:eastAsia="zh-CN" w:bidi="ar-SA"/>
              </w:rPr>
              <w:t>员专职负责辐射安全与环境保护管理工作”的要求，可以满足医院日常</w:t>
            </w:r>
            <w:r>
              <w:rPr>
                <w:rFonts w:hint="eastAsia" w:ascii="Times New Roman" w:hAnsi="Times New Roman" w:eastAsia="宋体" w:cs="Times New Roman"/>
                <w:color w:val="auto"/>
                <w:kern w:val="2"/>
                <w:sz w:val="24"/>
                <w:szCs w:val="22"/>
                <w:lang w:val="en-US" w:eastAsia="zh-CN" w:bidi="ar-SA"/>
              </w:rPr>
              <w:t>辐射安全与环境保护管理的要求。</w:t>
            </w:r>
          </w:p>
          <w:p w14:paraId="738E075A">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（3）关于辐射安全与环境保护管理制度</w:t>
            </w:r>
          </w:p>
          <w:p w14:paraId="6425B13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寿县安康医院现已制定的辐射安全与环境保护管理制度包括：</w:t>
            </w:r>
            <w:r>
              <w:rPr>
                <w:rFonts w:hint="eastAsia" w:ascii="Times New Roman" w:hAnsi="Times New Roman" w:eastAsia="宋体" w:cs="Times New Roman"/>
                <w:color w:val="auto"/>
                <w:kern w:val="2"/>
                <w:sz w:val="24"/>
                <w:szCs w:val="24"/>
                <w:highlight w:val="none"/>
                <w:lang w:val="en-US" w:eastAsia="zh-CN" w:bidi="ar-SA"/>
              </w:rPr>
              <w:t>《放射工作人员从业和防护培训制度》《放射防护管理制度》《放射工作人员职业健康管理制度》《放射工作人员个人剂量监测制度》《放射科档案管理制度》《放射科工作人员岗位职责》《放射科工作制度》《影像质量保证方案》《辐射安全监测方案》《辐射事故应急预案》</w:t>
            </w:r>
            <w:r>
              <w:rPr>
                <w:rFonts w:hint="eastAsia" w:ascii="Times New Roman" w:hAnsi="Times New Roman" w:eastAsia="宋体" w:cs="Times New Roman"/>
                <w:snapToGrid w:val="0"/>
                <w:color w:val="auto"/>
                <w:kern w:val="0"/>
                <w:sz w:val="24"/>
                <w:szCs w:val="21"/>
                <w:lang w:val="en-US" w:eastAsia="zh-CN" w:bidi="ar-SA"/>
              </w:rPr>
              <w:t>等。</w:t>
            </w:r>
          </w:p>
          <w:p w14:paraId="404E83EC">
            <w:pPr>
              <w:keepNext w:val="0"/>
              <w:keepLines w:val="0"/>
              <w:widowControl w:val="0"/>
              <w:suppressLineNumbers w:val="0"/>
              <w:spacing w:before="0" w:beforeAutospacing="0" w:after="0" w:afterAutospacing="0" w:line="360" w:lineRule="auto"/>
              <w:ind w:left="0" w:right="0" w:firstLine="480" w:firstLineChars="200"/>
              <w:jc w:val="left"/>
              <w:rPr>
                <w:rFonts w:hint="default" w:cs="Times New Roman"/>
                <w:color w:val="auto"/>
                <w:highlight w:val="yellow"/>
              </w:rPr>
            </w:pPr>
            <w:r>
              <w:rPr>
                <w:rFonts w:hint="eastAsia" w:ascii="宋体" w:hAnsi="宋体" w:eastAsia="宋体" w:cs="宋体"/>
                <w:snapToGrid w:val="0"/>
                <w:color w:val="auto"/>
                <w:kern w:val="0"/>
                <w:sz w:val="24"/>
                <w:szCs w:val="24"/>
                <w:lang w:val="en-US" w:eastAsia="zh-CN" w:bidi="ar-SA"/>
              </w:rPr>
              <w:t>医院现有辐射安全管理制度基本能满足医院现有核技术应用项目的管理需要，基本符合《放射性同位素与射线装</w:t>
            </w:r>
            <w:r>
              <w:rPr>
                <w:rFonts w:hint="eastAsia" w:ascii="宋体" w:hAnsi="宋体" w:eastAsia="宋体" w:cs="宋体"/>
                <w:snapToGrid w:val="0"/>
                <w:color w:val="auto"/>
                <w:kern w:val="0"/>
                <w:sz w:val="24"/>
                <w:szCs w:val="24"/>
                <w:highlight w:val="none"/>
                <w:lang w:val="en-US" w:eastAsia="zh-CN" w:bidi="ar-SA"/>
              </w:rPr>
              <w:t>置安全许可管理办法》（2021年1月4日修订）中“应当有健全的岗位职责、辐射防护和安全保卫制度、设备检修维护制度、操作规程、人员培训</w:t>
            </w:r>
            <w:r>
              <w:rPr>
                <w:rFonts w:hint="eastAsia" w:ascii="宋体" w:hAnsi="宋体" w:eastAsia="宋体" w:cs="宋体"/>
                <w:color w:val="auto"/>
                <w:sz w:val="24"/>
                <w:szCs w:val="24"/>
                <w:highlight w:val="none"/>
              </w:rPr>
              <w:t>计划、监测方案、辐射事故应急措施”的要求。</w:t>
            </w:r>
            <w:r>
              <w:rPr>
                <w:rFonts w:hint="eastAsia" w:ascii="宋体" w:hAnsi="宋体" w:eastAsia="宋体" w:cs="宋体"/>
                <w:color w:val="auto"/>
                <w:sz w:val="24"/>
                <w:szCs w:val="24"/>
                <w:highlight w:val="none"/>
                <w:lang w:eastAsia="zh-CN"/>
              </w:rPr>
              <w:t>辐射安全防护管理规章制度汇编详见附件</w:t>
            </w:r>
            <w:r>
              <w:rPr>
                <w:rFonts w:hint="eastAsia" w:ascii="宋体" w:hAnsi="宋体" w:eastAsia="宋体" w:cs="宋体"/>
                <w:color w:val="auto"/>
                <w:sz w:val="24"/>
                <w:szCs w:val="24"/>
                <w:highlight w:val="none"/>
                <w:lang w:val="en-US" w:eastAsia="zh-CN"/>
              </w:rPr>
              <w:t>7</w:t>
            </w:r>
            <w:r>
              <w:rPr>
                <w:rFonts w:hint="eastAsia" w:cs="Times New Roman"/>
                <w:color w:val="auto"/>
                <w:highlight w:val="none"/>
                <w:lang w:eastAsia="zh-CN"/>
              </w:rPr>
              <w:t>。</w:t>
            </w:r>
          </w:p>
          <w:p w14:paraId="00445CFC">
            <w:pPr>
              <w:pStyle w:val="23"/>
              <w:keepNext w:val="0"/>
              <w:keepLines w:val="0"/>
              <w:suppressLineNumbers w:val="0"/>
              <w:spacing w:before="0" w:beforeAutospacing="0" w:after="0" w:afterAutospacing="0"/>
              <w:ind w:left="0" w:right="0" w:firstLine="480" w:firstLineChars="200"/>
              <w:rPr>
                <w:rFonts w:hint="eastAsia" w:eastAsia="宋体" w:cs="Times New Roman"/>
                <w:color w:val="auto"/>
                <w:lang w:eastAsia="zh-CN"/>
              </w:rPr>
            </w:pPr>
            <w:r>
              <w:rPr>
                <w:rFonts w:hint="eastAsia" w:cs="Times New Roman"/>
                <w:color w:val="auto"/>
              </w:rPr>
              <w:t>（4）关于辐射工作人员</w:t>
            </w:r>
            <w:r>
              <w:rPr>
                <w:rFonts w:hint="eastAsia" w:cs="Times New Roman"/>
                <w:color w:val="auto"/>
                <w:lang w:eastAsia="zh-CN"/>
              </w:rPr>
              <w:t>辐射安全与防护考核</w:t>
            </w:r>
          </w:p>
          <w:p w14:paraId="3BABB851">
            <w:pPr>
              <w:pStyle w:val="23"/>
              <w:keepNext w:val="0"/>
              <w:keepLines w:val="0"/>
              <w:suppressLineNumbers w:val="0"/>
              <w:spacing w:before="0" w:beforeAutospacing="0" w:after="0" w:afterAutospacing="0"/>
              <w:ind w:left="0" w:right="0" w:firstLine="480" w:firstLineChars="200"/>
              <w:rPr>
                <w:rFonts w:hint="eastAsia" w:eastAsia="宋体" w:cs="Times New Roman"/>
                <w:color w:val="auto"/>
                <w:lang w:eastAsia="zh-CN"/>
              </w:rPr>
            </w:pPr>
            <w:r>
              <w:rPr>
                <w:rFonts w:hint="eastAsia" w:cs="Times New Roman"/>
                <w:color w:val="auto"/>
              </w:rPr>
              <w:t>根据《中华人民共和国放射性污染防治法》和《放射性同位素与射线装置安全许可管理办法》（</w:t>
            </w:r>
            <w:r>
              <w:rPr>
                <w:rFonts w:hint="default" w:cs="Times New Roman"/>
                <w:color w:val="auto"/>
              </w:rPr>
              <w:t>2021年1月4日修订）</w:t>
            </w:r>
            <w:r>
              <w:rPr>
                <w:rFonts w:hint="eastAsia" w:cs="Times New Roman"/>
                <w:color w:val="auto"/>
                <w:lang w:eastAsia="zh-CN"/>
              </w:rPr>
              <w:t>的要求</w:t>
            </w:r>
            <w:r>
              <w:rPr>
                <w:rFonts w:hint="default" w:cs="Times New Roman"/>
                <w:color w:val="auto"/>
              </w:rPr>
              <w:t>，</w:t>
            </w:r>
            <w:r>
              <w:rPr>
                <w:rFonts w:hint="eastAsia" w:cs="Times New Roman"/>
                <w:color w:val="auto"/>
                <w:lang w:eastAsia="zh-CN"/>
              </w:rPr>
              <w:t>寿县安康医院为提高辐射工作人员的专业技能和知识，一直在积极组织辐射工作人员的培训与考核。</w:t>
            </w:r>
          </w:p>
          <w:p w14:paraId="180CE26D">
            <w:pPr>
              <w:pStyle w:val="23"/>
              <w:keepNext w:val="0"/>
              <w:keepLines w:val="0"/>
              <w:suppressLineNumbers w:val="0"/>
              <w:spacing w:before="0" w:beforeAutospacing="0" w:after="0" w:afterAutospacing="0"/>
              <w:ind w:left="0" w:right="0" w:firstLine="480" w:firstLineChars="200"/>
              <w:rPr>
                <w:rFonts w:hint="default" w:cs="Times New Roman"/>
                <w:color w:val="auto"/>
                <w:highlight w:val="none"/>
              </w:rPr>
            </w:pPr>
            <w:r>
              <w:rPr>
                <w:rFonts w:hint="eastAsia" w:cs="Times New Roman"/>
                <w:color w:val="auto"/>
                <w:highlight w:val="none"/>
              </w:rPr>
              <w:t>根据</w:t>
            </w:r>
            <w:r>
              <w:rPr>
                <w:rFonts w:hint="eastAsia" w:cs="Times New Roman"/>
                <w:color w:val="auto"/>
                <w:highlight w:val="none"/>
                <w:lang w:val="en-US" w:eastAsia="zh-CN"/>
              </w:rPr>
              <w:t>寿县安康医院</w:t>
            </w:r>
            <w:r>
              <w:rPr>
                <w:rFonts w:hint="eastAsia" w:cs="Times New Roman"/>
                <w:color w:val="auto"/>
                <w:highlight w:val="none"/>
              </w:rPr>
              <w:t>提供的资料，</w:t>
            </w:r>
            <w:r>
              <w:rPr>
                <w:rFonts w:hint="eastAsia" w:cs="Times New Roman"/>
                <w:color w:val="auto"/>
                <w:highlight w:val="none"/>
                <w:lang w:val="en-US" w:eastAsia="zh-CN"/>
              </w:rPr>
              <w:t>寿县安康医院</w:t>
            </w:r>
            <w:r>
              <w:rPr>
                <w:rFonts w:hint="eastAsia" w:cs="Times New Roman"/>
                <w:color w:val="auto"/>
                <w:highlight w:val="none"/>
              </w:rPr>
              <w:t>现有辐射工作人员</w:t>
            </w:r>
            <w:r>
              <w:rPr>
                <w:rFonts w:hint="eastAsia" w:cs="Times New Roman"/>
                <w:color w:val="auto"/>
                <w:highlight w:val="none"/>
                <w:lang w:val="en-US" w:eastAsia="zh-CN"/>
              </w:rPr>
              <w:t>8人</w:t>
            </w:r>
            <w:r>
              <w:rPr>
                <w:rFonts w:hint="eastAsia" w:cs="Times New Roman"/>
                <w:color w:val="auto"/>
                <w:highlight w:val="none"/>
              </w:rPr>
              <w:t>，均已</w:t>
            </w:r>
            <w:r>
              <w:rPr>
                <w:rFonts w:hint="eastAsia" w:cs="Times New Roman"/>
                <w:color w:val="auto"/>
                <w:highlight w:val="none"/>
                <w:lang w:eastAsia="zh-CN"/>
              </w:rPr>
              <w:t>通过考核，其中有</w:t>
            </w:r>
            <w:r>
              <w:rPr>
                <w:rFonts w:hint="eastAsia" w:cs="Times New Roman"/>
                <w:snapToGrid w:val="0"/>
                <w:color w:val="auto"/>
                <w:kern w:val="0"/>
                <w:sz w:val="24"/>
                <w:szCs w:val="21"/>
                <w:shd w:val="clear" w:color="auto" w:fill="auto"/>
                <w:lang w:val="en-US" w:eastAsia="zh-CN" w:bidi="ar-SA"/>
              </w:rPr>
              <w:t>6</w:t>
            </w:r>
            <w:r>
              <w:rPr>
                <w:rFonts w:hint="eastAsia" w:ascii="Times New Roman" w:hAnsi="Times New Roman" w:eastAsia="宋体" w:cs="Times New Roman"/>
                <w:snapToGrid w:val="0"/>
                <w:color w:val="auto"/>
                <w:kern w:val="0"/>
                <w:sz w:val="24"/>
                <w:szCs w:val="21"/>
                <w:shd w:val="clear" w:color="auto" w:fill="auto"/>
                <w:lang w:val="en-US" w:eastAsia="zh-CN" w:bidi="ar-SA"/>
              </w:rPr>
              <w:t>人已通过医院自主辐射安全与防护考核</w:t>
            </w:r>
            <w:r>
              <w:rPr>
                <w:rFonts w:hint="eastAsia" w:ascii="Times New Roman" w:hAnsi="Times New Roman" w:cs="Times New Roman"/>
                <w:snapToGrid w:val="0"/>
                <w:color w:val="auto"/>
                <w:kern w:val="0"/>
                <w:sz w:val="24"/>
                <w:szCs w:val="21"/>
                <w:shd w:val="clear" w:color="auto" w:fill="auto"/>
                <w:lang w:val="en-US" w:eastAsia="zh-CN" w:bidi="ar-SA"/>
              </w:rPr>
              <w:t>，</w:t>
            </w:r>
            <w:r>
              <w:rPr>
                <w:rFonts w:hint="eastAsia" w:cs="Times New Roman"/>
                <w:color w:val="auto"/>
                <w:highlight w:val="none"/>
                <w:lang w:val="en-US" w:eastAsia="zh-CN"/>
              </w:rPr>
              <w:t>2人</w:t>
            </w:r>
            <w:r>
              <w:rPr>
                <w:rFonts w:hint="eastAsia" w:ascii="Times New Roman" w:hAnsi="Times New Roman" w:eastAsia="宋体" w:cs="Times New Roman"/>
                <w:snapToGrid w:val="0"/>
                <w:color w:val="auto"/>
                <w:kern w:val="0"/>
                <w:sz w:val="24"/>
                <w:szCs w:val="21"/>
                <w:shd w:val="clear" w:color="auto" w:fill="auto"/>
                <w:lang w:val="en-US" w:eastAsia="zh-CN" w:bidi="ar-SA"/>
              </w:rPr>
              <w:t>参加并通过</w:t>
            </w:r>
            <w:r>
              <w:rPr>
                <w:rFonts w:hint="eastAsia" w:ascii="Times New Roman" w:hAnsi="Times New Roman" w:eastAsia="宋体" w:cs="Times New Roman"/>
                <w:snapToGrid w:val="0"/>
                <w:color w:val="auto"/>
                <w:kern w:val="0"/>
                <w:sz w:val="24"/>
                <w:szCs w:val="21"/>
                <w:highlight w:val="none"/>
                <w:shd w:val="clear" w:color="auto" w:fill="auto"/>
                <w:lang w:val="en-US" w:eastAsia="zh-CN" w:bidi="ar-SA"/>
              </w:rPr>
              <w:t>辐射安全与防护考核</w:t>
            </w:r>
            <w:r>
              <w:rPr>
                <w:rFonts w:hint="eastAsia" w:cs="Times New Roman"/>
                <w:color w:val="auto"/>
                <w:highlight w:val="none"/>
              </w:rPr>
              <w:t>。</w:t>
            </w:r>
          </w:p>
          <w:p w14:paraId="299B7C09">
            <w:pPr>
              <w:pStyle w:val="23"/>
              <w:keepNext w:val="0"/>
              <w:keepLines w:val="0"/>
              <w:suppressLineNumbers w:val="0"/>
              <w:spacing w:before="0" w:beforeAutospacing="0" w:after="0" w:afterAutospacing="0"/>
              <w:ind w:left="0" w:right="0" w:firstLine="480" w:firstLineChars="200"/>
              <w:rPr>
                <w:rFonts w:hint="eastAsia" w:eastAsia="宋体" w:cs="Times New Roman"/>
                <w:color w:val="auto"/>
                <w:lang w:eastAsia="zh-CN"/>
              </w:rPr>
            </w:pPr>
            <w:r>
              <w:rPr>
                <w:rFonts w:hint="eastAsia" w:cs="Times New Roman"/>
                <w:color w:val="auto"/>
                <w:lang w:eastAsia="zh-CN"/>
              </w:rPr>
              <w:t>（</w:t>
            </w:r>
            <w:r>
              <w:rPr>
                <w:rFonts w:hint="eastAsia" w:cs="Times New Roman"/>
                <w:color w:val="auto"/>
                <w:lang w:val="en-US" w:eastAsia="zh-CN"/>
              </w:rPr>
              <w:t>5</w:t>
            </w:r>
            <w:r>
              <w:rPr>
                <w:rFonts w:hint="eastAsia" w:cs="Times New Roman"/>
                <w:color w:val="auto"/>
                <w:lang w:eastAsia="zh-CN"/>
              </w:rPr>
              <w:t>）关于个人剂量检测</w:t>
            </w:r>
          </w:p>
          <w:p w14:paraId="5F0D5054">
            <w:pPr>
              <w:pStyle w:val="23"/>
              <w:keepNext w:val="0"/>
              <w:keepLines w:val="0"/>
              <w:suppressLineNumbers w:val="0"/>
              <w:spacing w:before="0" w:beforeAutospacing="0" w:after="0" w:afterAutospacing="0"/>
              <w:ind w:left="0" w:right="0" w:firstLine="480" w:firstLineChars="200"/>
              <w:rPr>
                <w:rFonts w:hint="eastAsia" w:cs="Times New Roman"/>
                <w:color w:val="auto"/>
              </w:rPr>
            </w:pPr>
            <w:r>
              <w:rPr>
                <w:rFonts w:hint="eastAsia" w:cs="Times New Roman"/>
                <w:color w:val="auto"/>
              </w:rPr>
              <w:t>为加强辐射工作人员个人剂量管理，医院已将个人剂量监测仪佩戴规定印发给各科室并进行学习，要求所有辐射工作人员在从事放射工作时按规定正确佩戴个人剂量计。</w:t>
            </w:r>
            <w:r>
              <w:rPr>
                <w:rFonts w:hint="eastAsia" w:cs="Times New Roman"/>
                <w:color w:val="auto"/>
                <w:highlight w:val="none"/>
              </w:rPr>
              <w:t>医院</w:t>
            </w:r>
            <w:r>
              <w:rPr>
                <w:rFonts w:hint="eastAsia" w:cs="Times New Roman"/>
                <w:color w:val="auto"/>
                <w:highlight w:val="none"/>
                <w:lang w:val="en-US" w:eastAsia="zh-CN"/>
              </w:rPr>
              <w:t>的</w:t>
            </w:r>
            <w:r>
              <w:rPr>
                <w:rFonts w:hint="eastAsia" w:cs="Times New Roman"/>
                <w:color w:val="auto"/>
                <w:highlight w:val="none"/>
              </w:rPr>
              <w:t>个人剂量计每季度委托</w:t>
            </w:r>
            <w:r>
              <w:rPr>
                <w:rFonts w:hint="eastAsia" w:cs="Times New Roman"/>
                <w:color w:val="auto"/>
                <w:highlight w:val="none"/>
                <w:lang w:val="en-US" w:eastAsia="zh-CN"/>
              </w:rPr>
              <w:t>合肥金浩峰检测研究院有限公司</w:t>
            </w:r>
            <w:r>
              <w:rPr>
                <w:rFonts w:hint="eastAsia" w:cs="Times New Roman"/>
                <w:color w:val="auto"/>
                <w:highlight w:val="none"/>
              </w:rPr>
              <w:t>进行统一检测。根据医院提供辐射工作人员</w:t>
            </w:r>
            <w:r>
              <w:rPr>
                <w:rFonts w:hint="eastAsia" w:cs="Times New Roman"/>
                <w:color w:val="auto"/>
                <w:highlight w:val="none"/>
                <w:lang w:val="en-US" w:eastAsia="zh-CN"/>
              </w:rPr>
              <w:t>2023年6月至2024年6月</w:t>
            </w:r>
            <w:r>
              <w:rPr>
                <w:rFonts w:hint="eastAsia" w:cs="Times New Roman"/>
                <w:color w:val="auto"/>
                <w:highlight w:val="none"/>
              </w:rPr>
              <w:t>年度个人剂量检测报告</w:t>
            </w:r>
            <w:r>
              <w:rPr>
                <w:rFonts w:hint="eastAsia" w:cs="Times New Roman"/>
                <w:color w:val="auto"/>
                <w:highlight w:val="none"/>
                <w:lang w:val="en-US" w:eastAsia="zh-CN"/>
              </w:rPr>
              <w:t>。</w:t>
            </w:r>
            <w:r>
              <w:rPr>
                <w:rFonts w:hint="eastAsia" w:cs="Times New Roman"/>
                <w:color w:val="auto"/>
                <w:highlight w:val="none"/>
              </w:rPr>
              <w:t>2</w:t>
            </w:r>
            <w:r>
              <w:rPr>
                <w:rFonts w:hint="default" w:cs="Times New Roman"/>
                <w:color w:val="auto"/>
                <w:highlight w:val="none"/>
              </w:rPr>
              <w:t>02</w:t>
            </w:r>
            <w:r>
              <w:rPr>
                <w:rFonts w:hint="eastAsia" w:cs="Times New Roman"/>
                <w:color w:val="auto"/>
                <w:highlight w:val="none"/>
                <w:lang w:val="en-US" w:eastAsia="zh-CN"/>
              </w:rPr>
              <w:t>3-2024</w:t>
            </w:r>
            <w:r>
              <w:rPr>
                <w:rFonts w:hint="eastAsia" w:cs="Times New Roman"/>
                <w:color w:val="auto"/>
                <w:highlight w:val="none"/>
              </w:rPr>
              <w:t>年度所有</w:t>
            </w:r>
            <w:r>
              <w:rPr>
                <w:rFonts w:hint="eastAsia" w:cs="Times New Roman"/>
                <w:color w:val="auto"/>
                <w:highlight w:val="none"/>
                <w:lang w:val="en-US" w:eastAsia="zh-CN"/>
              </w:rPr>
              <w:t>参加</w:t>
            </w:r>
            <w:r>
              <w:rPr>
                <w:rFonts w:hint="eastAsia" w:cs="Times New Roman"/>
                <w:color w:val="auto"/>
                <w:highlight w:val="none"/>
              </w:rPr>
              <w:t>辐射工作</w:t>
            </w:r>
            <w:r>
              <w:rPr>
                <w:rFonts w:hint="eastAsia" w:cs="Times New Roman"/>
                <w:color w:val="auto"/>
                <w:highlight w:val="none"/>
                <w:lang w:eastAsia="zh-CN"/>
              </w:rPr>
              <w:t>的</w:t>
            </w:r>
            <w:r>
              <w:rPr>
                <w:rFonts w:hint="eastAsia" w:cs="Times New Roman"/>
                <w:color w:val="auto"/>
                <w:highlight w:val="none"/>
              </w:rPr>
              <w:t>人员个人剂量均未超过剂量管理限值</w:t>
            </w:r>
            <w:r>
              <w:rPr>
                <w:rFonts w:hint="eastAsia" w:cs="Times New Roman"/>
                <w:color w:val="auto"/>
                <w:highlight w:val="none"/>
                <w:lang w:eastAsia="zh-CN"/>
              </w:rPr>
              <w:t>，</w:t>
            </w:r>
            <w:r>
              <w:rPr>
                <w:rFonts w:hint="eastAsia" w:cs="Times New Roman"/>
                <w:color w:val="auto"/>
                <w:highlight w:val="none"/>
                <w:lang w:val="en-US" w:eastAsia="zh-CN"/>
              </w:rPr>
              <w:t>详见附件8</w:t>
            </w:r>
            <w:r>
              <w:rPr>
                <w:rFonts w:hint="eastAsia" w:cs="Times New Roman"/>
                <w:color w:val="auto"/>
              </w:rPr>
              <w:t>。</w:t>
            </w:r>
          </w:p>
          <w:p w14:paraId="276DA19C">
            <w:pPr>
              <w:pStyle w:val="23"/>
              <w:keepNext w:val="0"/>
              <w:keepLines w:val="0"/>
              <w:suppressLineNumbers w:val="0"/>
              <w:spacing w:before="0" w:beforeAutospacing="0" w:after="0" w:afterAutospacing="0"/>
              <w:ind w:left="0" w:right="0" w:firstLine="480" w:firstLineChars="200"/>
              <w:rPr>
                <w:rFonts w:hint="eastAsia" w:cs="Times New Roman"/>
                <w:color w:val="auto"/>
              </w:rPr>
            </w:pPr>
            <w:r>
              <w:rPr>
                <w:rFonts w:hint="eastAsia" w:cs="Times New Roman"/>
                <w:color w:val="auto"/>
                <w:lang w:eastAsia="zh-CN"/>
              </w:rPr>
              <w:t>（</w:t>
            </w:r>
            <w:r>
              <w:rPr>
                <w:rFonts w:hint="eastAsia" w:cs="Times New Roman"/>
                <w:color w:val="auto"/>
                <w:lang w:val="en-US" w:eastAsia="zh-CN"/>
              </w:rPr>
              <w:t>6</w:t>
            </w:r>
            <w:r>
              <w:rPr>
                <w:rFonts w:hint="eastAsia" w:cs="Times New Roman"/>
                <w:color w:val="auto"/>
                <w:lang w:eastAsia="zh-CN"/>
              </w:rPr>
              <w:t>）关于职业健康体检</w:t>
            </w:r>
          </w:p>
          <w:p w14:paraId="3BA71779">
            <w:pPr>
              <w:pStyle w:val="23"/>
              <w:keepNext w:val="0"/>
              <w:keepLines w:val="0"/>
              <w:suppressLineNumbers w:val="0"/>
              <w:spacing w:before="0" w:beforeAutospacing="0" w:after="0" w:afterAutospacing="0"/>
              <w:ind w:left="0" w:right="0" w:firstLine="480" w:firstLineChars="200"/>
              <w:rPr>
                <w:rFonts w:hint="default" w:cs="Times New Roman"/>
                <w:color w:val="auto"/>
                <w:highlight w:val="none"/>
              </w:rPr>
            </w:pPr>
            <w:r>
              <w:rPr>
                <w:rFonts w:hint="eastAsia" w:cs="Times New Roman"/>
                <w:color w:val="auto"/>
                <w:lang w:eastAsia="zh-CN"/>
              </w:rPr>
              <w:t>医院</w:t>
            </w:r>
            <w:r>
              <w:rPr>
                <w:rFonts w:hint="eastAsia" w:cs="Times New Roman"/>
                <w:color w:val="auto"/>
              </w:rPr>
              <w:t>已制定</w:t>
            </w:r>
            <w:r>
              <w:rPr>
                <w:rFonts w:hint="eastAsia" w:cs="Times New Roman"/>
                <w:color w:val="auto"/>
                <w:highlight w:val="none"/>
              </w:rPr>
              <w:t>《</w:t>
            </w:r>
            <w:r>
              <w:rPr>
                <w:rFonts w:hint="eastAsia" w:ascii="Times New Roman" w:hAnsi="Times New Roman" w:eastAsia="宋体" w:cs="Times New Roman"/>
                <w:color w:val="auto"/>
                <w:kern w:val="2"/>
                <w:sz w:val="24"/>
                <w:szCs w:val="24"/>
                <w:highlight w:val="none"/>
                <w:lang w:val="en-US" w:eastAsia="zh-CN" w:bidi="ar-SA"/>
              </w:rPr>
              <w:t>放射工作人员职业健康管理制度</w:t>
            </w:r>
            <w:r>
              <w:rPr>
                <w:rFonts w:hint="eastAsia" w:cs="Times New Roman"/>
                <w:color w:val="auto"/>
                <w:highlight w:val="none"/>
              </w:rPr>
              <w:t>》，制度规定辐射工作人员上岗前、</w:t>
            </w:r>
            <w:r>
              <w:rPr>
                <w:rFonts w:hint="eastAsia" w:cs="Times New Roman"/>
                <w:color w:val="auto"/>
                <w:highlight w:val="none"/>
                <w:lang w:eastAsia="zh-CN"/>
              </w:rPr>
              <w:t>离岗时</w:t>
            </w:r>
            <w:r>
              <w:rPr>
                <w:rFonts w:hint="eastAsia" w:cs="Times New Roman"/>
                <w:color w:val="auto"/>
                <w:highlight w:val="none"/>
              </w:rPr>
              <w:t>以及在岗</w:t>
            </w:r>
            <w:r>
              <w:rPr>
                <w:rFonts w:hint="eastAsia" w:cs="Times New Roman"/>
                <w:color w:val="auto"/>
                <w:highlight w:val="none"/>
                <w:lang w:eastAsia="zh-CN"/>
              </w:rPr>
              <w:t>期间</w:t>
            </w:r>
            <w:r>
              <w:rPr>
                <w:rFonts w:hint="eastAsia" w:cs="Times New Roman"/>
                <w:color w:val="auto"/>
                <w:highlight w:val="none"/>
              </w:rPr>
              <w:t>均应按要求进行职业健康检查，两次检查的时间间隔不应超过2年，对职业健康检查中发现不宜从事辐射工作的人员应及时调整工作岗位。</w:t>
            </w:r>
          </w:p>
          <w:p w14:paraId="02CDAE81">
            <w:pPr>
              <w:pStyle w:val="23"/>
              <w:keepNext w:val="0"/>
              <w:keepLines w:val="0"/>
              <w:suppressLineNumbers w:val="0"/>
              <w:spacing w:before="0" w:beforeAutospacing="0" w:after="0" w:afterAutospacing="0"/>
              <w:ind w:left="0" w:right="0" w:firstLine="480" w:firstLineChars="200"/>
              <w:rPr>
                <w:rFonts w:hint="default" w:eastAsia="宋体" w:cs="Times New Roman"/>
                <w:color w:val="auto"/>
                <w:highlight w:val="none"/>
                <w:lang w:val="en-US" w:eastAsia="zh-CN"/>
              </w:rPr>
            </w:pPr>
            <w:r>
              <w:rPr>
                <w:rFonts w:hint="eastAsia" w:cs="Times New Roman"/>
                <w:color w:val="auto"/>
                <w:highlight w:val="none"/>
                <w:lang w:eastAsia="zh-CN"/>
              </w:rPr>
              <w:t>医院</w:t>
            </w:r>
            <w:r>
              <w:rPr>
                <w:rFonts w:hint="eastAsia" w:cs="Times New Roman"/>
                <w:color w:val="auto"/>
                <w:highlight w:val="none"/>
              </w:rPr>
              <w:t>现有辐射工作人员</w:t>
            </w:r>
            <w:r>
              <w:rPr>
                <w:rFonts w:hint="eastAsia" w:cs="Times New Roman"/>
                <w:color w:val="auto"/>
                <w:highlight w:val="none"/>
                <w:lang w:val="en-US" w:eastAsia="zh-CN"/>
              </w:rPr>
              <w:t>8人</w:t>
            </w:r>
            <w:r>
              <w:rPr>
                <w:rFonts w:hint="eastAsia" w:cs="Times New Roman"/>
                <w:color w:val="auto"/>
                <w:highlight w:val="none"/>
              </w:rPr>
              <w:t>，均已</w:t>
            </w:r>
            <w:r>
              <w:rPr>
                <w:rFonts w:hint="eastAsia" w:cs="Times New Roman"/>
                <w:color w:val="auto"/>
                <w:highlight w:val="none"/>
                <w:lang w:eastAsia="zh-CN"/>
              </w:rPr>
              <w:t>参加职业健康体检，</w:t>
            </w:r>
            <w:r>
              <w:rPr>
                <w:rFonts w:hint="eastAsia" w:cs="Times New Roman"/>
                <w:color w:val="auto"/>
                <w:highlight w:val="none"/>
                <w:lang w:val="en-US" w:eastAsia="zh-CN"/>
              </w:rPr>
              <w:t>结果均为</w:t>
            </w:r>
            <w:r>
              <w:rPr>
                <w:rFonts w:hint="eastAsia" w:cs="Times New Roman"/>
                <w:color w:val="auto"/>
                <w:highlight w:val="none"/>
                <w:lang w:eastAsia="zh-CN"/>
              </w:rPr>
              <w:t>可以继续从事放射工作，</w:t>
            </w:r>
            <w:r>
              <w:rPr>
                <w:rFonts w:hint="eastAsia" w:cs="Times New Roman"/>
                <w:color w:val="auto"/>
                <w:highlight w:val="none"/>
                <w:lang w:val="en-US" w:eastAsia="zh-CN"/>
              </w:rPr>
              <w:t>详见附件8。寿县安康医院</w:t>
            </w:r>
            <w:r>
              <w:rPr>
                <w:rFonts w:hint="eastAsia" w:cs="Times New Roman"/>
                <w:color w:val="auto"/>
                <w:highlight w:val="none"/>
                <w:lang w:eastAsia="zh-CN"/>
              </w:rPr>
              <w:t>辐射工作人员情况</w:t>
            </w:r>
            <w:r>
              <w:rPr>
                <w:rFonts w:hint="eastAsia" w:cs="Times New Roman"/>
                <w:color w:val="auto"/>
                <w:highlight w:val="none"/>
                <w:lang w:val="en-US" w:eastAsia="zh-CN"/>
              </w:rPr>
              <w:t>一览表详见下表1-6。</w:t>
            </w:r>
          </w:p>
          <w:p w14:paraId="6EDB9FCD">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w:t>
            </w:r>
            <w:r>
              <w:rPr>
                <w:rFonts w:hint="eastAsia" w:cs="Times New Roman"/>
                <w:color w:val="auto"/>
                <w:lang w:val="en-US" w:eastAsia="zh-CN"/>
              </w:rPr>
              <w:t>7</w:t>
            </w:r>
            <w:r>
              <w:rPr>
                <w:rFonts w:hint="eastAsia" w:cs="Times New Roman"/>
                <w:color w:val="auto"/>
              </w:rPr>
              <w:t>）关于</w:t>
            </w:r>
            <w:bookmarkStart w:id="9" w:name="_Hlk58057035"/>
            <w:r>
              <w:rPr>
                <w:rFonts w:hint="eastAsia" w:cs="Times New Roman"/>
                <w:color w:val="auto"/>
              </w:rPr>
              <w:t>年度安全状况评估</w:t>
            </w:r>
          </w:p>
          <w:bookmarkEnd w:id="9"/>
          <w:p w14:paraId="49DC29D8">
            <w:pPr>
              <w:pStyle w:val="23"/>
              <w:keepNext w:val="0"/>
              <w:keepLines w:val="0"/>
              <w:suppressLineNumbers w:val="0"/>
              <w:spacing w:before="0" w:beforeAutospacing="0" w:after="0" w:afterAutospacing="0"/>
              <w:ind w:left="0" w:right="0" w:firstLine="480" w:firstLineChars="200"/>
              <w:rPr>
                <w:rFonts w:hint="eastAsia" w:cs="Times New Roman"/>
                <w:color w:val="auto"/>
              </w:rPr>
            </w:pPr>
            <w:r>
              <w:rPr>
                <w:rFonts w:hint="eastAsia" w:cs="Times New Roman"/>
                <w:color w:val="auto"/>
              </w:rPr>
              <w:t>根据</w:t>
            </w:r>
            <w:r>
              <w:rPr>
                <w:rFonts w:hint="default" w:cs="Times New Roman"/>
                <w:color w:val="auto"/>
              </w:rPr>
              <w:t>《放射性同位素与射线装置安全许可管理办法》</w:t>
            </w:r>
            <w:r>
              <w:rPr>
                <w:rFonts w:hint="eastAsia" w:cs="Times New Roman"/>
                <w:color w:val="auto"/>
              </w:rPr>
              <w:t>（2</w:t>
            </w:r>
            <w:r>
              <w:rPr>
                <w:rFonts w:hint="default" w:cs="Times New Roman"/>
                <w:color w:val="auto"/>
              </w:rPr>
              <w:t>021</w:t>
            </w:r>
            <w:r>
              <w:rPr>
                <w:rFonts w:hint="eastAsia" w:cs="Times New Roman"/>
                <w:color w:val="auto"/>
              </w:rPr>
              <w:t>年1月4日修订）</w:t>
            </w:r>
            <w:r>
              <w:rPr>
                <w:rFonts w:hint="default" w:cs="Times New Roman"/>
                <w:color w:val="auto"/>
              </w:rPr>
              <w:t>的要求</w:t>
            </w:r>
            <w:r>
              <w:rPr>
                <w:rFonts w:hint="eastAsia" w:cs="Times New Roman"/>
                <w:color w:val="auto"/>
              </w:rPr>
              <w:t>，</w:t>
            </w:r>
            <w:r>
              <w:rPr>
                <w:rFonts w:hint="eastAsia" w:cs="Times New Roman"/>
                <w:color w:val="auto"/>
                <w:highlight w:val="none"/>
                <w:lang w:val="en-US" w:eastAsia="zh-CN"/>
              </w:rPr>
              <w:t>寿县安康医院应于每年1月31日</w:t>
            </w:r>
            <w:r>
              <w:rPr>
                <w:rFonts w:hint="eastAsia" w:ascii="Times New Roman" w:hAnsi="Times New Roman" w:eastAsia="宋体" w:cs="Times New Roman"/>
                <w:snapToGrid w:val="0"/>
                <w:color w:val="auto"/>
                <w:kern w:val="0"/>
                <w:sz w:val="24"/>
                <w:szCs w:val="21"/>
                <w:highlight w:val="none"/>
                <w:lang w:val="en-US" w:eastAsia="zh-CN" w:bidi="ar-SA"/>
              </w:rPr>
              <w:t>前填</w:t>
            </w:r>
            <w:r>
              <w:rPr>
                <w:rFonts w:hint="default" w:ascii="Times New Roman" w:hAnsi="Times New Roman" w:eastAsia="宋体" w:cs="Times New Roman"/>
                <w:snapToGrid w:val="0"/>
                <w:color w:val="auto"/>
                <w:kern w:val="0"/>
                <w:sz w:val="24"/>
                <w:szCs w:val="21"/>
                <w:highlight w:val="none"/>
                <w:lang w:val="en-US" w:eastAsia="zh-CN" w:bidi="ar-SA"/>
              </w:rPr>
              <w:t>报</w:t>
            </w:r>
            <w:r>
              <w:rPr>
                <w:rFonts w:hint="eastAsia" w:ascii="Times New Roman" w:hAnsi="Times New Roman" w:eastAsia="宋体" w:cs="Times New Roman"/>
                <w:snapToGrid w:val="0"/>
                <w:color w:val="auto"/>
                <w:kern w:val="0"/>
                <w:sz w:val="24"/>
                <w:szCs w:val="21"/>
                <w:highlight w:val="none"/>
                <w:lang w:val="en-US" w:eastAsia="zh-CN" w:bidi="ar-SA"/>
              </w:rPr>
              <w:t>上一年</w:t>
            </w:r>
            <w:r>
              <w:rPr>
                <w:rFonts w:hint="default" w:ascii="Times New Roman" w:hAnsi="Times New Roman" w:eastAsia="宋体" w:cs="Times New Roman"/>
                <w:snapToGrid w:val="0"/>
                <w:color w:val="auto"/>
                <w:kern w:val="0"/>
                <w:sz w:val="24"/>
                <w:szCs w:val="21"/>
                <w:highlight w:val="none"/>
                <w:lang w:val="en-US" w:eastAsia="zh-CN" w:bidi="ar-SA"/>
              </w:rPr>
              <w:t>度</w:t>
            </w:r>
            <w:r>
              <w:rPr>
                <w:rFonts w:hint="eastAsia" w:cs="Times New Roman"/>
                <w:color w:val="auto"/>
                <w:highlight w:val="none"/>
              </w:rPr>
              <w:t>核技术利用单位放射性同</w:t>
            </w:r>
            <w:r>
              <w:rPr>
                <w:rFonts w:hint="eastAsia" w:cs="Times New Roman"/>
                <w:color w:val="auto"/>
              </w:rPr>
              <w:t>位素与射线装置安全和防护状况</w:t>
            </w:r>
            <w:r>
              <w:rPr>
                <w:rFonts w:hint="default" w:cs="Times New Roman"/>
                <w:color w:val="auto"/>
              </w:rPr>
              <w:t>评估报告</w:t>
            </w:r>
            <w:r>
              <w:rPr>
                <w:rFonts w:hint="eastAsia" w:cs="Times New Roman"/>
                <w:color w:val="auto"/>
              </w:rPr>
              <w:t>并上传至全国核技术利用辐射安全申报系统。</w:t>
            </w:r>
          </w:p>
          <w:p w14:paraId="18AB6BE5">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w:t>
            </w:r>
            <w:r>
              <w:rPr>
                <w:rFonts w:hint="eastAsia" w:cs="Times New Roman"/>
                <w:color w:val="auto"/>
                <w:lang w:val="en-US" w:eastAsia="zh-CN"/>
              </w:rPr>
              <w:t>8</w:t>
            </w:r>
            <w:r>
              <w:rPr>
                <w:rFonts w:hint="eastAsia" w:cs="Times New Roman"/>
                <w:color w:val="auto"/>
              </w:rPr>
              <w:t>）关于工作场所放射防护监测</w:t>
            </w:r>
          </w:p>
          <w:p w14:paraId="2BA7CF89">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lang w:val="en-US" w:eastAsia="zh-CN"/>
              </w:rPr>
              <w:t>寿县安康医院</w:t>
            </w:r>
            <w:r>
              <w:rPr>
                <w:rFonts w:hint="eastAsia" w:cs="Times New Roman"/>
                <w:color w:val="auto"/>
              </w:rPr>
              <w:t>对全院核技术利用工作场所的设施安全和防护以及设备的运行、工作场所内外的环境每月进行督查，结果表明，各辐射工作场所安全联锁装置、工作指示信号灯工作正常，所有工作场所均设置有电离辐射警示标志。</w:t>
            </w:r>
          </w:p>
          <w:p w14:paraId="7340A7A0">
            <w:pPr>
              <w:pStyle w:val="23"/>
              <w:keepNext w:val="0"/>
              <w:keepLines w:val="0"/>
              <w:suppressLineNumbers w:val="0"/>
              <w:spacing w:before="0" w:beforeAutospacing="0" w:after="0" w:afterAutospacing="0"/>
              <w:ind w:left="0" w:right="0" w:firstLine="480" w:firstLineChars="200"/>
              <w:rPr>
                <w:rFonts w:hint="default" w:cs="Times New Roman"/>
                <w:color w:val="auto"/>
                <w:lang w:val="en-US" w:eastAsia="zh-CN"/>
              </w:rPr>
            </w:pPr>
            <w:r>
              <w:rPr>
                <w:rFonts w:hint="eastAsia" w:cs="Times New Roman"/>
                <w:color w:val="auto"/>
                <w:highlight w:val="none"/>
                <w:lang w:val="en-US" w:eastAsia="zh-CN"/>
              </w:rPr>
              <w:t>2023</w:t>
            </w:r>
            <w:r>
              <w:rPr>
                <w:rFonts w:hint="eastAsia" w:cs="Times New Roman"/>
                <w:color w:val="auto"/>
                <w:highlight w:val="none"/>
              </w:rPr>
              <w:t>年</w:t>
            </w:r>
            <w:r>
              <w:rPr>
                <w:rFonts w:hint="eastAsia" w:cs="Times New Roman"/>
                <w:color w:val="auto"/>
                <w:highlight w:val="none"/>
                <w:lang w:val="en-US" w:eastAsia="zh-CN"/>
              </w:rPr>
              <w:t>寿县安康医院</w:t>
            </w:r>
            <w:r>
              <w:rPr>
                <w:rFonts w:hint="eastAsia" w:cs="Times New Roman"/>
                <w:color w:val="auto"/>
                <w:highlight w:val="none"/>
              </w:rPr>
              <w:t>委托</w:t>
            </w:r>
            <w:r>
              <w:rPr>
                <w:rFonts w:hint="eastAsia" w:cs="Times New Roman"/>
                <w:color w:val="auto"/>
                <w:highlight w:val="none"/>
                <w:lang w:val="en-US" w:eastAsia="zh-CN"/>
              </w:rPr>
              <w:t>合肥金浩峰检测研究院有限公司</w:t>
            </w:r>
            <w:r>
              <w:rPr>
                <w:rFonts w:hint="eastAsia" w:cs="Times New Roman"/>
                <w:color w:val="auto"/>
                <w:highlight w:val="none"/>
              </w:rPr>
              <w:t>对</w:t>
            </w:r>
            <w:r>
              <w:rPr>
                <w:rFonts w:hint="eastAsia" w:cs="Times New Roman"/>
                <w:color w:val="auto"/>
              </w:rPr>
              <w:t>医院辐射工作场所防护进行检测</w:t>
            </w:r>
            <w:r>
              <w:rPr>
                <w:rFonts w:hint="eastAsia" w:cs="Times New Roman"/>
                <w:color w:val="auto"/>
                <w:lang w:eastAsia="zh-CN"/>
              </w:rPr>
              <w:t>，</w:t>
            </w:r>
            <w:r>
              <w:rPr>
                <w:rFonts w:hint="eastAsia" w:cs="Times New Roman"/>
                <w:color w:val="auto"/>
                <w:lang w:val="en-US" w:eastAsia="zh-CN"/>
              </w:rPr>
              <w:t>检测结果统计详见下表1-4。</w:t>
            </w:r>
          </w:p>
          <w:p w14:paraId="2935C54F">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eastAsia="宋体" w:cs="Times New Roman"/>
                <w:b/>
                <w:bCs/>
                <w:color w:val="auto"/>
                <w:lang w:val="en-US" w:eastAsia="zh-CN"/>
              </w:rPr>
            </w:pPr>
            <w:r>
              <w:rPr>
                <w:rFonts w:hint="eastAsia" w:cs="Times New Roman"/>
                <w:b/>
                <w:bCs/>
                <w:color w:val="auto"/>
                <w:lang w:val="en-US" w:eastAsia="zh-CN"/>
              </w:rPr>
              <w:t xml:space="preserve">表1-4  </w:t>
            </w:r>
            <w:r>
              <w:rPr>
                <w:rFonts w:hint="eastAsia" w:cs="Times New Roman"/>
                <w:b/>
                <w:bCs/>
                <w:color w:val="auto"/>
              </w:rPr>
              <w:t>辐射工作场所</w:t>
            </w:r>
            <w:r>
              <w:rPr>
                <w:rFonts w:hint="eastAsia" w:cs="Times New Roman"/>
                <w:b/>
                <w:bCs/>
                <w:color w:val="auto"/>
                <w:lang w:val="en-US" w:eastAsia="zh-CN"/>
              </w:rPr>
              <w:t>检测结果一览表</w:t>
            </w:r>
          </w:p>
          <w:tbl>
            <w:tblPr>
              <w:tblStyle w:val="18"/>
              <w:tblW w:w="95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2971"/>
              <w:gridCol w:w="2301"/>
              <w:gridCol w:w="3565"/>
            </w:tblGrid>
            <w:tr w14:paraId="46CB0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trPr>
              <w:tc>
                <w:tcPr>
                  <w:tcW w:w="737" w:type="dxa"/>
                  <w:vAlign w:val="center"/>
                </w:tcPr>
                <w:p w14:paraId="19CDB47B">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序号</w:t>
                  </w:r>
                </w:p>
              </w:tc>
              <w:tc>
                <w:tcPr>
                  <w:tcW w:w="2971" w:type="dxa"/>
                  <w:vAlign w:val="center"/>
                </w:tcPr>
                <w:p w14:paraId="5E0485DD">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装置名称</w:t>
                  </w:r>
                </w:p>
              </w:tc>
              <w:tc>
                <w:tcPr>
                  <w:tcW w:w="2301" w:type="dxa"/>
                  <w:vAlign w:val="center"/>
                </w:tcPr>
                <w:p w14:paraId="6C6FE7FB">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规格型号</w:t>
                  </w:r>
                </w:p>
              </w:tc>
              <w:tc>
                <w:tcPr>
                  <w:tcW w:w="3565" w:type="dxa"/>
                  <w:vAlign w:val="center"/>
                </w:tcPr>
                <w:p w14:paraId="09B8F1E6">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检测结果（µSv/h）</w:t>
                  </w:r>
                </w:p>
              </w:tc>
            </w:tr>
            <w:tr w14:paraId="78C01E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vAlign w:val="center"/>
                </w:tcPr>
                <w:p w14:paraId="093E5572">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1</w:t>
                  </w:r>
                </w:p>
              </w:tc>
              <w:tc>
                <w:tcPr>
                  <w:tcW w:w="2971" w:type="dxa"/>
                  <w:vAlign w:val="center"/>
                </w:tcPr>
                <w:p w14:paraId="264F7F22">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rPr>
                    <w:t>C</w:t>
                  </w:r>
                  <w:r>
                    <w:rPr>
                      <w:rFonts w:hint="eastAsia" w:ascii="Times New Roman" w:hAnsi="Times New Roman" w:eastAsia="宋体" w:cs="Times New Roman"/>
                      <w:color w:val="auto"/>
                      <w:sz w:val="21"/>
                      <w:szCs w:val="21"/>
                      <w:highlight w:val="none"/>
                      <w:lang w:eastAsia="zh-CN"/>
                    </w:rPr>
                    <w:t>型臂</w:t>
                  </w:r>
                </w:p>
              </w:tc>
              <w:tc>
                <w:tcPr>
                  <w:tcW w:w="2301" w:type="dxa"/>
                  <w:vAlign w:val="center"/>
                </w:tcPr>
                <w:p w14:paraId="4A69D319">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val="en-US" w:eastAsia="zh-CN"/>
                    </w:rPr>
                    <w:t>DG3310C</w:t>
                  </w:r>
                </w:p>
              </w:tc>
              <w:tc>
                <w:tcPr>
                  <w:tcW w:w="3565" w:type="dxa"/>
                  <w:vAlign w:val="center"/>
                </w:tcPr>
                <w:p w14:paraId="38AB6006">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yellow"/>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0.1</w:t>
                  </w:r>
                  <w:r>
                    <w:rPr>
                      <w:rFonts w:hint="eastAsia" w:cs="Times New Roman"/>
                      <w:color w:val="auto"/>
                      <w:sz w:val="21"/>
                      <w:szCs w:val="21"/>
                      <w:highlight w:val="none"/>
                      <w:vertAlign w:val="baseline"/>
                      <w:lang w:val="en-US" w:eastAsia="zh-CN"/>
                    </w:rPr>
                    <w:t>41</w:t>
                  </w:r>
                  <w:r>
                    <w:rPr>
                      <w:rFonts w:hint="default" w:ascii="Times New Roman" w:hAnsi="Times New Roman" w:eastAsia="宋体" w:cs="Times New Roman"/>
                      <w:color w:val="auto"/>
                      <w:sz w:val="21"/>
                      <w:szCs w:val="21"/>
                      <w:highlight w:val="none"/>
                      <w:vertAlign w:val="baseline"/>
                      <w:lang w:val="en-US" w:eastAsia="zh-CN"/>
                    </w:rPr>
                    <w:t>~</w:t>
                  </w:r>
                  <w:r>
                    <w:rPr>
                      <w:rFonts w:hint="eastAsia" w:cs="Times New Roman"/>
                      <w:color w:val="auto"/>
                      <w:sz w:val="21"/>
                      <w:szCs w:val="21"/>
                      <w:highlight w:val="none"/>
                      <w:vertAlign w:val="baseline"/>
                      <w:lang w:val="en-US" w:eastAsia="zh-CN"/>
                    </w:rPr>
                    <w:t>0.147</w:t>
                  </w:r>
                </w:p>
              </w:tc>
            </w:tr>
            <w:tr w14:paraId="7CEF8A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vAlign w:val="center"/>
                </w:tcPr>
                <w:p w14:paraId="651B3967">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2</w:t>
                  </w:r>
                </w:p>
              </w:tc>
              <w:tc>
                <w:tcPr>
                  <w:tcW w:w="2971" w:type="dxa"/>
                  <w:vAlign w:val="center"/>
                </w:tcPr>
                <w:p w14:paraId="3793DE86">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rPr>
                    <w:t>DR</w:t>
                  </w:r>
                </w:p>
              </w:tc>
              <w:tc>
                <w:tcPr>
                  <w:tcW w:w="2301" w:type="dxa"/>
                  <w:vAlign w:val="center"/>
                </w:tcPr>
                <w:p w14:paraId="2EB1706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lang w:val="en-US" w:eastAsia="zh-CN"/>
                    </w:rPr>
                    <w:t>Primary</w:t>
                  </w:r>
                  <w:r>
                    <w:rPr>
                      <w:rFonts w:hint="eastAsia" w:ascii="Times New Roman" w:hAnsi="Times New Roman" w:eastAsia="宋体" w:cs="Times New Roman"/>
                      <w:color w:val="auto"/>
                      <w:sz w:val="21"/>
                      <w:szCs w:val="21"/>
                      <w:highlight w:val="none"/>
                      <w:lang w:val="en-US" w:eastAsia="zh-CN"/>
                    </w:rPr>
                    <w:t xml:space="preserve"> </w:t>
                  </w:r>
                  <w:r>
                    <w:rPr>
                      <w:rFonts w:hint="default" w:ascii="Times New Roman" w:hAnsi="Times New Roman" w:eastAsia="宋体" w:cs="Times New Roman"/>
                      <w:color w:val="auto"/>
                      <w:sz w:val="21"/>
                      <w:szCs w:val="21"/>
                      <w:highlight w:val="none"/>
                      <w:lang w:val="en-US" w:eastAsia="zh-CN"/>
                    </w:rPr>
                    <w:t>Diagnost DR</w:t>
                  </w:r>
                </w:p>
              </w:tc>
              <w:tc>
                <w:tcPr>
                  <w:tcW w:w="3565" w:type="dxa"/>
                  <w:vAlign w:val="center"/>
                </w:tcPr>
                <w:p w14:paraId="4EE3F739">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0.1</w:t>
                  </w:r>
                  <w:r>
                    <w:rPr>
                      <w:rFonts w:hint="eastAsia" w:cs="Times New Roman"/>
                      <w:color w:val="auto"/>
                      <w:sz w:val="21"/>
                      <w:szCs w:val="21"/>
                      <w:highlight w:val="none"/>
                      <w:vertAlign w:val="baseline"/>
                      <w:lang w:val="en-US" w:eastAsia="zh-CN"/>
                    </w:rPr>
                    <w:t>41</w:t>
                  </w:r>
                  <w:r>
                    <w:rPr>
                      <w:rFonts w:hint="default" w:ascii="Times New Roman" w:hAnsi="Times New Roman" w:eastAsia="宋体" w:cs="Times New Roman"/>
                      <w:color w:val="auto"/>
                      <w:sz w:val="21"/>
                      <w:szCs w:val="21"/>
                      <w:highlight w:val="none"/>
                      <w:vertAlign w:val="baseline"/>
                      <w:lang w:val="en-US" w:eastAsia="zh-CN"/>
                    </w:rPr>
                    <w:t>~</w:t>
                  </w:r>
                  <w:r>
                    <w:rPr>
                      <w:rFonts w:hint="eastAsia" w:cs="Times New Roman"/>
                      <w:color w:val="auto"/>
                      <w:sz w:val="21"/>
                      <w:szCs w:val="21"/>
                      <w:highlight w:val="none"/>
                      <w:vertAlign w:val="baseline"/>
                      <w:lang w:val="en-US" w:eastAsia="zh-CN"/>
                    </w:rPr>
                    <w:t>8.3</w:t>
                  </w:r>
                </w:p>
              </w:tc>
            </w:tr>
            <w:tr w14:paraId="0BA1F6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vAlign w:val="center"/>
                </w:tcPr>
                <w:p w14:paraId="10042268">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lang w:val="en-US" w:eastAsia="zh-CN"/>
                    </w:rPr>
                    <w:t>3</w:t>
                  </w:r>
                </w:p>
              </w:tc>
              <w:tc>
                <w:tcPr>
                  <w:tcW w:w="2971" w:type="dxa"/>
                  <w:vAlign w:val="center"/>
                </w:tcPr>
                <w:p w14:paraId="74813759">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rPr>
                    <w:t>CT</w:t>
                  </w:r>
                </w:p>
              </w:tc>
              <w:tc>
                <w:tcPr>
                  <w:tcW w:w="2301" w:type="dxa"/>
                  <w:vAlign w:val="center"/>
                </w:tcPr>
                <w:p w14:paraId="0FD401EB">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Ingenuity Core</w:t>
                  </w:r>
                  <w:r>
                    <w:rPr>
                      <w:rFonts w:hint="default" w:ascii="Times New Roman" w:hAnsi="Times New Roman" w:eastAsia="宋体" w:cs="Times New Roman"/>
                      <w:color w:val="auto"/>
                      <w:sz w:val="21"/>
                      <w:szCs w:val="21"/>
                    </w:rPr>
                    <w:t xml:space="preserve"> 128</w:t>
                  </w:r>
                </w:p>
              </w:tc>
              <w:tc>
                <w:tcPr>
                  <w:tcW w:w="3565" w:type="dxa"/>
                  <w:vAlign w:val="center"/>
                </w:tcPr>
                <w:p w14:paraId="09BB99A3">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0.</w:t>
                  </w:r>
                  <w:r>
                    <w:rPr>
                      <w:rFonts w:hint="eastAsia" w:cs="Times New Roman"/>
                      <w:color w:val="auto"/>
                      <w:sz w:val="21"/>
                      <w:szCs w:val="21"/>
                      <w:highlight w:val="none"/>
                      <w:vertAlign w:val="baseline"/>
                      <w:lang w:val="en-US" w:eastAsia="zh-CN"/>
                    </w:rPr>
                    <w:t>119</w:t>
                  </w:r>
                  <w:r>
                    <w:rPr>
                      <w:rFonts w:hint="default" w:ascii="Times New Roman" w:hAnsi="Times New Roman" w:eastAsia="宋体" w:cs="Times New Roman"/>
                      <w:color w:val="auto"/>
                      <w:sz w:val="21"/>
                      <w:szCs w:val="21"/>
                      <w:highlight w:val="none"/>
                      <w:vertAlign w:val="baseline"/>
                      <w:lang w:val="en-US" w:eastAsia="zh-CN"/>
                    </w:rPr>
                    <w:t>~</w:t>
                  </w:r>
                  <w:r>
                    <w:rPr>
                      <w:rFonts w:hint="eastAsia" w:cs="Times New Roman"/>
                      <w:color w:val="auto"/>
                      <w:sz w:val="21"/>
                      <w:szCs w:val="21"/>
                      <w:highlight w:val="none"/>
                      <w:vertAlign w:val="baseline"/>
                      <w:lang w:val="en-US" w:eastAsia="zh-CN"/>
                    </w:rPr>
                    <w:t>0.175</w:t>
                  </w:r>
                </w:p>
              </w:tc>
            </w:tr>
          </w:tbl>
          <w:p w14:paraId="02F17AF9">
            <w:pPr>
              <w:pStyle w:val="23"/>
              <w:keepNext w:val="0"/>
              <w:keepLines w:val="0"/>
              <w:suppressLineNumbers w:val="0"/>
              <w:spacing w:before="0" w:beforeAutospacing="0" w:after="0" w:afterAutospacing="0"/>
              <w:ind w:left="0" w:right="0"/>
              <w:rPr>
                <w:rFonts w:hint="eastAsia" w:cs="Times New Roman"/>
                <w:color w:val="auto"/>
                <w:lang w:val="en-US" w:eastAsia="zh-CN"/>
              </w:rPr>
            </w:pPr>
            <w:r>
              <w:rPr>
                <w:rFonts w:hint="eastAsia" w:cs="Times New Roman"/>
                <w:color w:val="auto"/>
                <w:lang w:val="en-US" w:eastAsia="zh-CN"/>
              </w:rPr>
              <w:t>由上表可知，</w:t>
            </w:r>
            <w:r>
              <w:rPr>
                <w:rFonts w:hint="eastAsia" w:cs="Times New Roman"/>
                <w:color w:val="auto"/>
                <w:highlight w:val="none"/>
              </w:rPr>
              <w:t>2</w:t>
            </w:r>
            <w:r>
              <w:rPr>
                <w:rFonts w:hint="default" w:cs="Times New Roman"/>
                <w:color w:val="auto"/>
                <w:highlight w:val="none"/>
              </w:rPr>
              <w:t>02</w:t>
            </w:r>
            <w:r>
              <w:rPr>
                <w:rFonts w:hint="eastAsia" w:cs="Times New Roman"/>
                <w:color w:val="auto"/>
                <w:highlight w:val="none"/>
                <w:lang w:val="en-US" w:eastAsia="zh-CN"/>
              </w:rPr>
              <w:t>3</w:t>
            </w:r>
            <w:r>
              <w:rPr>
                <w:rFonts w:hint="eastAsia" w:cs="Times New Roman"/>
                <w:color w:val="auto"/>
                <w:highlight w:val="none"/>
              </w:rPr>
              <w:t>年</w:t>
            </w:r>
            <w:r>
              <w:rPr>
                <w:rFonts w:hint="eastAsia" w:cs="Times New Roman"/>
                <w:color w:val="auto"/>
                <w:highlight w:val="none"/>
                <w:lang w:val="en-US" w:eastAsia="zh-CN"/>
              </w:rPr>
              <w:t>寿</w:t>
            </w:r>
            <w:r>
              <w:rPr>
                <w:rFonts w:hint="eastAsia" w:cs="Times New Roman"/>
                <w:color w:val="auto"/>
                <w:lang w:val="en-US" w:eastAsia="zh-CN"/>
              </w:rPr>
              <w:t>县安康医院</w:t>
            </w:r>
            <w:r>
              <w:rPr>
                <w:rFonts w:hint="eastAsia" w:cs="Times New Roman"/>
                <w:color w:val="auto"/>
              </w:rPr>
              <w:t>各</w:t>
            </w:r>
            <w:r>
              <w:rPr>
                <w:rFonts w:hint="eastAsia" w:cs="Times New Roman"/>
                <w:color w:val="auto"/>
                <w:lang w:val="en-US" w:eastAsia="zh-CN"/>
              </w:rPr>
              <w:t>在用</w:t>
            </w:r>
            <w:r>
              <w:rPr>
                <w:rFonts w:hint="eastAsia" w:cs="Times New Roman"/>
                <w:color w:val="auto"/>
              </w:rPr>
              <w:t>辐射工作场所均符合</w:t>
            </w:r>
            <w:r>
              <w:rPr>
                <w:rFonts w:hint="eastAsia" w:cs="Times New Roman"/>
                <w:color w:val="auto"/>
                <w:lang w:val="en-US" w:eastAsia="zh-CN"/>
              </w:rPr>
              <w:t>《放射诊断放射防护要求》（GBZ130-2020）中的要求，辐射工作场所检测结果详见附件9。</w:t>
            </w:r>
          </w:p>
          <w:p w14:paraId="03BA545E">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w:t>
            </w:r>
            <w:r>
              <w:rPr>
                <w:rFonts w:hint="eastAsia" w:cs="Times New Roman"/>
                <w:color w:val="auto"/>
                <w:lang w:val="en-US" w:eastAsia="zh-CN"/>
              </w:rPr>
              <w:t>9</w:t>
            </w:r>
            <w:r>
              <w:rPr>
                <w:rFonts w:hint="eastAsia" w:cs="Times New Roman"/>
                <w:color w:val="auto"/>
              </w:rPr>
              <w:t>）</w:t>
            </w:r>
            <w:r>
              <w:rPr>
                <w:rFonts w:hint="eastAsia" w:cs="Times New Roman"/>
                <w:color w:val="auto"/>
                <w:lang w:eastAsia="zh-CN"/>
              </w:rPr>
              <w:t>现有辐射防护用品</w:t>
            </w:r>
          </w:p>
          <w:p w14:paraId="32DB6DA7">
            <w:pPr>
              <w:pStyle w:val="23"/>
              <w:keepNext w:val="0"/>
              <w:keepLines w:val="0"/>
              <w:suppressLineNumbers w:val="0"/>
              <w:spacing w:before="0" w:beforeAutospacing="0" w:after="0" w:afterAutospacing="0"/>
              <w:ind w:left="0" w:right="0"/>
              <w:rPr>
                <w:rFonts w:hint="eastAsia" w:cs="Times New Roman"/>
                <w:color w:val="auto"/>
                <w:lang w:val="en-US" w:eastAsia="zh-CN"/>
              </w:rPr>
            </w:pPr>
            <w:r>
              <w:rPr>
                <w:rFonts w:hint="eastAsia" w:cs="Times New Roman"/>
                <w:color w:val="auto"/>
                <w:lang w:val="en-US" w:eastAsia="zh-CN"/>
              </w:rPr>
              <w:t>寿县安康医院现有防护用品如下表：</w:t>
            </w:r>
          </w:p>
          <w:p w14:paraId="5E98962E">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eastAsia="宋体" w:cs="Times New Roman"/>
                <w:b/>
                <w:bCs/>
                <w:color w:val="auto"/>
                <w:lang w:val="en-US" w:eastAsia="zh-CN"/>
              </w:rPr>
            </w:pPr>
            <w:r>
              <w:rPr>
                <w:rFonts w:hint="eastAsia" w:cs="Times New Roman"/>
                <w:b/>
                <w:bCs/>
                <w:color w:val="auto"/>
                <w:lang w:val="en-US" w:eastAsia="zh-CN"/>
              </w:rPr>
              <w:t xml:space="preserve">表1-5  </w:t>
            </w:r>
            <w:r>
              <w:rPr>
                <w:rFonts w:hint="eastAsia" w:cs="Times New Roman"/>
                <w:b/>
                <w:bCs/>
                <w:color w:val="auto"/>
              </w:rPr>
              <w:t>辐射</w:t>
            </w:r>
            <w:r>
              <w:rPr>
                <w:rFonts w:hint="eastAsia" w:cs="Times New Roman"/>
                <w:b/>
                <w:bCs/>
                <w:color w:val="auto"/>
                <w:lang w:eastAsia="zh-CN"/>
              </w:rPr>
              <w:t>防护用品</w:t>
            </w:r>
            <w:r>
              <w:rPr>
                <w:rFonts w:hint="eastAsia" w:cs="Times New Roman"/>
                <w:b/>
                <w:bCs/>
                <w:color w:val="auto"/>
                <w:lang w:val="en-US" w:eastAsia="zh-CN"/>
              </w:rPr>
              <w:t>一览表</w:t>
            </w:r>
          </w:p>
          <w:tbl>
            <w:tblPr>
              <w:tblStyle w:val="18"/>
              <w:tblW w:w="95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3579"/>
              <w:gridCol w:w="1693"/>
              <w:gridCol w:w="3565"/>
            </w:tblGrid>
            <w:tr w14:paraId="54564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vAlign w:val="center"/>
                </w:tcPr>
                <w:p w14:paraId="2DE58A1D">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序号</w:t>
                  </w:r>
                </w:p>
              </w:tc>
              <w:tc>
                <w:tcPr>
                  <w:tcW w:w="3579" w:type="dxa"/>
                  <w:vAlign w:val="center"/>
                </w:tcPr>
                <w:p w14:paraId="7E5B2CF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名称</w:t>
                  </w:r>
                </w:p>
              </w:tc>
              <w:tc>
                <w:tcPr>
                  <w:tcW w:w="1693" w:type="dxa"/>
                  <w:vAlign w:val="center"/>
                </w:tcPr>
                <w:p w14:paraId="48E309B2">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规格</w:t>
                  </w:r>
                </w:p>
              </w:tc>
              <w:tc>
                <w:tcPr>
                  <w:tcW w:w="3565" w:type="dxa"/>
                  <w:vAlign w:val="center"/>
                </w:tcPr>
                <w:p w14:paraId="2B1F515C">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数量</w:t>
                  </w:r>
                </w:p>
              </w:tc>
            </w:tr>
            <w:tr w14:paraId="42046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vAlign w:val="center"/>
                </w:tcPr>
                <w:p w14:paraId="7DDCC3A0">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1</w:t>
                  </w:r>
                </w:p>
              </w:tc>
              <w:tc>
                <w:tcPr>
                  <w:tcW w:w="3579" w:type="dxa"/>
                  <w:vAlign w:val="center"/>
                </w:tcPr>
                <w:p w14:paraId="787279F1">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宋体" w:cs="Times New Roman"/>
                      <w:color w:val="auto"/>
                      <w:sz w:val="21"/>
                      <w:szCs w:val="21"/>
                      <w:highlight w:val="none"/>
                      <w:vertAlign w:val="baseline"/>
                      <w:lang w:eastAsia="zh-CN"/>
                    </w:rPr>
                  </w:pPr>
                  <w:r>
                    <w:rPr>
                      <w:rFonts w:hint="eastAsia" w:ascii="Times New Roman" w:hAnsi="Times New Roman" w:eastAsia="宋体" w:cs="Times New Roman"/>
                      <w:color w:val="auto"/>
                      <w:sz w:val="21"/>
                      <w:szCs w:val="21"/>
                      <w:highlight w:val="none"/>
                      <w:vertAlign w:val="baseline"/>
                      <w:lang w:eastAsia="zh-CN"/>
                    </w:rPr>
                    <w:t>铅衣</w:t>
                  </w:r>
                </w:p>
              </w:tc>
              <w:tc>
                <w:tcPr>
                  <w:tcW w:w="1693" w:type="dxa"/>
                  <w:vAlign w:val="center"/>
                </w:tcPr>
                <w:p w14:paraId="0B429A4E">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color w:val="auto"/>
                      <w:sz w:val="21"/>
                      <w:szCs w:val="21"/>
                      <w:lang w:val="en-US" w:eastAsia="zh-CN"/>
                    </w:rPr>
                    <w:t>0.35mmPb</w:t>
                  </w:r>
                </w:p>
              </w:tc>
              <w:tc>
                <w:tcPr>
                  <w:tcW w:w="3565" w:type="dxa"/>
                  <w:vAlign w:val="center"/>
                </w:tcPr>
                <w:p w14:paraId="2FF515D2">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4</w:t>
                  </w:r>
                </w:p>
              </w:tc>
            </w:tr>
            <w:tr w14:paraId="488CA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7" w:type="dxa"/>
                  <w:vAlign w:val="center"/>
                </w:tcPr>
                <w:p w14:paraId="599D4DB2">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vertAlign w:val="baseline"/>
                    </w:rPr>
                  </w:pPr>
                  <w:r>
                    <w:rPr>
                      <w:rFonts w:hint="default" w:ascii="Times New Roman" w:hAnsi="Times New Roman" w:eastAsia="宋体" w:cs="Times New Roman"/>
                      <w:color w:val="auto"/>
                      <w:sz w:val="21"/>
                      <w:szCs w:val="21"/>
                    </w:rPr>
                    <w:t>2</w:t>
                  </w:r>
                </w:p>
              </w:tc>
              <w:tc>
                <w:tcPr>
                  <w:tcW w:w="3579" w:type="dxa"/>
                  <w:vAlign w:val="center"/>
                </w:tcPr>
                <w:p w14:paraId="291DC3A1">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宋体" w:cs="Times New Roman"/>
                      <w:color w:val="auto"/>
                      <w:sz w:val="21"/>
                      <w:szCs w:val="21"/>
                      <w:highlight w:val="none"/>
                      <w:vertAlign w:val="baseline"/>
                      <w:lang w:eastAsia="zh-CN"/>
                    </w:rPr>
                  </w:pPr>
                  <w:r>
                    <w:rPr>
                      <w:rFonts w:hint="eastAsia" w:ascii="Times New Roman" w:hAnsi="Times New Roman" w:eastAsia="宋体" w:cs="Times New Roman"/>
                      <w:color w:val="auto"/>
                      <w:sz w:val="21"/>
                      <w:szCs w:val="21"/>
                      <w:highlight w:val="none"/>
                      <w:vertAlign w:val="baseline"/>
                      <w:lang w:eastAsia="zh-CN"/>
                    </w:rPr>
                    <w:t>铅帽</w:t>
                  </w:r>
                </w:p>
              </w:tc>
              <w:tc>
                <w:tcPr>
                  <w:tcW w:w="1693" w:type="dxa"/>
                  <w:vAlign w:val="center"/>
                </w:tcPr>
                <w:p w14:paraId="6B47160F">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0.5mmPb</w:t>
                  </w:r>
                </w:p>
              </w:tc>
              <w:tc>
                <w:tcPr>
                  <w:tcW w:w="3565" w:type="dxa"/>
                  <w:vAlign w:val="center"/>
                </w:tcPr>
                <w:p w14:paraId="2B3E2801">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3</w:t>
                  </w:r>
                </w:p>
              </w:tc>
            </w:tr>
          </w:tbl>
          <w:p w14:paraId="08016D50">
            <w:pPr>
              <w:pStyle w:val="23"/>
              <w:keepNext w:val="0"/>
              <w:keepLines w:val="0"/>
              <w:suppressLineNumbers w:val="0"/>
              <w:spacing w:before="0" w:beforeAutospacing="0" w:after="0" w:afterAutospacing="0"/>
              <w:ind w:left="0" w:right="0"/>
              <w:rPr>
                <w:rFonts w:hint="default" w:cs="Times New Roman"/>
                <w:color w:val="auto"/>
                <w:lang w:val="en-US" w:eastAsia="zh-CN"/>
              </w:rPr>
            </w:pPr>
          </w:p>
        </w:tc>
      </w:tr>
    </w:tbl>
    <w:p w14:paraId="4402AE79">
      <w:pPr>
        <w:ind w:firstLine="420" w:firstLineChars="200"/>
        <w:rPr>
          <w:rFonts w:hint="eastAsia"/>
          <w:color w:val="auto"/>
          <w:lang w:val="en-US" w:eastAsia="zh-CN"/>
        </w:rPr>
        <w:sectPr>
          <w:footerReference r:id="rId6" w:type="default"/>
          <w:pgSz w:w="11906" w:h="16838"/>
          <w:pgMar w:top="1417" w:right="1080" w:bottom="1417" w:left="1080" w:header="851" w:footer="992" w:gutter="0"/>
          <w:pgNumType w:fmt="decimal" w:start="1"/>
          <w:cols w:space="0" w:num="1"/>
          <w:rtlGutter w:val="0"/>
          <w:docGrid w:type="lines" w:linePitch="312" w:charSpace="0"/>
        </w:sectPr>
      </w:pPr>
    </w:p>
    <w:p w14:paraId="16A0FAE6">
      <w:pPr>
        <w:pStyle w:val="15"/>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color w:val="auto"/>
          <w:lang w:val="en-US" w:eastAsia="zh-CN"/>
        </w:rPr>
      </w:pPr>
      <w:r>
        <w:rPr>
          <w:rFonts w:hint="eastAsia"/>
          <w:b/>
          <w:bCs/>
          <w:color w:val="auto"/>
          <w:lang w:val="en-US" w:eastAsia="zh-CN"/>
        </w:rPr>
        <w:t>表1-6</w:t>
      </w:r>
      <w:r>
        <w:rPr>
          <w:rFonts w:hint="eastAsia"/>
          <w:color w:val="auto"/>
          <w:lang w:val="en-US" w:eastAsia="zh-CN"/>
        </w:rPr>
        <w:t xml:space="preserve">  </w:t>
      </w:r>
      <w:r>
        <w:rPr>
          <w:rFonts w:hint="eastAsia"/>
          <w:b/>
          <w:bCs/>
          <w:color w:val="auto"/>
          <w:vertAlign w:val="baseline"/>
          <w:lang w:val="en-US" w:eastAsia="zh-CN"/>
        </w:rPr>
        <w:t>辐射工作人员情况一览表</w:t>
      </w:r>
    </w:p>
    <w:tbl>
      <w:tblPr>
        <w:tblStyle w:val="17"/>
        <w:tblW w:w="130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399"/>
        <w:gridCol w:w="892"/>
        <w:gridCol w:w="473"/>
        <w:gridCol w:w="1198"/>
        <w:gridCol w:w="1939"/>
        <w:gridCol w:w="1714"/>
        <w:gridCol w:w="1260"/>
        <w:gridCol w:w="1325"/>
        <w:gridCol w:w="1260"/>
        <w:gridCol w:w="1296"/>
        <w:gridCol w:w="1286"/>
      </w:tblGrid>
      <w:tr w14:paraId="53255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0" w:hRule="atLeast"/>
          <w:jc w:val="center"/>
        </w:trPr>
        <w:tc>
          <w:tcPr>
            <w:tcW w:w="399" w:type="dxa"/>
            <w:vMerge w:val="restart"/>
            <w:shd w:val="clear" w:color="auto" w:fill="auto"/>
            <w:noWrap/>
            <w:vAlign w:val="center"/>
          </w:tcPr>
          <w:p w14:paraId="0D843B0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序号</w:t>
            </w:r>
          </w:p>
        </w:tc>
        <w:tc>
          <w:tcPr>
            <w:tcW w:w="892" w:type="dxa"/>
            <w:vMerge w:val="restart"/>
            <w:shd w:val="clear" w:color="auto" w:fill="auto"/>
            <w:noWrap/>
            <w:vAlign w:val="center"/>
          </w:tcPr>
          <w:p w14:paraId="4C7C7D7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姓名</w:t>
            </w:r>
          </w:p>
        </w:tc>
        <w:tc>
          <w:tcPr>
            <w:tcW w:w="473" w:type="dxa"/>
            <w:vMerge w:val="restart"/>
            <w:shd w:val="clear" w:color="auto" w:fill="auto"/>
            <w:noWrap/>
            <w:vAlign w:val="center"/>
          </w:tcPr>
          <w:p w14:paraId="7A04A35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职业</w:t>
            </w:r>
          </w:p>
          <w:p w14:paraId="7DE9768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类别</w:t>
            </w:r>
          </w:p>
        </w:tc>
        <w:tc>
          <w:tcPr>
            <w:tcW w:w="3137" w:type="dxa"/>
            <w:gridSpan w:val="2"/>
            <w:shd w:val="clear" w:color="auto" w:fill="auto"/>
            <w:noWrap/>
            <w:vAlign w:val="center"/>
          </w:tcPr>
          <w:p w14:paraId="25050FD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职业健康检查情况</w:t>
            </w:r>
          </w:p>
        </w:tc>
        <w:tc>
          <w:tcPr>
            <w:tcW w:w="1714" w:type="dxa"/>
            <w:vMerge w:val="restart"/>
            <w:shd w:val="clear" w:color="auto" w:fill="auto"/>
            <w:noWrap/>
            <w:vAlign w:val="center"/>
          </w:tcPr>
          <w:p w14:paraId="697290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辐射安全与防护培训</w:t>
            </w:r>
          </w:p>
        </w:tc>
        <w:tc>
          <w:tcPr>
            <w:tcW w:w="1260" w:type="dxa"/>
            <w:vMerge w:val="restart"/>
            <w:shd w:val="clear" w:color="auto" w:fill="auto"/>
            <w:noWrap/>
            <w:vAlign w:val="center"/>
          </w:tcPr>
          <w:p w14:paraId="358E4D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考核</w:t>
            </w:r>
            <w:r>
              <w:rPr>
                <w:rFonts w:hint="eastAsia" w:ascii="Times New Roman" w:hAnsi="Times New Roman" w:eastAsia="宋体" w:cs="Times New Roman"/>
                <w:i w:val="0"/>
                <w:iCs w:val="0"/>
                <w:color w:val="auto"/>
                <w:kern w:val="0"/>
                <w:sz w:val="21"/>
                <w:szCs w:val="21"/>
                <w:u w:val="none"/>
                <w:lang w:val="en-US" w:eastAsia="zh-CN" w:bidi="ar"/>
              </w:rPr>
              <w:t>时间</w:t>
            </w:r>
          </w:p>
        </w:tc>
        <w:tc>
          <w:tcPr>
            <w:tcW w:w="5167" w:type="dxa"/>
            <w:gridSpan w:val="4"/>
            <w:shd w:val="clear" w:color="auto" w:fill="auto"/>
            <w:noWrap/>
            <w:vAlign w:val="center"/>
          </w:tcPr>
          <w:p w14:paraId="56E9241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个人剂量监测</w:t>
            </w:r>
          </w:p>
        </w:tc>
      </w:tr>
      <w:tr w14:paraId="7D429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vMerge w:val="continue"/>
            <w:shd w:val="clear" w:color="auto" w:fill="auto"/>
            <w:noWrap/>
            <w:vAlign w:val="center"/>
          </w:tcPr>
          <w:p w14:paraId="7F147913">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sz w:val="21"/>
                <w:szCs w:val="21"/>
                <w:u w:val="none"/>
              </w:rPr>
            </w:pPr>
          </w:p>
        </w:tc>
        <w:tc>
          <w:tcPr>
            <w:tcW w:w="892" w:type="dxa"/>
            <w:vMerge w:val="continue"/>
            <w:shd w:val="clear" w:color="auto" w:fill="auto"/>
            <w:noWrap/>
            <w:vAlign w:val="center"/>
          </w:tcPr>
          <w:p w14:paraId="0270619B">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sz w:val="21"/>
                <w:szCs w:val="21"/>
                <w:u w:val="none"/>
              </w:rPr>
            </w:pPr>
          </w:p>
        </w:tc>
        <w:tc>
          <w:tcPr>
            <w:tcW w:w="473" w:type="dxa"/>
            <w:vMerge w:val="continue"/>
            <w:shd w:val="clear" w:color="auto" w:fill="auto"/>
            <w:noWrap/>
            <w:vAlign w:val="center"/>
          </w:tcPr>
          <w:p w14:paraId="1501EF5A">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sz w:val="21"/>
                <w:szCs w:val="21"/>
                <w:u w:val="none"/>
              </w:rPr>
            </w:pPr>
          </w:p>
        </w:tc>
        <w:tc>
          <w:tcPr>
            <w:tcW w:w="1198" w:type="dxa"/>
            <w:vMerge w:val="restart"/>
            <w:shd w:val="clear" w:color="auto" w:fill="auto"/>
            <w:noWrap/>
            <w:vAlign w:val="center"/>
          </w:tcPr>
          <w:p w14:paraId="40690A9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体检时间</w:t>
            </w:r>
          </w:p>
        </w:tc>
        <w:tc>
          <w:tcPr>
            <w:tcW w:w="1939" w:type="dxa"/>
            <w:vMerge w:val="restart"/>
            <w:shd w:val="clear" w:color="auto" w:fill="auto"/>
            <w:noWrap/>
            <w:vAlign w:val="center"/>
          </w:tcPr>
          <w:p w14:paraId="73087A3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检查结果（是否适宜从事辐射工作）</w:t>
            </w:r>
          </w:p>
        </w:tc>
        <w:tc>
          <w:tcPr>
            <w:tcW w:w="1714" w:type="dxa"/>
            <w:vMerge w:val="continue"/>
            <w:shd w:val="clear" w:color="auto" w:fill="auto"/>
            <w:noWrap/>
            <w:vAlign w:val="center"/>
          </w:tcPr>
          <w:p w14:paraId="46B2B2B3">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sz w:val="21"/>
                <w:szCs w:val="21"/>
                <w:u w:val="none"/>
              </w:rPr>
            </w:pPr>
          </w:p>
        </w:tc>
        <w:tc>
          <w:tcPr>
            <w:tcW w:w="1260" w:type="dxa"/>
            <w:vMerge w:val="continue"/>
            <w:shd w:val="clear" w:color="auto" w:fill="auto"/>
            <w:noWrap/>
            <w:vAlign w:val="center"/>
          </w:tcPr>
          <w:p w14:paraId="5E4F36AF">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sz w:val="21"/>
                <w:szCs w:val="21"/>
                <w:u w:val="none"/>
              </w:rPr>
            </w:pPr>
          </w:p>
        </w:tc>
        <w:tc>
          <w:tcPr>
            <w:tcW w:w="5167" w:type="dxa"/>
            <w:gridSpan w:val="4"/>
            <w:shd w:val="clear" w:color="auto" w:fill="auto"/>
            <w:noWrap/>
            <w:vAlign w:val="center"/>
          </w:tcPr>
          <w:p w14:paraId="5F5D421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w:t>
            </w:r>
            <w:r>
              <w:rPr>
                <w:rFonts w:hint="eastAsia" w:ascii="Times New Roman" w:hAnsi="Times New Roman" w:eastAsia="宋体" w:cs="Times New Roman"/>
                <w:i w:val="0"/>
                <w:iCs w:val="0"/>
                <w:color w:val="auto"/>
                <w:kern w:val="0"/>
                <w:sz w:val="21"/>
                <w:szCs w:val="21"/>
                <w:u w:val="none"/>
                <w:lang w:val="en-US" w:eastAsia="zh-CN" w:bidi="ar"/>
              </w:rPr>
              <w:t>3</w:t>
            </w:r>
            <w:r>
              <w:rPr>
                <w:rFonts w:hint="default" w:ascii="Times New Roman" w:hAnsi="Times New Roman" w:eastAsia="宋体" w:cs="Times New Roman"/>
                <w:i w:val="0"/>
                <w:iCs w:val="0"/>
                <w:color w:val="auto"/>
                <w:kern w:val="0"/>
                <w:sz w:val="21"/>
                <w:szCs w:val="21"/>
                <w:u w:val="none"/>
                <w:lang w:val="en-US" w:eastAsia="zh-CN" w:bidi="ar"/>
              </w:rPr>
              <w:t>-202</w:t>
            </w:r>
            <w:r>
              <w:rPr>
                <w:rFonts w:hint="eastAsia" w:ascii="Times New Roman" w:hAnsi="Times New Roman" w:eastAsia="宋体" w:cs="Times New Roman"/>
                <w:i w:val="0"/>
                <w:iCs w:val="0"/>
                <w:color w:val="auto"/>
                <w:kern w:val="0"/>
                <w:sz w:val="21"/>
                <w:szCs w:val="21"/>
                <w:u w:val="none"/>
                <w:lang w:val="en-US" w:eastAsia="zh-CN" w:bidi="ar"/>
              </w:rPr>
              <w:t>4</w:t>
            </w:r>
            <w:r>
              <w:rPr>
                <w:rFonts w:hint="default" w:ascii="Times New Roman" w:hAnsi="Times New Roman" w:eastAsia="宋体" w:cs="Times New Roman"/>
                <w:i w:val="0"/>
                <w:iCs w:val="0"/>
                <w:color w:val="auto"/>
                <w:kern w:val="0"/>
                <w:sz w:val="21"/>
                <w:szCs w:val="21"/>
                <w:u w:val="none"/>
                <w:lang w:val="en-US" w:eastAsia="zh-CN" w:bidi="ar"/>
              </w:rPr>
              <w:t>年个人剂量当量，mSv</w:t>
            </w:r>
          </w:p>
        </w:tc>
      </w:tr>
      <w:tr w14:paraId="4FD75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99" w:type="dxa"/>
            <w:vMerge w:val="continue"/>
            <w:shd w:val="clear" w:color="auto" w:fill="auto"/>
            <w:noWrap/>
            <w:vAlign w:val="center"/>
          </w:tcPr>
          <w:p w14:paraId="59D494BA">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sz w:val="21"/>
                <w:szCs w:val="21"/>
                <w:u w:val="none"/>
              </w:rPr>
            </w:pPr>
          </w:p>
        </w:tc>
        <w:tc>
          <w:tcPr>
            <w:tcW w:w="892" w:type="dxa"/>
            <w:vMerge w:val="continue"/>
            <w:shd w:val="clear" w:color="auto" w:fill="auto"/>
            <w:noWrap/>
            <w:vAlign w:val="center"/>
          </w:tcPr>
          <w:p w14:paraId="63756DE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p>
        </w:tc>
        <w:tc>
          <w:tcPr>
            <w:tcW w:w="473" w:type="dxa"/>
            <w:vMerge w:val="continue"/>
            <w:shd w:val="clear" w:color="auto" w:fill="auto"/>
            <w:noWrap/>
            <w:vAlign w:val="center"/>
          </w:tcPr>
          <w:p w14:paraId="18A3251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p>
        </w:tc>
        <w:tc>
          <w:tcPr>
            <w:tcW w:w="1198" w:type="dxa"/>
            <w:vMerge w:val="continue"/>
            <w:shd w:val="clear" w:color="auto" w:fill="auto"/>
            <w:noWrap/>
            <w:vAlign w:val="center"/>
          </w:tcPr>
          <w:p w14:paraId="4C295BA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p>
        </w:tc>
        <w:tc>
          <w:tcPr>
            <w:tcW w:w="1939" w:type="dxa"/>
            <w:vMerge w:val="continue"/>
            <w:shd w:val="clear" w:color="auto" w:fill="auto"/>
            <w:noWrap/>
            <w:vAlign w:val="center"/>
          </w:tcPr>
          <w:p w14:paraId="763744B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p>
        </w:tc>
        <w:tc>
          <w:tcPr>
            <w:tcW w:w="1714" w:type="dxa"/>
            <w:vMerge w:val="continue"/>
            <w:shd w:val="clear" w:color="auto" w:fill="auto"/>
            <w:noWrap/>
            <w:vAlign w:val="center"/>
          </w:tcPr>
          <w:p w14:paraId="29AC759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p>
        </w:tc>
        <w:tc>
          <w:tcPr>
            <w:tcW w:w="1260" w:type="dxa"/>
            <w:vMerge w:val="continue"/>
            <w:shd w:val="clear" w:color="auto" w:fill="auto"/>
            <w:noWrap/>
            <w:vAlign w:val="center"/>
          </w:tcPr>
          <w:p w14:paraId="40EA53C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p>
        </w:tc>
        <w:tc>
          <w:tcPr>
            <w:tcW w:w="1325" w:type="dxa"/>
            <w:shd w:val="clear" w:color="auto" w:fill="auto"/>
            <w:noWrap/>
            <w:vAlign w:val="top"/>
          </w:tcPr>
          <w:p w14:paraId="7B6FA59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vertAlign w:val="baseline"/>
                <w:lang w:val="en-US" w:eastAsia="zh-CN"/>
              </w:rPr>
              <w:t>2023.</w:t>
            </w:r>
            <w:r>
              <w:rPr>
                <w:rFonts w:hint="eastAsia" w:ascii="Times New Roman" w:hAnsi="Times New Roman" w:eastAsia="宋体" w:cs="Times New Roman"/>
                <w:color w:val="auto"/>
                <w:sz w:val="21"/>
                <w:szCs w:val="21"/>
                <w:vertAlign w:val="baseline"/>
                <w:lang w:val="en-US" w:eastAsia="zh-CN"/>
              </w:rPr>
              <w:t>06.</w:t>
            </w:r>
            <w:r>
              <w:rPr>
                <w:rFonts w:hint="default" w:ascii="Times New Roman" w:hAnsi="Times New Roman" w:eastAsia="宋体" w:cs="Times New Roman"/>
                <w:color w:val="auto"/>
                <w:sz w:val="21"/>
                <w:szCs w:val="21"/>
                <w:vertAlign w:val="baseline"/>
                <w:lang w:val="en-US" w:eastAsia="zh-CN"/>
              </w:rPr>
              <w:t>22-</w:t>
            </w:r>
            <w:r>
              <w:rPr>
                <w:rFonts w:hint="eastAsia" w:ascii="Times New Roman" w:hAnsi="Times New Roman" w:eastAsia="宋体" w:cs="Times New Roman"/>
                <w:color w:val="auto"/>
                <w:sz w:val="21"/>
                <w:szCs w:val="21"/>
                <w:vertAlign w:val="baseline"/>
                <w:lang w:val="en-US" w:eastAsia="zh-CN"/>
              </w:rPr>
              <w:t>09.</w:t>
            </w:r>
            <w:r>
              <w:rPr>
                <w:rFonts w:hint="default" w:ascii="Times New Roman" w:hAnsi="Times New Roman" w:eastAsia="宋体" w:cs="Times New Roman"/>
                <w:color w:val="auto"/>
                <w:sz w:val="21"/>
                <w:szCs w:val="21"/>
                <w:vertAlign w:val="baseline"/>
                <w:lang w:val="en-US" w:eastAsia="zh-CN"/>
              </w:rPr>
              <w:t>21</w:t>
            </w:r>
          </w:p>
        </w:tc>
        <w:tc>
          <w:tcPr>
            <w:tcW w:w="1260" w:type="dxa"/>
            <w:shd w:val="clear" w:color="auto" w:fill="auto"/>
            <w:noWrap/>
            <w:vAlign w:val="top"/>
          </w:tcPr>
          <w:p w14:paraId="1C3173E7">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vertAlign w:val="baseline"/>
                <w:lang w:val="en-US" w:eastAsia="zh-CN"/>
              </w:rPr>
              <w:t>2023</w:t>
            </w:r>
            <w:r>
              <w:rPr>
                <w:rFonts w:hint="eastAsia" w:ascii="Times New Roman" w:hAnsi="Times New Roman" w:eastAsia="宋体" w:cs="Times New Roman"/>
                <w:color w:val="auto"/>
                <w:sz w:val="21"/>
                <w:szCs w:val="21"/>
                <w:vertAlign w:val="baseline"/>
                <w:lang w:val="en-US" w:eastAsia="zh-CN"/>
              </w:rPr>
              <w:t>.09.22-12.21</w:t>
            </w:r>
          </w:p>
        </w:tc>
        <w:tc>
          <w:tcPr>
            <w:tcW w:w="1296" w:type="dxa"/>
            <w:shd w:val="clear" w:color="auto" w:fill="auto"/>
            <w:vAlign w:val="top"/>
          </w:tcPr>
          <w:p w14:paraId="3E9B981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vertAlign w:val="baseline"/>
                <w:lang w:val="en-US" w:eastAsia="zh-CN"/>
              </w:rPr>
              <w:t>2023.</w:t>
            </w:r>
            <w:r>
              <w:rPr>
                <w:rFonts w:hint="eastAsia" w:ascii="Times New Roman" w:hAnsi="Times New Roman" w:eastAsia="宋体" w:cs="Times New Roman"/>
                <w:color w:val="auto"/>
                <w:sz w:val="21"/>
                <w:szCs w:val="21"/>
                <w:vertAlign w:val="baseline"/>
                <w:lang w:val="en-US" w:eastAsia="zh-CN"/>
              </w:rPr>
              <w:t>12.22</w:t>
            </w:r>
            <w:r>
              <w:rPr>
                <w:rFonts w:hint="default" w:ascii="Times New Roman" w:hAnsi="Times New Roman" w:eastAsia="宋体" w:cs="Times New Roman"/>
                <w:color w:val="auto"/>
                <w:sz w:val="21"/>
                <w:szCs w:val="21"/>
                <w:vertAlign w:val="baseline"/>
                <w:lang w:val="en-US" w:eastAsia="zh-CN"/>
              </w:rPr>
              <w:t>-202</w:t>
            </w:r>
            <w:r>
              <w:rPr>
                <w:rFonts w:hint="eastAsia" w:ascii="Times New Roman" w:hAnsi="Times New Roman" w:eastAsia="宋体" w:cs="Times New Roman"/>
                <w:color w:val="auto"/>
                <w:sz w:val="21"/>
                <w:szCs w:val="21"/>
                <w:vertAlign w:val="baseline"/>
                <w:lang w:val="en-US" w:eastAsia="zh-CN"/>
              </w:rPr>
              <w:t>4.03.21</w:t>
            </w:r>
          </w:p>
        </w:tc>
        <w:tc>
          <w:tcPr>
            <w:tcW w:w="1286" w:type="dxa"/>
            <w:shd w:val="clear" w:color="auto" w:fill="auto"/>
            <w:vAlign w:val="top"/>
          </w:tcPr>
          <w:p w14:paraId="567F9936">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vertAlign w:val="baseline"/>
                <w:lang w:val="en-US" w:eastAsia="zh-CN"/>
              </w:rPr>
              <w:t>202</w:t>
            </w:r>
            <w:r>
              <w:rPr>
                <w:rFonts w:hint="eastAsia" w:ascii="Times New Roman" w:hAnsi="Times New Roman" w:eastAsia="宋体" w:cs="Times New Roman"/>
                <w:color w:val="auto"/>
                <w:sz w:val="21"/>
                <w:szCs w:val="21"/>
                <w:vertAlign w:val="baseline"/>
                <w:lang w:val="en-US" w:eastAsia="zh-CN"/>
              </w:rPr>
              <w:t>4.03.22-06.21</w:t>
            </w:r>
          </w:p>
        </w:tc>
      </w:tr>
      <w:tr w14:paraId="77BD3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16DCD3F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892" w:type="dxa"/>
            <w:shd w:val="clear" w:color="auto" w:fill="auto"/>
            <w:noWrap/>
            <w:vAlign w:val="top"/>
          </w:tcPr>
          <w:p w14:paraId="7FF4FF9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highlight w:val="yellow"/>
                <w:vertAlign w:val="baseline"/>
                <w:lang w:val="en-US" w:eastAsia="zh-CN" w:bidi="ar-SA"/>
              </w:rPr>
            </w:pPr>
            <w:r>
              <w:rPr>
                <w:rFonts w:hint="eastAsia" w:ascii="Times New Roman" w:hAnsi="Times New Roman" w:eastAsia="宋体" w:cs="Times New Roman"/>
                <w:color w:val="auto"/>
                <w:sz w:val="21"/>
                <w:szCs w:val="21"/>
                <w:vertAlign w:val="baseline"/>
                <w:lang w:val="en-US" w:eastAsia="zh-CN"/>
              </w:rPr>
              <w:t>张朝阳</w:t>
            </w:r>
          </w:p>
        </w:tc>
        <w:tc>
          <w:tcPr>
            <w:tcW w:w="473" w:type="dxa"/>
            <w:shd w:val="clear" w:color="auto" w:fill="auto"/>
            <w:noWrap/>
            <w:vAlign w:val="center"/>
          </w:tcPr>
          <w:p w14:paraId="03A226E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center"/>
              <w:rPr>
                <w:rFonts w:hint="eastAsia" w:ascii="Times New Roman" w:hAnsi="Times New Roman" w:eastAsia="宋体" w:cs="Times New Roman"/>
                <w:color w:val="auto"/>
                <w:sz w:val="21"/>
                <w:szCs w:val="21"/>
                <w:highlight w:val="yellow"/>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56F06CDA">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highlight w:val="yellow"/>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2023.11.18</w:t>
            </w:r>
          </w:p>
        </w:tc>
        <w:tc>
          <w:tcPr>
            <w:tcW w:w="1939" w:type="dxa"/>
            <w:shd w:val="clear" w:color="auto" w:fill="auto"/>
            <w:noWrap/>
            <w:vAlign w:val="center"/>
          </w:tcPr>
          <w:p w14:paraId="7919EFA2">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可</w:t>
            </w:r>
            <w:r>
              <w:rPr>
                <w:rFonts w:hint="eastAsia" w:ascii="Times New Roman" w:hAnsi="Times New Roman" w:eastAsia="宋体" w:cs="Times New Roman"/>
                <w:i w:val="0"/>
                <w:iCs w:val="0"/>
                <w:color w:val="auto"/>
                <w:kern w:val="0"/>
                <w:sz w:val="21"/>
                <w:szCs w:val="21"/>
                <w:u w:val="none"/>
                <w:lang w:val="en-US" w:eastAsia="zh-CN" w:bidi="ar"/>
              </w:rPr>
              <w:t>继续原放射</w:t>
            </w:r>
            <w:r>
              <w:rPr>
                <w:rFonts w:hint="default" w:ascii="Times New Roman" w:hAnsi="Times New Roman" w:eastAsia="宋体" w:cs="Times New Roman"/>
                <w:i w:val="0"/>
                <w:iCs w:val="0"/>
                <w:color w:val="auto"/>
                <w:kern w:val="0"/>
                <w:sz w:val="21"/>
                <w:szCs w:val="21"/>
                <w:u w:val="none"/>
                <w:lang w:val="en-US" w:eastAsia="zh-CN" w:bidi="ar"/>
              </w:rPr>
              <w:t>工作</w:t>
            </w:r>
          </w:p>
        </w:tc>
        <w:tc>
          <w:tcPr>
            <w:tcW w:w="1714" w:type="dxa"/>
            <w:shd w:val="clear" w:color="auto" w:fill="auto"/>
            <w:noWrap/>
            <w:vAlign w:val="top"/>
          </w:tcPr>
          <w:p w14:paraId="35A88FA1">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eastAsia" w:ascii="宋体" w:hAnsi="宋体" w:eastAsia="宋体" w:cs="宋体"/>
                <w:color w:val="auto"/>
                <w:kern w:val="2"/>
                <w:sz w:val="21"/>
                <w:szCs w:val="21"/>
                <w:vertAlign w:val="baseline"/>
                <w:lang w:val="en-US" w:eastAsia="zh-CN" w:bidi="ar-SA"/>
              </w:rPr>
              <w:t>自主考核</w:t>
            </w:r>
          </w:p>
        </w:tc>
        <w:tc>
          <w:tcPr>
            <w:tcW w:w="1260" w:type="dxa"/>
            <w:shd w:val="clear" w:color="auto" w:fill="auto"/>
            <w:noWrap/>
            <w:vAlign w:val="top"/>
          </w:tcPr>
          <w:p w14:paraId="6D432416">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7.05</w:t>
            </w:r>
          </w:p>
        </w:tc>
        <w:tc>
          <w:tcPr>
            <w:tcW w:w="1325" w:type="dxa"/>
            <w:shd w:val="clear" w:color="auto" w:fill="auto"/>
            <w:noWrap/>
            <w:vAlign w:val="top"/>
          </w:tcPr>
          <w:p w14:paraId="7D6DC76A">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0.042</w:t>
            </w:r>
          </w:p>
        </w:tc>
        <w:tc>
          <w:tcPr>
            <w:tcW w:w="1260" w:type="dxa"/>
            <w:shd w:val="clear" w:color="auto" w:fill="auto"/>
            <w:noWrap/>
            <w:vAlign w:val="top"/>
          </w:tcPr>
          <w:p w14:paraId="1A68C17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&lt;MDL</w:t>
            </w:r>
          </w:p>
        </w:tc>
        <w:tc>
          <w:tcPr>
            <w:tcW w:w="1296" w:type="dxa"/>
            <w:shd w:val="clear" w:color="auto" w:fill="auto"/>
            <w:noWrap/>
            <w:vAlign w:val="top"/>
          </w:tcPr>
          <w:p w14:paraId="5B830B4C">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0.043</w:t>
            </w:r>
          </w:p>
        </w:tc>
        <w:tc>
          <w:tcPr>
            <w:tcW w:w="1286" w:type="dxa"/>
            <w:shd w:val="clear" w:color="auto" w:fill="auto"/>
            <w:noWrap/>
            <w:vAlign w:val="top"/>
          </w:tcPr>
          <w:p w14:paraId="1706A46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0.044</w:t>
            </w:r>
          </w:p>
        </w:tc>
      </w:tr>
      <w:tr w14:paraId="4B774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7A3220D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892" w:type="dxa"/>
            <w:shd w:val="clear" w:color="auto" w:fill="auto"/>
            <w:noWrap/>
            <w:vAlign w:val="top"/>
          </w:tcPr>
          <w:p w14:paraId="765B81CB">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秦智</w:t>
            </w:r>
          </w:p>
        </w:tc>
        <w:tc>
          <w:tcPr>
            <w:tcW w:w="473" w:type="dxa"/>
            <w:shd w:val="clear" w:color="auto" w:fill="auto"/>
            <w:noWrap/>
            <w:vAlign w:val="center"/>
          </w:tcPr>
          <w:p w14:paraId="4EC891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77E2FB3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4.07.12</w:t>
            </w:r>
          </w:p>
        </w:tc>
        <w:tc>
          <w:tcPr>
            <w:tcW w:w="1939" w:type="dxa"/>
            <w:shd w:val="clear" w:color="auto" w:fill="auto"/>
            <w:noWrap/>
            <w:vAlign w:val="center"/>
          </w:tcPr>
          <w:p w14:paraId="6C2C937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可</w:t>
            </w:r>
            <w:r>
              <w:rPr>
                <w:rFonts w:hint="eastAsia" w:ascii="Times New Roman" w:hAnsi="Times New Roman" w:eastAsia="宋体" w:cs="Times New Roman"/>
                <w:i w:val="0"/>
                <w:iCs w:val="0"/>
                <w:color w:val="auto"/>
                <w:kern w:val="0"/>
                <w:sz w:val="21"/>
                <w:szCs w:val="21"/>
                <w:u w:val="none"/>
                <w:lang w:val="en-US" w:eastAsia="zh-CN" w:bidi="ar"/>
              </w:rPr>
              <w:t>继续原放射</w:t>
            </w:r>
            <w:r>
              <w:rPr>
                <w:rFonts w:hint="default" w:ascii="Times New Roman" w:hAnsi="Times New Roman" w:eastAsia="宋体" w:cs="Times New Roman"/>
                <w:i w:val="0"/>
                <w:iCs w:val="0"/>
                <w:color w:val="auto"/>
                <w:kern w:val="0"/>
                <w:sz w:val="21"/>
                <w:szCs w:val="21"/>
                <w:u w:val="none"/>
                <w:lang w:val="en-US" w:eastAsia="zh-CN" w:bidi="ar"/>
              </w:rPr>
              <w:t>工作</w:t>
            </w:r>
          </w:p>
        </w:tc>
        <w:tc>
          <w:tcPr>
            <w:tcW w:w="1714" w:type="dxa"/>
            <w:shd w:val="clear" w:color="auto" w:fill="auto"/>
            <w:noWrap/>
            <w:vAlign w:val="top"/>
          </w:tcPr>
          <w:p w14:paraId="1CC603D9">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default" w:ascii="Times New Roman" w:hAnsi="Times New Roman" w:eastAsia="微软雅黑" w:cs="Times New Roman"/>
                <w:color w:val="auto"/>
                <w:vertAlign w:val="baseline"/>
                <w:lang w:val="en-US" w:eastAsia="zh-CN"/>
              </w:rPr>
              <w:t>FS24AH010</w:t>
            </w:r>
            <w:r>
              <w:rPr>
                <w:rFonts w:hint="eastAsia" w:ascii="Times New Roman" w:hAnsi="Times New Roman" w:eastAsia="微软雅黑" w:cs="Times New Roman"/>
                <w:color w:val="auto"/>
                <w:vertAlign w:val="baseline"/>
                <w:lang w:val="en-US" w:eastAsia="zh-CN"/>
              </w:rPr>
              <w:t>1158</w:t>
            </w:r>
          </w:p>
        </w:tc>
        <w:tc>
          <w:tcPr>
            <w:tcW w:w="1260" w:type="dxa"/>
            <w:shd w:val="clear" w:color="auto" w:fill="auto"/>
            <w:noWrap/>
            <w:vAlign w:val="top"/>
          </w:tcPr>
          <w:p w14:paraId="669D61A5">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7.16</w:t>
            </w:r>
          </w:p>
        </w:tc>
        <w:tc>
          <w:tcPr>
            <w:tcW w:w="1325" w:type="dxa"/>
            <w:shd w:val="clear" w:color="auto" w:fill="auto"/>
            <w:noWrap/>
            <w:vAlign w:val="top"/>
          </w:tcPr>
          <w:p w14:paraId="59D467E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w:t>
            </w:r>
          </w:p>
        </w:tc>
        <w:tc>
          <w:tcPr>
            <w:tcW w:w="1260" w:type="dxa"/>
            <w:shd w:val="clear" w:color="auto" w:fill="auto"/>
            <w:noWrap/>
            <w:vAlign w:val="top"/>
          </w:tcPr>
          <w:p w14:paraId="2EEFE42C">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0.215</w:t>
            </w:r>
          </w:p>
        </w:tc>
        <w:tc>
          <w:tcPr>
            <w:tcW w:w="1296" w:type="dxa"/>
            <w:shd w:val="clear" w:color="auto" w:fill="auto"/>
            <w:noWrap/>
            <w:vAlign w:val="top"/>
          </w:tcPr>
          <w:p w14:paraId="45C54E35">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0.051</w:t>
            </w:r>
          </w:p>
        </w:tc>
        <w:tc>
          <w:tcPr>
            <w:tcW w:w="1286" w:type="dxa"/>
            <w:shd w:val="clear" w:color="auto" w:fill="auto"/>
            <w:noWrap/>
            <w:vAlign w:val="top"/>
          </w:tcPr>
          <w:p w14:paraId="489AF65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0.037</w:t>
            </w:r>
          </w:p>
        </w:tc>
      </w:tr>
      <w:tr w14:paraId="523EB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6943EF0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w:t>
            </w:r>
          </w:p>
        </w:tc>
        <w:tc>
          <w:tcPr>
            <w:tcW w:w="892" w:type="dxa"/>
            <w:shd w:val="clear" w:color="auto" w:fill="auto"/>
            <w:noWrap/>
            <w:vAlign w:val="top"/>
          </w:tcPr>
          <w:p w14:paraId="70F070C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陈远峰</w:t>
            </w:r>
          </w:p>
        </w:tc>
        <w:tc>
          <w:tcPr>
            <w:tcW w:w="473" w:type="dxa"/>
            <w:shd w:val="clear" w:color="auto" w:fill="auto"/>
            <w:noWrap/>
            <w:vAlign w:val="top"/>
          </w:tcPr>
          <w:p w14:paraId="79FB9CBE">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48DCE39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4.07.10</w:t>
            </w:r>
          </w:p>
        </w:tc>
        <w:tc>
          <w:tcPr>
            <w:tcW w:w="1939" w:type="dxa"/>
            <w:shd w:val="clear" w:color="auto" w:fill="auto"/>
            <w:noWrap/>
            <w:vAlign w:val="center"/>
          </w:tcPr>
          <w:p w14:paraId="0847C66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可</w:t>
            </w:r>
            <w:r>
              <w:rPr>
                <w:rFonts w:hint="eastAsia" w:ascii="Times New Roman" w:hAnsi="Times New Roman" w:eastAsia="宋体" w:cs="Times New Roman"/>
                <w:i w:val="0"/>
                <w:iCs w:val="0"/>
                <w:color w:val="auto"/>
                <w:kern w:val="0"/>
                <w:sz w:val="21"/>
                <w:szCs w:val="21"/>
                <w:u w:val="none"/>
                <w:lang w:val="en-US" w:eastAsia="zh-CN" w:bidi="ar"/>
              </w:rPr>
              <w:t>继续原放射</w:t>
            </w:r>
            <w:r>
              <w:rPr>
                <w:rFonts w:hint="default" w:ascii="Times New Roman" w:hAnsi="Times New Roman" w:eastAsia="宋体" w:cs="Times New Roman"/>
                <w:i w:val="0"/>
                <w:iCs w:val="0"/>
                <w:color w:val="auto"/>
                <w:kern w:val="0"/>
                <w:sz w:val="21"/>
                <w:szCs w:val="21"/>
                <w:u w:val="none"/>
                <w:lang w:val="en-US" w:eastAsia="zh-CN" w:bidi="ar"/>
              </w:rPr>
              <w:t>工作</w:t>
            </w:r>
          </w:p>
        </w:tc>
        <w:tc>
          <w:tcPr>
            <w:tcW w:w="1714" w:type="dxa"/>
            <w:shd w:val="clear" w:color="auto" w:fill="auto"/>
            <w:noWrap/>
            <w:vAlign w:val="top"/>
          </w:tcPr>
          <w:p w14:paraId="40B09B05">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eastAsia" w:ascii="宋体" w:hAnsi="宋体" w:eastAsia="宋体" w:cs="宋体"/>
                <w:color w:val="auto"/>
                <w:kern w:val="2"/>
                <w:sz w:val="21"/>
                <w:szCs w:val="21"/>
                <w:vertAlign w:val="baseline"/>
                <w:lang w:val="en-US" w:eastAsia="zh-CN" w:bidi="ar-SA"/>
              </w:rPr>
              <w:t>自主考核</w:t>
            </w:r>
          </w:p>
        </w:tc>
        <w:tc>
          <w:tcPr>
            <w:tcW w:w="1260" w:type="dxa"/>
            <w:shd w:val="clear" w:color="auto" w:fill="auto"/>
            <w:noWrap/>
            <w:vAlign w:val="top"/>
          </w:tcPr>
          <w:p w14:paraId="1B40B59E">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highlight w:val="yellow"/>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7.05</w:t>
            </w:r>
          </w:p>
        </w:tc>
        <w:tc>
          <w:tcPr>
            <w:tcW w:w="1325" w:type="dxa"/>
            <w:shd w:val="clear" w:color="auto" w:fill="auto"/>
            <w:noWrap/>
            <w:vAlign w:val="top"/>
          </w:tcPr>
          <w:p w14:paraId="1E7A9A8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0.144</w:t>
            </w:r>
          </w:p>
        </w:tc>
        <w:tc>
          <w:tcPr>
            <w:tcW w:w="1260" w:type="dxa"/>
            <w:shd w:val="clear" w:color="auto" w:fill="auto"/>
            <w:noWrap/>
            <w:vAlign w:val="top"/>
          </w:tcPr>
          <w:p w14:paraId="7AC3BB90">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0.258</w:t>
            </w:r>
          </w:p>
        </w:tc>
        <w:tc>
          <w:tcPr>
            <w:tcW w:w="1296" w:type="dxa"/>
            <w:shd w:val="clear" w:color="auto" w:fill="auto"/>
            <w:noWrap/>
            <w:vAlign w:val="top"/>
          </w:tcPr>
          <w:p w14:paraId="60A8BD45">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0.049</w:t>
            </w:r>
          </w:p>
        </w:tc>
        <w:tc>
          <w:tcPr>
            <w:tcW w:w="1286" w:type="dxa"/>
            <w:shd w:val="clear" w:color="auto" w:fill="auto"/>
            <w:noWrap/>
            <w:vAlign w:val="top"/>
          </w:tcPr>
          <w:p w14:paraId="0E1D319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0.042</w:t>
            </w:r>
          </w:p>
        </w:tc>
      </w:tr>
      <w:tr w14:paraId="0C82C4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4920D74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w:t>
            </w:r>
          </w:p>
        </w:tc>
        <w:tc>
          <w:tcPr>
            <w:tcW w:w="892" w:type="dxa"/>
            <w:shd w:val="clear" w:color="auto" w:fill="auto"/>
            <w:noWrap/>
            <w:vAlign w:val="top"/>
          </w:tcPr>
          <w:p w14:paraId="70AB6864">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李钰</w:t>
            </w:r>
          </w:p>
        </w:tc>
        <w:tc>
          <w:tcPr>
            <w:tcW w:w="473" w:type="dxa"/>
            <w:shd w:val="clear" w:color="auto" w:fill="auto"/>
            <w:noWrap/>
            <w:vAlign w:val="top"/>
          </w:tcPr>
          <w:p w14:paraId="057AFD6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16A24089">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4.07.11</w:t>
            </w:r>
          </w:p>
        </w:tc>
        <w:tc>
          <w:tcPr>
            <w:tcW w:w="1939" w:type="dxa"/>
            <w:shd w:val="clear" w:color="auto" w:fill="auto"/>
            <w:noWrap/>
            <w:vAlign w:val="center"/>
          </w:tcPr>
          <w:p w14:paraId="14D876D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未见明显异常</w:t>
            </w:r>
          </w:p>
        </w:tc>
        <w:tc>
          <w:tcPr>
            <w:tcW w:w="1714" w:type="dxa"/>
            <w:shd w:val="clear" w:color="auto" w:fill="auto"/>
            <w:noWrap/>
            <w:vAlign w:val="top"/>
          </w:tcPr>
          <w:p w14:paraId="46C515DD">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eastAsia" w:ascii="宋体" w:hAnsi="宋体" w:eastAsia="宋体" w:cs="宋体"/>
                <w:color w:val="auto"/>
                <w:kern w:val="2"/>
                <w:sz w:val="21"/>
                <w:szCs w:val="21"/>
                <w:vertAlign w:val="baseline"/>
                <w:lang w:val="en-US" w:eastAsia="zh-CN" w:bidi="ar-SA"/>
              </w:rPr>
              <w:t>自主考核</w:t>
            </w:r>
          </w:p>
        </w:tc>
        <w:tc>
          <w:tcPr>
            <w:tcW w:w="1260" w:type="dxa"/>
            <w:shd w:val="clear" w:color="auto" w:fill="auto"/>
            <w:noWrap/>
            <w:vAlign w:val="top"/>
          </w:tcPr>
          <w:p w14:paraId="70D241DC">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highlight w:val="yellow"/>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7.05</w:t>
            </w:r>
          </w:p>
        </w:tc>
        <w:tc>
          <w:tcPr>
            <w:tcW w:w="1325" w:type="dxa"/>
            <w:shd w:val="clear" w:color="auto" w:fill="auto"/>
            <w:noWrap/>
            <w:vAlign w:val="top"/>
          </w:tcPr>
          <w:p w14:paraId="62618EC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0.108</w:t>
            </w:r>
          </w:p>
        </w:tc>
        <w:tc>
          <w:tcPr>
            <w:tcW w:w="1260" w:type="dxa"/>
            <w:shd w:val="clear" w:color="auto" w:fill="auto"/>
            <w:noWrap/>
            <w:vAlign w:val="top"/>
          </w:tcPr>
          <w:p w14:paraId="4E4A574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0.049</w:t>
            </w:r>
          </w:p>
        </w:tc>
        <w:tc>
          <w:tcPr>
            <w:tcW w:w="1296" w:type="dxa"/>
            <w:shd w:val="clear" w:color="auto" w:fill="auto"/>
            <w:noWrap/>
            <w:vAlign w:val="top"/>
          </w:tcPr>
          <w:p w14:paraId="31C7077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0.090</w:t>
            </w:r>
          </w:p>
        </w:tc>
        <w:tc>
          <w:tcPr>
            <w:tcW w:w="1286" w:type="dxa"/>
            <w:shd w:val="clear" w:color="auto" w:fill="auto"/>
            <w:noWrap/>
            <w:vAlign w:val="top"/>
          </w:tcPr>
          <w:p w14:paraId="3538892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&lt;MDL</w:t>
            </w:r>
          </w:p>
        </w:tc>
      </w:tr>
      <w:tr w14:paraId="216F9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399" w:type="dxa"/>
            <w:shd w:val="clear" w:color="auto" w:fill="auto"/>
            <w:noWrap/>
            <w:vAlign w:val="center"/>
          </w:tcPr>
          <w:p w14:paraId="4B60D9C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w:t>
            </w:r>
          </w:p>
        </w:tc>
        <w:tc>
          <w:tcPr>
            <w:tcW w:w="892" w:type="dxa"/>
            <w:shd w:val="clear" w:color="auto" w:fill="auto"/>
            <w:noWrap/>
            <w:vAlign w:val="top"/>
          </w:tcPr>
          <w:p w14:paraId="1477DA8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王涛</w:t>
            </w:r>
          </w:p>
        </w:tc>
        <w:tc>
          <w:tcPr>
            <w:tcW w:w="473" w:type="dxa"/>
            <w:shd w:val="clear" w:color="auto" w:fill="auto"/>
            <w:noWrap/>
            <w:vAlign w:val="top"/>
          </w:tcPr>
          <w:p w14:paraId="481C03C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587FBC23">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4.07.10</w:t>
            </w:r>
          </w:p>
        </w:tc>
        <w:tc>
          <w:tcPr>
            <w:tcW w:w="1939" w:type="dxa"/>
            <w:shd w:val="clear" w:color="auto" w:fill="auto"/>
            <w:noWrap/>
            <w:vAlign w:val="center"/>
          </w:tcPr>
          <w:p w14:paraId="4287C7E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可</w:t>
            </w:r>
            <w:r>
              <w:rPr>
                <w:rFonts w:hint="eastAsia" w:ascii="Times New Roman" w:hAnsi="Times New Roman" w:eastAsia="宋体" w:cs="Times New Roman"/>
                <w:i w:val="0"/>
                <w:iCs w:val="0"/>
                <w:color w:val="auto"/>
                <w:kern w:val="0"/>
                <w:sz w:val="21"/>
                <w:szCs w:val="21"/>
                <w:u w:val="none"/>
                <w:lang w:val="en-US" w:eastAsia="zh-CN" w:bidi="ar"/>
              </w:rPr>
              <w:t>继续原放射</w:t>
            </w:r>
            <w:r>
              <w:rPr>
                <w:rFonts w:hint="default" w:ascii="Times New Roman" w:hAnsi="Times New Roman" w:eastAsia="宋体" w:cs="Times New Roman"/>
                <w:i w:val="0"/>
                <w:iCs w:val="0"/>
                <w:color w:val="auto"/>
                <w:kern w:val="0"/>
                <w:sz w:val="21"/>
                <w:szCs w:val="21"/>
                <w:u w:val="none"/>
                <w:lang w:val="en-US" w:eastAsia="zh-CN" w:bidi="ar"/>
              </w:rPr>
              <w:t>工作</w:t>
            </w:r>
          </w:p>
        </w:tc>
        <w:tc>
          <w:tcPr>
            <w:tcW w:w="1714" w:type="dxa"/>
            <w:shd w:val="clear" w:color="auto" w:fill="auto"/>
            <w:noWrap/>
            <w:vAlign w:val="top"/>
          </w:tcPr>
          <w:p w14:paraId="2558BCB6">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default" w:ascii="Times New Roman" w:hAnsi="Times New Roman" w:eastAsia="微软雅黑" w:cs="Times New Roman"/>
                <w:color w:val="auto"/>
                <w:vertAlign w:val="baseline"/>
                <w:lang w:val="en-US" w:eastAsia="zh-CN"/>
              </w:rPr>
              <w:t>FS24AH010</w:t>
            </w:r>
            <w:r>
              <w:rPr>
                <w:rFonts w:hint="eastAsia" w:ascii="Times New Roman" w:hAnsi="Times New Roman" w:eastAsia="微软雅黑" w:cs="Times New Roman"/>
                <w:color w:val="auto"/>
                <w:vertAlign w:val="baseline"/>
                <w:lang w:val="en-US" w:eastAsia="zh-CN"/>
              </w:rPr>
              <w:t>1155</w:t>
            </w:r>
          </w:p>
        </w:tc>
        <w:tc>
          <w:tcPr>
            <w:tcW w:w="1260" w:type="dxa"/>
            <w:shd w:val="clear" w:color="auto" w:fill="auto"/>
            <w:noWrap/>
            <w:vAlign w:val="top"/>
          </w:tcPr>
          <w:p w14:paraId="444E5611">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7.16</w:t>
            </w:r>
          </w:p>
        </w:tc>
        <w:tc>
          <w:tcPr>
            <w:tcW w:w="1325" w:type="dxa"/>
            <w:shd w:val="clear" w:color="auto" w:fill="auto"/>
            <w:noWrap/>
            <w:vAlign w:val="top"/>
          </w:tcPr>
          <w:p w14:paraId="1D20AF6A">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0.195</w:t>
            </w:r>
          </w:p>
        </w:tc>
        <w:tc>
          <w:tcPr>
            <w:tcW w:w="1260" w:type="dxa"/>
            <w:shd w:val="clear" w:color="auto" w:fill="auto"/>
            <w:noWrap/>
            <w:vAlign w:val="top"/>
          </w:tcPr>
          <w:p w14:paraId="1D9B2D90">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0.244</w:t>
            </w:r>
          </w:p>
        </w:tc>
        <w:tc>
          <w:tcPr>
            <w:tcW w:w="1296" w:type="dxa"/>
            <w:shd w:val="clear" w:color="auto" w:fill="auto"/>
            <w:noWrap/>
            <w:vAlign w:val="top"/>
          </w:tcPr>
          <w:p w14:paraId="19D6BAD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0.037</w:t>
            </w:r>
          </w:p>
        </w:tc>
        <w:tc>
          <w:tcPr>
            <w:tcW w:w="1286" w:type="dxa"/>
            <w:shd w:val="clear" w:color="auto" w:fill="auto"/>
            <w:noWrap/>
            <w:vAlign w:val="top"/>
          </w:tcPr>
          <w:p w14:paraId="3EE10684">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&lt;MDL</w:t>
            </w:r>
          </w:p>
        </w:tc>
      </w:tr>
      <w:tr w14:paraId="73DCF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4B4C972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w:t>
            </w:r>
          </w:p>
        </w:tc>
        <w:tc>
          <w:tcPr>
            <w:tcW w:w="892" w:type="dxa"/>
            <w:shd w:val="clear" w:color="auto" w:fill="auto"/>
            <w:noWrap/>
            <w:vAlign w:val="top"/>
          </w:tcPr>
          <w:p w14:paraId="0D9B0C3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王培克</w:t>
            </w:r>
          </w:p>
        </w:tc>
        <w:tc>
          <w:tcPr>
            <w:tcW w:w="473" w:type="dxa"/>
            <w:shd w:val="clear" w:color="auto" w:fill="auto"/>
            <w:noWrap/>
            <w:vAlign w:val="top"/>
          </w:tcPr>
          <w:p w14:paraId="7F80262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0E4ADE7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4.07.11</w:t>
            </w:r>
          </w:p>
        </w:tc>
        <w:tc>
          <w:tcPr>
            <w:tcW w:w="1939" w:type="dxa"/>
            <w:shd w:val="clear" w:color="auto" w:fill="auto"/>
            <w:noWrap/>
            <w:vAlign w:val="center"/>
          </w:tcPr>
          <w:p w14:paraId="7747558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可</w:t>
            </w:r>
            <w:r>
              <w:rPr>
                <w:rFonts w:hint="eastAsia" w:ascii="Times New Roman" w:hAnsi="Times New Roman" w:eastAsia="宋体" w:cs="Times New Roman"/>
                <w:i w:val="0"/>
                <w:iCs w:val="0"/>
                <w:color w:val="auto"/>
                <w:kern w:val="0"/>
                <w:sz w:val="21"/>
                <w:szCs w:val="21"/>
                <w:u w:val="none"/>
                <w:lang w:val="en-US" w:eastAsia="zh-CN" w:bidi="ar"/>
              </w:rPr>
              <w:t>继续原放射</w:t>
            </w:r>
            <w:r>
              <w:rPr>
                <w:rFonts w:hint="default" w:ascii="Times New Roman" w:hAnsi="Times New Roman" w:eastAsia="宋体" w:cs="Times New Roman"/>
                <w:i w:val="0"/>
                <w:iCs w:val="0"/>
                <w:color w:val="auto"/>
                <w:kern w:val="0"/>
                <w:sz w:val="21"/>
                <w:szCs w:val="21"/>
                <w:u w:val="none"/>
                <w:lang w:val="en-US" w:eastAsia="zh-CN" w:bidi="ar"/>
              </w:rPr>
              <w:t>工作</w:t>
            </w:r>
          </w:p>
        </w:tc>
        <w:tc>
          <w:tcPr>
            <w:tcW w:w="1714" w:type="dxa"/>
            <w:shd w:val="clear" w:color="auto" w:fill="auto"/>
            <w:noWrap/>
            <w:vAlign w:val="top"/>
          </w:tcPr>
          <w:p w14:paraId="328699F7">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eastAsia" w:ascii="宋体" w:hAnsi="宋体" w:eastAsia="宋体" w:cs="宋体"/>
                <w:color w:val="auto"/>
                <w:kern w:val="2"/>
                <w:sz w:val="21"/>
                <w:szCs w:val="21"/>
                <w:vertAlign w:val="baseline"/>
                <w:lang w:val="en-US" w:eastAsia="zh-CN" w:bidi="ar-SA"/>
              </w:rPr>
              <w:t>自主考核</w:t>
            </w:r>
          </w:p>
        </w:tc>
        <w:tc>
          <w:tcPr>
            <w:tcW w:w="1260" w:type="dxa"/>
            <w:shd w:val="clear" w:color="auto" w:fill="auto"/>
            <w:noWrap/>
            <w:vAlign w:val="top"/>
          </w:tcPr>
          <w:p w14:paraId="44C62B51">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highlight w:val="yellow"/>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7.05</w:t>
            </w:r>
          </w:p>
        </w:tc>
        <w:tc>
          <w:tcPr>
            <w:tcW w:w="1325" w:type="dxa"/>
            <w:shd w:val="clear" w:color="auto" w:fill="auto"/>
            <w:noWrap/>
            <w:vAlign w:val="top"/>
          </w:tcPr>
          <w:p w14:paraId="2A1ED25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0.150</w:t>
            </w:r>
          </w:p>
        </w:tc>
        <w:tc>
          <w:tcPr>
            <w:tcW w:w="1260" w:type="dxa"/>
            <w:shd w:val="clear" w:color="auto" w:fill="auto"/>
            <w:noWrap/>
            <w:vAlign w:val="top"/>
          </w:tcPr>
          <w:p w14:paraId="4B81F74D">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0.361</w:t>
            </w:r>
          </w:p>
        </w:tc>
        <w:tc>
          <w:tcPr>
            <w:tcW w:w="1296" w:type="dxa"/>
            <w:shd w:val="clear" w:color="auto" w:fill="auto"/>
            <w:noWrap/>
            <w:vAlign w:val="top"/>
          </w:tcPr>
          <w:p w14:paraId="030AFF15">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0.046</w:t>
            </w:r>
          </w:p>
        </w:tc>
        <w:tc>
          <w:tcPr>
            <w:tcW w:w="1286" w:type="dxa"/>
            <w:shd w:val="clear" w:color="auto" w:fill="auto"/>
            <w:noWrap/>
            <w:vAlign w:val="top"/>
          </w:tcPr>
          <w:p w14:paraId="75DD6EF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0.031</w:t>
            </w:r>
          </w:p>
        </w:tc>
      </w:tr>
      <w:tr w14:paraId="44F79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3119A2B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eastAsia" w:ascii="Times New Roman" w:hAnsi="Times New Roman" w:eastAsia="宋体" w:cs="Times New Roman"/>
                <w:i w:val="0"/>
                <w:iCs w:val="0"/>
                <w:color w:val="auto"/>
                <w:kern w:val="0"/>
                <w:sz w:val="21"/>
                <w:szCs w:val="21"/>
                <w:u w:val="none"/>
                <w:lang w:val="en-US" w:eastAsia="zh-CN" w:bidi="ar"/>
              </w:rPr>
              <w:t>7</w:t>
            </w:r>
          </w:p>
        </w:tc>
        <w:tc>
          <w:tcPr>
            <w:tcW w:w="892" w:type="dxa"/>
            <w:shd w:val="clear" w:color="auto" w:fill="auto"/>
            <w:noWrap/>
            <w:vAlign w:val="top"/>
          </w:tcPr>
          <w:p w14:paraId="346312F3">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陈雪</w:t>
            </w:r>
          </w:p>
        </w:tc>
        <w:tc>
          <w:tcPr>
            <w:tcW w:w="473" w:type="dxa"/>
            <w:shd w:val="clear" w:color="auto" w:fill="auto"/>
            <w:noWrap/>
            <w:vAlign w:val="top"/>
          </w:tcPr>
          <w:p w14:paraId="27C7658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3E544929">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4.07.12</w:t>
            </w:r>
          </w:p>
        </w:tc>
        <w:tc>
          <w:tcPr>
            <w:tcW w:w="1939" w:type="dxa"/>
            <w:shd w:val="clear" w:color="auto" w:fill="auto"/>
            <w:noWrap/>
            <w:vAlign w:val="center"/>
          </w:tcPr>
          <w:p w14:paraId="5C7B4F9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建议复查</w:t>
            </w:r>
          </w:p>
        </w:tc>
        <w:tc>
          <w:tcPr>
            <w:tcW w:w="1714" w:type="dxa"/>
            <w:shd w:val="clear" w:color="auto" w:fill="auto"/>
            <w:noWrap/>
            <w:vAlign w:val="top"/>
          </w:tcPr>
          <w:p w14:paraId="0DF3D64F">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eastAsia" w:ascii="宋体" w:hAnsi="宋体" w:eastAsia="宋体" w:cs="宋体"/>
                <w:color w:val="auto"/>
                <w:kern w:val="2"/>
                <w:sz w:val="21"/>
                <w:szCs w:val="21"/>
                <w:vertAlign w:val="baseline"/>
                <w:lang w:val="en-US" w:eastAsia="zh-CN" w:bidi="ar-SA"/>
              </w:rPr>
              <w:t>自主考核</w:t>
            </w:r>
          </w:p>
        </w:tc>
        <w:tc>
          <w:tcPr>
            <w:tcW w:w="1260" w:type="dxa"/>
            <w:shd w:val="clear" w:color="auto" w:fill="auto"/>
            <w:noWrap/>
            <w:vAlign w:val="top"/>
          </w:tcPr>
          <w:p w14:paraId="669C307A">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highlight w:val="yellow"/>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7.05</w:t>
            </w:r>
          </w:p>
        </w:tc>
        <w:tc>
          <w:tcPr>
            <w:tcW w:w="1325" w:type="dxa"/>
            <w:shd w:val="clear" w:color="auto" w:fill="auto"/>
            <w:noWrap/>
            <w:vAlign w:val="top"/>
          </w:tcPr>
          <w:p w14:paraId="5CE83FD7">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0.128</w:t>
            </w:r>
          </w:p>
        </w:tc>
        <w:tc>
          <w:tcPr>
            <w:tcW w:w="1260" w:type="dxa"/>
            <w:shd w:val="clear" w:color="auto" w:fill="auto"/>
            <w:noWrap/>
            <w:vAlign w:val="top"/>
          </w:tcPr>
          <w:p w14:paraId="78CA7E7A">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0.052</w:t>
            </w:r>
          </w:p>
        </w:tc>
        <w:tc>
          <w:tcPr>
            <w:tcW w:w="1296" w:type="dxa"/>
            <w:shd w:val="clear" w:color="auto" w:fill="auto"/>
            <w:noWrap/>
            <w:vAlign w:val="top"/>
          </w:tcPr>
          <w:p w14:paraId="10E7296C">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0.055</w:t>
            </w:r>
          </w:p>
        </w:tc>
        <w:tc>
          <w:tcPr>
            <w:tcW w:w="1286" w:type="dxa"/>
            <w:shd w:val="clear" w:color="auto" w:fill="auto"/>
            <w:noWrap/>
            <w:vAlign w:val="top"/>
          </w:tcPr>
          <w:p w14:paraId="1DB6261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0.038</w:t>
            </w:r>
          </w:p>
        </w:tc>
      </w:tr>
      <w:tr w14:paraId="56591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399" w:type="dxa"/>
            <w:shd w:val="clear" w:color="auto" w:fill="auto"/>
            <w:noWrap/>
            <w:vAlign w:val="center"/>
          </w:tcPr>
          <w:p w14:paraId="0745256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sz w:val="21"/>
                <w:szCs w:val="21"/>
                <w:u w:val="none"/>
              </w:rPr>
            </w:pPr>
            <w:r>
              <w:rPr>
                <w:rFonts w:hint="eastAsia" w:ascii="Times New Roman" w:hAnsi="Times New Roman" w:eastAsia="宋体" w:cs="Times New Roman"/>
                <w:i w:val="0"/>
                <w:iCs w:val="0"/>
                <w:color w:val="auto"/>
                <w:kern w:val="0"/>
                <w:sz w:val="21"/>
                <w:szCs w:val="21"/>
                <w:u w:val="none"/>
                <w:lang w:val="en-US" w:eastAsia="zh-CN" w:bidi="ar"/>
              </w:rPr>
              <w:t>8</w:t>
            </w:r>
          </w:p>
        </w:tc>
        <w:tc>
          <w:tcPr>
            <w:tcW w:w="892" w:type="dxa"/>
            <w:shd w:val="clear" w:color="auto" w:fill="auto"/>
            <w:noWrap/>
            <w:vAlign w:val="top"/>
          </w:tcPr>
          <w:p w14:paraId="62AA67A3">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王晖</w:t>
            </w:r>
          </w:p>
        </w:tc>
        <w:tc>
          <w:tcPr>
            <w:tcW w:w="473" w:type="dxa"/>
            <w:shd w:val="clear" w:color="auto" w:fill="auto"/>
            <w:noWrap/>
            <w:vAlign w:val="top"/>
          </w:tcPr>
          <w:p w14:paraId="1848D4AB">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i w:val="0"/>
                <w:iCs w:val="0"/>
                <w:color w:val="auto"/>
                <w:kern w:val="0"/>
                <w:sz w:val="21"/>
                <w:szCs w:val="21"/>
                <w:highlight w:val="none"/>
                <w:u w:val="none"/>
                <w:lang w:val="en-US" w:eastAsia="zh-CN" w:bidi="ar"/>
              </w:rPr>
              <w:t>2A</w:t>
            </w:r>
          </w:p>
        </w:tc>
        <w:tc>
          <w:tcPr>
            <w:tcW w:w="1198" w:type="dxa"/>
            <w:shd w:val="clear" w:color="auto" w:fill="auto"/>
            <w:vAlign w:val="top"/>
          </w:tcPr>
          <w:p w14:paraId="69EEAF6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cs="Times New Roman"/>
                <w:color w:val="auto"/>
                <w:vertAlign w:val="baseline"/>
                <w:lang w:val="en-US" w:eastAsia="zh-CN"/>
              </w:rPr>
              <w:t>202</w:t>
            </w:r>
            <w:r>
              <w:rPr>
                <w:rFonts w:hint="eastAsia" w:ascii="Times New Roman" w:hAnsi="Times New Roman" w:cs="Times New Roman"/>
                <w:color w:val="auto"/>
                <w:vertAlign w:val="baseline"/>
                <w:lang w:val="en-US" w:eastAsia="zh-CN"/>
              </w:rPr>
              <w:t>4.07.10</w:t>
            </w:r>
          </w:p>
        </w:tc>
        <w:tc>
          <w:tcPr>
            <w:tcW w:w="1939" w:type="dxa"/>
            <w:shd w:val="clear" w:color="auto" w:fill="auto"/>
            <w:noWrap/>
            <w:vAlign w:val="center"/>
          </w:tcPr>
          <w:p w14:paraId="1BABA5C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可</w:t>
            </w:r>
            <w:r>
              <w:rPr>
                <w:rFonts w:hint="eastAsia" w:ascii="Times New Roman" w:hAnsi="Times New Roman" w:eastAsia="宋体" w:cs="Times New Roman"/>
                <w:i w:val="0"/>
                <w:iCs w:val="0"/>
                <w:color w:val="auto"/>
                <w:kern w:val="0"/>
                <w:sz w:val="21"/>
                <w:szCs w:val="21"/>
                <w:u w:val="none"/>
                <w:lang w:val="en-US" w:eastAsia="zh-CN" w:bidi="ar"/>
              </w:rPr>
              <w:t>继续原放射</w:t>
            </w:r>
            <w:r>
              <w:rPr>
                <w:rFonts w:hint="default" w:ascii="Times New Roman" w:hAnsi="Times New Roman" w:eastAsia="宋体" w:cs="Times New Roman"/>
                <w:i w:val="0"/>
                <w:iCs w:val="0"/>
                <w:color w:val="auto"/>
                <w:kern w:val="0"/>
                <w:sz w:val="21"/>
                <w:szCs w:val="21"/>
                <w:u w:val="none"/>
                <w:lang w:val="en-US" w:eastAsia="zh-CN" w:bidi="ar"/>
              </w:rPr>
              <w:t>工作</w:t>
            </w:r>
          </w:p>
        </w:tc>
        <w:tc>
          <w:tcPr>
            <w:tcW w:w="1714" w:type="dxa"/>
            <w:shd w:val="clear" w:color="auto" w:fill="auto"/>
            <w:noWrap/>
            <w:vAlign w:val="top"/>
          </w:tcPr>
          <w:p w14:paraId="33A000F3">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vertAlign w:val="baseline"/>
                <w:lang w:val="en-US" w:eastAsia="zh-CN" w:bidi="ar-SA"/>
              </w:rPr>
            </w:pPr>
            <w:r>
              <w:rPr>
                <w:rFonts w:hint="eastAsia" w:ascii="宋体" w:hAnsi="宋体" w:eastAsia="宋体" w:cs="宋体"/>
                <w:color w:val="auto"/>
                <w:kern w:val="2"/>
                <w:sz w:val="21"/>
                <w:szCs w:val="21"/>
                <w:vertAlign w:val="baseline"/>
                <w:lang w:val="en-US" w:eastAsia="zh-CN" w:bidi="ar-SA"/>
              </w:rPr>
              <w:t>自主考核</w:t>
            </w:r>
          </w:p>
        </w:tc>
        <w:tc>
          <w:tcPr>
            <w:tcW w:w="1260" w:type="dxa"/>
            <w:shd w:val="clear" w:color="auto" w:fill="auto"/>
            <w:noWrap/>
            <w:vAlign w:val="top"/>
          </w:tcPr>
          <w:p w14:paraId="703A99F6">
            <w:pPr>
              <w:keepNext w:val="0"/>
              <w:keepLines w:val="0"/>
              <w:suppressLineNumbers w:val="0"/>
              <w:spacing w:before="0" w:beforeAutospacing="0" w:after="0" w:afterAutospacing="0"/>
              <w:ind w:left="0" w:right="0"/>
              <w:jc w:val="center"/>
              <w:rPr>
                <w:rFonts w:hint="default" w:ascii="Times New Roman" w:hAnsi="Times New Roman" w:eastAsia="微软雅黑" w:cs="Times New Roman"/>
                <w:color w:val="auto"/>
                <w:kern w:val="2"/>
                <w:sz w:val="21"/>
                <w:szCs w:val="21"/>
                <w:highlight w:val="yellow"/>
                <w:vertAlign w:val="baseline"/>
                <w:lang w:val="en-US" w:eastAsia="zh-CN" w:bidi="ar-SA"/>
              </w:rPr>
            </w:pPr>
            <w:r>
              <w:rPr>
                <w:rFonts w:hint="default" w:ascii="Times New Roman" w:hAnsi="Times New Roman" w:eastAsia="微软雅黑" w:cs="Times New Roman"/>
                <w:color w:val="auto"/>
                <w:vertAlign w:val="baseline"/>
                <w:lang w:val="en-US" w:eastAsia="zh-CN"/>
              </w:rPr>
              <w:t>202</w:t>
            </w:r>
            <w:r>
              <w:rPr>
                <w:rFonts w:hint="eastAsia" w:ascii="Times New Roman" w:hAnsi="Times New Roman" w:eastAsia="微软雅黑" w:cs="Times New Roman"/>
                <w:color w:val="auto"/>
                <w:vertAlign w:val="baseline"/>
                <w:lang w:val="en-US" w:eastAsia="zh-CN"/>
              </w:rPr>
              <w:t>4</w:t>
            </w:r>
            <w:r>
              <w:rPr>
                <w:rFonts w:hint="default" w:ascii="Times New Roman" w:hAnsi="Times New Roman" w:eastAsia="微软雅黑" w:cs="Times New Roman"/>
                <w:color w:val="auto"/>
                <w:vertAlign w:val="baseline"/>
                <w:lang w:val="en-US" w:eastAsia="zh-CN"/>
              </w:rPr>
              <w:t>.0</w:t>
            </w:r>
            <w:r>
              <w:rPr>
                <w:rFonts w:hint="eastAsia" w:ascii="Times New Roman" w:hAnsi="Times New Roman" w:eastAsia="微软雅黑" w:cs="Times New Roman"/>
                <w:color w:val="auto"/>
                <w:vertAlign w:val="baseline"/>
                <w:lang w:val="en-US" w:eastAsia="zh-CN"/>
              </w:rPr>
              <w:t>7.05</w:t>
            </w:r>
          </w:p>
        </w:tc>
        <w:tc>
          <w:tcPr>
            <w:tcW w:w="1325" w:type="dxa"/>
            <w:shd w:val="clear" w:color="auto" w:fill="auto"/>
            <w:noWrap/>
            <w:vAlign w:val="top"/>
          </w:tcPr>
          <w:p w14:paraId="527588C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w:t>
            </w:r>
          </w:p>
        </w:tc>
        <w:tc>
          <w:tcPr>
            <w:tcW w:w="1260" w:type="dxa"/>
            <w:shd w:val="clear" w:color="auto" w:fill="auto"/>
            <w:noWrap/>
            <w:vAlign w:val="top"/>
          </w:tcPr>
          <w:p w14:paraId="68E6AF9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w:t>
            </w:r>
          </w:p>
        </w:tc>
        <w:tc>
          <w:tcPr>
            <w:tcW w:w="1296" w:type="dxa"/>
            <w:shd w:val="clear" w:color="auto" w:fill="auto"/>
            <w:noWrap/>
            <w:vAlign w:val="top"/>
          </w:tcPr>
          <w:p w14:paraId="726D6074">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w:t>
            </w:r>
          </w:p>
        </w:tc>
        <w:tc>
          <w:tcPr>
            <w:tcW w:w="1286" w:type="dxa"/>
            <w:shd w:val="clear" w:color="auto" w:fill="auto"/>
            <w:noWrap/>
            <w:vAlign w:val="top"/>
          </w:tcPr>
          <w:p w14:paraId="357CC83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vertAlign w:val="baseline"/>
                <w:lang w:val="en-US" w:eastAsia="zh-CN" w:bidi="ar-SA"/>
              </w:rPr>
            </w:pPr>
            <w:r>
              <w:rPr>
                <w:rFonts w:hint="eastAsia" w:ascii="Times New Roman" w:hAnsi="Times New Roman" w:eastAsia="宋体" w:cs="Times New Roman"/>
                <w:color w:val="auto"/>
                <w:kern w:val="2"/>
                <w:sz w:val="21"/>
                <w:szCs w:val="21"/>
                <w:vertAlign w:val="baseline"/>
                <w:lang w:val="en-US" w:eastAsia="zh-CN" w:bidi="ar-SA"/>
              </w:rPr>
              <w:t>/</w:t>
            </w:r>
          </w:p>
        </w:tc>
      </w:tr>
      <w:tr w14:paraId="3B7126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3042" w:type="dxa"/>
            <w:gridSpan w:val="11"/>
            <w:shd w:val="clear" w:color="auto" w:fill="auto"/>
            <w:noWrap/>
            <w:vAlign w:val="center"/>
          </w:tcPr>
          <w:p w14:paraId="0F75F240">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注：因人员流动原因，辐射工作人员有所变动，经医院核实确认，院内现有在岗辐射工作人员为表中</w:t>
            </w:r>
            <w:r>
              <w:rPr>
                <w:rFonts w:hint="eastAsia" w:ascii="Times New Roman" w:hAnsi="Times New Roman" w:eastAsia="宋体" w:cs="Times New Roman"/>
                <w:color w:val="auto"/>
                <w:sz w:val="21"/>
                <w:szCs w:val="21"/>
                <w:highlight w:val="none"/>
                <w:lang w:val="en-US" w:eastAsia="zh-CN"/>
              </w:rPr>
              <w:t>8</w:t>
            </w:r>
            <w:r>
              <w:rPr>
                <w:rFonts w:hint="default" w:ascii="Times New Roman" w:hAnsi="Times New Roman" w:eastAsia="宋体" w:cs="Times New Roman"/>
                <w:color w:val="auto"/>
                <w:sz w:val="21"/>
                <w:szCs w:val="21"/>
                <w:highlight w:val="none"/>
                <w:lang w:val="en-US" w:eastAsia="zh-CN"/>
              </w:rPr>
              <w:t>人</w:t>
            </w:r>
            <w:r>
              <w:rPr>
                <w:rFonts w:hint="eastAsia" w:ascii="Times New Roman" w:hAnsi="Times New Roman" w:eastAsia="宋体" w:cs="Times New Roman"/>
                <w:color w:val="auto"/>
                <w:sz w:val="21"/>
                <w:szCs w:val="21"/>
                <w:lang w:val="en-US" w:eastAsia="zh-CN"/>
              </w:rPr>
              <w:t>。</w:t>
            </w:r>
          </w:p>
        </w:tc>
      </w:tr>
    </w:tbl>
    <w:p w14:paraId="5B435B72">
      <w:pPr>
        <w:pStyle w:val="15"/>
        <w:ind w:left="0" w:leftChars="0" w:firstLine="0" w:firstLineChars="0"/>
        <w:rPr>
          <w:rFonts w:hint="eastAsia"/>
          <w:color w:val="auto"/>
          <w:lang w:val="en-US" w:eastAsia="zh-CN"/>
        </w:rPr>
        <w:sectPr>
          <w:pgSz w:w="16838" w:h="11906" w:orient="landscape"/>
          <w:pgMar w:top="1080" w:right="1440" w:bottom="1080" w:left="1440" w:header="851" w:footer="992" w:gutter="0"/>
          <w:pgNumType w:fmt="decimal"/>
          <w:cols w:space="0" w:num="1"/>
          <w:rtlGutter w:val="0"/>
          <w:docGrid w:type="lines" w:linePitch="312" w:charSpace="0"/>
        </w:sectPr>
      </w:pPr>
    </w:p>
    <w:p w14:paraId="022EE05B">
      <w:pPr>
        <w:keepNext/>
        <w:keepLines/>
        <w:widowControl w:val="0"/>
        <w:bidi w:val="0"/>
        <w:spacing w:line="240" w:lineRule="auto"/>
        <w:jc w:val="both"/>
        <w:outlineLvl w:val="0"/>
        <w:rPr>
          <w:rFonts w:ascii="Times New Roman" w:hAnsi="Times New Roman" w:eastAsia="宋体" w:cs="Times New Roman"/>
          <w:b/>
          <w:bCs/>
          <w:color w:val="auto"/>
          <w:kern w:val="44"/>
          <w:sz w:val="28"/>
          <w:szCs w:val="44"/>
          <w:lang w:val="en-US" w:eastAsia="zh-CN" w:bidi="ar-SA"/>
        </w:rPr>
      </w:pPr>
      <w:bookmarkStart w:id="10" w:name="_Toc56004459"/>
      <w:bookmarkStart w:id="11" w:name="_Toc30779"/>
      <w:bookmarkStart w:id="12" w:name="_Toc67739908"/>
      <w:bookmarkStart w:id="13" w:name="_Toc20432"/>
      <w:bookmarkStart w:id="14" w:name="_Toc56003421"/>
      <w:r>
        <w:rPr>
          <w:rFonts w:ascii="Times New Roman" w:hAnsi="Times New Roman" w:eastAsia="宋体" w:cs="Times New Roman"/>
          <w:b/>
          <w:bCs/>
          <w:color w:val="auto"/>
          <w:kern w:val="44"/>
          <w:sz w:val="28"/>
          <w:szCs w:val="44"/>
          <w:lang w:val="en-US" w:eastAsia="zh-CN" w:bidi="ar-SA"/>
        </w:rPr>
        <w:t xml:space="preserve">表2 </w:t>
      </w:r>
      <w:r>
        <w:rPr>
          <w:rFonts w:hint="eastAsia" w:ascii="Times New Roman" w:hAnsi="Times New Roman" w:eastAsia="宋体" w:cs="Times New Roman"/>
          <w:b/>
          <w:bCs/>
          <w:color w:val="auto"/>
          <w:kern w:val="44"/>
          <w:sz w:val="28"/>
          <w:szCs w:val="44"/>
          <w:lang w:val="en-US" w:eastAsia="zh-CN" w:bidi="ar-SA"/>
        </w:rPr>
        <w:t>放射源</w:t>
      </w:r>
      <w:bookmarkEnd w:id="10"/>
      <w:bookmarkEnd w:id="11"/>
      <w:bookmarkEnd w:id="12"/>
      <w:bookmarkEnd w:id="13"/>
      <w:bookmarkEnd w:id="14"/>
    </w:p>
    <w:tbl>
      <w:tblPr>
        <w:tblStyle w:val="17"/>
        <w:tblW w:w="1402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38"/>
        <w:gridCol w:w="1791"/>
        <w:gridCol w:w="2269"/>
        <w:gridCol w:w="1553"/>
        <w:gridCol w:w="1553"/>
        <w:gridCol w:w="1553"/>
        <w:gridCol w:w="1553"/>
        <w:gridCol w:w="1553"/>
        <w:gridCol w:w="1466"/>
      </w:tblGrid>
      <w:tr w14:paraId="46F60D0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8" w:type="dxa"/>
            <w:vAlign w:val="center"/>
          </w:tcPr>
          <w:p w14:paraId="6D3A2F47">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序号</w:t>
            </w:r>
          </w:p>
        </w:tc>
        <w:tc>
          <w:tcPr>
            <w:tcW w:w="1791" w:type="dxa"/>
            <w:vAlign w:val="center"/>
          </w:tcPr>
          <w:p w14:paraId="04DD7554">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核素名称</w:t>
            </w:r>
          </w:p>
        </w:tc>
        <w:tc>
          <w:tcPr>
            <w:tcW w:w="2269" w:type="dxa"/>
            <w:vAlign w:val="center"/>
          </w:tcPr>
          <w:p w14:paraId="469A8918">
            <w:pPr>
              <w:keepNext w:val="0"/>
              <w:keepLines w:val="0"/>
              <w:suppressLineNumbers w:val="0"/>
              <w:autoSpaceDE w:val="0"/>
              <w:autoSpaceDN w:val="0"/>
              <w:adjustRightInd w:val="0"/>
              <w:spacing w:before="0" w:beforeAutospacing="0" w:after="0" w:afterAutospacing="0"/>
              <w:ind w:left="0" w:right="0" w:firstLine="480" w:firstLineChars="20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总活度（Bq）/</w:t>
            </w:r>
          </w:p>
          <w:p w14:paraId="6F6483AB">
            <w:pPr>
              <w:keepNext w:val="0"/>
              <w:keepLines w:val="0"/>
              <w:suppressLineNumbers w:val="0"/>
              <w:autoSpaceDE w:val="0"/>
              <w:autoSpaceDN w:val="0"/>
              <w:adjustRightInd w:val="0"/>
              <w:spacing w:before="0" w:beforeAutospacing="0" w:after="0" w:afterAutospacing="0"/>
              <w:ind w:left="0" w:right="0" w:firstLine="480" w:firstLineChars="20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活度（Bq）×枚数</w:t>
            </w:r>
          </w:p>
        </w:tc>
        <w:tc>
          <w:tcPr>
            <w:tcW w:w="1553" w:type="dxa"/>
            <w:vAlign w:val="center"/>
          </w:tcPr>
          <w:p w14:paraId="2239EE1F">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类别</w:t>
            </w:r>
          </w:p>
        </w:tc>
        <w:tc>
          <w:tcPr>
            <w:tcW w:w="1553" w:type="dxa"/>
            <w:vAlign w:val="center"/>
          </w:tcPr>
          <w:p w14:paraId="42060A6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活动种类</w:t>
            </w:r>
          </w:p>
        </w:tc>
        <w:tc>
          <w:tcPr>
            <w:tcW w:w="1553" w:type="dxa"/>
            <w:vAlign w:val="center"/>
          </w:tcPr>
          <w:p w14:paraId="01E9036C">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用途</w:t>
            </w:r>
          </w:p>
        </w:tc>
        <w:tc>
          <w:tcPr>
            <w:tcW w:w="1553" w:type="dxa"/>
            <w:vAlign w:val="center"/>
          </w:tcPr>
          <w:p w14:paraId="700FDA41">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使用场所</w:t>
            </w:r>
          </w:p>
        </w:tc>
        <w:tc>
          <w:tcPr>
            <w:tcW w:w="1553" w:type="dxa"/>
            <w:vAlign w:val="center"/>
          </w:tcPr>
          <w:p w14:paraId="1B7FE999">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贮存方式与地点</w:t>
            </w:r>
          </w:p>
        </w:tc>
        <w:tc>
          <w:tcPr>
            <w:tcW w:w="1466" w:type="dxa"/>
            <w:vAlign w:val="center"/>
          </w:tcPr>
          <w:p w14:paraId="3353802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备注</w:t>
            </w:r>
          </w:p>
        </w:tc>
      </w:tr>
      <w:tr w14:paraId="41E7D06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798" w:type="dxa"/>
            <w:gridSpan w:val="3"/>
          </w:tcPr>
          <w:p w14:paraId="358C232D">
            <w:pPr>
              <w:keepNext w:val="0"/>
              <w:keepLines w:val="0"/>
              <w:widowControl/>
              <w:suppressLineNumbers w:val="0"/>
              <w:spacing w:before="0" w:beforeAutospacing="0" w:after="0" w:afterAutospacing="0" w:line="360" w:lineRule="auto"/>
              <w:ind w:left="0" w:right="0"/>
              <w:jc w:val="center"/>
              <w:textAlignment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无</w:t>
            </w:r>
          </w:p>
        </w:tc>
        <w:tc>
          <w:tcPr>
            <w:tcW w:w="1553" w:type="dxa"/>
          </w:tcPr>
          <w:p w14:paraId="30B074E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46E619C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vAlign w:val="center"/>
          </w:tcPr>
          <w:p w14:paraId="2695A35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vAlign w:val="center"/>
          </w:tcPr>
          <w:p w14:paraId="40FE39AF">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vAlign w:val="center"/>
          </w:tcPr>
          <w:p w14:paraId="6A65FCB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466" w:type="dxa"/>
          </w:tcPr>
          <w:p w14:paraId="6BA38546">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r w14:paraId="2BB607E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8" w:type="dxa"/>
          </w:tcPr>
          <w:p w14:paraId="40E969DD">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791" w:type="dxa"/>
          </w:tcPr>
          <w:p w14:paraId="40548A67">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269" w:type="dxa"/>
          </w:tcPr>
          <w:p w14:paraId="011EE7D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57137FD9">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1454EA23">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7CBF7366">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4AE3819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79BC921A">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66" w:type="dxa"/>
          </w:tcPr>
          <w:p w14:paraId="4C6B0F9C">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r w14:paraId="3C20B35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8" w:type="dxa"/>
          </w:tcPr>
          <w:p w14:paraId="54F076C2">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791" w:type="dxa"/>
          </w:tcPr>
          <w:p w14:paraId="707B09C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269" w:type="dxa"/>
          </w:tcPr>
          <w:p w14:paraId="430CC327">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4EF47803">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E3A09C1">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4981CB73">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4FCC5897">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708F6D98">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66" w:type="dxa"/>
          </w:tcPr>
          <w:p w14:paraId="107026D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r w14:paraId="666721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8" w:type="dxa"/>
          </w:tcPr>
          <w:p w14:paraId="40A84941">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791" w:type="dxa"/>
          </w:tcPr>
          <w:p w14:paraId="403AAC7D">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269" w:type="dxa"/>
          </w:tcPr>
          <w:p w14:paraId="2EED916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5E79603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80B7152">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70E2718">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49313B41">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C5660E7">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66" w:type="dxa"/>
          </w:tcPr>
          <w:p w14:paraId="1D3E87E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r w14:paraId="75DB1D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8" w:type="dxa"/>
          </w:tcPr>
          <w:p w14:paraId="6A84584A">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791" w:type="dxa"/>
          </w:tcPr>
          <w:p w14:paraId="032C13A2">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269" w:type="dxa"/>
          </w:tcPr>
          <w:p w14:paraId="5CEC1D6C">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13B2B7DC">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6F808765">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7E7DF82">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49C08EC">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553" w:type="dxa"/>
          </w:tcPr>
          <w:p w14:paraId="2214BD1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66" w:type="dxa"/>
          </w:tcPr>
          <w:p w14:paraId="341372F1">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bl>
    <w:p w14:paraId="78997E1B">
      <w:pPr>
        <w:widowControl w:val="0"/>
        <w:adjustRightInd w:val="0"/>
        <w:ind w:right="-926" w:rightChars="-441" w:firstLine="360" w:firstLineChars="200"/>
        <w:jc w:val="left"/>
        <w:textAlignment w:val="baseline"/>
        <w:rPr>
          <w:rFonts w:ascii="Times New Roman" w:hAnsi="Times New Roman" w:eastAsia="宋体" w:cs="Times New Roman"/>
          <w:color w:val="auto"/>
          <w:kern w:val="2"/>
          <w:sz w:val="18"/>
          <w:szCs w:val="18"/>
          <w:lang w:val="en-US" w:eastAsia="zh-CN" w:bidi="ar-SA"/>
        </w:rPr>
      </w:pPr>
      <w:r>
        <w:rPr>
          <w:rFonts w:ascii="Times New Roman" w:hAnsi="Times New Roman" w:eastAsia="宋体" w:cs="Times New Roman"/>
          <w:color w:val="auto"/>
          <w:kern w:val="2"/>
          <w:sz w:val="18"/>
          <w:szCs w:val="18"/>
          <w:lang w:val="en-US" w:eastAsia="zh-CN" w:bidi="ar-SA"/>
        </w:rPr>
        <w:t>注：放射源包括放射性中子源，对其要说明是何种核素以及产生的中子流强度（n/s）。</w:t>
      </w:r>
    </w:p>
    <w:p w14:paraId="2B044192">
      <w:pPr>
        <w:keepNext/>
        <w:keepLines/>
        <w:widowControl w:val="0"/>
        <w:bidi w:val="0"/>
        <w:spacing w:line="240" w:lineRule="auto"/>
        <w:jc w:val="both"/>
        <w:outlineLvl w:val="0"/>
        <w:rPr>
          <w:rFonts w:ascii="Times New Roman" w:hAnsi="Times New Roman" w:eastAsia="宋体" w:cs="Times New Roman"/>
          <w:b/>
          <w:bCs/>
          <w:color w:val="auto"/>
          <w:kern w:val="44"/>
          <w:sz w:val="28"/>
          <w:szCs w:val="44"/>
          <w:lang w:val="en-US" w:eastAsia="zh-CN" w:bidi="ar-SA"/>
        </w:rPr>
      </w:pPr>
      <w:bookmarkStart w:id="15" w:name="_Toc56004460"/>
      <w:bookmarkStart w:id="16" w:name="_Toc56003422"/>
      <w:bookmarkStart w:id="17" w:name="_Toc67739909"/>
      <w:bookmarkStart w:id="18" w:name="_Toc20348"/>
      <w:bookmarkStart w:id="19" w:name="_Toc27448"/>
      <w:r>
        <w:rPr>
          <w:rFonts w:ascii="Times New Roman" w:hAnsi="Times New Roman" w:eastAsia="宋体" w:cs="Times New Roman"/>
          <w:b/>
          <w:bCs/>
          <w:color w:val="auto"/>
          <w:kern w:val="44"/>
          <w:sz w:val="28"/>
          <w:szCs w:val="44"/>
          <w:lang w:val="en-US" w:eastAsia="zh-CN" w:bidi="ar-SA"/>
        </w:rPr>
        <w:t xml:space="preserve">表3 </w:t>
      </w:r>
      <w:r>
        <w:rPr>
          <w:rFonts w:hint="eastAsia" w:ascii="Times New Roman" w:hAnsi="Times New Roman" w:eastAsia="宋体" w:cs="Times New Roman"/>
          <w:b/>
          <w:bCs/>
          <w:color w:val="auto"/>
          <w:kern w:val="44"/>
          <w:sz w:val="28"/>
          <w:szCs w:val="44"/>
          <w:lang w:val="en-US" w:eastAsia="zh-CN" w:bidi="ar-SA"/>
        </w:rPr>
        <w:t>非密封放射性物质</w:t>
      </w:r>
      <w:bookmarkEnd w:id="15"/>
      <w:bookmarkEnd w:id="16"/>
      <w:bookmarkEnd w:id="17"/>
      <w:bookmarkEnd w:id="18"/>
      <w:bookmarkEnd w:id="19"/>
    </w:p>
    <w:tbl>
      <w:tblPr>
        <w:tblStyle w:val="17"/>
        <w:tblW w:w="1409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30"/>
        <w:gridCol w:w="934"/>
        <w:gridCol w:w="920"/>
        <w:gridCol w:w="1083"/>
        <w:gridCol w:w="1414"/>
        <w:gridCol w:w="1414"/>
        <w:gridCol w:w="1414"/>
        <w:gridCol w:w="1298"/>
        <w:gridCol w:w="1349"/>
        <w:gridCol w:w="1651"/>
        <w:gridCol w:w="1890"/>
      </w:tblGrid>
      <w:tr w14:paraId="7B36224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0" w:type="dxa"/>
            <w:vAlign w:val="center"/>
          </w:tcPr>
          <w:p w14:paraId="15C48ABC">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序号</w:t>
            </w:r>
          </w:p>
        </w:tc>
        <w:tc>
          <w:tcPr>
            <w:tcW w:w="934" w:type="dxa"/>
            <w:vAlign w:val="center"/>
          </w:tcPr>
          <w:p w14:paraId="14BE38CC">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核素</w:t>
            </w:r>
          </w:p>
          <w:p w14:paraId="30BC91DD">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名称</w:t>
            </w:r>
          </w:p>
        </w:tc>
        <w:tc>
          <w:tcPr>
            <w:tcW w:w="920" w:type="dxa"/>
            <w:vAlign w:val="center"/>
          </w:tcPr>
          <w:p w14:paraId="414AA55D">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理化</w:t>
            </w:r>
          </w:p>
          <w:p w14:paraId="2802D891">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性质</w:t>
            </w:r>
          </w:p>
        </w:tc>
        <w:tc>
          <w:tcPr>
            <w:tcW w:w="1083" w:type="dxa"/>
            <w:vAlign w:val="center"/>
          </w:tcPr>
          <w:p w14:paraId="1464B14C">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活动</w:t>
            </w:r>
          </w:p>
          <w:p w14:paraId="52047A46">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种类</w:t>
            </w:r>
          </w:p>
        </w:tc>
        <w:tc>
          <w:tcPr>
            <w:tcW w:w="1414" w:type="dxa"/>
            <w:vAlign w:val="center"/>
          </w:tcPr>
          <w:p w14:paraId="23CE81EE">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实际日最大操作量（Bq）</w:t>
            </w:r>
          </w:p>
        </w:tc>
        <w:tc>
          <w:tcPr>
            <w:tcW w:w="1414" w:type="dxa"/>
            <w:vAlign w:val="center"/>
          </w:tcPr>
          <w:p w14:paraId="74F6B433">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日等效最大操作量（Bq）</w:t>
            </w:r>
          </w:p>
        </w:tc>
        <w:tc>
          <w:tcPr>
            <w:tcW w:w="1414" w:type="dxa"/>
            <w:vAlign w:val="center"/>
          </w:tcPr>
          <w:p w14:paraId="2ED9FFB8">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年最大用量（Bq）</w:t>
            </w:r>
          </w:p>
        </w:tc>
        <w:tc>
          <w:tcPr>
            <w:tcW w:w="1298" w:type="dxa"/>
            <w:vAlign w:val="center"/>
          </w:tcPr>
          <w:p w14:paraId="32889361">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用途</w:t>
            </w:r>
          </w:p>
        </w:tc>
        <w:tc>
          <w:tcPr>
            <w:tcW w:w="1349" w:type="dxa"/>
            <w:vAlign w:val="center"/>
          </w:tcPr>
          <w:p w14:paraId="4307BE91">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操作方式</w:t>
            </w:r>
          </w:p>
        </w:tc>
        <w:tc>
          <w:tcPr>
            <w:tcW w:w="1651" w:type="dxa"/>
            <w:vAlign w:val="center"/>
          </w:tcPr>
          <w:p w14:paraId="2A2FEFFE">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使用场所</w:t>
            </w:r>
          </w:p>
        </w:tc>
        <w:tc>
          <w:tcPr>
            <w:tcW w:w="1890" w:type="dxa"/>
            <w:vAlign w:val="center"/>
          </w:tcPr>
          <w:p w14:paraId="76910687">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ind w:left="0" w:leftChars="0" w:right="0" w:rightChars="0" w:firstLine="0" w:firstLineChars="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贮存方式与地点</w:t>
            </w:r>
          </w:p>
        </w:tc>
      </w:tr>
      <w:tr w14:paraId="3C9B86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3667" w:type="dxa"/>
            <w:gridSpan w:val="4"/>
            <w:vAlign w:val="center"/>
          </w:tcPr>
          <w:p w14:paraId="3C0B89F4">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lang w:val="pt-BR"/>
              </w:rPr>
            </w:pPr>
            <w:r>
              <w:rPr>
                <w:rFonts w:hint="default" w:ascii="Times New Roman" w:hAnsi="Times New Roman" w:eastAsia="宋体" w:cs="Times New Roman"/>
                <w:bCs/>
                <w:color w:val="auto"/>
                <w:kern w:val="0"/>
                <w:sz w:val="24"/>
                <w:szCs w:val="24"/>
              </w:rPr>
              <w:t>无</w:t>
            </w:r>
          </w:p>
        </w:tc>
        <w:tc>
          <w:tcPr>
            <w:tcW w:w="1414" w:type="dxa"/>
            <w:vAlign w:val="center"/>
          </w:tcPr>
          <w:p w14:paraId="51E436B1">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414" w:type="dxa"/>
            <w:vAlign w:val="center"/>
          </w:tcPr>
          <w:p w14:paraId="7EE03B6D">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414" w:type="dxa"/>
            <w:vAlign w:val="center"/>
          </w:tcPr>
          <w:p w14:paraId="5F36EFB9">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298" w:type="dxa"/>
            <w:vAlign w:val="center"/>
          </w:tcPr>
          <w:p w14:paraId="09780BD1">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349" w:type="dxa"/>
            <w:vAlign w:val="center"/>
          </w:tcPr>
          <w:p w14:paraId="14CD3E87">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651" w:type="dxa"/>
            <w:vAlign w:val="center"/>
          </w:tcPr>
          <w:p w14:paraId="6D7B3DF5">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890" w:type="dxa"/>
            <w:vAlign w:val="center"/>
          </w:tcPr>
          <w:p w14:paraId="62D94E21">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r>
      <w:tr w14:paraId="580E1FD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0" w:type="dxa"/>
            <w:vAlign w:val="center"/>
          </w:tcPr>
          <w:p w14:paraId="5AF6E709">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34" w:type="dxa"/>
            <w:vAlign w:val="center"/>
          </w:tcPr>
          <w:p w14:paraId="64A32BE1">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vertAlign w:val="superscript"/>
                <w:lang w:val="pt-BR"/>
              </w:rPr>
            </w:pPr>
          </w:p>
        </w:tc>
        <w:tc>
          <w:tcPr>
            <w:tcW w:w="920" w:type="dxa"/>
            <w:vAlign w:val="center"/>
          </w:tcPr>
          <w:p w14:paraId="6609A450">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083" w:type="dxa"/>
            <w:vAlign w:val="center"/>
          </w:tcPr>
          <w:p w14:paraId="1D74B39E">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lang w:val="pt-BR"/>
              </w:rPr>
            </w:pPr>
          </w:p>
        </w:tc>
        <w:tc>
          <w:tcPr>
            <w:tcW w:w="1414" w:type="dxa"/>
            <w:vAlign w:val="center"/>
          </w:tcPr>
          <w:p w14:paraId="761A2E1B">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414" w:type="dxa"/>
            <w:vAlign w:val="center"/>
          </w:tcPr>
          <w:p w14:paraId="1D46D447">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414" w:type="dxa"/>
            <w:vAlign w:val="center"/>
          </w:tcPr>
          <w:p w14:paraId="2CA901BB">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298" w:type="dxa"/>
            <w:vAlign w:val="center"/>
          </w:tcPr>
          <w:p w14:paraId="1401747D">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349" w:type="dxa"/>
            <w:vAlign w:val="center"/>
          </w:tcPr>
          <w:p w14:paraId="54661920">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color w:val="auto"/>
                <w:sz w:val="24"/>
                <w:szCs w:val="24"/>
              </w:rPr>
            </w:pPr>
          </w:p>
        </w:tc>
        <w:tc>
          <w:tcPr>
            <w:tcW w:w="1651" w:type="dxa"/>
            <w:vAlign w:val="center"/>
          </w:tcPr>
          <w:p w14:paraId="7EA5237F">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color w:val="auto"/>
                <w:sz w:val="24"/>
                <w:szCs w:val="24"/>
              </w:rPr>
            </w:pPr>
          </w:p>
        </w:tc>
        <w:tc>
          <w:tcPr>
            <w:tcW w:w="1890" w:type="dxa"/>
            <w:vAlign w:val="center"/>
          </w:tcPr>
          <w:p w14:paraId="1F633E4B">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color w:val="auto"/>
                <w:sz w:val="24"/>
                <w:szCs w:val="24"/>
              </w:rPr>
            </w:pPr>
          </w:p>
        </w:tc>
      </w:tr>
      <w:tr w14:paraId="3D5AC0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0" w:type="dxa"/>
            <w:vAlign w:val="center"/>
          </w:tcPr>
          <w:p w14:paraId="39F7D6E9">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34" w:type="dxa"/>
            <w:vAlign w:val="center"/>
          </w:tcPr>
          <w:p w14:paraId="2B3E40F5">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20" w:type="dxa"/>
            <w:vAlign w:val="center"/>
          </w:tcPr>
          <w:p w14:paraId="04A70999">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083" w:type="dxa"/>
            <w:vAlign w:val="center"/>
          </w:tcPr>
          <w:p w14:paraId="7AAE1E17">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1F8A6141">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50F4E3D3">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44520745">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298" w:type="dxa"/>
            <w:vAlign w:val="center"/>
          </w:tcPr>
          <w:p w14:paraId="1C4BF0E8">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349" w:type="dxa"/>
            <w:vAlign w:val="center"/>
          </w:tcPr>
          <w:p w14:paraId="74B6F1B5">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651" w:type="dxa"/>
            <w:vAlign w:val="center"/>
          </w:tcPr>
          <w:p w14:paraId="7B50657B">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bCs/>
                <w:color w:val="auto"/>
                <w:kern w:val="0"/>
                <w:sz w:val="24"/>
                <w:szCs w:val="24"/>
              </w:rPr>
            </w:pPr>
          </w:p>
        </w:tc>
        <w:tc>
          <w:tcPr>
            <w:tcW w:w="1890" w:type="dxa"/>
            <w:vAlign w:val="center"/>
          </w:tcPr>
          <w:p w14:paraId="247D1C26">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bCs/>
                <w:color w:val="auto"/>
                <w:kern w:val="0"/>
                <w:sz w:val="24"/>
                <w:szCs w:val="24"/>
              </w:rPr>
            </w:pPr>
          </w:p>
        </w:tc>
      </w:tr>
      <w:tr w14:paraId="0D5DAA6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0" w:type="dxa"/>
            <w:vAlign w:val="center"/>
          </w:tcPr>
          <w:p w14:paraId="69D741CB">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34" w:type="dxa"/>
            <w:vAlign w:val="center"/>
          </w:tcPr>
          <w:p w14:paraId="5F43AF5F">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20" w:type="dxa"/>
            <w:vAlign w:val="center"/>
          </w:tcPr>
          <w:p w14:paraId="27F45DE8">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083" w:type="dxa"/>
            <w:vAlign w:val="center"/>
          </w:tcPr>
          <w:p w14:paraId="7B2EE180">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5679B239">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7173F623">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2C39BFBE">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298" w:type="dxa"/>
            <w:vAlign w:val="center"/>
          </w:tcPr>
          <w:p w14:paraId="0341528E">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349" w:type="dxa"/>
            <w:vAlign w:val="center"/>
          </w:tcPr>
          <w:p w14:paraId="3BDC565E">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651" w:type="dxa"/>
            <w:vAlign w:val="center"/>
          </w:tcPr>
          <w:p w14:paraId="5BA98B97">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bCs/>
                <w:color w:val="auto"/>
                <w:kern w:val="0"/>
                <w:sz w:val="24"/>
                <w:szCs w:val="24"/>
              </w:rPr>
            </w:pPr>
          </w:p>
        </w:tc>
        <w:tc>
          <w:tcPr>
            <w:tcW w:w="1890" w:type="dxa"/>
            <w:vAlign w:val="center"/>
          </w:tcPr>
          <w:p w14:paraId="1DAB92FC">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bCs/>
                <w:color w:val="auto"/>
                <w:kern w:val="0"/>
                <w:sz w:val="24"/>
                <w:szCs w:val="24"/>
              </w:rPr>
            </w:pPr>
          </w:p>
        </w:tc>
      </w:tr>
      <w:tr w14:paraId="10D0C01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30" w:type="dxa"/>
            <w:vAlign w:val="center"/>
          </w:tcPr>
          <w:p w14:paraId="565D23F4">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34" w:type="dxa"/>
            <w:vAlign w:val="center"/>
          </w:tcPr>
          <w:p w14:paraId="5C23F749">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920" w:type="dxa"/>
            <w:vAlign w:val="center"/>
          </w:tcPr>
          <w:p w14:paraId="77F4A26C">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083" w:type="dxa"/>
            <w:vAlign w:val="center"/>
          </w:tcPr>
          <w:p w14:paraId="5F47A127">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6709667B">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0B39BB3C">
            <w:pPr>
              <w:keepNext w:val="0"/>
              <w:keepLines w:val="0"/>
              <w:pageBreakBefore w:val="0"/>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414" w:type="dxa"/>
            <w:vAlign w:val="center"/>
          </w:tcPr>
          <w:p w14:paraId="5ED1F346">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298" w:type="dxa"/>
            <w:vAlign w:val="center"/>
          </w:tcPr>
          <w:p w14:paraId="7D1F3D0B">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349" w:type="dxa"/>
            <w:vAlign w:val="center"/>
          </w:tcPr>
          <w:p w14:paraId="37BB8FC8">
            <w:pPr>
              <w:keepNext w:val="0"/>
              <w:keepLines w:val="0"/>
              <w:pageBreakBefore w:val="0"/>
              <w:suppressLineNumbers w:val="0"/>
              <w:kinsoku/>
              <w:wordWrap/>
              <w:overflowPunct/>
              <w:topLinePunct w:val="0"/>
              <w:autoSpaceDE w:val="0"/>
              <w:autoSpaceDN w:val="0"/>
              <w:bidi w:val="0"/>
              <w:adjustRightInd w:val="0"/>
              <w:snapToGrid/>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bCs/>
                <w:color w:val="auto"/>
                <w:kern w:val="0"/>
                <w:sz w:val="24"/>
                <w:szCs w:val="24"/>
              </w:rPr>
            </w:pPr>
          </w:p>
        </w:tc>
        <w:tc>
          <w:tcPr>
            <w:tcW w:w="1651" w:type="dxa"/>
            <w:vAlign w:val="center"/>
          </w:tcPr>
          <w:p w14:paraId="3A53414F">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bCs/>
                <w:color w:val="auto"/>
                <w:kern w:val="0"/>
                <w:sz w:val="24"/>
                <w:szCs w:val="24"/>
              </w:rPr>
            </w:pPr>
          </w:p>
        </w:tc>
        <w:tc>
          <w:tcPr>
            <w:tcW w:w="1890" w:type="dxa"/>
            <w:vAlign w:val="center"/>
          </w:tcPr>
          <w:p w14:paraId="35500A18">
            <w:pPr>
              <w:keepNext w:val="0"/>
              <w:keepLines w:val="0"/>
              <w:pageBreakBefore w:val="0"/>
              <w:widowControl/>
              <w:suppressLineNumbers w:val="0"/>
              <w:kinsoku/>
              <w:wordWrap/>
              <w:overflowPunct/>
              <w:topLinePunct w:val="0"/>
              <w:bidi w:val="0"/>
              <w:snapToGrid/>
              <w:spacing w:before="0" w:beforeAutospacing="0" w:after="0" w:afterAutospacing="0" w:line="360" w:lineRule="auto"/>
              <w:ind w:left="0" w:leftChars="0" w:right="0" w:rightChars="0" w:firstLine="0" w:firstLineChars="0"/>
              <w:jc w:val="center"/>
              <w:textAlignment w:val="center"/>
              <w:rPr>
                <w:rFonts w:hint="default" w:ascii="Times New Roman" w:hAnsi="Times New Roman" w:eastAsia="宋体" w:cs="Times New Roman"/>
                <w:bCs/>
                <w:color w:val="auto"/>
                <w:kern w:val="0"/>
                <w:sz w:val="24"/>
                <w:szCs w:val="24"/>
              </w:rPr>
            </w:pPr>
          </w:p>
        </w:tc>
      </w:tr>
    </w:tbl>
    <w:p w14:paraId="02631933">
      <w:pPr>
        <w:widowControl w:val="0"/>
        <w:adjustRightInd w:val="0"/>
        <w:ind w:left="360" w:right="-884" w:rightChars="-421" w:firstLine="360" w:firstLineChars="200"/>
        <w:jc w:val="left"/>
        <w:textAlignment w:val="baseline"/>
        <w:rPr>
          <w:rFonts w:ascii="Times New Roman" w:hAnsi="Times New Roman" w:eastAsia="宋体" w:cs="Times New Roman"/>
          <w:color w:val="auto"/>
          <w:kern w:val="2"/>
          <w:sz w:val="18"/>
          <w:szCs w:val="18"/>
          <w:lang w:val="en-US" w:eastAsia="zh-CN" w:bidi="ar-SA"/>
        </w:rPr>
      </w:pPr>
      <w:r>
        <w:rPr>
          <w:rFonts w:ascii="Times New Roman" w:hAnsi="Times New Roman" w:eastAsia="宋体" w:cs="Times New Roman"/>
          <w:color w:val="auto"/>
          <w:kern w:val="2"/>
          <w:sz w:val="18"/>
          <w:szCs w:val="18"/>
          <w:lang w:val="en-US" w:eastAsia="zh-CN" w:bidi="ar-SA"/>
        </w:rPr>
        <w:t>注：日等效最大操作量和操作方式见《电离辐射防护与辐射源安全基本标准》（GB 18871-2002）。</w:t>
      </w:r>
    </w:p>
    <w:p w14:paraId="4B051334">
      <w:pPr>
        <w:keepNext/>
        <w:keepLines/>
        <w:widowControl w:val="0"/>
        <w:bidi w:val="0"/>
        <w:spacing w:line="240" w:lineRule="auto"/>
        <w:jc w:val="both"/>
        <w:outlineLvl w:val="0"/>
        <w:rPr>
          <w:rFonts w:ascii="Times New Roman" w:hAnsi="Times New Roman" w:eastAsia="宋体" w:cs="Times New Roman"/>
          <w:b/>
          <w:bCs/>
          <w:color w:val="auto"/>
          <w:kern w:val="44"/>
          <w:sz w:val="28"/>
          <w:szCs w:val="44"/>
          <w:lang w:val="en-US" w:eastAsia="zh-CN" w:bidi="ar-SA"/>
        </w:rPr>
      </w:pPr>
      <w:bookmarkStart w:id="20" w:name="_Toc56004461"/>
      <w:bookmarkStart w:id="21" w:name="_Toc15180"/>
      <w:bookmarkStart w:id="22" w:name="_Toc14296"/>
      <w:bookmarkStart w:id="23" w:name="_Toc56003423"/>
      <w:bookmarkStart w:id="24" w:name="_Toc67739910"/>
      <w:r>
        <w:rPr>
          <w:rFonts w:ascii="Times New Roman" w:hAnsi="Times New Roman" w:eastAsia="宋体" w:cs="Times New Roman"/>
          <w:b/>
          <w:bCs/>
          <w:color w:val="auto"/>
          <w:kern w:val="44"/>
          <w:sz w:val="28"/>
          <w:szCs w:val="44"/>
          <w:lang w:val="en-US" w:eastAsia="zh-CN" w:bidi="ar-SA"/>
        </w:rPr>
        <w:t xml:space="preserve">表4 </w:t>
      </w:r>
      <w:r>
        <w:rPr>
          <w:rFonts w:hint="eastAsia" w:ascii="Times New Roman" w:hAnsi="Times New Roman" w:eastAsia="宋体" w:cs="Times New Roman"/>
          <w:b/>
          <w:bCs/>
          <w:color w:val="auto"/>
          <w:kern w:val="44"/>
          <w:sz w:val="28"/>
          <w:szCs w:val="44"/>
          <w:lang w:val="en-US" w:eastAsia="zh-CN" w:bidi="ar-SA"/>
        </w:rPr>
        <w:t>射线装置</w:t>
      </w:r>
      <w:bookmarkEnd w:id="20"/>
      <w:bookmarkEnd w:id="21"/>
      <w:bookmarkEnd w:id="22"/>
      <w:bookmarkEnd w:id="23"/>
      <w:bookmarkEnd w:id="24"/>
    </w:p>
    <w:p w14:paraId="5F658FEC">
      <w:pPr>
        <w:widowControl w:val="0"/>
        <w:spacing w:line="360" w:lineRule="auto"/>
        <w:ind w:firstLine="480" w:firstLineChars="200"/>
        <w:jc w:val="both"/>
        <w:rPr>
          <w:rFonts w:ascii="宋体" w:hAnsi="宋体" w:eastAsia="宋体" w:cs="Times New Roman"/>
          <w:snapToGrid w:val="0"/>
          <w:color w:val="auto"/>
          <w:kern w:val="0"/>
          <w:sz w:val="24"/>
          <w:szCs w:val="24"/>
          <w:lang w:val="en-US" w:eastAsia="zh-CN" w:bidi="ar-SA"/>
        </w:rPr>
      </w:pPr>
      <w:r>
        <w:rPr>
          <w:rFonts w:hint="eastAsia" w:ascii="宋体" w:hAnsi="宋体" w:eastAsia="宋体" w:cs="Times New Roman"/>
          <w:snapToGrid w:val="0"/>
          <w:color w:val="auto"/>
          <w:kern w:val="0"/>
          <w:sz w:val="24"/>
          <w:szCs w:val="24"/>
          <w:lang w:val="en-US" w:eastAsia="zh-CN" w:bidi="ar-SA"/>
        </w:rPr>
        <w:t>（一）加速器：包括医用、工农业、科研、教学等用途的各种类型加速器</w:t>
      </w:r>
    </w:p>
    <w:tbl>
      <w:tblPr>
        <w:tblStyle w:val="17"/>
        <w:tblW w:w="1397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70"/>
        <w:gridCol w:w="1199"/>
        <w:gridCol w:w="816"/>
        <w:gridCol w:w="819"/>
        <w:gridCol w:w="1112"/>
        <w:gridCol w:w="1202"/>
        <w:gridCol w:w="2049"/>
        <w:gridCol w:w="2136"/>
        <w:gridCol w:w="1417"/>
        <w:gridCol w:w="1449"/>
        <w:gridCol w:w="1209"/>
      </w:tblGrid>
      <w:tr w14:paraId="312717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70" w:type="dxa"/>
            <w:vAlign w:val="center"/>
          </w:tcPr>
          <w:p w14:paraId="689F53CB">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序号</w:t>
            </w:r>
          </w:p>
        </w:tc>
        <w:tc>
          <w:tcPr>
            <w:tcW w:w="1199" w:type="dxa"/>
            <w:vAlign w:val="center"/>
          </w:tcPr>
          <w:p w14:paraId="2609A738">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名称</w:t>
            </w:r>
          </w:p>
        </w:tc>
        <w:tc>
          <w:tcPr>
            <w:tcW w:w="816" w:type="dxa"/>
            <w:vAlign w:val="center"/>
          </w:tcPr>
          <w:p w14:paraId="715340A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类别</w:t>
            </w:r>
          </w:p>
        </w:tc>
        <w:tc>
          <w:tcPr>
            <w:tcW w:w="819" w:type="dxa"/>
            <w:vAlign w:val="center"/>
          </w:tcPr>
          <w:p w14:paraId="4E74DA5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数量</w:t>
            </w:r>
          </w:p>
        </w:tc>
        <w:tc>
          <w:tcPr>
            <w:tcW w:w="1112" w:type="dxa"/>
            <w:vAlign w:val="center"/>
          </w:tcPr>
          <w:p w14:paraId="028B250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型号</w:t>
            </w:r>
          </w:p>
        </w:tc>
        <w:tc>
          <w:tcPr>
            <w:tcW w:w="1202" w:type="dxa"/>
            <w:vAlign w:val="center"/>
          </w:tcPr>
          <w:p w14:paraId="614EDB0E">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加速粒子</w:t>
            </w:r>
          </w:p>
        </w:tc>
        <w:tc>
          <w:tcPr>
            <w:tcW w:w="2049" w:type="dxa"/>
            <w:vAlign w:val="center"/>
          </w:tcPr>
          <w:p w14:paraId="1820F5FC">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最大能量（MeV）</w:t>
            </w:r>
          </w:p>
        </w:tc>
        <w:tc>
          <w:tcPr>
            <w:tcW w:w="2136" w:type="dxa"/>
            <w:vAlign w:val="center"/>
          </w:tcPr>
          <w:p w14:paraId="036C5244">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额定电流（mA）/剂量率（Gy/h）</w:t>
            </w:r>
          </w:p>
        </w:tc>
        <w:tc>
          <w:tcPr>
            <w:tcW w:w="1417" w:type="dxa"/>
            <w:vAlign w:val="center"/>
          </w:tcPr>
          <w:p w14:paraId="2C132BD3">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用途</w:t>
            </w:r>
          </w:p>
        </w:tc>
        <w:tc>
          <w:tcPr>
            <w:tcW w:w="1449" w:type="dxa"/>
            <w:vAlign w:val="center"/>
          </w:tcPr>
          <w:p w14:paraId="38B2DED1">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工作场所</w:t>
            </w:r>
          </w:p>
        </w:tc>
        <w:tc>
          <w:tcPr>
            <w:tcW w:w="1209" w:type="dxa"/>
            <w:vAlign w:val="center"/>
          </w:tcPr>
          <w:p w14:paraId="63F444F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备注</w:t>
            </w:r>
          </w:p>
        </w:tc>
      </w:tr>
      <w:tr w14:paraId="0FC0FB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3978" w:type="dxa"/>
            <w:gridSpan w:val="11"/>
            <w:vAlign w:val="center"/>
          </w:tcPr>
          <w:p w14:paraId="76495746">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r>
              <w:rPr>
                <w:rFonts w:hint="eastAsia" w:ascii="Times New Roman" w:hAnsi="Times New Roman" w:eastAsia="宋体" w:cs="Times New Roman"/>
                <w:bCs/>
                <w:color w:val="auto"/>
                <w:kern w:val="0"/>
                <w:sz w:val="24"/>
                <w:szCs w:val="24"/>
              </w:rPr>
              <w:t>无</w:t>
            </w:r>
          </w:p>
        </w:tc>
      </w:tr>
      <w:tr w14:paraId="53D3E46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70" w:type="dxa"/>
            <w:vAlign w:val="center"/>
          </w:tcPr>
          <w:p w14:paraId="17A4204F">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199" w:type="dxa"/>
            <w:vAlign w:val="center"/>
          </w:tcPr>
          <w:p w14:paraId="1BDF978A">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816" w:type="dxa"/>
            <w:vAlign w:val="center"/>
          </w:tcPr>
          <w:p w14:paraId="21B79B41">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819" w:type="dxa"/>
            <w:vAlign w:val="center"/>
          </w:tcPr>
          <w:p w14:paraId="0DAC6B25">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112" w:type="dxa"/>
            <w:vAlign w:val="center"/>
          </w:tcPr>
          <w:p w14:paraId="178BFCE9">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202" w:type="dxa"/>
            <w:vAlign w:val="center"/>
          </w:tcPr>
          <w:p w14:paraId="3974B049">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049" w:type="dxa"/>
            <w:vAlign w:val="center"/>
          </w:tcPr>
          <w:p w14:paraId="1B00397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136" w:type="dxa"/>
            <w:vAlign w:val="center"/>
          </w:tcPr>
          <w:p w14:paraId="70A37C7F">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17" w:type="dxa"/>
            <w:vAlign w:val="center"/>
          </w:tcPr>
          <w:p w14:paraId="41262EC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49" w:type="dxa"/>
            <w:vAlign w:val="center"/>
          </w:tcPr>
          <w:p w14:paraId="1344FF38">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209" w:type="dxa"/>
            <w:vAlign w:val="center"/>
          </w:tcPr>
          <w:p w14:paraId="1DA49A42">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r w14:paraId="6AED757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70" w:type="dxa"/>
            <w:vAlign w:val="center"/>
          </w:tcPr>
          <w:p w14:paraId="5A43C9A8">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199" w:type="dxa"/>
            <w:vAlign w:val="center"/>
          </w:tcPr>
          <w:p w14:paraId="4BAF193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816" w:type="dxa"/>
            <w:vAlign w:val="center"/>
          </w:tcPr>
          <w:p w14:paraId="648A4F8D">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819" w:type="dxa"/>
            <w:vAlign w:val="center"/>
          </w:tcPr>
          <w:p w14:paraId="6442DC0D">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112" w:type="dxa"/>
            <w:vAlign w:val="center"/>
          </w:tcPr>
          <w:p w14:paraId="31420DE7">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202" w:type="dxa"/>
            <w:vAlign w:val="center"/>
          </w:tcPr>
          <w:p w14:paraId="58004905">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049" w:type="dxa"/>
            <w:vAlign w:val="center"/>
          </w:tcPr>
          <w:p w14:paraId="5B282ACE">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2136" w:type="dxa"/>
            <w:vAlign w:val="center"/>
          </w:tcPr>
          <w:p w14:paraId="012CAF90">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17" w:type="dxa"/>
            <w:vAlign w:val="center"/>
          </w:tcPr>
          <w:p w14:paraId="6A2C5F46">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449" w:type="dxa"/>
            <w:vAlign w:val="center"/>
          </w:tcPr>
          <w:p w14:paraId="3C4EC2AF">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c>
          <w:tcPr>
            <w:tcW w:w="1209" w:type="dxa"/>
            <w:vAlign w:val="center"/>
          </w:tcPr>
          <w:p w14:paraId="4CC3DF14">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Times New Roman" w:hAnsi="Times New Roman" w:eastAsia="宋体" w:cs="Times New Roman"/>
                <w:bCs/>
                <w:color w:val="auto"/>
                <w:kern w:val="0"/>
                <w:sz w:val="24"/>
                <w:szCs w:val="24"/>
              </w:rPr>
            </w:pPr>
          </w:p>
        </w:tc>
      </w:tr>
    </w:tbl>
    <w:p w14:paraId="146E6CB5">
      <w:pPr>
        <w:widowControl w:val="0"/>
        <w:adjustRightInd w:val="0"/>
        <w:spacing w:before="156" w:beforeLines="50" w:after="156" w:afterLines="50"/>
        <w:ind w:right="-640" w:rightChars="-305" w:firstLine="480" w:firstLineChars="200"/>
        <w:jc w:val="left"/>
        <w:textAlignment w:val="baseline"/>
        <w:rPr>
          <w:rFonts w:ascii="宋体" w:hAnsi="宋体" w:eastAsia="宋体" w:cs="Times New Roman"/>
          <w:color w:val="auto"/>
          <w:kern w:val="2"/>
          <w:sz w:val="24"/>
          <w:szCs w:val="24"/>
          <w:lang w:val="en-US" w:eastAsia="zh-CN" w:bidi="ar-SA"/>
        </w:rPr>
      </w:pPr>
      <w:r>
        <w:rPr>
          <w:rFonts w:ascii="宋体" w:hAnsi="宋体" w:eastAsia="宋体" w:cs="Times New Roman"/>
          <w:color w:val="auto"/>
          <w:kern w:val="2"/>
          <w:sz w:val="24"/>
          <w:szCs w:val="24"/>
          <w:lang w:val="en-US" w:eastAsia="zh-CN" w:bidi="ar-SA"/>
        </w:rPr>
        <w:t>(二)X射线机，包括工业探伤、医用诊断和治疗、分析等用途</w:t>
      </w:r>
    </w:p>
    <w:tbl>
      <w:tblPr>
        <w:tblStyle w:val="17"/>
        <w:tblW w:w="13993"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70"/>
        <w:gridCol w:w="1156"/>
        <w:gridCol w:w="1164"/>
        <w:gridCol w:w="905"/>
        <w:gridCol w:w="2104"/>
        <w:gridCol w:w="1424"/>
        <w:gridCol w:w="1472"/>
        <w:gridCol w:w="1355"/>
        <w:gridCol w:w="2642"/>
        <w:gridCol w:w="1201"/>
      </w:tblGrid>
      <w:tr w14:paraId="7D56D6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70" w:type="dxa"/>
            <w:vAlign w:val="center"/>
          </w:tcPr>
          <w:p w14:paraId="2D207A3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序号</w:t>
            </w:r>
          </w:p>
        </w:tc>
        <w:tc>
          <w:tcPr>
            <w:tcW w:w="1156" w:type="dxa"/>
            <w:vAlign w:val="center"/>
          </w:tcPr>
          <w:p w14:paraId="1AB7280D">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名称</w:t>
            </w:r>
          </w:p>
        </w:tc>
        <w:tc>
          <w:tcPr>
            <w:tcW w:w="1164" w:type="dxa"/>
            <w:vAlign w:val="center"/>
          </w:tcPr>
          <w:p w14:paraId="552636D4">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类别</w:t>
            </w:r>
          </w:p>
        </w:tc>
        <w:tc>
          <w:tcPr>
            <w:tcW w:w="905" w:type="dxa"/>
            <w:vAlign w:val="center"/>
          </w:tcPr>
          <w:p w14:paraId="0A5B342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数量</w:t>
            </w:r>
          </w:p>
        </w:tc>
        <w:tc>
          <w:tcPr>
            <w:tcW w:w="2104" w:type="dxa"/>
            <w:vAlign w:val="center"/>
          </w:tcPr>
          <w:p w14:paraId="3DE0624D">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型号</w:t>
            </w:r>
          </w:p>
        </w:tc>
        <w:tc>
          <w:tcPr>
            <w:tcW w:w="1424" w:type="dxa"/>
            <w:vAlign w:val="center"/>
          </w:tcPr>
          <w:p w14:paraId="26E13FCA">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最大管电压（kV）</w:t>
            </w:r>
          </w:p>
        </w:tc>
        <w:tc>
          <w:tcPr>
            <w:tcW w:w="1472" w:type="dxa"/>
            <w:vAlign w:val="center"/>
          </w:tcPr>
          <w:p w14:paraId="1747121F">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最大管电流（mA）</w:t>
            </w:r>
          </w:p>
        </w:tc>
        <w:tc>
          <w:tcPr>
            <w:tcW w:w="1355" w:type="dxa"/>
            <w:vAlign w:val="center"/>
          </w:tcPr>
          <w:p w14:paraId="1E1C780C">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用途</w:t>
            </w:r>
          </w:p>
        </w:tc>
        <w:tc>
          <w:tcPr>
            <w:tcW w:w="2642" w:type="dxa"/>
            <w:vAlign w:val="center"/>
          </w:tcPr>
          <w:p w14:paraId="75141F34">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工作场所</w:t>
            </w:r>
          </w:p>
        </w:tc>
        <w:tc>
          <w:tcPr>
            <w:tcW w:w="1201" w:type="dxa"/>
            <w:vAlign w:val="center"/>
          </w:tcPr>
          <w:p w14:paraId="68474B4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备注</w:t>
            </w:r>
          </w:p>
        </w:tc>
      </w:tr>
      <w:tr w14:paraId="049ED3E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19" w:hRule="atLeast"/>
          <w:jc w:val="center"/>
        </w:trPr>
        <w:tc>
          <w:tcPr>
            <w:tcW w:w="570" w:type="dxa"/>
            <w:vAlign w:val="center"/>
          </w:tcPr>
          <w:p w14:paraId="2C517579">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1</w:t>
            </w:r>
          </w:p>
        </w:tc>
        <w:tc>
          <w:tcPr>
            <w:tcW w:w="1156" w:type="dxa"/>
            <w:vAlign w:val="center"/>
          </w:tcPr>
          <w:p w14:paraId="09B9BCC8">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DSA</w:t>
            </w:r>
          </w:p>
        </w:tc>
        <w:tc>
          <w:tcPr>
            <w:tcW w:w="1164" w:type="dxa"/>
            <w:vAlign w:val="center"/>
          </w:tcPr>
          <w:p w14:paraId="1BC320E5">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Ⅱ</w:t>
            </w:r>
          </w:p>
        </w:tc>
        <w:tc>
          <w:tcPr>
            <w:tcW w:w="905" w:type="dxa"/>
            <w:vAlign w:val="center"/>
          </w:tcPr>
          <w:p w14:paraId="15D1742B">
            <w:pPr>
              <w:keepNext w:val="0"/>
              <w:keepLines w:val="0"/>
              <w:widowControl/>
              <w:suppressLineNumbers w:val="0"/>
              <w:spacing w:before="0" w:beforeAutospacing="0" w:after="0" w:afterAutospacing="0"/>
              <w:ind w:left="0" w:right="0"/>
              <w:jc w:val="center"/>
              <w:rPr>
                <w:rFonts w:hint="eastAsia" w:ascii="Times New Roman" w:hAnsi="Times New Roman" w:eastAsia="宋体" w:cs="Times New Roman"/>
                <w:bCs/>
                <w:color w:val="auto"/>
                <w:kern w:val="0"/>
                <w:sz w:val="24"/>
                <w:szCs w:val="24"/>
                <w:lang w:eastAsia="zh-CN"/>
              </w:rPr>
            </w:pPr>
            <w:r>
              <w:rPr>
                <w:rFonts w:hint="eastAsia" w:ascii="Times New Roman" w:hAnsi="Times New Roman" w:eastAsia="宋体" w:cs="Times New Roman"/>
                <w:bCs/>
                <w:color w:val="auto"/>
                <w:kern w:val="0"/>
                <w:sz w:val="24"/>
                <w:szCs w:val="24"/>
                <w:lang w:eastAsia="zh-CN"/>
              </w:rPr>
              <w:t>1</w:t>
            </w:r>
          </w:p>
        </w:tc>
        <w:tc>
          <w:tcPr>
            <w:tcW w:w="2104" w:type="dxa"/>
            <w:vAlign w:val="center"/>
          </w:tcPr>
          <w:p w14:paraId="5F67845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4"/>
                <w:szCs w:val="24"/>
                <w:lang w:val="en-US" w:eastAsia="zh-CN" w:bidi="ar-SA"/>
              </w:rPr>
            </w:pPr>
            <w:r>
              <w:rPr>
                <w:rFonts w:hint="eastAsia" w:ascii="Times New Roman" w:hAnsi="Times New Roman" w:eastAsia="宋体" w:cs="Times New Roman"/>
                <w:snapToGrid w:val="0"/>
                <w:color w:val="auto"/>
                <w:kern w:val="0"/>
                <w:sz w:val="24"/>
                <w:szCs w:val="24"/>
                <w:highlight w:val="none"/>
                <w:lang w:val="en-US" w:eastAsia="zh-CN" w:bidi="ar-SA"/>
              </w:rPr>
              <w:t>Azurion3 M15</w:t>
            </w:r>
          </w:p>
        </w:tc>
        <w:tc>
          <w:tcPr>
            <w:tcW w:w="1424" w:type="dxa"/>
            <w:vAlign w:val="center"/>
          </w:tcPr>
          <w:p w14:paraId="7648DF92">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125</w:t>
            </w:r>
          </w:p>
        </w:tc>
        <w:tc>
          <w:tcPr>
            <w:tcW w:w="1472" w:type="dxa"/>
            <w:vAlign w:val="center"/>
          </w:tcPr>
          <w:p w14:paraId="1009BBE2">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default" w:ascii="Times New Roman" w:hAnsi="Times New Roman" w:eastAsia="宋体" w:cs="Times New Roman"/>
                <w:bCs/>
                <w:color w:val="auto"/>
                <w:kern w:val="0"/>
                <w:sz w:val="24"/>
                <w:szCs w:val="24"/>
              </w:rPr>
              <w:t>1000</w:t>
            </w:r>
          </w:p>
        </w:tc>
        <w:tc>
          <w:tcPr>
            <w:tcW w:w="1355" w:type="dxa"/>
            <w:vAlign w:val="center"/>
          </w:tcPr>
          <w:p w14:paraId="659FA5D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rPr>
            </w:pPr>
            <w:r>
              <w:rPr>
                <w:rFonts w:hint="eastAsia" w:ascii="Times New Roman" w:hAnsi="Times New Roman" w:eastAsia="宋体" w:cs="Times New Roman"/>
                <w:bCs/>
                <w:color w:val="auto"/>
                <w:kern w:val="0"/>
                <w:sz w:val="24"/>
                <w:szCs w:val="24"/>
                <w:lang w:eastAsia="zh-CN"/>
              </w:rPr>
              <w:t>血管造影、</w:t>
            </w:r>
            <w:r>
              <w:rPr>
                <w:rFonts w:hint="default" w:ascii="Times New Roman" w:hAnsi="Times New Roman" w:eastAsia="宋体" w:cs="Times New Roman"/>
                <w:bCs/>
                <w:color w:val="auto"/>
                <w:kern w:val="0"/>
                <w:sz w:val="24"/>
                <w:szCs w:val="24"/>
              </w:rPr>
              <w:t>介入手术</w:t>
            </w:r>
          </w:p>
        </w:tc>
        <w:tc>
          <w:tcPr>
            <w:tcW w:w="2642" w:type="dxa"/>
            <w:vAlign w:val="center"/>
          </w:tcPr>
          <w:p w14:paraId="565708AD">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rPr>
            </w:pPr>
            <w:r>
              <w:rPr>
                <w:rFonts w:hint="eastAsia" w:ascii="Times New Roman" w:hAnsi="Times New Roman" w:eastAsia="宋体" w:cs="Times New Roman"/>
                <w:bCs/>
                <w:color w:val="auto"/>
                <w:kern w:val="0"/>
                <w:sz w:val="24"/>
                <w:szCs w:val="24"/>
                <w:lang w:eastAsia="zh-CN"/>
              </w:rPr>
              <w:t>综合楼一楼</w:t>
            </w:r>
            <w:r>
              <w:rPr>
                <w:rFonts w:hint="eastAsia" w:ascii="Times New Roman" w:hAnsi="Times New Roman" w:eastAsia="宋体" w:cs="Times New Roman"/>
                <w:bCs/>
                <w:color w:val="auto"/>
                <w:kern w:val="0"/>
                <w:sz w:val="24"/>
                <w:szCs w:val="24"/>
                <w:lang w:val="en-US" w:eastAsia="zh-CN"/>
              </w:rPr>
              <w:t>DSA机房</w:t>
            </w:r>
          </w:p>
        </w:tc>
        <w:tc>
          <w:tcPr>
            <w:tcW w:w="1201" w:type="dxa"/>
            <w:vAlign w:val="center"/>
          </w:tcPr>
          <w:p w14:paraId="2C405918">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eastAsia="zh-CN"/>
              </w:rPr>
            </w:pPr>
            <w:r>
              <w:rPr>
                <w:rFonts w:hint="eastAsia" w:ascii="Times New Roman" w:hAnsi="Times New Roman" w:eastAsia="宋体" w:cs="Times New Roman"/>
                <w:bCs/>
                <w:color w:val="auto"/>
                <w:kern w:val="0"/>
                <w:sz w:val="24"/>
                <w:szCs w:val="24"/>
                <w:lang w:val="en-US" w:eastAsia="zh-CN"/>
              </w:rPr>
              <w:t>拟购买</w:t>
            </w:r>
          </w:p>
        </w:tc>
      </w:tr>
      <w:tr w14:paraId="3D2F2B6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70" w:type="dxa"/>
            <w:vAlign w:val="center"/>
          </w:tcPr>
          <w:p w14:paraId="5DC9B71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1156" w:type="dxa"/>
            <w:vAlign w:val="center"/>
          </w:tcPr>
          <w:p w14:paraId="409D8764">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1164" w:type="dxa"/>
            <w:vAlign w:val="center"/>
          </w:tcPr>
          <w:p w14:paraId="19CE343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905" w:type="dxa"/>
            <w:vAlign w:val="center"/>
          </w:tcPr>
          <w:p w14:paraId="58A8E23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2104" w:type="dxa"/>
            <w:vAlign w:val="center"/>
          </w:tcPr>
          <w:p w14:paraId="0B8BF8B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4"/>
                <w:szCs w:val="24"/>
                <w:lang w:val="en-US" w:eastAsia="zh-CN" w:bidi="ar-SA"/>
              </w:rPr>
            </w:pPr>
          </w:p>
        </w:tc>
        <w:tc>
          <w:tcPr>
            <w:tcW w:w="1424" w:type="dxa"/>
            <w:vAlign w:val="center"/>
          </w:tcPr>
          <w:p w14:paraId="275E58CD">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1472" w:type="dxa"/>
            <w:vAlign w:val="center"/>
          </w:tcPr>
          <w:p w14:paraId="4A5495AE">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1355" w:type="dxa"/>
            <w:vAlign w:val="center"/>
          </w:tcPr>
          <w:p w14:paraId="7DE1ADBC">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2642" w:type="dxa"/>
            <w:vAlign w:val="center"/>
          </w:tcPr>
          <w:p w14:paraId="0EC1FB35">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c>
          <w:tcPr>
            <w:tcW w:w="1201" w:type="dxa"/>
            <w:vAlign w:val="center"/>
          </w:tcPr>
          <w:p w14:paraId="26C4C02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bCs/>
                <w:color w:val="auto"/>
                <w:kern w:val="0"/>
                <w:sz w:val="24"/>
                <w:szCs w:val="24"/>
                <w:lang w:val="en-US" w:eastAsia="zh-CN" w:bidi="ar-SA"/>
              </w:rPr>
            </w:pPr>
          </w:p>
        </w:tc>
      </w:tr>
      <w:tr w14:paraId="4617AE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3993" w:type="dxa"/>
            <w:gridSpan w:val="10"/>
            <w:vAlign w:val="center"/>
          </w:tcPr>
          <w:p w14:paraId="58A933E1">
            <w:pPr>
              <w:keepNext w:val="0"/>
              <w:keepLines w:val="0"/>
              <w:widowControl/>
              <w:suppressLineNumbers w:val="0"/>
              <w:spacing w:before="0" w:beforeAutospacing="0" w:after="0" w:afterAutospacing="0" w:line="360" w:lineRule="auto"/>
              <w:ind w:left="-105" w:leftChars="-50" w:right="-105" w:rightChars="-50"/>
              <w:jc w:val="center"/>
              <w:rPr>
                <w:rFonts w:hint="default" w:ascii="Times New Roman" w:hAnsi="Times New Roman" w:eastAsia="宋体" w:cs="Times New Roman"/>
                <w:color w:val="auto"/>
                <w:kern w:val="0"/>
                <w:sz w:val="24"/>
                <w:szCs w:val="24"/>
                <w:lang w:eastAsia="zh-CN"/>
              </w:rPr>
            </w:pPr>
            <w:r>
              <w:rPr>
                <w:rFonts w:hint="default" w:ascii="Times New Roman" w:hAnsi="Times New Roman" w:eastAsia="宋体" w:cs="Times New Roman"/>
                <w:color w:val="auto"/>
                <w:kern w:val="0"/>
                <w:sz w:val="24"/>
                <w:szCs w:val="24"/>
                <w:lang w:eastAsia="zh-CN"/>
              </w:rPr>
              <w:t>以下空白</w:t>
            </w:r>
          </w:p>
        </w:tc>
      </w:tr>
    </w:tbl>
    <w:p w14:paraId="4990732C">
      <w:pPr>
        <w:widowControl w:val="0"/>
        <w:adjustRightInd w:val="0"/>
        <w:spacing w:before="156" w:beforeLines="50" w:after="156" w:afterLines="50"/>
        <w:ind w:right="-640" w:rightChars="-305" w:firstLine="480" w:firstLineChars="200"/>
        <w:jc w:val="left"/>
        <w:textAlignment w:val="baseline"/>
        <w:rPr>
          <w:rFonts w:ascii="宋体" w:hAnsi="宋体" w:eastAsia="宋体" w:cs="Times New Roman"/>
          <w:color w:val="auto"/>
          <w:kern w:val="2"/>
          <w:sz w:val="24"/>
          <w:szCs w:val="24"/>
          <w:lang w:val="en-US" w:eastAsia="zh-CN" w:bidi="ar-SA"/>
        </w:rPr>
      </w:pPr>
      <w:r>
        <w:rPr>
          <w:rFonts w:ascii="宋体" w:hAnsi="宋体" w:eastAsia="宋体" w:cs="Times New Roman"/>
          <w:color w:val="auto"/>
          <w:kern w:val="2"/>
          <w:sz w:val="24"/>
          <w:szCs w:val="24"/>
          <w:lang w:val="en-US" w:eastAsia="zh-CN" w:bidi="ar-SA"/>
        </w:rPr>
        <w:t>(</w:t>
      </w:r>
      <w:r>
        <w:rPr>
          <w:rFonts w:hint="eastAsia" w:ascii="宋体" w:hAnsi="宋体" w:eastAsia="宋体" w:cs="Times New Roman"/>
          <w:color w:val="auto"/>
          <w:kern w:val="2"/>
          <w:sz w:val="24"/>
          <w:szCs w:val="24"/>
          <w:lang w:val="en-US" w:eastAsia="zh-CN" w:bidi="ar-SA"/>
        </w:rPr>
        <w:t>三</w:t>
      </w:r>
      <w:r>
        <w:rPr>
          <w:rFonts w:ascii="宋体" w:hAnsi="宋体" w:eastAsia="宋体" w:cs="Times New Roman"/>
          <w:color w:val="auto"/>
          <w:kern w:val="2"/>
          <w:sz w:val="24"/>
          <w:szCs w:val="24"/>
          <w:lang w:val="en-US" w:eastAsia="zh-CN" w:bidi="ar-SA"/>
        </w:rPr>
        <w:t>)</w:t>
      </w:r>
      <w:r>
        <w:rPr>
          <w:rFonts w:hint="eastAsia" w:ascii="宋体" w:hAnsi="宋体" w:eastAsia="宋体" w:cs="Times New Roman"/>
          <w:color w:val="auto"/>
          <w:kern w:val="2"/>
          <w:sz w:val="24"/>
          <w:szCs w:val="24"/>
          <w:lang w:val="en-US" w:eastAsia="zh-CN" w:bidi="ar-SA"/>
        </w:rPr>
        <w:t>中子发生器，包括中子管，但不包括放射性中子源</w:t>
      </w:r>
    </w:p>
    <w:tbl>
      <w:tblPr>
        <w:tblStyle w:val="17"/>
        <w:tblW w:w="1397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32"/>
        <w:gridCol w:w="774"/>
        <w:gridCol w:w="774"/>
        <w:gridCol w:w="774"/>
        <w:gridCol w:w="774"/>
        <w:gridCol w:w="1448"/>
        <w:gridCol w:w="1420"/>
        <w:gridCol w:w="1062"/>
        <w:gridCol w:w="742"/>
        <w:gridCol w:w="1227"/>
        <w:gridCol w:w="1384"/>
        <w:gridCol w:w="1227"/>
        <w:gridCol w:w="775"/>
        <w:gridCol w:w="965"/>
      </w:tblGrid>
      <w:tr w14:paraId="299DA7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32" w:type="dxa"/>
            <w:vMerge w:val="restart"/>
            <w:vAlign w:val="center"/>
          </w:tcPr>
          <w:p w14:paraId="1479DADE">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序号</w:t>
            </w:r>
          </w:p>
        </w:tc>
        <w:tc>
          <w:tcPr>
            <w:tcW w:w="774" w:type="dxa"/>
            <w:vMerge w:val="restart"/>
            <w:vAlign w:val="center"/>
          </w:tcPr>
          <w:p w14:paraId="1479944E">
            <w:pPr>
              <w:keepNext w:val="0"/>
              <w:keepLines w:val="0"/>
              <w:widowControl/>
              <w:suppressLineNumbers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名称</w:t>
            </w:r>
          </w:p>
        </w:tc>
        <w:tc>
          <w:tcPr>
            <w:tcW w:w="774" w:type="dxa"/>
            <w:vMerge w:val="restart"/>
            <w:vAlign w:val="center"/>
          </w:tcPr>
          <w:p w14:paraId="0900806B">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类别</w:t>
            </w:r>
          </w:p>
        </w:tc>
        <w:tc>
          <w:tcPr>
            <w:tcW w:w="774" w:type="dxa"/>
            <w:vMerge w:val="restart"/>
            <w:vAlign w:val="center"/>
          </w:tcPr>
          <w:p w14:paraId="2094048E">
            <w:pPr>
              <w:keepNext w:val="0"/>
              <w:keepLines w:val="0"/>
              <w:widowControl/>
              <w:suppressLineNumbers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数量</w:t>
            </w:r>
          </w:p>
        </w:tc>
        <w:tc>
          <w:tcPr>
            <w:tcW w:w="774" w:type="dxa"/>
            <w:vMerge w:val="restart"/>
            <w:vAlign w:val="center"/>
          </w:tcPr>
          <w:p w14:paraId="22B78543">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型号</w:t>
            </w:r>
          </w:p>
        </w:tc>
        <w:tc>
          <w:tcPr>
            <w:tcW w:w="1448" w:type="dxa"/>
            <w:vMerge w:val="restart"/>
            <w:vAlign w:val="center"/>
          </w:tcPr>
          <w:p w14:paraId="6FFA29E5">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最大管电压（kV）</w:t>
            </w:r>
          </w:p>
        </w:tc>
        <w:tc>
          <w:tcPr>
            <w:tcW w:w="1420" w:type="dxa"/>
            <w:vMerge w:val="restart"/>
            <w:vAlign w:val="center"/>
          </w:tcPr>
          <w:p w14:paraId="301E6B2F">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最大靶电流</w:t>
            </w:r>
            <w:r>
              <w:rPr>
                <w:rFonts w:hint="default" w:ascii="Times New Roman" w:hAnsi="Times New Roman" w:eastAsia="宋体" w:cs="Times New Roman"/>
                <w:bCs/>
                <w:color w:val="auto"/>
                <w:kern w:val="0"/>
                <w:sz w:val="24"/>
                <w:szCs w:val="24"/>
              </w:rPr>
              <w:t>（μ</w:t>
            </w:r>
            <w:r>
              <w:rPr>
                <w:rFonts w:hint="default" w:ascii="宋体" w:hAnsi="宋体" w:eastAsia="宋体" w:cs="Times New Roman"/>
                <w:bCs/>
                <w:color w:val="auto"/>
                <w:kern w:val="0"/>
                <w:sz w:val="24"/>
                <w:szCs w:val="24"/>
              </w:rPr>
              <w:t>A）</w:t>
            </w:r>
          </w:p>
        </w:tc>
        <w:tc>
          <w:tcPr>
            <w:tcW w:w="1062" w:type="dxa"/>
            <w:vMerge w:val="restart"/>
            <w:vAlign w:val="center"/>
          </w:tcPr>
          <w:p w14:paraId="55D902DE">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中子强度(n/s)</w:t>
            </w:r>
          </w:p>
        </w:tc>
        <w:tc>
          <w:tcPr>
            <w:tcW w:w="742" w:type="dxa"/>
            <w:vMerge w:val="restart"/>
            <w:vAlign w:val="center"/>
          </w:tcPr>
          <w:p w14:paraId="2DF91DA0">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用途</w:t>
            </w:r>
          </w:p>
        </w:tc>
        <w:tc>
          <w:tcPr>
            <w:tcW w:w="1227" w:type="dxa"/>
            <w:vMerge w:val="restart"/>
            <w:vAlign w:val="center"/>
          </w:tcPr>
          <w:p w14:paraId="555AB4AF">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工作场所</w:t>
            </w:r>
          </w:p>
        </w:tc>
        <w:tc>
          <w:tcPr>
            <w:tcW w:w="3386" w:type="dxa"/>
            <w:gridSpan w:val="3"/>
            <w:vAlign w:val="center"/>
          </w:tcPr>
          <w:p w14:paraId="375FC5A4">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氚靶情况</w:t>
            </w:r>
          </w:p>
        </w:tc>
        <w:tc>
          <w:tcPr>
            <w:tcW w:w="965" w:type="dxa"/>
            <w:vMerge w:val="restart"/>
            <w:vAlign w:val="center"/>
          </w:tcPr>
          <w:p w14:paraId="37038984">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备注</w:t>
            </w:r>
          </w:p>
        </w:tc>
      </w:tr>
      <w:tr w14:paraId="51AD1D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32" w:type="dxa"/>
            <w:vMerge w:val="continue"/>
            <w:vAlign w:val="center"/>
          </w:tcPr>
          <w:p w14:paraId="6D08F600">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774" w:type="dxa"/>
            <w:vMerge w:val="continue"/>
            <w:vAlign w:val="center"/>
          </w:tcPr>
          <w:p w14:paraId="75C2F8DC">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774" w:type="dxa"/>
            <w:vMerge w:val="continue"/>
            <w:vAlign w:val="center"/>
          </w:tcPr>
          <w:p w14:paraId="5BA69B64">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774" w:type="dxa"/>
            <w:vMerge w:val="continue"/>
            <w:vAlign w:val="center"/>
          </w:tcPr>
          <w:p w14:paraId="2ABF1E14">
            <w:pPr>
              <w:keepNext w:val="0"/>
              <w:keepLines w:val="0"/>
              <w:widowControl/>
              <w:suppressLineNumbers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774" w:type="dxa"/>
            <w:vMerge w:val="continue"/>
            <w:vAlign w:val="center"/>
          </w:tcPr>
          <w:p w14:paraId="552E3BC0">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1448" w:type="dxa"/>
            <w:vMerge w:val="continue"/>
            <w:vAlign w:val="center"/>
          </w:tcPr>
          <w:p w14:paraId="3E5AB4EB">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1420" w:type="dxa"/>
            <w:vMerge w:val="continue"/>
            <w:vAlign w:val="center"/>
          </w:tcPr>
          <w:p w14:paraId="0731803E">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1062" w:type="dxa"/>
            <w:vMerge w:val="continue"/>
            <w:vAlign w:val="center"/>
          </w:tcPr>
          <w:p w14:paraId="5284BED9">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742" w:type="dxa"/>
            <w:vMerge w:val="continue"/>
            <w:vAlign w:val="center"/>
          </w:tcPr>
          <w:p w14:paraId="04FF7D91">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1227" w:type="dxa"/>
            <w:vMerge w:val="continue"/>
            <w:vAlign w:val="center"/>
          </w:tcPr>
          <w:p w14:paraId="7CCF3207">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c>
          <w:tcPr>
            <w:tcW w:w="1384" w:type="dxa"/>
            <w:vAlign w:val="center"/>
          </w:tcPr>
          <w:p w14:paraId="18850E05">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活度（Bq）</w:t>
            </w:r>
          </w:p>
        </w:tc>
        <w:tc>
          <w:tcPr>
            <w:tcW w:w="1227" w:type="dxa"/>
            <w:vAlign w:val="center"/>
          </w:tcPr>
          <w:p w14:paraId="107B99A2">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贮存方式</w:t>
            </w:r>
          </w:p>
        </w:tc>
        <w:tc>
          <w:tcPr>
            <w:tcW w:w="775" w:type="dxa"/>
            <w:vAlign w:val="center"/>
          </w:tcPr>
          <w:p w14:paraId="150EF454">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r>
              <w:rPr>
                <w:rFonts w:hint="default" w:ascii="宋体" w:hAnsi="宋体" w:eastAsia="宋体" w:cs="Times New Roman"/>
                <w:bCs/>
                <w:color w:val="auto"/>
                <w:kern w:val="0"/>
                <w:sz w:val="24"/>
                <w:szCs w:val="24"/>
              </w:rPr>
              <w:t>数量</w:t>
            </w:r>
          </w:p>
        </w:tc>
        <w:tc>
          <w:tcPr>
            <w:tcW w:w="965" w:type="dxa"/>
            <w:vMerge w:val="continue"/>
            <w:vAlign w:val="center"/>
          </w:tcPr>
          <w:p w14:paraId="7641963A">
            <w:pPr>
              <w:keepNext w:val="0"/>
              <w:keepLines w:val="0"/>
              <w:suppressLineNumbers w:val="0"/>
              <w:autoSpaceDE w:val="0"/>
              <w:autoSpaceDN w:val="0"/>
              <w:adjustRightInd w:val="0"/>
              <w:spacing w:before="0" w:beforeAutospacing="0" w:after="0" w:afterAutospacing="0"/>
              <w:ind w:left="0" w:right="0"/>
              <w:jc w:val="center"/>
              <w:rPr>
                <w:rFonts w:hint="default" w:ascii="宋体" w:hAnsi="宋体" w:eastAsia="宋体" w:cs="Times New Roman"/>
                <w:bCs/>
                <w:color w:val="auto"/>
                <w:kern w:val="0"/>
                <w:sz w:val="24"/>
                <w:szCs w:val="24"/>
              </w:rPr>
            </w:pPr>
          </w:p>
        </w:tc>
      </w:tr>
      <w:tr w14:paraId="364B8C0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7" w:hRule="atLeast"/>
          <w:jc w:val="center"/>
        </w:trPr>
        <w:tc>
          <w:tcPr>
            <w:tcW w:w="13978" w:type="dxa"/>
            <w:gridSpan w:val="14"/>
            <w:vAlign w:val="center"/>
          </w:tcPr>
          <w:p w14:paraId="0EDF46CB">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r>
              <w:rPr>
                <w:rFonts w:hint="eastAsia" w:ascii="宋体" w:hAnsi="宋体" w:eastAsia="宋体" w:cs="Times New Roman"/>
                <w:bCs/>
                <w:color w:val="auto"/>
                <w:kern w:val="0"/>
                <w:sz w:val="24"/>
                <w:szCs w:val="24"/>
              </w:rPr>
              <w:t>无</w:t>
            </w:r>
          </w:p>
        </w:tc>
      </w:tr>
      <w:tr w14:paraId="35B0FA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32" w:type="dxa"/>
            <w:vAlign w:val="center"/>
          </w:tcPr>
          <w:p w14:paraId="3DC31D89">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774" w:type="dxa"/>
            <w:vAlign w:val="center"/>
          </w:tcPr>
          <w:p w14:paraId="1CCF958F">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774" w:type="dxa"/>
            <w:vAlign w:val="center"/>
          </w:tcPr>
          <w:p w14:paraId="793E6D43">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774" w:type="dxa"/>
            <w:vAlign w:val="center"/>
          </w:tcPr>
          <w:p w14:paraId="7910AF42">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774" w:type="dxa"/>
            <w:vAlign w:val="center"/>
          </w:tcPr>
          <w:p w14:paraId="3789D63E">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1448" w:type="dxa"/>
            <w:vAlign w:val="center"/>
          </w:tcPr>
          <w:p w14:paraId="493A3806">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1420" w:type="dxa"/>
            <w:vAlign w:val="center"/>
          </w:tcPr>
          <w:p w14:paraId="771548E9">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1062" w:type="dxa"/>
            <w:vAlign w:val="center"/>
          </w:tcPr>
          <w:p w14:paraId="42D720B0">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742" w:type="dxa"/>
            <w:vAlign w:val="center"/>
          </w:tcPr>
          <w:p w14:paraId="043CF163">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1227" w:type="dxa"/>
            <w:vAlign w:val="center"/>
          </w:tcPr>
          <w:p w14:paraId="694BAFDC">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1384" w:type="dxa"/>
            <w:vAlign w:val="center"/>
          </w:tcPr>
          <w:p w14:paraId="33C811E0">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1227" w:type="dxa"/>
            <w:vAlign w:val="center"/>
          </w:tcPr>
          <w:p w14:paraId="4D16912A">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775" w:type="dxa"/>
            <w:vAlign w:val="center"/>
          </w:tcPr>
          <w:p w14:paraId="56AF655F">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c>
          <w:tcPr>
            <w:tcW w:w="965" w:type="dxa"/>
            <w:vAlign w:val="center"/>
          </w:tcPr>
          <w:p w14:paraId="39CF7F2A">
            <w:pPr>
              <w:keepNext w:val="0"/>
              <w:keepLines w:val="0"/>
              <w:suppressLineNumbers w:val="0"/>
              <w:autoSpaceDE w:val="0"/>
              <w:autoSpaceDN w:val="0"/>
              <w:adjustRightInd w:val="0"/>
              <w:spacing w:before="0" w:beforeAutospacing="0" w:after="0" w:afterAutospacing="0" w:line="360" w:lineRule="auto"/>
              <w:ind w:left="0" w:right="0"/>
              <w:jc w:val="center"/>
              <w:rPr>
                <w:rFonts w:hint="default" w:ascii="宋体" w:hAnsi="宋体" w:eastAsia="宋体" w:cs="Times New Roman"/>
                <w:bCs/>
                <w:color w:val="auto"/>
                <w:kern w:val="0"/>
                <w:sz w:val="24"/>
                <w:szCs w:val="24"/>
              </w:rPr>
            </w:pPr>
          </w:p>
        </w:tc>
      </w:tr>
    </w:tbl>
    <w:p w14:paraId="14F0F09A">
      <w:pPr>
        <w:pStyle w:val="15"/>
        <w:ind w:left="0" w:leftChars="0" w:firstLine="0" w:firstLineChars="0"/>
        <w:rPr>
          <w:rFonts w:hint="eastAsia"/>
          <w:color w:val="auto"/>
          <w:lang w:val="en-US" w:eastAsia="zh-CN"/>
        </w:rPr>
        <w:sectPr>
          <w:pgSz w:w="16838" w:h="11906" w:orient="landscape"/>
          <w:pgMar w:top="1080" w:right="1440" w:bottom="1080" w:left="1440" w:header="851" w:footer="992" w:gutter="0"/>
          <w:pgNumType w:fmt="decimal"/>
          <w:cols w:space="0" w:num="1"/>
          <w:rtlGutter w:val="0"/>
          <w:docGrid w:type="lines" w:linePitch="312" w:charSpace="0"/>
        </w:sectPr>
      </w:pPr>
    </w:p>
    <w:p w14:paraId="64588695">
      <w:pPr>
        <w:pStyle w:val="3"/>
        <w:bidi w:val="0"/>
        <w:rPr>
          <w:color w:val="auto"/>
        </w:rPr>
      </w:pPr>
      <w:bookmarkStart w:id="25" w:name="_Toc56004462"/>
      <w:bookmarkStart w:id="26" w:name="_Toc8026"/>
      <w:bookmarkStart w:id="27" w:name="_Toc67739911"/>
      <w:bookmarkStart w:id="28" w:name="_Toc56003424"/>
      <w:bookmarkStart w:id="29" w:name="_Toc5850"/>
      <w:r>
        <w:rPr>
          <w:color w:val="auto"/>
        </w:rPr>
        <w:t xml:space="preserve">表5 </w:t>
      </w:r>
      <w:r>
        <w:rPr>
          <w:rFonts w:hint="eastAsia"/>
          <w:color w:val="auto"/>
        </w:rPr>
        <w:t>废弃物（重点是放射性废弃物）</w:t>
      </w:r>
      <w:bookmarkEnd w:id="25"/>
      <w:bookmarkEnd w:id="26"/>
      <w:bookmarkEnd w:id="27"/>
      <w:bookmarkEnd w:id="28"/>
      <w:bookmarkEnd w:id="29"/>
    </w:p>
    <w:tbl>
      <w:tblPr>
        <w:tblStyle w:val="17"/>
        <w:tblW w:w="9801"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35"/>
        <w:gridCol w:w="782"/>
        <w:gridCol w:w="862"/>
        <w:gridCol w:w="674"/>
        <w:gridCol w:w="1157"/>
        <w:gridCol w:w="1264"/>
        <w:gridCol w:w="880"/>
        <w:gridCol w:w="959"/>
        <w:gridCol w:w="2088"/>
      </w:tblGrid>
      <w:tr w14:paraId="3500BC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000E1D51">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名称</w:t>
            </w:r>
          </w:p>
        </w:tc>
        <w:tc>
          <w:tcPr>
            <w:tcW w:w="782" w:type="dxa"/>
            <w:vAlign w:val="center"/>
          </w:tcPr>
          <w:p w14:paraId="0FFDCC37">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状态</w:t>
            </w:r>
          </w:p>
        </w:tc>
        <w:tc>
          <w:tcPr>
            <w:tcW w:w="862" w:type="dxa"/>
            <w:vAlign w:val="center"/>
          </w:tcPr>
          <w:p w14:paraId="1F2FC85B">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核素名称</w:t>
            </w:r>
          </w:p>
        </w:tc>
        <w:tc>
          <w:tcPr>
            <w:tcW w:w="674" w:type="dxa"/>
            <w:vAlign w:val="center"/>
          </w:tcPr>
          <w:p w14:paraId="36AAB85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活度</w:t>
            </w:r>
          </w:p>
        </w:tc>
        <w:tc>
          <w:tcPr>
            <w:tcW w:w="1157" w:type="dxa"/>
            <w:vAlign w:val="center"/>
          </w:tcPr>
          <w:p w14:paraId="415243EE">
            <w:pPr>
              <w:keepNext w:val="0"/>
              <w:keepLines w:val="0"/>
              <w:suppressLineNumbers w:val="0"/>
              <w:autoSpaceDE w:val="0"/>
              <w:autoSpaceDN w:val="0"/>
              <w:adjustRightInd w:val="0"/>
              <w:spacing w:before="0" w:beforeAutospacing="0" w:after="0" w:afterAutospacing="0"/>
              <w:ind w:left="0" w:right="0"/>
              <w:jc w:val="both"/>
              <w:rPr>
                <w:rFonts w:hint="default" w:ascii="Times New Roman" w:hAnsi="Times New Roman" w:eastAsia="宋体" w:cs="Times New Roman"/>
                <w:color w:val="auto"/>
                <w:kern w:val="0"/>
                <w:sz w:val="24"/>
                <w:szCs w:val="24"/>
                <w:highlight w:val="none"/>
              </w:rPr>
            </w:pPr>
            <w:r>
              <w:rPr>
                <w:rFonts w:hint="eastAsia" w:ascii="Times New Roman" w:hAnsi="Times New Roman" w:eastAsia="宋体" w:cs="Times New Roman"/>
                <w:color w:val="auto"/>
                <w:kern w:val="0"/>
                <w:sz w:val="24"/>
                <w:szCs w:val="24"/>
                <w:highlight w:val="none"/>
                <w:lang w:eastAsia="zh-CN"/>
              </w:rPr>
              <w:t>月</w:t>
            </w:r>
            <w:r>
              <w:rPr>
                <w:rFonts w:hint="default" w:ascii="Times New Roman" w:hAnsi="Times New Roman" w:eastAsia="宋体" w:cs="Times New Roman"/>
                <w:color w:val="auto"/>
                <w:kern w:val="0"/>
                <w:sz w:val="24"/>
                <w:szCs w:val="24"/>
                <w:highlight w:val="none"/>
              </w:rPr>
              <w:t>排放量</w:t>
            </w:r>
          </w:p>
        </w:tc>
        <w:tc>
          <w:tcPr>
            <w:tcW w:w="1264" w:type="dxa"/>
            <w:vAlign w:val="center"/>
          </w:tcPr>
          <w:p w14:paraId="683F7421">
            <w:pPr>
              <w:keepNext w:val="0"/>
              <w:keepLines w:val="0"/>
              <w:suppressLineNumbers w:val="0"/>
              <w:autoSpaceDE w:val="0"/>
              <w:autoSpaceDN w:val="0"/>
              <w:adjustRightInd w:val="0"/>
              <w:spacing w:before="0" w:beforeAutospacing="0" w:after="0" w:afterAutospacing="0"/>
              <w:ind w:left="-105" w:leftChars="-50" w:right="-105" w:rightChars="-5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年排放总量</w:t>
            </w:r>
          </w:p>
        </w:tc>
        <w:tc>
          <w:tcPr>
            <w:tcW w:w="880" w:type="dxa"/>
            <w:vAlign w:val="center"/>
          </w:tcPr>
          <w:p w14:paraId="3FB69476">
            <w:pPr>
              <w:keepNext w:val="0"/>
              <w:keepLines w:val="0"/>
              <w:suppressLineNumbers w:val="0"/>
              <w:autoSpaceDE w:val="0"/>
              <w:autoSpaceDN w:val="0"/>
              <w:adjustRightInd w:val="0"/>
              <w:spacing w:before="0" w:beforeAutospacing="0" w:after="0" w:afterAutospacing="0"/>
              <w:ind w:left="-105" w:leftChars="-50" w:right="-105" w:rightChars="-5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排放口浓度</w:t>
            </w:r>
          </w:p>
        </w:tc>
        <w:tc>
          <w:tcPr>
            <w:tcW w:w="959" w:type="dxa"/>
            <w:vAlign w:val="center"/>
          </w:tcPr>
          <w:p w14:paraId="47280C11">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暂存情况</w:t>
            </w:r>
          </w:p>
        </w:tc>
        <w:tc>
          <w:tcPr>
            <w:tcW w:w="2088" w:type="dxa"/>
            <w:vAlign w:val="center"/>
          </w:tcPr>
          <w:p w14:paraId="5DA4FC99">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最终去向</w:t>
            </w:r>
          </w:p>
        </w:tc>
      </w:tr>
      <w:tr w14:paraId="3C2D3D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11A19F5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臭氧</w:t>
            </w:r>
          </w:p>
        </w:tc>
        <w:tc>
          <w:tcPr>
            <w:tcW w:w="782" w:type="dxa"/>
            <w:vAlign w:val="center"/>
          </w:tcPr>
          <w:p w14:paraId="56814C8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气态</w:t>
            </w:r>
          </w:p>
        </w:tc>
        <w:tc>
          <w:tcPr>
            <w:tcW w:w="862" w:type="dxa"/>
            <w:vAlign w:val="center"/>
          </w:tcPr>
          <w:p w14:paraId="50C00BC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p>
        </w:tc>
        <w:tc>
          <w:tcPr>
            <w:tcW w:w="674" w:type="dxa"/>
            <w:vAlign w:val="center"/>
          </w:tcPr>
          <w:p w14:paraId="6724B3B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p>
        </w:tc>
        <w:tc>
          <w:tcPr>
            <w:tcW w:w="1157" w:type="dxa"/>
            <w:vAlign w:val="center"/>
          </w:tcPr>
          <w:p w14:paraId="19EF2E7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少量</w:t>
            </w:r>
          </w:p>
        </w:tc>
        <w:tc>
          <w:tcPr>
            <w:tcW w:w="1264" w:type="dxa"/>
            <w:vAlign w:val="center"/>
          </w:tcPr>
          <w:p w14:paraId="1E36F61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少量</w:t>
            </w:r>
          </w:p>
        </w:tc>
        <w:tc>
          <w:tcPr>
            <w:tcW w:w="880" w:type="dxa"/>
            <w:vAlign w:val="center"/>
          </w:tcPr>
          <w:p w14:paraId="5DC645A9">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w:t>
            </w:r>
          </w:p>
        </w:tc>
        <w:tc>
          <w:tcPr>
            <w:tcW w:w="959" w:type="dxa"/>
            <w:vAlign w:val="center"/>
          </w:tcPr>
          <w:p w14:paraId="7C24CD1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p>
        </w:tc>
        <w:tc>
          <w:tcPr>
            <w:tcW w:w="2088" w:type="dxa"/>
            <w:vMerge w:val="restart"/>
            <w:vAlign w:val="center"/>
          </w:tcPr>
          <w:p w14:paraId="12EE399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通过排风系统排入外环境</w:t>
            </w:r>
          </w:p>
        </w:tc>
      </w:tr>
      <w:tr w14:paraId="5A027A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50C35CD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氮氧</w:t>
            </w:r>
          </w:p>
          <w:p w14:paraId="76DD6A5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化物</w:t>
            </w:r>
          </w:p>
        </w:tc>
        <w:tc>
          <w:tcPr>
            <w:tcW w:w="782" w:type="dxa"/>
            <w:vAlign w:val="center"/>
          </w:tcPr>
          <w:p w14:paraId="25EE5CCE">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气态</w:t>
            </w:r>
          </w:p>
        </w:tc>
        <w:tc>
          <w:tcPr>
            <w:tcW w:w="862" w:type="dxa"/>
            <w:vAlign w:val="center"/>
          </w:tcPr>
          <w:p w14:paraId="0C91622E">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p>
        </w:tc>
        <w:tc>
          <w:tcPr>
            <w:tcW w:w="674" w:type="dxa"/>
            <w:vAlign w:val="center"/>
          </w:tcPr>
          <w:p w14:paraId="58E4CDA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p>
        </w:tc>
        <w:tc>
          <w:tcPr>
            <w:tcW w:w="1157" w:type="dxa"/>
            <w:vAlign w:val="center"/>
          </w:tcPr>
          <w:p w14:paraId="4911828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少量</w:t>
            </w:r>
          </w:p>
        </w:tc>
        <w:tc>
          <w:tcPr>
            <w:tcW w:w="1264" w:type="dxa"/>
            <w:vAlign w:val="center"/>
          </w:tcPr>
          <w:p w14:paraId="3DF2461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少量</w:t>
            </w:r>
          </w:p>
        </w:tc>
        <w:tc>
          <w:tcPr>
            <w:tcW w:w="880" w:type="dxa"/>
            <w:vAlign w:val="center"/>
          </w:tcPr>
          <w:p w14:paraId="3E77251A">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w:t>
            </w:r>
          </w:p>
        </w:tc>
        <w:tc>
          <w:tcPr>
            <w:tcW w:w="959" w:type="dxa"/>
            <w:vAlign w:val="center"/>
          </w:tcPr>
          <w:p w14:paraId="448AE22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p>
        </w:tc>
        <w:tc>
          <w:tcPr>
            <w:tcW w:w="2088" w:type="dxa"/>
            <w:vMerge w:val="continue"/>
            <w:vAlign w:val="center"/>
          </w:tcPr>
          <w:p w14:paraId="4039566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p>
        </w:tc>
      </w:tr>
      <w:tr w14:paraId="75B9FF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1135A1B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医疗</w:t>
            </w:r>
          </w:p>
          <w:p w14:paraId="2F15F79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废物</w:t>
            </w:r>
          </w:p>
        </w:tc>
        <w:tc>
          <w:tcPr>
            <w:tcW w:w="782" w:type="dxa"/>
            <w:vAlign w:val="center"/>
          </w:tcPr>
          <w:p w14:paraId="6DC72A4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固态</w:t>
            </w:r>
          </w:p>
        </w:tc>
        <w:tc>
          <w:tcPr>
            <w:tcW w:w="862" w:type="dxa"/>
            <w:vAlign w:val="center"/>
          </w:tcPr>
          <w:p w14:paraId="22EACDE8">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p>
        </w:tc>
        <w:tc>
          <w:tcPr>
            <w:tcW w:w="674" w:type="dxa"/>
            <w:vAlign w:val="center"/>
          </w:tcPr>
          <w:p w14:paraId="6D4DA841">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p>
        </w:tc>
        <w:tc>
          <w:tcPr>
            <w:tcW w:w="1157" w:type="dxa"/>
            <w:vAlign w:val="center"/>
          </w:tcPr>
          <w:p w14:paraId="64CB62E7">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sz w:val="24"/>
                <w:szCs w:val="24"/>
                <w:highlight w:val="none"/>
                <w:lang w:val="en-US" w:eastAsia="zh-CN"/>
              </w:rPr>
              <w:t>0.01t</w:t>
            </w:r>
          </w:p>
        </w:tc>
        <w:tc>
          <w:tcPr>
            <w:tcW w:w="1264" w:type="dxa"/>
            <w:vAlign w:val="center"/>
          </w:tcPr>
          <w:p w14:paraId="7F89F0F9">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sz w:val="24"/>
                <w:szCs w:val="24"/>
                <w:highlight w:val="none"/>
                <w:lang w:val="en-US" w:eastAsia="zh-CN"/>
              </w:rPr>
              <w:t>0.12t</w:t>
            </w:r>
          </w:p>
        </w:tc>
        <w:tc>
          <w:tcPr>
            <w:tcW w:w="880" w:type="dxa"/>
            <w:vAlign w:val="center"/>
          </w:tcPr>
          <w:p w14:paraId="0DBEE892">
            <w:pPr>
              <w:keepNext w:val="0"/>
              <w:keepLines w:val="0"/>
              <w:suppressLineNumbers w:val="0"/>
              <w:autoSpaceDE w:val="0"/>
              <w:autoSpaceDN w:val="0"/>
              <w:adjustRightInd w:val="0"/>
              <w:spacing w:before="0" w:beforeAutospacing="0" w:after="0" w:afterAutospacing="0"/>
              <w:ind w:left="0" w:leftChars="0" w:right="0" w:rightChars="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w:t>
            </w:r>
          </w:p>
        </w:tc>
        <w:tc>
          <w:tcPr>
            <w:tcW w:w="959" w:type="dxa"/>
            <w:vAlign w:val="center"/>
          </w:tcPr>
          <w:p w14:paraId="3C1E851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p>
        </w:tc>
        <w:tc>
          <w:tcPr>
            <w:tcW w:w="2088" w:type="dxa"/>
            <w:vAlign w:val="center"/>
          </w:tcPr>
          <w:p w14:paraId="4D6BD6D9">
            <w:pPr>
              <w:keepNext w:val="0"/>
              <w:keepLines w:val="0"/>
              <w:suppressLineNumbers w:val="0"/>
              <w:spacing w:before="0" w:beforeAutospacing="0" w:after="0" w:afterAutospacing="0"/>
              <w:ind w:left="0" w:right="0"/>
              <w:jc w:val="center"/>
              <w:rPr>
                <w:rFonts w:hint="eastAsia" w:ascii="Times New Roman" w:hAnsi="Times New Roman" w:eastAsia="宋体" w:cs="Times New Roman"/>
                <w:color w:val="auto"/>
                <w:sz w:val="24"/>
                <w:szCs w:val="24"/>
                <w:highlight w:val="none"/>
                <w:lang w:eastAsia="zh-CN"/>
              </w:rPr>
            </w:pPr>
            <w:r>
              <w:rPr>
                <w:rFonts w:hint="eastAsia" w:ascii="Times New Roman" w:hAnsi="Times New Roman" w:eastAsia="宋体" w:cs="Times New Roman"/>
                <w:color w:val="auto"/>
                <w:sz w:val="24"/>
                <w:szCs w:val="24"/>
                <w:highlight w:val="none"/>
                <w:lang w:eastAsia="zh-CN"/>
              </w:rPr>
              <w:t>委托</w:t>
            </w:r>
            <w:r>
              <w:rPr>
                <w:rFonts w:hint="default" w:ascii="Times New Roman" w:hAnsi="Times New Roman" w:eastAsia="宋体" w:cs="Times New Roman"/>
                <w:color w:val="auto"/>
                <w:sz w:val="24"/>
                <w:szCs w:val="24"/>
                <w:highlight w:val="none"/>
              </w:rPr>
              <w:t>六安市洁康环保医疗废物集中处置有限责任公司</w:t>
            </w:r>
            <w:r>
              <w:rPr>
                <w:rFonts w:hint="eastAsia" w:ascii="Times New Roman" w:hAnsi="Times New Roman" w:eastAsia="宋体" w:cs="Times New Roman"/>
                <w:color w:val="auto"/>
                <w:sz w:val="24"/>
                <w:szCs w:val="24"/>
                <w:highlight w:val="none"/>
                <w:lang w:eastAsia="zh-CN"/>
              </w:rPr>
              <w:t>安全处置</w:t>
            </w:r>
          </w:p>
        </w:tc>
      </w:tr>
      <w:tr w14:paraId="5414D8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03" w:hRule="atLeast"/>
          <w:jc w:val="center"/>
        </w:trPr>
        <w:tc>
          <w:tcPr>
            <w:tcW w:w="1135" w:type="dxa"/>
            <w:vAlign w:val="center"/>
          </w:tcPr>
          <w:p w14:paraId="456D83A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生活</w:t>
            </w:r>
          </w:p>
          <w:p w14:paraId="219750A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垃圾</w:t>
            </w:r>
          </w:p>
        </w:tc>
        <w:tc>
          <w:tcPr>
            <w:tcW w:w="782" w:type="dxa"/>
            <w:vAlign w:val="center"/>
          </w:tcPr>
          <w:p w14:paraId="3EC75BE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固态</w:t>
            </w:r>
          </w:p>
        </w:tc>
        <w:tc>
          <w:tcPr>
            <w:tcW w:w="862" w:type="dxa"/>
            <w:vAlign w:val="center"/>
          </w:tcPr>
          <w:p w14:paraId="591D8470">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w:t>
            </w:r>
          </w:p>
        </w:tc>
        <w:tc>
          <w:tcPr>
            <w:tcW w:w="674" w:type="dxa"/>
            <w:vAlign w:val="center"/>
          </w:tcPr>
          <w:p w14:paraId="2DF498E4">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w:t>
            </w:r>
          </w:p>
        </w:tc>
        <w:tc>
          <w:tcPr>
            <w:tcW w:w="1157" w:type="dxa"/>
            <w:vAlign w:val="center"/>
          </w:tcPr>
          <w:p w14:paraId="33D06A8A">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少量</w:t>
            </w:r>
          </w:p>
        </w:tc>
        <w:tc>
          <w:tcPr>
            <w:tcW w:w="1264" w:type="dxa"/>
            <w:vAlign w:val="center"/>
          </w:tcPr>
          <w:p w14:paraId="574219E1">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少量</w:t>
            </w:r>
          </w:p>
        </w:tc>
        <w:tc>
          <w:tcPr>
            <w:tcW w:w="880" w:type="dxa"/>
            <w:vAlign w:val="center"/>
          </w:tcPr>
          <w:p w14:paraId="2A9D63F1">
            <w:pPr>
              <w:keepNext w:val="0"/>
              <w:keepLines w:val="0"/>
              <w:suppressLineNumbers w:val="0"/>
              <w:autoSpaceDE w:val="0"/>
              <w:autoSpaceDN w:val="0"/>
              <w:adjustRightInd w:val="0"/>
              <w:spacing w:before="0" w:beforeAutospacing="0" w:after="0" w:afterAutospacing="0"/>
              <w:ind w:left="0" w:leftChars="0" w:right="0" w:rightChars="0"/>
              <w:jc w:val="center"/>
              <w:rPr>
                <w:rFonts w:hint="default" w:ascii="Times New Roman" w:hAnsi="Times New Roman" w:eastAsia="宋体" w:cs="Times New Roman"/>
                <w:color w:val="auto"/>
                <w:kern w:val="0"/>
                <w:sz w:val="24"/>
                <w:szCs w:val="24"/>
                <w:highlight w:val="none"/>
                <w:lang w:val="en-US" w:eastAsia="zh-CN"/>
              </w:rPr>
            </w:pPr>
            <w:r>
              <w:rPr>
                <w:rFonts w:hint="default" w:ascii="Times New Roman" w:hAnsi="Times New Roman" w:eastAsia="宋体" w:cs="Times New Roman"/>
                <w:color w:val="auto"/>
                <w:kern w:val="0"/>
                <w:sz w:val="24"/>
                <w:szCs w:val="24"/>
                <w:highlight w:val="none"/>
              </w:rPr>
              <w:t>--</w:t>
            </w:r>
          </w:p>
        </w:tc>
        <w:tc>
          <w:tcPr>
            <w:tcW w:w="959" w:type="dxa"/>
            <w:vAlign w:val="center"/>
          </w:tcPr>
          <w:p w14:paraId="35BB1173">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p>
        </w:tc>
        <w:tc>
          <w:tcPr>
            <w:tcW w:w="2088" w:type="dxa"/>
            <w:vAlign w:val="center"/>
          </w:tcPr>
          <w:p w14:paraId="122E68E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市政环卫部门</w:t>
            </w:r>
          </w:p>
        </w:tc>
      </w:tr>
      <w:tr w14:paraId="357EF59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19" w:hRule="atLeast"/>
          <w:jc w:val="center"/>
        </w:trPr>
        <w:tc>
          <w:tcPr>
            <w:tcW w:w="1135" w:type="dxa"/>
            <w:vAlign w:val="center"/>
          </w:tcPr>
          <w:p w14:paraId="3D0D847E">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废水</w:t>
            </w:r>
          </w:p>
        </w:tc>
        <w:tc>
          <w:tcPr>
            <w:tcW w:w="782" w:type="dxa"/>
            <w:vAlign w:val="center"/>
          </w:tcPr>
          <w:p w14:paraId="1A3C906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液态</w:t>
            </w:r>
          </w:p>
        </w:tc>
        <w:tc>
          <w:tcPr>
            <w:tcW w:w="862" w:type="dxa"/>
            <w:vAlign w:val="center"/>
          </w:tcPr>
          <w:p w14:paraId="293FF79E">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w:t>
            </w:r>
          </w:p>
        </w:tc>
        <w:tc>
          <w:tcPr>
            <w:tcW w:w="674" w:type="dxa"/>
            <w:vAlign w:val="center"/>
          </w:tcPr>
          <w:p w14:paraId="3BC62C66">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w:t>
            </w:r>
          </w:p>
        </w:tc>
        <w:tc>
          <w:tcPr>
            <w:tcW w:w="1157" w:type="dxa"/>
            <w:vAlign w:val="center"/>
          </w:tcPr>
          <w:p w14:paraId="7E0FADCB">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少量</w:t>
            </w:r>
          </w:p>
        </w:tc>
        <w:tc>
          <w:tcPr>
            <w:tcW w:w="1264" w:type="dxa"/>
            <w:vAlign w:val="center"/>
          </w:tcPr>
          <w:p w14:paraId="4DBF407C">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少量</w:t>
            </w:r>
          </w:p>
        </w:tc>
        <w:tc>
          <w:tcPr>
            <w:tcW w:w="880" w:type="dxa"/>
            <w:vAlign w:val="center"/>
          </w:tcPr>
          <w:p w14:paraId="15C2DDDF">
            <w:pPr>
              <w:keepNext w:val="0"/>
              <w:keepLines w:val="0"/>
              <w:suppressLineNumbers w:val="0"/>
              <w:autoSpaceDE w:val="0"/>
              <w:autoSpaceDN w:val="0"/>
              <w:adjustRightInd w:val="0"/>
              <w:spacing w:before="0" w:beforeAutospacing="0" w:after="0" w:afterAutospacing="0"/>
              <w:ind w:left="0" w:leftChars="0" w:right="0" w:rightChars="0"/>
              <w:jc w:val="center"/>
              <w:rPr>
                <w:rFonts w:hint="default" w:ascii="Times New Roman" w:hAnsi="Times New Roman" w:eastAsia="宋体" w:cs="Times New Roman"/>
                <w:color w:val="auto"/>
                <w:kern w:val="0"/>
                <w:sz w:val="24"/>
                <w:szCs w:val="24"/>
                <w:highlight w:val="none"/>
                <w:lang w:val="en-US" w:eastAsia="zh-CN"/>
              </w:rPr>
            </w:pPr>
            <w:r>
              <w:rPr>
                <w:rFonts w:hint="default" w:ascii="Times New Roman" w:hAnsi="Times New Roman" w:eastAsia="宋体" w:cs="Times New Roman"/>
                <w:color w:val="auto"/>
                <w:kern w:val="0"/>
                <w:sz w:val="24"/>
                <w:szCs w:val="24"/>
                <w:highlight w:val="none"/>
              </w:rPr>
              <w:t>--</w:t>
            </w:r>
          </w:p>
        </w:tc>
        <w:tc>
          <w:tcPr>
            <w:tcW w:w="959" w:type="dxa"/>
            <w:vAlign w:val="center"/>
          </w:tcPr>
          <w:p w14:paraId="512D69D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rPr>
            </w:pPr>
          </w:p>
        </w:tc>
        <w:tc>
          <w:tcPr>
            <w:tcW w:w="2088" w:type="dxa"/>
            <w:vAlign w:val="center"/>
          </w:tcPr>
          <w:p w14:paraId="1A0E5B0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市政管网</w:t>
            </w:r>
          </w:p>
        </w:tc>
      </w:tr>
      <w:tr w14:paraId="6B383ED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9801" w:type="dxa"/>
            <w:gridSpan w:val="9"/>
            <w:vAlign w:val="center"/>
          </w:tcPr>
          <w:p w14:paraId="7B82F314">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以下空白</w:t>
            </w:r>
          </w:p>
        </w:tc>
      </w:tr>
      <w:tr w14:paraId="041141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730C3AD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6DDAEEE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319CB16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2E6B556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7705ECD3">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624DCCC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5A8F1AEF">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2D6A259C">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70CC28C8">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64248B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9" w:hRule="atLeast"/>
          <w:jc w:val="center"/>
        </w:trPr>
        <w:tc>
          <w:tcPr>
            <w:tcW w:w="1135" w:type="dxa"/>
            <w:vAlign w:val="center"/>
          </w:tcPr>
          <w:p w14:paraId="04A7839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23715C1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2EBB9D3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3F2C510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27D3135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67E31AE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71956A0C">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09BBD46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045863F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34BC17A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40A3EB5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5EAF163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79520A6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37C3CF0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2F2F8328">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5AF7E7D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3A215DDB">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02F2E96E">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35A9386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1BD7C6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7B6BC4C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2166FF0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78A9C9B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5A33F49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12CA339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3F5146B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438EA056">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377D250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211D725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2BE2B46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2B81AE5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40203053">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2C3A2BD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657E4E6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167E902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5AC29A9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6344338A">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349349F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7826E85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0A7C7E4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0B4F728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0378AB3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1B4E70C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228EF3C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4B2B4A8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1B9409BC">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07C31EE1">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1C17021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675ED6F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30B1B9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5E5E1EB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0C4BCCB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14398CB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1E774EA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2F452328">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3B77139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4FCE6869">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42B7ADC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4A1FB7E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2EB948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5CA82B1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28CDEB5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156E40D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0C7DA3A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5D3DE86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56A0B08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25C7C389">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67E94CA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1B8AB25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056A43D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135" w:type="dxa"/>
            <w:vAlign w:val="center"/>
          </w:tcPr>
          <w:p w14:paraId="5D0BD59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72AEEA3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368871F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435293B3">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429B408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2AA81A0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478C2E84">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209CF22C">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00243C8E">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2DF8BB6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2A5E0B4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5D13B2B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3DF8265E">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354F5CC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52B2B46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0900541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3F5E3517">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7721AA83">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3586DBB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7C4EEE0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1DE99E22">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2FFB11E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39F5D1D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3A5CE84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02DA9DA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40177E2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1589887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0986FC4C">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7A480C3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28E4E71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46032B8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55EFA96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3E23C118">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34A046F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07EB718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449025B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17BFC480">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4FD71CE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2E1E730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2050DB4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6F2563CB">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5A054D9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0652B711">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6E986BE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62850250">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0CB5A80A">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5D0C469B">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31FE9EC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457CAF34">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r w14:paraId="248CB1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35" w:type="dxa"/>
            <w:vAlign w:val="center"/>
          </w:tcPr>
          <w:p w14:paraId="169AB4DD">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782" w:type="dxa"/>
            <w:vAlign w:val="center"/>
          </w:tcPr>
          <w:p w14:paraId="3986A9A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62" w:type="dxa"/>
            <w:vAlign w:val="center"/>
          </w:tcPr>
          <w:p w14:paraId="5E4F6F45">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674" w:type="dxa"/>
            <w:vAlign w:val="center"/>
          </w:tcPr>
          <w:p w14:paraId="57A842AC">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157" w:type="dxa"/>
            <w:vAlign w:val="center"/>
          </w:tcPr>
          <w:p w14:paraId="008F3306">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1264" w:type="dxa"/>
            <w:vAlign w:val="center"/>
          </w:tcPr>
          <w:p w14:paraId="603C8517">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880" w:type="dxa"/>
            <w:vAlign w:val="center"/>
          </w:tcPr>
          <w:p w14:paraId="7319DBF1">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color w:val="auto"/>
                <w:kern w:val="0"/>
                <w:sz w:val="24"/>
                <w:szCs w:val="24"/>
              </w:rPr>
            </w:pPr>
          </w:p>
        </w:tc>
        <w:tc>
          <w:tcPr>
            <w:tcW w:w="959" w:type="dxa"/>
            <w:vAlign w:val="center"/>
          </w:tcPr>
          <w:p w14:paraId="48ABCE49">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c>
          <w:tcPr>
            <w:tcW w:w="2088" w:type="dxa"/>
            <w:vAlign w:val="center"/>
          </w:tcPr>
          <w:p w14:paraId="0A7FA32F">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color w:val="auto"/>
                <w:sz w:val="24"/>
                <w:szCs w:val="24"/>
              </w:rPr>
            </w:pPr>
          </w:p>
        </w:tc>
      </w:tr>
    </w:tbl>
    <w:p w14:paraId="553E3AEE">
      <w:pPr>
        <w:pStyle w:val="23"/>
        <w:spacing w:line="240" w:lineRule="auto"/>
        <w:ind w:firstLine="360" w:firstLineChars="200"/>
        <w:rPr>
          <w:rFonts w:cs="Times New Roman"/>
          <w:color w:val="auto"/>
          <w:sz w:val="18"/>
          <w:szCs w:val="18"/>
        </w:rPr>
      </w:pPr>
      <w:r>
        <w:rPr>
          <w:rFonts w:cs="Times New Roman"/>
          <w:color w:val="auto"/>
          <w:sz w:val="18"/>
          <w:szCs w:val="18"/>
        </w:rPr>
        <w:t>注：1.常规废弃物排放浓度，对于液态单位为mg/L，固体为mg/kg，气态为mg/m</w:t>
      </w:r>
      <w:r>
        <w:rPr>
          <w:rFonts w:cs="Times New Roman"/>
          <w:color w:val="auto"/>
          <w:sz w:val="18"/>
          <w:szCs w:val="18"/>
          <w:vertAlign w:val="superscript"/>
        </w:rPr>
        <w:t>3</w:t>
      </w:r>
      <w:r>
        <w:rPr>
          <w:rFonts w:cs="Times New Roman"/>
          <w:color w:val="auto"/>
          <w:sz w:val="18"/>
          <w:szCs w:val="18"/>
        </w:rPr>
        <w:t>；年排放总量用kg。</w:t>
      </w:r>
    </w:p>
    <w:p w14:paraId="160B2C63">
      <w:pPr>
        <w:pStyle w:val="23"/>
        <w:spacing w:line="240" w:lineRule="auto"/>
        <w:ind w:firstLine="360" w:firstLineChars="200"/>
        <w:rPr>
          <w:rFonts w:cs="Times New Roman"/>
          <w:color w:val="auto"/>
          <w:sz w:val="18"/>
          <w:szCs w:val="18"/>
        </w:rPr>
      </w:pPr>
      <w:r>
        <w:rPr>
          <w:rFonts w:cs="Times New Roman"/>
          <w:color w:val="auto"/>
          <w:sz w:val="18"/>
          <w:szCs w:val="18"/>
        </w:rPr>
        <w:t>2．含有放射性的废物要注明，其排放浓度、年排放总量分别用比活度（Bq/L或Bq/kg或Bq/m</w:t>
      </w:r>
      <w:r>
        <w:rPr>
          <w:rFonts w:cs="Times New Roman"/>
          <w:color w:val="auto"/>
          <w:sz w:val="18"/>
          <w:szCs w:val="18"/>
          <w:vertAlign w:val="superscript"/>
        </w:rPr>
        <w:t>3</w:t>
      </w:r>
      <w:r>
        <w:rPr>
          <w:rFonts w:cs="Times New Roman"/>
          <w:color w:val="auto"/>
          <w:sz w:val="18"/>
          <w:szCs w:val="18"/>
        </w:rPr>
        <w:t>）和活度（Bq）。</w:t>
      </w:r>
    </w:p>
    <w:p w14:paraId="0F9DB15F">
      <w:pPr>
        <w:spacing w:line="360" w:lineRule="auto"/>
        <w:rPr>
          <w:color w:val="auto"/>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AndChars" w:linePitch="312" w:charSpace="0"/>
        </w:sectPr>
      </w:pPr>
    </w:p>
    <w:p w14:paraId="30BC249A">
      <w:pPr>
        <w:pStyle w:val="3"/>
        <w:bidi w:val="0"/>
        <w:rPr>
          <w:color w:val="auto"/>
        </w:rPr>
      </w:pPr>
      <w:bookmarkStart w:id="30" w:name="_Toc67739912"/>
      <w:bookmarkStart w:id="31" w:name="_Toc1603"/>
      <w:bookmarkStart w:id="32" w:name="_Toc18627"/>
      <w:r>
        <w:rPr>
          <w:color w:val="auto"/>
        </w:rPr>
        <w:t xml:space="preserve">表6 </w:t>
      </w:r>
      <w:r>
        <w:rPr>
          <w:rFonts w:hint="eastAsia"/>
          <w:color w:val="auto"/>
        </w:rPr>
        <w:t>评价依据</w:t>
      </w:r>
      <w:bookmarkEnd w:id="30"/>
      <w:bookmarkEnd w:id="31"/>
      <w:bookmarkEnd w:id="32"/>
    </w:p>
    <w:tbl>
      <w:tblPr>
        <w:tblStyle w:val="18"/>
        <w:tblW w:w="981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59"/>
        <w:gridCol w:w="9060"/>
      </w:tblGrid>
      <w:tr w14:paraId="3F90A08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759" w:type="dxa"/>
            <w:vAlign w:val="center"/>
          </w:tcPr>
          <w:p w14:paraId="6145B3D1">
            <w:pPr>
              <w:pStyle w:val="23"/>
              <w:keepNext w:val="0"/>
              <w:keepLines w:val="0"/>
              <w:suppressLineNumbers w:val="0"/>
              <w:spacing w:before="0" w:beforeAutospacing="0" w:after="0" w:afterAutospacing="0"/>
              <w:ind w:left="0" w:right="0" w:firstLine="0" w:firstLineChars="0"/>
              <w:jc w:val="center"/>
              <w:rPr>
                <w:rFonts w:hint="default" w:ascii="Times New Roman" w:hAnsi="Times New Roman" w:eastAsia="宋体" w:cs="Times New Roman"/>
                <w:color w:val="auto"/>
              </w:rPr>
            </w:pPr>
            <w:r>
              <w:rPr>
                <w:rFonts w:hint="default" w:ascii="Times New Roman" w:hAnsi="Times New Roman" w:eastAsia="宋体" w:cs="Times New Roman"/>
                <w:color w:val="auto"/>
              </w:rPr>
              <w:t>法规文件</w:t>
            </w:r>
          </w:p>
        </w:tc>
        <w:tc>
          <w:tcPr>
            <w:tcW w:w="9060" w:type="dxa"/>
          </w:tcPr>
          <w:p w14:paraId="445178F0">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（1）《中华人民共和国环境保护法》，中华人民共和国主席令第9号，2015年1月1日起实施；</w:t>
            </w:r>
          </w:p>
          <w:p w14:paraId="0EB22B33">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（2）</w:t>
            </w:r>
            <w:r>
              <w:rPr>
                <w:rFonts w:hint="default" w:ascii="Times New Roman" w:hAnsi="Times New Roman" w:eastAsia="宋体" w:cs="Times New Roman"/>
                <w:color w:val="auto"/>
                <w:kern w:val="0"/>
                <w:sz w:val="24"/>
                <w:szCs w:val="24"/>
                <w:lang w:val="zh-CN"/>
              </w:rPr>
              <w:t>《中华人民共和国环境影响评价法》，</w:t>
            </w:r>
            <w:r>
              <w:rPr>
                <w:rFonts w:hint="default" w:ascii="Times New Roman" w:hAnsi="Times New Roman" w:eastAsia="宋体" w:cs="Times New Roman"/>
                <w:color w:val="auto"/>
                <w:kern w:val="0"/>
                <w:sz w:val="24"/>
                <w:szCs w:val="24"/>
              </w:rPr>
              <w:t>2018年12月29日修订</w:t>
            </w:r>
            <w:r>
              <w:rPr>
                <w:rFonts w:hint="default" w:ascii="Times New Roman" w:hAnsi="Times New Roman" w:eastAsia="宋体" w:cs="Times New Roman"/>
                <w:color w:val="auto"/>
                <w:kern w:val="0"/>
                <w:sz w:val="24"/>
                <w:szCs w:val="24"/>
                <w:lang w:val="zh-CN"/>
              </w:rPr>
              <w:t>版，第十</w:t>
            </w:r>
            <w:r>
              <w:rPr>
                <w:rFonts w:hint="default" w:ascii="Times New Roman" w:hAnsi="Times New Roman" w:eastAsia="宋体" w:cs="Times New Roman"/>
                <w:color w:val="auto"/>
                <w:kern w:val="0"/>
                <w:sz w:val="24"/>
                <w:szCs w:val="24"/>
              </w:rPr>
              <w:t>三</w:t>
            </w:r>
            <w:r>
              <w:rPr>
                <w:rFonts w:hint="default" w:ascii="Times New Roman" w:hAnsi="Times New Roman" w:eastAsia="宋体" w:cs="Times New Roman"/>
                <w:color w:val="auto"/>
                <w:kern w:val="0"/>
                <w:sz w:val="24"/>
                <w:szCs w:val="24"/>
                <w:lang w:val="zh-CN"/>
              </w:rPr>
              <w:t>届全国人大常委会第二十一次会议通过，</w:t>
            </w:r>
            <w:r>
              <w:rPr>
                <w:rFonts w:hint="default" w:ascii="Times New Roman" w:hAnsi="Times New Roman" w:eastAsia="宋体" w:cs="Times New Roman"/>
                <w:color w:val="auto"/>
                <w:kern w:val="0"/>
                <w:sz w:val="24"/>
                <w:szCs w:val="24"/>
              </w:rPr>
              <w:t>2018年12月29日起实施；</w:t>
            </w:r>
          </w:p>
          <w:p w14:paraId="42943EF0">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（3）《中华人民共和国放射性污染防治法》，中华人民共和国主席令第6号，2003年10月1日实施；</w:t>
            </w:r>
          </w:p>
          <w:p w14:paraId="12C4C8BD">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4</w:t>
            </w:r>
            <w:r>
              <w:rPr>
                <w:rFonts w:hint="default" w:ascii="Times New Roman" w:hAnsi="Times New Roman" w:eastAsia="宋体" w:cs="Times New Roman"/>
                <w:color w:val="auto"/>
                <w:kern w:val="0"/>
                <w:sz w:val="24"/>
                <w:szCs w:val="24"/>
              </w:rPr>
              <w:t>）《中华人民共和国固体废物污染环境防治法》（2020年04月29日修订版，国家主席令第43号，2020年9月01日实施）；</w:t>
            </w:r>
          </w:p>
          <w:p w14:paraId="6B9E747D">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5</w:t>
            </w:r>
            <w:r>
              <w:rPr>
                <w:rFonts w:hint="default" w:ascii="Times New Roman" w:hAnsi="Times New Roman" w:eastAsia="宋体" w:cs="Times New Roman"/>
                <w:color w:val="auto"/>
                <w:kern w:val="0"/>
                <w:sz w:val="24"/>
                <w:szCs w:val="24"/>
              </w:rPr>
              <w:t>）《建设项目环境保护管理条例》，国务院第682号令，2017年10月1日实施；</w:t>
            </w:r>
          </w:p>
          <w:p w14:paraId="296316D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color w:val="auto"/>
                <w:kern w:val="0"/>
                <w:sz w:val="24"/>
                <w:szCs w:val="24"/>
              </w:rPr>
            </w:pP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6</w:t>
            </w:r>
            <w:r>
              <w:rPr>
                <w:rFonts w:hint="default" w:ascii="Times New Roman" w:hAnsi="Times New Roman" w:eastAsia="宋体" w:cs="Times New Roman"/>
                <w:color w:val="auto"/>
                <w:kern w:val="0"/>
                <w:sz w:val="24"/>
                <w:szCs w:val="24"/>
              </w:rPr>
              <w:t>）《放射性同位素与射线装置安全和防护条例》，中华人民共和国国务院第709号令，2019年3月2日实施；</w:t>
            </w:r>
          </w:p>
          <w:p w14:paraId="63843158">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7</w:t>
            </w:r>
            <w:r>
              <w:rPr>
                <w:rFonts w:hint="default" w:ascii="Times New Roman" w:hAnsi="Times New Roman" w:eastAsia="宋体" w:cs="Times New Roman"/>
                <w:color w:val="auto"/>
                <w:kern w:val="0"/>
                <w:sz w:val="24"/>
                <w:szCs w:val="24"/>
              </w:rPr>
              <w:t>）《建设项目环境影响评价分类管理名录(2021版)》，2021年1月1日起实施；</w:t>
            </w:r>
          </w:p>
          <w:p w14:paraId="67A8668A">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8</w:t>
            </w:r>
            <w:r>
              <w:rPr>
                <w:rFonts w:hint="default" w:ascii="Times New Roman" w:hAnsi="Times New Roman" w:eastAsia="宋体" w:cs="Times New Roman"/>
                <w:color w:val="auto"/>
                <w:kern w:val="0"/>
                <w:sz w:val="24"/>
                <w:szCs w:val="24"/>
              </w:rPr>
              <w:t>）《放射性同位素与射线装置安全许可管理办法》，</w:t>
            </w:r>
            <w:r>
              <w:rPr>
                <w:rFonts w:hint="default" w:ascii="Times New Roman" w:hAnsi="Times New Roman" w:eastAsia="宋体" w:cs="Times New Roman"/>
                <w:snapToGrid w:val="0"/>
                <w:color w:val="auto"/>
                <w:kern w:val="0"/>
                <w:sz w:val="24"/>
                <w:szCs w:val="21"/>
              </w:rPr>
              <w:t>（2021年1月4日修订）</w:t>
            </w:r>
            <w:r>
              <w:rPr>
                <w:rFonts w:hint="default" w:ascii="Times New Roman" w:hAnsi="Times New Roman" w:eastAsia="宋体" w:cs="Times New Roman"/>
                <w:color w:val="auto"/>
                <w:kern w:val="0"/>
                <w:sz w:val="24"/>
                <w:szCs w:val="24"/>
              </w:rPr>
              <w:t>；</w:t>
            </w:r>
          </w:p>
          <w:p w14:paraId="66B34ADB">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9</w:t>
            </w:r>
            <w:r>
              <w:rPr>
                <w:rFonts w:hint="default" w:ascii="Times New Roman" w:hAnsi="Times New Roman" w:eastAsia="宋体" w:cs="Times New Roman"/>
                <w:color w:val="auto"/>
                <w:kern w:val="0"/>
                <w:sz w:val="24"/>
                <w:szCs w:val="24"/>
              </w:rPr>
              <w:t>）《关于发布射线装置分类的公告》，中华人民共和国原环境保护部2017年第66号公告，2017年12月5日发布；</w:t>
            </w:r>
          </w:p>
          <w:p w14:paraId="5E39D169">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（1</w:t>
            </w:r>
            <w:r>
              <w:rPr>
                <w:rFonts w:hint="eastAsia" w:ascii="Times New Roman" w:hAnsi="Times New Roman" w:eastAsia="宋体" w:cs="Times New Roman"/>
                <w:color w:val="auto"/>
                <w:kern w:val="0"/>
                <w:sz w:val="24"/>
                <w:szCs w:val="24"/>
                <w:lang w:val="en-US" w:eastAsia="zh-CN"/>
              </w:rPr>
              <w:t>0</w:t>
            </w:r>
            <w:r>
              <w:rPr>
                <w:rFonts w:hint="default" w:ascii="Times New Roman" w:hAnsi="Times New Roman" w:eastAsia="宋体" w:cs="Times New Roman"/>
                <w:color w:val="auto"/>
                <w:kern w:val="0"/>
                <w:sz w:val="24"/>
                <w:szCs w:val="24"/>
              </w:rPr>
              <w:t>）《放射性同位素与射线装置安全和防护管理办法》，中华人民共和国原环境保护部令 第18号，2011年5月1日施行；</w:t>
            </w:r>
          </w:p>
          <w:p w14:paraId="65331427">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（1</w:t>
            </w:r>
            <w:r>
              <w:rPr>
                <w:rFonts w:hint="eastAsia" w:ascii="Times New Roman" w:hAnsi="Times New Roman" w:eastAsia="宋体" w:cs="Times New Roman"/>
                <w:color w:val="auto"/>
                <w:kern w:val="0"/>
                <w:sz w:val="24"/>
                <w:szCs w:val="24"/>
                <w:lang w:val="en-US" w:eastAsia="zh-CN"/>
              </w:rPr>
              <w:t>1</w:t>
            </w:r>
            <w:r>
              <w:rPr>
                <w:rFonts w:hint="default" w:ascii="Times New Roman" w:hAnsi="Times New Roman" w:eastAsia="宋体" w:cs="Times New Roman"/>
                <w:color w:val="auto"/>
                <w:kern w:val="0"/>
                <w:sz w:val="24"/>
                <w:szCs w:val="24"/>
              </w:rPr>
              <w:t>）《关于建立放射性同位素与射线装置事故分级处理报告制度的通知》，原国家环保总局，环发</w:t>
            </w:r>
            <w:r>
              <w:rPr>
                <w:rFonts w:hint="eastAsia" w:ascii="Times New Roman" w:hAnsi="Times New Roman" w:eastAsia="宋体" w:cs="Times New Roman"/>
                <w:color w:val="auto"/>
                <w:kern w:val="0"/>
                <w:sz w:val="24"/>
                <w:szCs w:val="24"/>
                <w:lang w:eastAsia="zh-CN"/>
              </w:rPr>
              <w:t>〔</w:t>
            </w:r>
            <w:r>
              <w:rPr>
                <w:rFonts w:hint="default" w:ascii="Times New Roman" w:hAnsi="Times New Roman" w:eastAsia="宋体" w:cs="Times New Roman"/>
                <w:color w:val="auto"/>
                <w:kern w:val="0"/>
                <w:sz w:val="24"/>
                <w:szCs w:val="24"/>
              </w:rPr>
              <w:t>2006</w:t>
            </w:r>
            <w:r>
              <w:rPr>
                <w:rFonts w:hint="eastAsia" w:ascii="Times New Roman" w:hAnsi="Times New Roman" w:eastAsia="宋体" w:cs="Times New Roman"/>
                <w:color w:val="auto"/>
                <w:kern w:val="0"/>
                <w:sz w:val="24"/>
                <w:szCs w:val="24"/>
                <w:lang w:eastAsia="zh-CN"/>
              </w:rPr>
              <w:t>〕</w:t>
            </w:r>
            <w:r>
              <w:rPr>
                <w:rFonts w:hint="default" w:ascii="Times New Roman" w:hAnsi="Times New Roman" w:eastAsia="宋体" w:cs="Times New Roman"/>
                <w:color w:val="auto"/>
                <w:kern w:val="0"/>
                <w:sz w:val="24"/>
                <w:szCs w:val="24"/>
              </w:rPr>
              <w:t>145号；</w:t>
            </w:r>
          </w:p>
          <w:p w14:paraId="5970E361">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（1</w:t>
            </w:r>
            <w:r>
              <w:rPr>
                <w:rFonts w:hint="eastAsia" w:ascii="Times New Roman" w:hAnsi="Times New Roman" w:eastAsia="宋体" w:cs="Times New Roman"/>
                <w:color w:val="auto"/>
                <w:kern w:val="0"/>
                <w:sz w:val="24"/>
                <w:szCs w:val="24"/>
                <w:lang w:val="en-US" w:eastAsia="zh-CN"/>
              </w:rPr>
              <w:t>2</w:t>
            </w:r>
            <w:r>
              <w:rPr>
                <w:rFonts w:hint="default" w:ascii="Times New Roman" w:hAnsi="Times New Roman" w:eastAsia="宋体" w:cs="Times New Roman"/>
                <w:color w:val="auto"/>
                <w:kern w:val="0"/>
                <w:sz w:val="24"/>
                <w:szCs w:val="24"/>
              </w:rPr>
              <w:t>）《放射工作人员职业健康管理办法》，中华人民共和国卫生部令第55号，2007年3月23日经卫生部部务会议讨论通过，2007年11月1日起施行；</w:t>
            </w:r>
          </w:p>
          <w:p w14:paraId="77DB2BDD">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4"/>
                <w:szCs w:val="24"/>
                <w:highlight w:val="yellow"/>
              </w:rPr>
            </w:pPr>
            <w:r>
              <w:rPr>
                <w:rFonts w:hint="default" w:ascii="Times New Roman" w:hAnsi="Times New Roman" w:eastAsia="宋体" w:cs="Times New Roman"/>
                <w:color w:val="auto"/>
                <w:kern w:val="0"/>
                <w:sz w:val="24"/>
                <w:szCs w:val="24"/>
              </w:rPr>
              <w:t>（1</w:t>
            </w:r>
            <w:r>
              <w:rPr>
                <w:rFonts w:hint="eastAsia" w:ascii="Times New Roman" w:hAnsi="Times New Roman" w:eastAsia="宋体" w:cs="Times New Roman"/>
                <w:color w:val="auto"/>
                <w:kern w:val="0"/>
                <w:sz w:val="24"/>
                <w:szCs w:val="24"/>
                <w:lang w:val="en-US" w:eastAsia="zh-CN"/>
              </w:rPr>
              <w:t>3</w:t>
            </w: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sz w:val="24"/>
                <w:szCs w:val="24"/>
              </w:rPr>
              <w:t>《安徽省放射性同位素与射线装置安全和防护管理办法》，2</w:t>
            </w:r>
            <w:r>
              <w:rPr>
                <w:rFonts w:hint="default" w:ascii="Times New Roman" w:hAnsi="Times New Roman" w:eastAsia="宋体" w:cs="Times New Roman"/>
                <w:color w:val="auto"/>
                <w:sz w:val="24"/>
                <w:szCs w:val="24"/>
              </w:rPr>
              <w:t>008</w:t>
            </w:r>
            <w:r>
              <w:rPr>
                <w:rFonts w:hint="eastAsia" w:ascii="Times New Roman" w:hAnsi="Times New Roman" w:eastAsia="宋体" w:cs="Times New Roman"/>
                <w:color w:val="auto"/>
                <w:sz w:val="24"/>
                <w:szCs w:val="24"/>
              </w:rPr>
              <w:t>年9月1</w:t>
            </w:r>
            <w:r>
              <w:rPr>
                <w:rFonts w:hint="default" w:ascii="Times New Roman" w:hAnsi="Times New Roman" w:eastAsia="宋体" w:cs="Times New Roman"/>
                <w:color w:val="auto"/>
                <w:sz w:val="24"/>
                <w:szCs w:val="24"/>
              </w:rPr>
              <w:t>8</w:t>
            </w:r>
            <w:r>
              <w:rPr>
                <w:rFonts w:hint="eastAsia" w:ascii="Times New Roman" w:hAnsi="Times New Roman" w:eastAsia="宋体" w:cs="Times New Roman"/>
                <w:color w:val="auto"/>
                <w:sz w:val="24"/>
                <w:szCs w:val="24"/>
              </w:rPr>
              <w:t>日发布实施，环辐射函</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2008</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976</w:t>
            </w:r>
            <w:r>
              <w:rPr>
                <w:rFonts w:hint="eastAsia" w:ascii="Times New Roman" w:hAnsi="Times New Roman" w:eastAsia="宋体" w:cs="Times New Roman"/>
                <w:color w:val="auto"/>
                <w:sz w:val="24"/>
                <w:szCs w:val="24"/>
              </w:rPr>
              <w:t>号</w:t>
            </w:r>
            <w:r>
              <w:rPr>
                <w:rFonts w:hint="default" w:ascii="Times New Roman" w:hAnsi="Times New Roman" w:eastAsia="宋体" w:cs="Times New Roman"/>
                <w:color w:val="auto"/>
                <w:kern w:val="0"/>
                <w:sz w:val="24"/>
                <w:szCs w:val="24"/>
                <w:highlight w:val="none"/>
              </w:rPr>
              <w:t>；</w:t>
            </w:r>
          </w:p>
          <w:p w14:paraId="73A44328">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kern w:val="0"/>
                <w:sz w:val="20"/>
                <w:szCs w:val="20"/>
              </w:rPr>
            </w:pPr>
            <w:r>
              <w:rPr>
                <w:rFonts w:hint="default" w:ascii="Times New Roman" w:hAnsi="Times New Roman" w:eastAsia="宋体" w:cs="Times New Roman"/>
                <w:color w:val="auto"/>
                <w:kern w:val="0"/>
                <w:sz w:val="24"/>
                <w:szCs w:val="24"/>
              </w:rPr>
              <w:t>（1</w:t>
            </w:r>
            <w:r>
              <w:rPr>
                <w:rFonts w:hint="eastAsia" w:ascii="Times New Roman" w:hAnsi="Times New Roman" w:eastAsia="宋体" w:cs="Times New Roman"/>
                <w:color w:val="auto"/>
                <w:kern w:val="0"/>
                <w:sz w:val="24"/>
                <w:szCs w:val="24"/>
                <w:lang w:val="en-US" w:eastAsia="zh-CN"/>
              </w:rPr>
              <w:t>4</w:t>
            </w:r>
            <w:r>
              <w:rPr>
                <w:rFonts w:hint="default" w:ascii="Times New Roman" w:hAnsi="Times New Roman" w:eastAsia="宋体" w:cs="Times New Roman"/>
                <w:color w:val="auto"/>
                <w:kern w:val="0"/>
                <w:sz w:val="24"/>
                <w:szCs w:val="24"/>
              </w:rPr>
              <w:t>）《安徽省环境保护条例》，2017年11月17日安徽省第十二届人民代表大会常务委员会第四十一次会议修订，2018年1月1日起施行。</w:t>
            </w:r>
          </w:p>
        </w:tc>
      </w:tr>
      <w:tr w14:paraId="586E233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759" w:type="dxa"/>
            <w:vAlign w:val="center"/>
          </w:tcPr>
          <w:p w14:paraId="5D41C1A7">
            <w:pPr>
              <w:pStyle w:val="23"/>
              <w:keepNext w:val="0"/>
              <w:keepLines w:val="0"/>
              <w:suppressLineNumbers w:val="0"/>
              <w:spacing w:before="0" w:beforeAutospacing="0" w:after="0" w:afterAutospacing="0"/>
              <w:ind w:left="0" w:right="0" w:firstLine="0" w:firstLineChars="0"/>
              <w:jc w:val="center"/>
              <w:rPr>
                <w:rFonts w:hint="default" w:ascii="Times New Roman" w:hAnsi="Times New Roman" w:eastAsia="宋体" w:cs="Times New Roman"/>
                <w:color w:val="auto"/>
              </w:rPr>
            </w:pPr>
            <w:r>
              <w:rPr>
                <w:rFonts w:hint="default" w:ascii="Times New Roman" w:hAnsi="Times New Roman" w:eastAsia="宋体" w:cs="Times New Roman"/>
                <w:color w:val="auto"/>
              </w:rPr>
              <w:t>技术标准</w:t>
            </w:r>
          </w:p>
        </w:tc>
        <w:tc>
          <w:tcPr>
            <w:tcW w:w="9060" w:type="dxa"/>
          </w:tcPr>
          <w:p w14:paraId="4190F49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（1）《</w:t>
            </w:r>
            <w:r>
              <w:rPr>
                <w:rFonts w:hint="eastAsia" w:ascii="Times New Roman" w:hAnsi="Times New Roman" w:eastAsia="宋体" w:cs="Times New Roman"/>
                <w:snapToGrid w:val="0"/>
                <w:color w:val="auto"/>
                <w:kern w:val="0"/>
                <w:sz w:val="24"/>
                <w:szCs w:val="21"/>
                <w:lang w:val="en-US" w:eastAsia="zh-CN" w:bidi="ar-SA"/>
              </w:rPr>
              <w:t>建设项目环境影响评价技术导则 总纲</w:t>
            </w:r>
            <w:r>
              <w:rPr>
                <w:rFonts w:hint="default" w:ascii="Times New Roman" w:hAnsi="Times New Roman" w:eastAsia="宋体" w:cs="Times New Roman"/>
                <w:snapToGrid w:val="0"/>
                <w:color w:val="auto"/>
                <w:kern w:val="0"/>
                <w:sz w:val="24"/>
                <w:szCs w:val="21"/>
                <w:lang w:val="en-US" w:eastAsia="zh-CN" w:bidi="ar-SA"/>
              </w:rPr>
              <w:t>》（HJ2.1-2016）；</w:t>
            </w:r>
          </w:p>
          <w:p w14:paraId="27637B3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（2）《辐射环境保护管理导则 核技术利用建设项目 环境影响评价文件的内容和格式》(HJ10.1－2016)；</w:t>
            </w:r>
          </w:p>
          <w:p w14:paraId="3F50266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（3）《辐射环境监测技术规范》（HJ61-2021）；</w:t>
            </w:r>
          </w:p>
          <w:p w14:paraId="6FB9741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（4）《电离辐射防护与辐射源安全基本标准》（GB 18871-2002）；</w:t>
            </w:r>
          </w:p>
          <w:p w14:paraId="668ADD0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（5）《放射诊断放射防护要求》（GBZ130-2020）；</w:t>
            </w:r>
          </w:p>
          <w:p w14:paraId="60034F4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cs="Times New Roman"/>
                <w:color w:val="auto"/>
                <w:lang w:val="en-US" w:eastAsia="zh-CN"/>
              </w:rPr>
            </w:pPr>
            <w:r>
              <w:rPr>
                <w:rFonts w:hint="default" w:ascii="Times New Roman" w:hAnsi="Times New Roman" w:eastAsia="宋体" w:cs="Times New Roman"/>
                <w:bCs/>
                <w:snapToGrid w:val="0"/>
                <w:color w:val="auto"/>
                <w:kern w:val="0"/>
                <w:sz w:val="24"/>
                <w:szCs w:val="21"/>
                <w:lang w:val="en-US" w:eastAsia="zh-CN" w:bidi="ar-SA"/>
              </w:rPr>
              <w:t>（6）《声环境质量标准》（GB3096-2008）；</w:t>
            </w:r>
          </w:p>
          <w:p w14:paraId="5C61F44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Cs/>
                <w:snapToGrid w:val="0"/>
                <w:color w:val="auto"/>
                <w:kern w:val="0"/>
                <w:sz w:val="24"/>
                <w:szCs w:val="21"/>
                <w:lang w:val="en-US" w:eastAsia="zh-CN" w:bidi="ar-SA"/>
              </w:rPr>
            </w:pPr>
            <w:r>
              <w:rPr>
                <w:rFonts w:hint="default" w:ascii="Times New Roman" w:hAnsi="Times New Roman" w:eastAsia="宋体" w:cs="Times New Roman"/>
                <w:bCs/>
                <w:snapToGrid w:val="0"/>
                <w:color w:val="auto"/>
                <w:kern w:val="0"/>
                <w:sz w:val="24"/>
                <w:szCs w:val="21"/>
                <w:lang w:val="en-US" w:eastAsia="zh-CN" w:bidi="ar-SA"/>
              </w:rPr>
              <w:t>（</w:t>
            </w:r>
            <w:r>
              <w:rPr>
                <w:rFonts w:hint="eastAsia" w:ascii="Times New Roman" w:hAnsi="Times New Roman" w:eastAsia="宋体" w:cs="Times New Roman"/>
                <w:bCs/>
                <w:snapToGrid w:val="0"/>
                <w:color w:val="auto"/>
                <w:kern w:val="0"/>
                <w:sz w:val="24"/>
                <w:szCs w:val="21"/>
                <w:lang w:val="en-US" w:eastAsia="zh-CN" w:bidi="ar-SA"/>
              </w:rPr>
              <w:t>7</w:t>
            </w:r>
            <w:r>
              <w:rPr>
                <w:rFonts w:hint="default" w:ascii="Times New Roman" w:hAnsi="Times New Roman" w:eastAsia="宋体" w:cs="Times New Roman"/>
                <w:bCs/>
                <w:snapToGrid w:val="0"/>
                <w:color w:val="auto"/>
                <w:kern w:val="0"/>
                <w:sz w:val="24"/>
                <w:szCs w:val="21"/>
                <w:lang w:val="en-US" w:eastAsia="zh-CN" w:bidi="ar-SA"/>
              </w:rPr>
              <w:t>）《污水综合排放标准》（GB8978-1996）；</w:t>
            </w:r>
          </w:p>
          <w:p w14:paraId="507E08C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Cs/>
                <w:snapToGrid w:val="0"/>
                <w:color w:val="auto"/>
                <w:kern w:val="0"/>
                <w:sz w:val="24"/>
                <w:szCs w:val="21"/>
                <w:lang w:val="en-US" w:eastAsia="zh-CN" w:bidi="ar-SA"/>
              </w:rPr>
            </w:pPr>
            <w:r>
              <w:rPr>
                <w:rFonts w:hint="default" w:ascii="Times New Roman" w:hAnsi="Times New Roman" w:eastAsia="宋体" w:cs="Times New Roman"/>
                <w:bCs/>
                <w:snapToGrid w:val="0"/>
                <w:color w:val="auto"/>
                <w:kern w:val="0"/>
                <w:sz w:val="24"/>
                <w:szCs w:val="21"/>
                <w:lang w:val="en-US" w:eastAsia="zh-CN" w:bidi="ar-SA"/>
              </w:rPr>
              <w:t>（</w:t>
            </w:r>
            <w:r>
              <w:rPr>
                <w:rFonts w:hint="eastAsia" w:ascii="Times New Roman" w:hAnsi="Times New Roman" w:eastAsia="宋体" w:cs="Times New Roman"/>
                <w:bCs/>
                <w:snapToGrid w:val="0"/>
                <w:color w:val="auto"/>
                <w:kern w:val="0"/>
                <w:sz w:val="24"/>
                <w:szCs w:val="21"/>
                <w:lang w:val="en-US" w:eastAsia="zh-CN" w:bidi="ar-SA"/>
              </w:rPr>
              <w:t>8</w:t>
            </w:r>
            <w:r>
              <w:rPr>
                <w:rFonts w:hint="default" w:ascii="Times New Roman" w:hAnsi="Times New Roman" w:eastAsia="宋体" w:cs="Times New Roman"/>
                <w:bCs/>
                <w:snapToGrid w:val="0"/>
                <w:color w:val="auto"/>
                <w:kern w:val="0"/>
                <w:sz w:val="24"/>
                <w:szCs w:val="21"/>
                <w:lang w:val="en-US" w:eastAsia="zh-CN" w:bidi="ar-SA"/>
              </w:rPr>
              <w:t>）《医疗机构水污染物排放标准》（GB18466-2005）；</w:t>
            </w:r>
          </w:p>
          <w:p w14:paraId="718C4D64">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w:t>
            </w:r>
            <w:r>
              <w:rPr>
                <w:rFonts w:hint="eastAsia" w:cs="Times New Roman"/>
                <w:color w:val="auto"/>
                <w:lang w:val="en-US" w:eastAsia="zh-CN"/>
              </w:rPr>
              <w:t>9</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《环境空气质量标准》（GB3095-2012）；</w:t>
            </w:r>
          </w:p>
          <w:p w14:paraId="4A9199F0">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w:t>
            </w:r>
            <w:r>
              <w:rPr>
                <w:rFonts w:hint="eastAsia" w:cs="Times New Roman"/>
                <w:color w:val="auto"/>
                <w:lang w:val="en-US" w:eastAsia="zh-CN"/>
              </w:rPr>
              <w:t>10</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《地表水环境质量标准》（GB3838-2002）；</w:t>
            </w:r>
          </w:p>
          <w:p w14:paraId="42C783A4">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cs="Times New Roman"/>
                <w:color w:val="auto"/>
                <w:lang w:eastAsia="zh-CN"/>
              </w:rPr>
            </w:pPr>
            <w:r>
              <w:rPr>
                <w:rFonts w:hint="default" w:ascii="Times New Roman" w:hAnsi="Times New Roman" w:cs="Times New Roman"/>
                <w:color w:val="auto"/>
                <w:lang w:eastAsia="zh-CN"/>
              </w:rPr>
              <w:t>（</w:t>
            </w:r>
            <w:r>
              <w:rPr>
                <w:rFonts w:hint="eastAsia" w:cs="Times New Roman"/>
                <w:color w:val="auto"/>
                <w:lang w:val="en-US" w:eastAsia="zh-CN"/>
              </w:rPr>
              <w:t>11</w:t>
            </w:r>
            <w:r>
              <w:rPr>
                <w:rFonts w:hint="default" w:ascii="Times New Roman" w:hAnsi="Times New Roman" w:cs="Times New Roman"/>
                <w:color w:val="auto"/>
                <w:lang w:eastAsia="zh-CN"/>
              </w:rPr>
              <w:t>）《建设项目环境影响报告表编制技术指南（污染影响类）（试行）》；</w:t>
            </w:r>
          </w:p>
          <w:p w14:paraId="4E317E35">
            <w:pPr>
              <w:pStyle w:val="23"/>
              <w:keepNext w:val="0"/>
              <w:keepLines w:val="0"/>
              <w:suppressLineNumbers w:val="0"/>
              <w:spacing w:before="0" w:beforeAutospacing="0" w:after="0" w:afterAutospacing="0"/>
              <w:ind w:left="0" w:right="0" w:firstLine="480" w:firstLineChars="200"/>
              <w:rPr>
                <w:rFonts w:hint="eastAsia" w:cs="Times New Roman"/>
                <w:color w:val="auto"/>
                <w:lang w:val="en-US" w:eastAsia="zh-CN"/>
              </w:rPr>
            </w:pPr>
            <w:r>
              <w:rPr>
                <w:rFonts w:hint="default" w:ascii="Times New Roman" w:hAnsi="Times New Roman" w:cs="Times New Roman"/>
                <w:color w:val="auto"/>
                <w:lang w:val="en-US" w:eastAsia="zh-CN"/>
              </w:rPr>
              <w:t>（1</w:t>
            </w:r>
            <w:r>
              <w:rPr>
                <w:rFonts w:hint="eastAsia" w:cs="Times New Roman"/>
                <w:color w:val="auto"/>
                <w:lang w:val="en-US" w:eastAsia="zh-CN"/>
              </w:rPr>
              <w:t>2</w:t>
            </w:r>
            <w:r>
              <w:rPr>
                <w:rFonts w:hint="default" w:ascii="Times New Roman" w:hAnsi="Times New Roman" w:cs="Times New Roman"/>
                <w:color w:val="auto"/>
                <w:lang w:val="en-US" w:eastAsia="zh-CN"/>
              </w:rPr>
              <w:t>）《环境γ辐射剂量率测量技术规范》（HJ 1157-2021）</w:t>
            </w:r>
            <w:r>
              <w:rPr>
                <w:rFonts w:hint="eastAsia" w:cs="Times New Roman"/>
                <w:color w:val="auto"/>
                <w:lang w:val="en-US" w:eastAsia="zh-CN"/>
              </w:rPr>
              <w:t>；</w:t>
            </w:r>
          </w:p>
          <w:p w14:paraId="6406B1A5">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lang w:eastAsia="zh-CN"/>
              </w:rPr>
            </w:pPr>
            <w:r>
              <w:rPr>
                <w:rFonts w:hint="eastAsia" w:ascii="Times New Roman" w:hAnsi="Times New Roman" w:eastAsia="宋体" w:cs="Times New Roman"/>
                <w:color w:val="auto"/>
                <w:sz w:val="24"/>
                <w:szCs w:val="24"/>
                <w:lang w:val="en-US" w:eastAsia="zh-CN"/>
              </w:rPr>
              <w:t>（13）《核技术利用单位自行监测技术规范》（DB34/T 4571—2023）</w:t>
            </w:r>
            <w:r>
              <w:rPr>
                <w:rFonts w:hint="default" w:ascii="Times New Roman" w:hAnsi="Times New Roman" w:cs="Times New Roman"/>
                <w:color w:val="auto"/>
                <w:lang w:eastAsia="zh-CN"/>
              </w:rPr>
              <w:t>。</w:t>
            </w:r>
          </w:p>
          <w:p w14:paraId="7CF74422">
            <w:pPr>
              <w:pStyle w:val="23"/>
              <w:keepNext w:val="0"/>
              <w:keepLines w:val="0"/>
              <w:suppressLineNumbers w:val="0"/>
              <w:spacing w:before="0" w:beforeAutospacing="0" w:after="0" w:afterAutospacing="0"/>
              <w:ind w:left="0" w:right="0" w:firstLine="458" w:firstLineChars="191"/>
              <w:rPr>
                <w:rFonts w:hint="default" w:ascii="Times New Roman" w:hAnsi="Times New Roman" w:eastAsia="宋体" w:cs="Times New Roman"/>
                <w:color w:val="auto"/>
              </w:rPr>
            </w:pPr>
          </w:p>
        </w:tc>
      </w:tr>
      <w:tr w14:paraId="66B9339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759" w:type="dxa"/>
            <w:vAlign w:val="center"/>
          </w:tcPr>
          <w:p w14:paraId="54FB76A9">
            <w:pPr>
              <w:pStyle w:val="23"/>
              <w:keepNext w:val="0"/>
              <w:keepLines w:val="0"/>
              <w:suppressLineNumbers w:val="0"/>
              <w:spacing w:before="0" w:beforeAutospacing="0" w:after="0" w:afterAutospacing="0"/>
              <w:ind w:left="0" w:right="0" w:firstLine="0" w:firstLineChars="0"/>
              <w:jc w:val="center"/>
              <w:rPr>
                <w:rFonts w:hint="default" w:ascii="Times New Roman" w:hAnsi="Times New Roman" w:eastAsia="宋体" w:cs="Times New Roman"/>
                <w:color w:val="auto"/>
              </w:rPr>
            </w:pPr>
            <w:bookmarkStart w:id="33" w:name="_Toc27317"/>
            <w:bookmarkStart w:id="34" w:name="_Toc10787"/>
            <w:bookmarkStart w:id="35" w:name="_Toc32324"/>
            <w:r>
              <w:rPr>
                <w:rFonts w:hint="default" w:ascii="Times New Roman" w:hAnsi="Times New Roman" w:eastAsia="宋体" w:cs="Times New Roman"/>
                <w:color w:val="auto"/>
                <w:szCs w:val="24"/>
              </w:rPr>
              <w:t>其他</w:t>
            </w:r>
            <w:bookmarkEnd w:id="33"/>
            <w:bookmarkEnd w:id="34"/>
            <w:bookmarkEnd w:id="35"/>
          </w:p>
        </w:tc>
        <w:tc>
          <w:tcPr>
            <w:tcW w:w="9060" w:type="dxa"/>
          </w:tcPr>
          <w:p w14:paraId="4024C7AA">
            <w:pPr>
              <w:pStyle w:val="23"/>
              <w:keepNext w:val="0"/>
              <w:keepLines w:val="0"/>
              <w:numPr>
                <w:ilvl w:val="0"/>
                <w:numId w:val="0"/>
              </w:numPr>
              <w:suppressLineNumbers w:val="0"/>
              <w:spacing w:before="0" w:beforeAutospacing="0" w:after="0" w:afterAutospacing="0"/>
              <w:ind w:left="0" w:right="0" w:rightChars="0" w:firstLine="480" w:firstLineChars="200"/>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（1）项目委托书；</w:t>
            </w:r>
          </w:p>
          <w:p w14:paraId="001F7D45">
            <w:pPr>
              <w:pStyle w:val="23"/>
              <w:keepNext w:val="0"/>
              <w:keepLines w:val="0"/>
              <w:numPr>
                <w:ilvl w:val="0"/>
                <w:numId w:val="0"/>
              </w:numPr>
              <w:suppressLineNumbers w:val="0"/>
              <w:spacing w:before="0" w:beforeAutospacing="0" w:after="0" w:afterAutospacing="0"/>
              <w:ind w:left="0" w:right="0" w:rightChars="0" w:firstLine="480" w:firstLineChars="200"/>
              <w:rPr>
                <w:rFonts w:hint="default" w:ascii="Times New Roman" w:hAnsi="Times New Roman" w:eastAsia="宋体" w:cs="Times New Roman"/>
                <w:color w:val="auto"/>
                <w:highlight w:val="none"/>
                <w:lang w:eastAsia="zh-CN"/>
              </w:rPr>
            </w:pPr>
            <w:r>
              <w:rPr>
                <w:rFonts w:hint="default" w:ascii="Times New Roman" w:hAnsi="Times New Roman" w:eastAsia="宋体" w:cs="Times New Roman"/>
                <w:color w:val="auto"/>
                <w:highlight w:val="none"/>
              </w:rPr>
              <w:t>（</w:t>
            </w:r>
            <w:r>
              <w:rPr>
                <w:rFonts w:hint="default" w:ascii="Times New Roman" w:hAnsi="Times New Roman" w:eastAsia="宋体" w:cs="Times New Roman"/>
                <w:color w:val="auto"/>
                <w:highlight w:val="none"/>
                <w:lang w:val="en-US" w:eastAsia="zh-CN"/>
              </w:rPr>
              <w:t>2</w:t>
            </w:r>
            <w:r>
              <w:rPr>
                <w:rFonts w:hint="default" w:ascii="Times New Roman" w:hAnsi="Times New Roman" w:eastAsia="宋体" w:cs="Times New Roman"/>
                <w:color w:val="auto"/>
                <w:highlight w:val="none"/>
              </w:rPr>
              <w:t>）</w:t>
            </w:r>
            <w:r>
              <w:rPr>
                <w:rFonts w:hint="eastAsia" w:cs="Times New Roman"/>
                <w:color w:val="auto"/>
                <w:highlight w:val="none"/>
                <w:lang w:val="en-US" w:eastAsia="zh-CN"/>
              </w:rPr>
              <w:t>寿县安康医院</w:t>
            </w:r>
            <w:r>
              <w:rPr>
                <w:rFonts w:hint="default" w:ascii="Times New Roman" w:hAnsi="Times New Roman" w:eastAsia="宋体" w:cs="Times New Roman"/>
                <w:color w:val="auto"/>
                <w:highlight w:val="none"/>
              </w:rPr>
              <w:t>关于本项目提供的其他相关基础技术资料</w:t>
            </w:r>
            <w:r>
              <w:rPr>
                <w:rFonts w:hint="default" w:ascii="Times New Roman" w:hAnsi="Times New Roman" w:cs="Times New Roman"/>
                <w:color w:val="auto"/>
                <w:highlight w:val="none"/>
                <w:lang w:eastAsia="zh-CN"/>
              </w:rPr>
              <w:t>；</w:t>
            </w:r>
          </w:p>
          <w:p w14:paraId="13F05C3B">
            <w:pPr>
              <w:pStyle w:val="23"/>
              <w:keepNext w:val="0"/>
              <w:keepLines w:val="0"/>
              <w:suppressLineNumbers w:val="0"/>
              <w:spacing w:before="0" w:beforeAutospacing="0" w:after="0" w:afterAutospacing="0"/>
              <w:ind w:left="0" w:right="0" w:firstLine="480" w:firstLineChars="200"/>
              <w:rPr>
                <w:rFonts w:hint="eastAsia" w:cs="Times New Roman"/>
                <w:color w:val="auto"/>
                <w:highlight w:val="none"/>
                <w:lang w:eastAsia="zh-CN"/>
              </w:rPr>
            </w:pP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lang w:val="en-US" w:eastAsia="zh-CN"/>
              </w:rPr>
              <w:t>3</w:t>
            </w:r>
            <w:r>
              <w:rPr>
                <w:rFonts w:hint="default" w:ascii="Times New Roman" w:hAnsi="Times New Roman" w:cs="Times New Roman"/>
                <w:color w:val="auto"/>
                <w:highlight w:val="none"/>
                <w:lang w:eastAsia="zh-CN"/>
              </w:rPr>
              <w:t>）《202</w:t>
            </w:r>
            <w:r>
              <w:rPr>
                <w:rFonts w:hint="eastAsia" w:cs="Times New Roman"/>
                <w:color w:val="auto"/>
                <w:highlight w:val="none"/>
                <w:lang w:val="en-US" w:eastAsia="zh-CN"/>
              </w:rPr>
              <w:t>3</w:t>
            </w:r>
            <w:r>
              <w:rPr>
                <w:rFonts w:hint="default" w:ascii="Times New Roman" w:hAnsi="Times New Roman" w:cs="Times New Roman"/>
                <w:color w:val="auto"/>
                <w:highlight w:val="none"/>
                <w:lang w:eastAsia="zh-CN"/>
              </w:rPr>
              <w:t>年安徽省生态环境状况公报》</w:t>
            </w:r>
            <w:r>
              <w:rPr>
                <w:rFonts w:hint="eastAsia" w:cs="Times New Roman"/>
                <w:color w:val="auto"/>
                <w:highlight w:val="none"/>
                <w:lang w:eastAsia="zh-CN"/>
              </w:rPr>
              <w:t>；</w:t>
            </w:r>
          </w:p>
          <w:p w14:paraId="1FA25228">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lang w:val="en-US" w:eastAsia="zh-CN"/>
              </w:rPr>
            </w:pPr>
            <w:r>
              <w:rPr>
                <w:rFonts w:hint="eastAsia" w:cs="Times New Roman"/>
                <w:color w:val="auto"/>
                <w:highlight w:val="none"/>
                <w:lang w:eastAsia="zh-CN"/>
              </w:rPr>
              <w:t>（</w:t>
            </w:r>
            <w:r>
              <w:rPr>
                <w:rFonts w:hint="eastAsia" w:cs="Times New Roman"/>
                <w:color w:val="auto"/>
                <w:highlight w:val="none"/>
                <w:lang w:val="en-US" w:eastAsia="zh-CN"/>
              </w:rPr>
              <w:t>4</w:t>
            </w:r>
            <w:r>
              <w:rPr>
                <w:rFonts w:hint="eastAsia" w:cs="Times New Roman"/>
                <w:color w:val="auto"/>
                <w:highlight w:val="none"/>
                <w:lang w:eastAsia="zh-CN"/>
              </w:rPr>
              <w:t>）项目立项备案文件</w:t>
            </w:r>
            <w:r>
              <w:rPr>
                <w:rFonts w:hint="eastAsia" w:cs="Times New Roman"/>
                <w:color w:val="auto"/>
                <w:highlight w:val="none"/>
                <w:lang w:val="en-US" w:eastAsia="zh-CN"/>
              </w:rPr>
              <w:t>。</w:t>
            </w:r>
          </w:p>
          <w:p w14:paraId="00FCC4D9">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lang w:eastAsia="zh-CN"/>
              </w:rPr>
            </w:pPr>
          </w:p>
        </w:tc>
      </w:tr>
    </w:tbl>
    <w:p w14:paraId="5DFF21F5">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2009B728">
      <w:pPr>
        <w:keepNext/>
        <w:keepLines/>
        <w:widowControl w:val="0"/>
        <w:bidi w:val="0"/>
        <w:spacing w:line="240" w:lineRule="auto"/>
        <w:jc w:val="both"/>
        <w:outlineLvl w:val="0"/>
        <w:rPr>
          <w:rFonts w:hint="eastAsia" w:ascii="Times New Roman" w:hAnsi="Times New Roman" w:eastAsia="宋体" w:cs="Times New Roman"/>
          <w:b/>
          <w:bCs/>
          <w:color w:val="auto"/>
          <w:kern w:val="44"/>
          <w:sz w:val="28"/>
          <w:szCs w:val="44"/>
          <w:lang w:val="en-US" w:eastAsia="zh-CN" w:bidi="ar-SA"/>
        </w:rPr>
      </w:pPr>
      <w:bookmarkStart w:id="36" w:name="_Toc67739913"/>
      <w:bookmarkStart w:id="37" w:name="_Toc56003426"/>
      <w:bookmarkStart w:id="38" w:name="_Toc11644"/>
      <w:bookmarkStart w:id="39" w:name="_Toc15277"/>
      <w:bookmarkStart w:id="40" w:name="_Toc56004464"/>
      <w:r>
        <w:rPr>
          <w:rFonts w:ascii="Times New Roman" w:hAnsi="Times New Roman" w:eastAsia="宋体" w:cs="Times New Roman"/>
          <w:b/>
          <w:bCs/>
          <w:color w:val="auto"/>
          <w:kern w:val="44"/>
          <w:sz w:val="28"/>
          <w:szCs w:val="44"/>
          <w:lang w:val="en-US" w:eastAsia="zh-CN" w:bidi="ar-SA"/>
        </w:rPr>
        <w:t xml:space="preserve">表7 </w:t>
      </w:r>
      <w:r>
        <w:rPr>
          <w:rFonts w:hint="eastAsia" w:ascii="Times New Roman" w:hAnsi="Times New Roman" w:eastAsia="宋体" w:cs="Times New Roman"/>
          <w:b/>
          <w:bCs/>
          <w:color w:val="auto"/>
          <w:kern w:val="44"/>
          <w:sz w:val="28"/>
          <w:szCs w:val="44"/>
          <w:lang w:val="en-US" w:eastAsia="zh-CN" w:bidi="ar-SA"/>
        </w:rPr>
        <w:t>保护目标与评价标准</w:t>
      </w:r>
      <w:bookmarkEnd w:id="36"/>
      <w:bookmarkEnd w:id="37"/>
      <w:bookmarkEnd w:id="38"/>
      <w:bookmarkEnd w:id="39"/>
      <w:bookmarkEnd w:id="40"/>
    </w:p>
    <w:tbl>
      <w:tblPr>
        <w:tblStyle w:val="18"/>
        <w:tblW w:w="9787" w:type="dxa"/>
        <w:tblInd w:w="94" w:type="dxa"/>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108" w:type="dxa"/>
          <w:bottom w:w="0" w:type="dxa"/>
          <w:right w:w="108" w:type="dxa"/>
        </w:tblCellMar>
      </w:tblPr>
      <w:tblGrid>
        <w:gridCol w:w="9787"/>
      </w:tblGrid>
      <w:tr w14:paraId="2471E56B">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108" w:type="dxa"/>
            <w:bottom w:w="0" w:type="dxa"/>
            <w:right w:w="108" w:type="dxa"/>
          </w:tblCellMar>
        </w:tblPrEx>
        <w:trPr>
          <w:trHeight w:val="11592" w:hRule="atLeast"/>
        </w:trPr>
        <w:tc>
          <w:tcPr>
            <w:tcW w:w="9787" w:type="dxa"/>
          </w:tcPr>
          <w:p w14:paraId="087E86E8">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一、评价内容及目的</w:t>
            </w:r>
          </w:p>
          <w:p w14:paraId="5892594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1、在调查</w:t>
            </w:r>
            <w:r>
              <w:rPr>
                <w:rFonts w:hint="eastAsia" w:ascii="Times New Roman" w:hAnsi="Times New Roman" w:eastAsia="宋体" w:cs="Times New Roman"/>
                <w:snapToGrid w:val="0"/>
                <w:color w:val="auto"/>
                <w:kern w:val="0"/>
                <w:sz w:val="24"/>
                <w:szCs w:val="21"/>
                <w:lang w:val="en-US" w:eastAsia="zh-CN" w:bidi="ar-SA"/>
              </w:rPr>
              <w:t>寿县安康医院</w:t>
            </w:r>
            <w:r>
              <w:rPr>
                <w:rFonts w:hint="default" w:ascii="Times New Roman" w:hAnsi="Times New Roman" w:eastAsia="宋体" w:cs="Times New Roman"/>
                <w:snapToGrid w:val="0"/>
                <w:color w:val="auto"/>
                <w:kern w:val="0"/>
                <w:sz w:val="24"/>
                <w:szCs w:val="21"/>
                <w:lang w:val="en-US" w:eastAsia="zh-CN" w:bidi="ar-SA"/>
              </w:rPr>
              <w:t>现有的环保设施的基础上，分析本项目废水、固废等污染防</w:t>
            </w:r>
            <w:r>
              <w:rPr>
                <w:rFonts w:hint="default" w:ascii="Times New Roman" w:hAnsi="Times New Roman" w:eastAsia="宋体" w:cs="Times New Roman"/>
                <w:snapToGrid w:val="0"/>
                <w:color w:val="auto"/>
                <w:kern w:val="0"/>
                <w:sz w:val="24"/>
                <w:szCs w:val="21"/>
                <w:highlight w:val="none"/>
                <w:lang w:val="en-US" w:eastAsia="zh-CN" w:bidi="ar-SA"/>
              </w:rPr>
              <w:t>治措施环保设施的可行</w:t>
            </w:r>
            <w:r>
              <w:rPr>
                <w:rFonts w:hint="default" w:ascii="Times New Roman" w:hAnsi="Times New Roman" w:eastAsia="宋体" w:cs="Times New Roman"/>
                <w:snapToGrid w:val="0"/>
                <w:color w:val="auto"/>
                <w:kern w:val="0"/>
                <w:sz w:val="24"/>
                <w:szCs w:val="21"/>
                <w:lang w:val="en-US" w:eastAsia="zh-CN" w:bidi="ar-SA"/>
              </w:rPr>
              <w:t>性，进行本项目非辐射环境影响评价。</w:t>
            </w:r>
          </w:p>
          <w:p w14:paraId="03F9072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2、对项目建设地址及周围环境保护目标进行辐射环境现状监测，对辐射环境现状水平进行评价。并对项目运营期的辐射环境影响进行类比分析，对本项目机房的防护效果进行评价。</w:t>
            </w:r>
          </w:p>
          <w:p w14:paraId="5EFEECC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3、对不利影响提出防治措施，把环境影响减少到</w:t>
            </w: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可合理达到的尽可能低水平</w:t>
            </w: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w:t>
            </w:r>
          </w:p>
          <w:p w14:paraId="4F6340F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4、满足国家和地方生态环境主管部门对建设项目环境管理规定的要求，为项目的环境管理提供科学依据。</w:t>
            </w:r>
          </w:p>
          <w:p w14:paraId="524058EF">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二、评价原则</w:t>
            </w:r>
          </w:p>
          <w:p w14:paraId="3662B99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此次评价遵循《电离辐射防护与辐射源安全基本标准》（GB18871-2002）中的</w:t>
            </w:r>
            <w:r>
              <w:rPr>
                <w:rFonts w:hint="eastAsia" w:ascii="宋体" w:hAnsi="宋体" w:eastAsia="宋体" w:cs="宋体"/>
                <w:snapToGrid w:val="0"/>
                <w:color w:val="auto"/>
                <w:kern w:val="0"/>
                <w:sz w:val="24"/>
                <w:szCs w:val="21"/>
                <w:lang w:val="en-US" w:eastAsia="zh-CN" w:bidi="ar-SA"/>
              </w:rPr>
              <w:t>辐射防护“三原则”要</w:t>
            </w:r>
            <w:r>
              <w:rPr>
                <w:rFonts w:hint="default" w:ascii="Times New Roman" w:hAnsi="Times New Roman" w:eastAsia="宋体" w:cs="Times New Roman"/>
                <w:snapToGrid w:val="0"/>
                <w:color w:val="auto"/>
                <w:kern w:val="0"/>
                <w:sz w:val="24"/>
                <w:szCs w:val="21"/>
                <w:lang w:val="en-US" w:eastAsia="zh-CN" w:bidi="ar-SA"/>
              </w:rPr>
              <w:t>求：</w:t>
            </w:r>
          </w:p>
          <w:p w14:paraId="65BA047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（1）实践的正当性；</w:t>
            </w:r>
          </w:p>
          <w:p w14:paraId="68E26CA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（2）剂量限制和潜在照射危险限制；</w:t>
            </w:r>
          </w:p>
          <w:p w14:paraId="7FD8D0F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（3）防护与安全的最优化。</w:t>
            </w:r>
          </w:p>
          <w:p w14:paraId="4E15CE5C">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三、评价重点及评价内容</w:t>
            </w:r>
          </w:p>
          <w:p w14:paraId="0E434FF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1、辐射环境</w:t>
            </w:r>
          </w:p>
          <w:p w14:paraId="79D9304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此次评价重点为DSA机房屏蔽措施、安全措施和人员附加剂量评价。</w:t>
            </w:r>
          </w:p>
          <w:p w14:paraId="2A321F1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2、非辐射环境</w:t>
            </w:r>
          </w:p>
          <w:p w14:paraId="6008D5C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非辐射环境此次评价重点为本项目废水、固废污染防治措施</w:t>
            </w:r>
            <w:r>
              <w:rPr>
                <w:rFonts w:hint="default" w:ascii="Times New Roman" w:hAnsi="Times New Roman" w:eastAsia="宋体" w:cs="Times New Roman"/>
                <w:snapToGrid w:val="0"/>
                <w:color w:val="auto"/>
                <w:kern w:val="0"/>
                <w:sz w:val="24"/>
                <w:szCs w:val="21"/>
                <w:highlight w:val="none"/>
                <w:lang w:val="en-US" w:eastAsia="zh-CN" w:bidi="ar-SA"/>
              </w:rPr>
              <w:t>可行性</w:t>
            </w:r>
            <w:r>
              <w:rPr>
                <w:rFonts w:hint="default" w:ascii="Times New Roman" w:hAnsi="Times New Roman" w:eastAsia="宋体" w:cs="Times New Roman"/>
                <w:snapToGrid w:val="0"/>
                <w:color w:val="auto"/>
                <w:kern w:val="0"/>
                <w:sz w:val="24"/>
                <w:szCs w:val="21"/>
                <w:lang w:val="en-US" w:eastAsia="zh-CN" w:bidi="ar-SA"/>
              </w:rPr>
              <w:t>，以及项目运营期噪声的环境影响评价。</w:t>
            </w:r>
          </w:p>
          <w:p w14:paraId="0E1FD630">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四、评价范围</w:t>
            </w:r>
          </w:p>
          <w:p w14:paraId="050B8D3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highlight w:val="none"/>
                <w:lang w:val="en-US" w:eastAsia="zh-CN" w:bidi="ar-SA"/>
              </w:rPr>
            </w:pPr>
            <w:r>
              <w:rPr>
                <w:rFonts w:hint="default" w:ascii="Times New Roman" w:hAnsi="Times New Roman" w:eastAsia="宋体" w:cs="Times New Roman"/>
                <w:snapToGrid w:val="0"/>
                <w:color w:val="auto"/>
                <w:kern w:val="0"/>
                <w:sz w:val="24"/>
                <w:szCs w:val="21"/>
                <w:lang w:val="en-US" w:eastAsia="zh-CN" w:bidi="ar-SA"/>
              </w:rPr>
              <w:t>按照《</w:t>
            </w:r>
            <w:r>
              <w:rPr>
                <w:rFonts w:hint="eastAsia" w:ascii="Times New Roman" w:hAnsi="Times New Roman" w:eastAsia="宋体" w:cs="Times New Roman"/>
                <w:snapToGrid w:val="0"/>
                <w:color w:val="auto"/>
                <w:kern w:val="0"/>
                <w:sz w:val="24"/>
                <w:szCs w:val="21"/>
                <w:lang w:val="en-US" w:eastAsia="zh-CN" w:bidi="ar-SA"/>
              </w:rPr>
              <w:t>辐射环境保护管理导则 核技术利用建设项目 环境影响评价文件的内容和格式</w:t>
            </w:r>
            <w:r>
              <w:rPr>
                <w:rFonts w:hint="default" w:ascii="Times New Roman" w:hAnsi="Times New Roman" w:eastAsia="宋体" w:cs="Times New Roman"/>
                <w:snapToGrid w:val="0"/>
                <w:color w:val="auto"/>
                <w:kern w:val="0"/>
                <w:sz w:val="24"/>
                <w:szCs w:val="21"/>
                <w:lang w:val="en-US" w:eastAsia="zh-CN" w:bidi="ar-SA"/>
              </w:rPr>
              <w:t>》（HJ10.1-2016）中，</w:t>
            </w:r>
            <w:r>
              <w:rPr>
                <w:rFonts w:hint="eastAsia" w:ascii="宋体" w:hAnsi="宋体" w:eastAsia="宋体" w:cs="宋体"/>
                <w:snapToGrid w:val="0"/>
                <w:color w:val="auto"/>
                <w:kern w:val="0"/>
                <w:sz w:val="24"/>
                <w:szCs w:val="21"/>
                <w:lang w:val="en-US" w:eastAsia="zh-CN" w:bidi="ar-SA"/>
              </w:rPr>
              <w:t>“放射源和射线装置应用项目的评价范围，通常取装置所在场所实体屏蔽物边界外</w:t>
            </w:r>
            <w:r>
              <w:rPr>
                <w:rFonts w:hint="default" w:ascii="Times New Roman" w:hAnsi="Times New Roman" w:eastAsia="宋体" w:cs="Times New Roman"/>
                <w:snapToGrid w:val="0"/>
                <w:color w:val="auto"/>
                <w:kern w:val="0"/>
                <w:sz w:val="24"/>
                <w:szCs w:val="21"/>
                <w:lang w:val="en-US" w:eastAsia="zh-CN" w:bidi="ar-SA"/>
              </w:rPr>
              <w:t>50m</w:t>
            </w:r>
            <w:r>
              <w:rPr>
                <w:rFonts w:hint="eastAsia" w:ascii="宋体" w:hAnsi="宋体" w:eastAsia="宋体" w:cs="宋体"/>
                <w:snapToGrid w:val="0"/>
                <w:color w:val="auto"/>
                <w:kern w:val="0"/>
                <w:sz w:val="24"/>
                <w:szCs w:val="21"/>
                <w:lang w:val="en-US" w:eastAsia="zh-CN" w:bidi="ar-SA"/>
              </w:rPr>
              <w:t>的范围”相关规</w:t>
            </w:r>
            <w:r>
              <w:rPr>
                <w:rFonts w:hint="default" w:ascii="Times New Roman" w:hAnsi="Times New Roman" w:eastAsia="宋体" w:cs="Times New Roman"/>
                <w:snapToGrid w:val="0"/>
                <w:color w:val="auto"/>
                <w:kern w:val="0"/>
                <w:sz w:val="24"/>
                <w:szCs w:val="21"/>
                <w:lang w:val="en-US" w:eastAsia="zh-CN" w:bidi="ar-SA"/>
              </w:rPr>
              <w:t>定，并结合该项目特点，确定本项目辐射评价范围为DSA机房屏蔽墙边界外50m的区域</w:t>
            </w:r>
            <w:r>
              <w:rPr>
                <w:rFonts w:hint="default" w:ascii="Times New Roman" w:hAnsi="Times New Roman" w:eastAsia="宋体" w:cs="Times New Roman"/>
                <w:color w:val="auto"/>
                <w:kern w:val="2"/>
                <w:sz w:val="24"/>
                <w:szCs w:val="22"/>
                <w:lang w:val="en-US" w:eastAsia="zh-CN" w:bidi="ar-SA"/>
              </w:rPr>
              <w:t>。</w:t>
            </w:r>
            <w:r>
              <w:rPr>
                <w:rFonts w:hint="default" w:ascii="Times New Roman" w:hAnsi="Times New Roman" w:eastAsia="宋体" w:cs="Times New Roman"/>
                <w:snapToGrid w:val="0"/>
                <w:color w:val="auto"/>
                <w:kern w:val="0"/>
                <w:sz w:val="24"/>
                <w:szCs w:val="21"/>
                <w:highlight w:val="none"/>
                <w:lang w:val="en-US" w:eastAsia="zh-CN" w:bidi="ar-SA"/>
              </w:rPr>
              <w:t>辐射环境评价范围示意图详见附图</w:t>
            </w:r>
            <w:r>
              <w:rPr>
                <w:rFonts w:hint="eastAsia" w:ascii="Times New Roman" w:hAnsi="Times New Roman" w:eastAsia="宋体" w:cs="Times New Roman"/>
                <w:snapToGrid w:val="0"/>
                <w:color w:val="auto"/>
                <w:kern w:val="0"/>
                <w:sz w:val="24"/>
                <w:szCs w:val="21"/>
                <w:highlight w:val="none"/>
                <w:lang w:val="en-US" w:eastAsia="zh-CN" w:bidi="ar-SA"/>
              </w:rPr>
              <w:t>6</w:t>
            </w:r>
            <w:r>
              <w:rPr>
                <w:rFonts w:hint="default" w:ascii="Times New Roman" w:hAnsi="Times New Roman" w:eastAsia="宋体" w:cs="Times New Roman"/>
                <w:snapToGrid w:val="0"/>
                <w:color w:val="auto"/>
                <w:kern w:val="0"/>
                <w:sz w:val="24"/>
                <w:szCs w:val="21"/>
                <w:highlight w:val="none"/>
                <w:lang w:val="en-US" w:eastAsia="zh-CN" w:bidi="ar-SA"/>
              </w:rPr>
              <w:t>。</w:t>
            </w:r>
          </w:p>
          <w:p w14:paraId="4BB35CA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color w:val="auto"/>
                <w:sz w:val="24"/>
                <w:szCs w:val="24"/>
                <w:lang w:val="en-US" w:eastAsia="zh-CN"/>
              </w:rPr>
              <w:t>参照</w:t>
            </w:r>
            <w:r>
              <w:rPr>
                <w:rFonts w:hint="default" w:ascii="Times New Roman" w:hAnsi="Times New Roman" w:eastAsia="宋体" w:cs="Times New Roman"/>
                <w:color w:val="auto"/>
                <w:sz w:val="24"/>
                <w:szCs w:val="24"/>
                <w:lang w:eastAsia="zh-CN"/>
              </w:rPr>
              <w:t>《建设项目环境影响报告表编制技术指南（污染影响类）（试行）》，</w:t>
            </w:r>
            <w:r>
              <w:rPr>
                <w:rFonts w:hint="default" w:ascii="Times New Roman" w:hAnsi="Times New Roman" w:eastAsia="宋体" w:cs="Times New Roman"/>
                <w:color w:val="auto"/>
                <w:kern w:val="2"/>
                <w:sz w:val="24"/>
                <w:szCs w:val="24"/>
                <w:lang w:val="en-US" w:eastAsia="zh-CN" w:bidi="ar-SA"/>
              </w:rPr>
              <w:t>声环境影响评价范围为厂界外50m范围，</w:t>
            </w:r>
            <w:r>
              <w:rPr>
                <w:rFonts w:hint="default" w:ascii="Times New Roman" w:hAnsi="Times New Roman" w:eastAsia="宋体" w:cs="Times New Roman"/>
                <w:color w:val="auto"/>
                <w:kern w:val="2"/>
                <w:sz w:val="24"/>
                <w:szCs w:val="24"/>
                <w:highlight w:val="none"/>
                <w:lang w:val="en-US" w:eastAsia="zh-CN" w:bidi="ar-SA"/>
              </w:rPr>
              <w:t>噪声评价范围示意图详见</w:t>
            </w:r>
            <w:r>
              <w:rPr>
                <w:rFonts w:hint="default" w:ascii="Times New Roman" w:hAnsi="Times New Roman" w:eastAsia="宋体" w:cs="Times New Roman"/>
                <w:color w:val="auto"/>
                <w:kern w:val="2"/>
                <w:sz w:val="24"/>
                <w:szCs w:val="22"/>
                <w:highlight w:val="none"/>
                <w:lang w:val="en-US" w:eastAsia="zh-CN" w:bidi="ar-SA"/>
              </w:rPr>
              <w:t>附图</w:t>
            </w:r>
            <w:r>
              <w:rPr>
                <w:rFonts w:hint="eastAsia" w:ascii="Times New Roman" w:hAnsi="Times New Roman" w:eastAsia="宋体" w:cs="Times New Roman"/>
                <w:color w:val="auto"/>
                <w:kern w:val="2"/>
                <w:sz w:val="24"/>
                <w:szCs w:val="22"/>
                <w:highlight w:val="none"/>
                <w:lang w:val="en-US" w:eastAsia="zh-CN" w:bidi="ar-SA"/>
              </w:rPr>
              <w:t>7</w:t>
            </w:r>
            <w:r>
              <w:rPr>
                <w:rFonts w:hint="default" w:ascii="Times New Roman" w:hAnsi="Times New Roman" w:eastAsia="宋体" w:cs="Times New Roman"/>
                <w:color w:val="auto"/>
                <w:kern w:val="2"/>
                <w:sz w:val="24"/>
                <w:szCs w:val="22"/>
                <w:highlight w:val="none"/>
                <w:lang w:val="en-US" w:eastAsia="zh-CN" w:bidi="ar-SA"/>
              </w:rPr>
              <w:t>。</w:t>
            </w:r>
          </w:p>
          <w:p w14:paraId="1A900E09">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五、环境保护目标</w:t>
            </w:r>
          </w:p>
          <w:p w14:paraId="5956DB5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（1）辐射环境保护目标</w:t>
            </w:r>
          </w:p>
          <w:p w14:paraId="0ED647C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本项目射线装置所在场所实体屏蔽物边界外50m范围内主要有机房所在</w:t>
            </w:r>
            <w:r>
              <w:rPr>
                <w:rFonts w:hint="eastAsia" w:ascii="Times New Roman" w:hAnsi="Times New Roman" w:eastAsia="宋体" w:cs="Times New Roman"/>
                <w:snapToGrid w:val="0"/>
                <w:color w:val="auto"/>
                <w:kern w:val="0"/>
                <w:sz w:val="24"/>
                <w:szCs w:val="21"/>
                <w:lang w:val="en-US" w:eastAsia="zh-CN" w:bidi="ar-SA"/>
              </w:rPr>
              <w:t>综合楼</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东</w:t>
            </w:r>
            <w:r>
              <w:rPr>
                <w:rFonts w:hint="default" w:ascii="Times New Roman" w:hAnsi="Times New Roman" w:eastAsia="宋体" w:cs="Times New Roman"/>
                <w:snapToGrid w:val="0"/>
                <w:color w:val="auto"/>
                <w:kern w:val="0"/>
                <w:sz w:val="24"/>
                <w:szCs w:val="21"/>
                <w:lang w:val="en-US" w:eastAsia="zh-CN" w:bidi="ar-SA"/>
              </w:rPr>
              <w:t>侧</w:t>
            </w:r>
            <w:r>
              <w:rPr>
                <w:rFonts w:hint="eastAsia" w:ascii="Times New Roman" w:hAnsi="Times New Roman" w:eastAsia="宋体" w:cs="Times New Roman"/>
                <w:snapToGrid w:val="0"/>
                <w:color w:val="auto"/>
                <w:kern w:val="0"/>
                <w:sz w:val="24"/>
                <w:szCs w:val="21"/>
                <w:lang w:val="en-US" w:eastAsia="zh-CN" w:bidi="ar-SA"/>
              </w:rPr>
              <w:t>倒班宿舍楼</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西侧食堂</w:t>
            </w:r>
            <w:r>
              <w:rPr>
                <w:rFonts w:hint="default" w:ascii="Times New Roman" w:hAnsi="Times New Roman" w:eastAsia="宋体" w:cs="Times New Roman"/>
                <w:snapToGrid w:val="0"/>
                <w:color w:val="auto"/>
                <w:kern w:val="0"/>
                <w:sz w:val="24"/>
                <w:szCs w:val="21"/>
                <w:lang w:val="en-US" w:eastAsia="zh-CN" w:bidi="ar-SA"/>
              </w:rPr>
              <w:t>。因此本项目辐射环境保护目标主要是医院内的辐射工作人员和其他公众人员</w:t>
            </w:r>
            <w:r>
              <w:rPr>
                <w:rFonts w:hint="default" w:ascii="Times New Roman" w:hAnsi="Times New Roman" w:eastAsia="宋体" w:cs="Times New Roman"/>
                <w:snapToGrid w:val="0"/>
                <w:color w:val="auto"/>
                <w:kern w:val="0"/>
                <w:sz w:val="24"/>
                <w:szCs w:val="21"/>
                <w:highlight w:val="none"/>
                <w:lang w:val="en-US" w:eastAsia="zh-CN" w:bidi="ar-SA"/>
              </w:rPr>
              <w:t>，北侧</w:t>
            </w:r>
            <w:r>
              <w:rPr>
                <w:rFonts w:hint="eastAsia" w:ascii="Times New Roman" w:hAnsi="Times New Roman" w:eastAsia="宋体" w:cs="Times New Roman"/>
                <w:snapToGrid w:val="0"/>
                <w:color w:val="auto"/>
                <w:kern w:val="0"/>
                <w:sz w:val="24"/>
                <w:szCs w:val="21"/>
                <w:highlight w:val="none"/>
                <w:lang w:val="en-US" w:eastAsia="zh-CN" w:bidi="ar-SA"/>
              </w:rPr>
              <w:t>医院厂界外</w:t>
            </w:r>
            <w:r>
              <w:rPr>
                <w:rFonts w:hint="default" w:ascii="Times New Roman" w:hAnsi="Times New Roman" w:eastAsia="宋体" w:cs="Times New Roman"/>
                <w:snapToGrid w:val="0"/>
                <w:color w:val="auto"/>
                <w:kern w:val="0"/>
                <w:sz w:val="24"/>
                <w:szCs w:val="21"/>
                <w:highlight w:val="none"/>
                <w:lang w:val="en-US" w:eastAsia="zh-CN" w:bidi="ar-SA"/>
              </w:rPr>
              <w:t>的</w:t>
            </w:r>
            <w:r>
              <w:rPr>
                <w:rFonts w:hint="eastAsia" w:ascii="Times New Roman" w:hAnsi="Times New Roman" w:eastAsia="宋体" w:cs="Times New Roman"/>
                <w:snapToGrid w:val="0"/>
                <w:color w:val="auto"/>
                <w:kern w:val="0"/>
                <w:sz w:val="24"/>
                <w:szCs w:val="21"/>
                <w:highlight w:val="none"/>
                <w:lang w:val="en-US" w:eastAsia="zh-CN" w:bidi="ar-SA"/>
              </w:rPr>
              <w:t>流动</w:t>
            </w:r>
            <w:r>
              <w:rPr>
                <w:rFonts w:hint="default" w:ascii="Times New Roman" w:hAnsi="Times New Roman" w:eastAsia="宋体" w:cs="Times New Roman"/>
                <w:snapToGrid w:val="0"/>
                <w:color w:val="auto"/>
                <w:kern w:val="0"/>
                <w:sz w:val="24"/>
                <w:szCs w:val="21"/>
                <w:highlight w:val="none"/>
                <w:lang w:val="en-US" w:eastAsia="zh-CN" w:bidi="ar-SA"/>
              </w:rPr>
              <w:t>人员</w:t>
            </w:r>
            <w:r>
              <w:rPr>
                <w:rFonts w:hint="default"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b w:val="0"/>
                <w:bCs/>
                <w:snapToGrid w:val="0"/>
                <w:color w:val="auto"/>
                <w:kern w:val="0"/>
                <w:sz w:val="24"/>
                <w:szCs w:val="21"/>
                <w:lang w:val="en-US" w:eastAsia="zh-CN" w:bidi="ar-SA"/>
              </w:rPr>
              <w:t>本项目辐射环境保护目标</w:t>
            </w:r>
            <w:r>
              <w:rPr>
                <w:rFonts w:hint="default" w:ascii="Times New Roman" w:hAnsi="Times New Roman" w:eastAsia="宋体" w:cs="Times New Roman"/>
                <w:snapToGrid w:val="0"/>
                <w:color w:val="auto"/>
                <w:kern w:val="0"/>
                <w:sz w:val="24"/>
                <w:szCs w:val="21"/>
                <w:lang w:val="en-US" w:eastAsia="zh-CN" w:bidi="ar-SA"/>
              </w:rPr>
              <w:t>具体见表7-1。</w:t>
            </w:r>
          </w:p>
          <w:p w14:paraId="01D66752">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snapToGrid w:val="0"/>
                <w:color w:val="auto"/>
                <w:kern w:val="0"/>
                <w:sz w:val="24"/>
                <w:szCs w:val="21"/>
                <w:lang w:val="en-US" w:eastAsia="zh-CN" w:bidi="ar-SA"/>
              </w:rPr>
            </w:pPr>
            <w:r>
              <w:rPr>
                <w:rFonts w:hint="default" w:ascii="Times New Roman" w:hAnsi="Times New Roman" w:eastAsia="宋体" w:cs="Times New Roman"/>
                <w:b/>
                <w:snapToGrid w:val="0"/>
                <w:color w:val="auto"/>
                <w:kern w:val="0"/>
                <w:sz w:val="24"/>
                <w:szCs w:val="21"/>
                <w:lang w:val="en-US" w:eastAsia="zh-CN" w:bidi="ar-SA"/>
              </w:rPr>
              <w:t>表7-1  本项目辐射环境保护目标一览表</w:t>
            </w:r>
          </w:p>
          <w:tbl>
            <w:tblPr>
              <w:tblStyle w:val="18"/>
              <w:tblW w:w="9271"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912"/>
              <w:gridCol w:w="3689"/>
              <w:gridCol w:w="1512"/>
              <w:gridCol w:w="969"/>
              <w:gridCol w:w="935"/>
              <w:gridCol w:w="1254"/>
            </w:tblGrid>
            <w:tr w14:paraId="01A1457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89" w:hRule="atLeast"/>
                <w:jc w:val="center"/>
              </w:trPr>
              <w:tc>
                <w:tcPr>
                  <w:tcW w:w="912" w:type="dxa"/>
                  <w:vAlign w:val="center"/>
                </w:tcPr>
                <w:p w14:paraId="3A6214A6">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建筑</w:t>
                  </w:r>
                </w:p>
              </w:tc>
              <w:tc>
                <w:tcPr>
                  <w:tcW w:w="3689" w:type="dxa"/>
                  <w:vAlign w:val="center"/>
                </w:tcPr>
                <w:p w14:paraId="72F77812">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保护目标（50m范围内）</w:t>
                  </w:r>
                </w:p>
              </w:tc>
              <w:tc>
                <w:tcPr>
                  <w:tcW w:w="1512" w:type="dxa"/>
                  <w:vAlign w:val="center"/>
                </w:tcPr>
                <w:p w14:paraId="3F66F995">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保护对象</w:t>
                  </w:r>
                </w:p>
              </w:tc>
              <w:tc>
                <w:tcPr>
                  <w:tcW w:w="969" w:type="dxa"/>
                  <w:vAlign w:val="center"/>
                </w:tcPr>
                <w:p w14:paraId="49974DF5">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方位</w:t>
                  </w:r>
                </w:p>
              </w:tc>
              <w:tc>
                <w:tcPr>
                  <w:tcW w:w="935" w:type="dxa"/>
                  <w:vAlign w:val="center"/>
                </w:tcPr>
                <w:p w14:paraId="317B5E5A">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最近距离（m）</w:t>
                  </w:r>
                </w:p>
              </w:tc>
              <w:tc>
                <w:tcPr>
                  <w:tcW w:w="1254" w:type="dxa"/>
                  <w:vAlign w:val="center"/>
                </w:tcPr>
                <w:p w14:paraId="452D6B4A">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人数</w:t>
                  </w:r>
                </w:p>
              </w:tc>
            </w:tr>
            <w:tr w14:paraId="616C425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7" w:hRule="atLeast"/>
                <w:jc w:val="center"/>
              </w:trPr>
              <w:tc>
                <w:tcPr>
                  <w:tcW w:w="912" w:type="dxa"/>
                  <w:vMerge w:val="restart"/>
                  <w:vAlign w:val="center"/>
                </w:tcPr>
                <w:p w14:paraId="3ABB5D35">
                  <w:pPr>
                    <w:pStyle w:val="26"/>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DSA机房及毗邻区</w:t>
                  </w:r>
                </w:p>
                <w:p w14:paraId="67B1CB7A">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7A46A7D7">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机房内</w:t>
                  </w:r>
                </w:p>
              </w:tc>
              <w:tc>
                <w:tcPr>
                  <w:tcW w:w="1512" w:type="dxa"/>
                  <w:vAlign w:val="center"/>
                </w:tcPr>
                <w:p w14:paraId="590F3186">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辐射工作人员</w:t>
                  </w:r>
                </w:p>
              </w:tc>
              <w:tc>
                <w:tcPr>
                  <w:tcW w:w="969" w:type="dxa"/>
                  <w:vAlign w:val="center"/>
                </w:tcPr>
                <w:p w14:paraId="16670EA8">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机房内</w:t>
                  </w:r>
                </w:p>
              </w:tc>
              <w:tc>
                <w:tcPr>
                  <w:tcW w:w="935" w:type="dxa"/>
                  <w:vAlign w:val="center"/>
                </w:tcPr>
                <w:p w14:paraId="4CA4323D">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w:t>
                  </w:r>
                </w:p>
              </w:tc>
              <w:tc>
                <w:tcPr>
                  <w:tcW w:w="1254" w:type="dxa"/>
                  <w:vAlign w:val="center"/>
                </w:tcPr>
                <w:p w14:paraId="6AD6F123">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约</w:t>
                  </w:r>
                  <w:r>
                    <w:rPr>
                      <w:rFonts w:hint="eastAsia" w:cs="Times New Roman"/>
                      <w:snapToGrid w:val="0"/>
                      <w:color w:val="auto"/>
                      <w:kern w:val="0"/>
                      <w:sz w:val="21"/>
                      <w:szCs w:val="21"/>
                      <w:lang w:val="en-US" w:eastAsia="zh-CN" w:bidi="ar-SA"/>
                    </w:rPr>
                    <w:t>5</w:t>
                  </w:r>
                  <w:r>
                    <w:rPr>
                      <w:rFonts w:hint="default" w:ascii="Times New Roman" w:hAnsi="Times New Roman" w:eastAsia="宋体" w:cs="Times New Roman"/>
                      <w:snapToGrid w:val="0"/>
                      <w:color w:val="auto"/>
                      <w:kern w:val="0"/>
                      <w:sz w:val="21"/>
                      <w:szCs w:val="21"/>
                      <w:lang w:val="en-US" w:eastAsia="zh-CN" w:bidi="ar-SA"/>
                    </w:rPr>
                    <w:t>人</w:t>
                  </w:r>
                </w:p>
              </w:tc>
            </w:tr>
            <w:tr w14:paraId="0275B82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19" w:hRule="atLeast"/>
                <w:jc w:val="center"/>
              </w:trPr>
              <w:tc>
                <w:tcPr>
                  <w:tcW w:w="912" w:type="dxa"/>
                  <w:vMerge w:val="continue"/>
                  <w:vAlign w:val="center"/>
                </w:tcPr>
                <w:p w14:paraId="6C00F0AE">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5CF504BA">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highlight w:val="none"/>
                      <w:lang w:val="en-US" w:eastAsia="zh-CN" w:bidi="ar-SA"/>
                    </w:rPr>
                  </w:pPr>
                  <w:r>
                    <w:rPr>
                      <w:rFonts w:hint="eastAsia" w:cs="Times New Roman"/>
                      <w:snapToGrid w:val="0"/>
                      <w:color w:val="auto"/>
                      <w:kern w:val="0"/>
                      <w:sz w:val="21"/>
                      <w:szCs w:val="21"/>
                      <w:highlight w:val="none"/>
                      <w:lang w:val="en-US" w:eastAsia="zh-CN" w:bidi="ar-SA"/>
                    </w:rPr>
                    <w:t>控制室、卫生间</w:t>
                  </w:r>
                </w:p>
              </w:tc>
              <w:tc>
                <w:tcPr>
                  <w:tcW w:w="1512" w:type="dxa"/>
                  <w:vAlign w:val="center"/>
                </w:tcPr>
                <w:p w14:paraId="2D241750">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highlight w:val="none"/>
                      <w:lang w:val="en-US" w:eastAsia="zh-CN" w:bidi="ar-SA"/>
                    </w:rPr>
                  </w:pPr>
                  <w:r>
                    <w:rPr>
                      <w:rFonts w:hint="default" w:ascii="Times New Roman" w:hAnsi="Times New Roman" w:eastAsia="宋体" w:cs="Times New Roman"/>
                      <w:snapToGrid w:val="0"/>
                      <w:color w:val="auto"/>
                      <w:kern w:val="0"/>
                      <w:sz w:val="21"/>
                      <w:szCs w:val="21"/>
                      <w:highlight w:val="none"/>
                      <w:lang w:val="en-US" w:eastAsia="zh-CN" w:bidi="ar-SA"/>
                    </w:rPr>
                    <w:t>辐射工作人员</w:t>
                  </w:r>
                </w:p>
              </w:tc>
              <w:tc>
                <w:tcPr>
                  <w:tcW w:w="969" w:type="dxa"/>
                  <w:vAlign w:val="center"/>
                </w:tcPr>
                <w:p w14:paraId="77BA9BD6">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highlight w:val="none"/>
                      <w:lang w:val="en-US" w:eastAsia="zh-CN" w:bidi="ar-SA"/>
                    </w:rPr>
                  </w:pPr>
                  <w:r>
                    <w:rPr>
                      <w:rFonts w:hint="eastAsia" w:cs="Times New Roman"/>
                      <w:snapToGrid w:val="0"/>
                      <w:color w:val="auto"/>
                      <w:kern w:val="0"/>
                      <w:sz w:val="21"/>
                      <w:szCs w:val="21"/>
                      <w:highlight w:val="none"/>
                      <w:lang w:val="en-US" w:eastAsia="zh-CN" w:bidi="ar-SA"/>
                    </w:rPr>
                    <w:t>东</w:t>
                  </w:r>
                </w:p>
              </w:tc>
              <w:tc>
                <w:tcPr>
                  <w:tcW w:w="935" w:type="dxa"/>
                  <w:vAlign w:val="center"/>
                </w:tcPr>
                <w:p w14:paraId="79DD126B">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highlight w:val="none"/>
                      <w:lang w:val="en-US" w:eastAsia="zh-CN" w:bidi="ar-SA"/>
                    </w:rPr>
                  </w:pPr>
                  <w:r>
                    <w:rPr>
                      <w:rFonts w:hint="eastAsia" w:cs="Times New Roman"/>
                      <w:snapToGrid w:val="0"/>
                      <w:color w:val="auto"/>
                      <w:kern w:val="0"/>
                      <w:sz w:val="21"/>
                      <w:szCs w:val="21"/>
                      <w:highlight w:val="none"/>
                      <w:lang w:val="en-US" w:eastAsia="zh-CN" w:bidi="ar-SA"/>
                    </w:rPr>
                    <w:t>0.5</w:t>
                  </w:r>
                </w:p>
              </w:tc>
              <w:tc>
                <w:tcPr>
                  <w:tcW w:w="1254" w:type="dxa"/>
                  <w:vAlign w:val="center"/>
                </w:tcPr>
                <w:p w14:paraId="6A7B51E2">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highlight w:val="yellow"/>
                      <w:lang w:val="en-US" w:eastAsia="zh-CN" w:bidi="ar-SA"/>
                    </w:rPr>
                  </w:pPr>
                  <w:r>
                    <w:rPr>
                      <w:rFonts w:hint="default" w:ascii="Times New Roman" w:hAnsi="Times New Roman" w:eastAsia="宋体" w:cs="Times New Roman"/>
                      <w:snapToGrid w:val="0"/>
                      <w:color w:val="auto"/>
                      <w:kern w:val="0"/>
                      <w:sz w:val="21"/>
                      <w:szCs w:val="21"/>
                      <w:lang w:val="en-US" w:eastAsia="zh-CN" w:bidi="ar-SA"/>
                    </w:rPr>
                    <w:t>约</w:t>
                  </w:r>
                  <w:r>
                    <w:rPr>
                      <w:rFonts w:hint="eastAsia" w:cs="Times New Roman"/>
                      <w:snapToGrid w:val="0"/>
                      <w:color w:val="auto"/>
                      <w:kern w:val="0"/>
                      <w:sz w:val="21"/>
                      <w:szCs w:val="21"/>
                      <w:lang w:val="en-US" w:eastAsia="zh-CN" w:bidi="ar-SA"/>
                    </w:rPr>
                    <w:t>5</w:t>
                  </w:r>
                  <w:r>
                    <w:rPr>
                      <w:rFonts w:hint="default" w:ascii="Times New Roman" w:hAnsi="Times New Roman" w:eastAsia="宋体" w:cs="Times New Roman"/>
                      <w:snapToGrid w:val="0"/>
                      <w:color w:val="auto"/>
                      <w:kern w:val="0"/>
                      <w:sz w:val="21"/>
                      <w:szCs w:val="21"/>
                      <w:lang w:val="en-US" w:eastAsia="zh-CN" w:bidi="ar-SA"/>
                    </w:rPr>
                    <w:t>人</w:t>
                  </w:r>
                </w:p>
              </w:tc>
            </w:tr>
            <w:tr w14:paraId="7A11C3D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91" w:hRule="atLeast"/>
                <w:jc w:val="center"/>
              </w:trPr>
              <w:tc>
                <w:tcPr>
                  <w:tcW w:w="912" w:type="dxa"/>
                  <w:vMerge w:val="continue"/>
                  <w:vAlign w:val="center"/>
                </w:tcPr>
                <w:p w14:paraId="7B7BABA5">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03746607">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大厅、电梯</w:t>
                  </w:r>
                </w:p>
              </w:tc>
              <w:tc>
                <w:tcPr>
                  <w:tcW w:w="1512" w:type="dxa"/>
                  <w:vAlign w:val="center"/>
                </w:tcPr>
                <w:p w14:paraId="7F1507EF">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09D3D1E0">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东</w:t>
                  </w:r>
                </w:p>
              </w:tc>
              <w:tc>
                <w:tcPr>
                  <w:tcW w:w="935" w:type="dxa"/>
                  <w:vAlign w:val="center"/>
                </w:tcPr>
                <w:p w14:paraId="19A47730">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2</w:t>
                  </w:r>
                </w:p>
              </w:tc>
              <w:tc>
                <w:tcPr>
                  <w:tcW w:w="1254" w:type="dxa"/>
                  <w:vAlign w:val="center"/>
                </w:tcPr>
                <w:p w14:paraId="7E0CD0D5">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流动人员</w:t>
                  </w:r>
                </w:p>
              </w:tc>
            </w:tr>
            <w:tr w14:paraId="3C622F5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912" w:type="dxa"/>
                  <w:vMerge w:val="continue"/>
                  <w:vAlign w:val="center"/>
                </w:tcPr>
                <w:p w14:paraId="54762D5E">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06197BE3">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b w:val="0"/>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病人缓冲间</w:t>
                  </w:r>
                </w:p>
              </w:tc>
              <w:tc>
                <w:tcPr>
                  <w:tcW w:w="1512" w:type="dxa"/>
                  <w:vAlign w:val="center"/>
                </w:tcPr>
                <w:p w14:paraId="70FF459A">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b w:val="0"/>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32350EE5">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b w:val="0"/>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南</w:t>
                  </w:r>
                </w:p>
              </w:tc>
              <w:tc>
                <w:tcPr>
                  <w:tcW w:w="935" w:type="dxa"/>
                  <w:vAlign w:val="center"/>
                </w:tcPr>
                <w:p w14:paraId="621D33C3">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b w:val="0"/>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0.5</w:t>
                  </w:r>
                </w:p>
              </w:tc>
              <w:tc>
                <w:tcPr>
                  <w:tcW w:w="1254" w:type="dxa"/>
                  <w:vAlign w:val="center"/>
                </w:tcPr>
                <w:p w14:paraId="65BDB7B5">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b w:val="0"/>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流动人员</w:t>
                  </w:r>
                </w:p>
              </w:tc>
            </w:tr>
            <w:tr w14:paraId="7DFBB10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83" w:hRule="atLeast"/>
                <w:jc w:val="center"/>
              </w:trPr>
              <w:tc>
                <w:tcPr>
                  <w:tcW w:w="912" w:type="dxa"/>
                  <w:vMerge w:val="continue"/>
                  <w:vAlign w:val="center"/>
                </w:tcPr>
                <w:p w14:paraId="67097773">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0140BC55">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走廊</w:t>
                  </w:r>
                </w:p>
              </w:tc>
              <w:tc>
                <w:tcPr>
                  <w:tcW w:w="1512" w:type="dxa"/>
                  <w:vAlign w:val="center"/>
                </w:tcPr>
                <w:p w14:paraId="78BD204D">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4F53BC1B">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南</w:t>
                  </w:r>
                </w:p>
              </w:tc>
              <w:tc>
                <w:tcPr>
                  <w:tcW w:w="935" w:type="dxa"/>
                  <w:vAlign w:val="center"/>
                </w:tcPr>
                <w:p w14:paraId="5F5184EA">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2</w:t>
                  </w:r>
                </w:p>
              </w:tc>
              <w:tc>
                <w:tcPr>
                  <w:tcW w:w="1254" w:type="dxa"/>
                  <w:vAlign w:val="center"/>
                </w:tcPr>
                <w:p w14:paraId="70B39F90">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流动人员</w:t>
                  </w:r>
                </w:p>
              </w:tc>
            </w:tr>
            <w:tr w14:paraId="6C63425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72" w:hRule="atLeast"/>
                <w:jc w:val="center"/>
              </w:trPr>
              <w:tc>
                <w:tcPr>
                  <w:tcW w:w="912" w:type="dxa"/>
                  <w:vMerge w:val="continue"/>
                  <w:vAlign w:val="center"/>
                </w:tcPr>
                <w:p w14:paraId="469D7590">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61121CEB">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检验中心</w:t>
                  </w:r>
                </w:p>
              </w:tc>
              <w:tc>
                <w:tcPr>
                  <w:tcW w:w="1512" w:type="dxa"/>
                  <w:vAlign w:val="center"/>
                </w:tcPr>
                <w:p w14:paraId="48A901FA">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6543061C">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南</w:t>
                  </w:r>
                </w:p>
              </w:tc>
              <w:tc>
                <w:tcPr>
                  <w:tcW w:w="935" w:type="dxa"/>
                  <w:vAlign w:val="center"/>
                </w:tcPr>
                <w:p w14:paraId="59E3FCD2">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4</w:t>
                  </w:r>
                </w:p>
              </w:tc>
              <w:tc>
                <w:tcPr>
                  <w:tcW w:w="1254" w:type="dxa"/>
                  <w:vAlign w:val="center"/>
                </w:tcPr>
                <w:p w14:paraId="2E544038">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约</w:t>
                  </w:r>
                  <w:r>
                    <w:rPr>
                      <w:rFonts w:hint="eastAsia" w:cs="Times New Roman"/>
                      <w:snapToGrid w:val="0"/>
                      <w:color w:val="auto"/>
                      <w:kern w:val="0"/>
                      <w:sz w:val="21"/>
                      <w:szCs w:val="21"/>
                      <w:lang w:val="en-US" w:eastAsia="zh-CN" w:bidi="ar-SA"/>
                    </w:rPr>
                    <w:t>10</w:t>
                  </w:r>
                  <w:r>
                    <w:rPr>
                      <w:rFonts w:hint="default" w:ascii="Times New Roman" w:hAnsi="Times New Roman" w:eastAsia="宋体" w:cs="Times New Roman"/>
                      <w:snapToGrid w:val="0"/>
                      <w:color w:val="auto"/>
                      <w:kern w:val="0"/>
                      <w:sz w:val="21"/>
                      <w:szCs w:val="21"/>
                      <w:lang w:val="en-US" w:eastAsia="zh-CN" w:bidi="ar-SA"/>
                    </w:rPr>
                    <w:t>人</w:t>
                  </w:r>
                </w:p>
              </w:tc>
            </w:tr>
            <w:tr w14:paraId="2245633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87" w:hRule="atLeast"/>
                <w:jc w:val="center"/>
              </w:trPr>
              <w:tc>
                <w:tcPr>
                  <w:tcW w:w="912" w:type="dxa"/>
                  <w:vMerge w:val="continue"/>
                  <w:vAlign w:val="center"/>
                </w:tcPr>
                <w:p w14:paraId="2B431664">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5CAC8310">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楼梯间</w:t>
                  </w:r>
                </w:p>
              </w:tc>
              <w:tc>
                <w:tcPr>
                  <w:tcW w:w="1512" w:type="dxa"/>
                  <w:vAlign w:val="center"/>
                </w:tcPr>
                <w:p w14:paraId="3F249F6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20714A16">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西</w:t>
                  </w:r>
                </w:p>
              </w:tc>
              <w:tc>
                <w:tcPr>
                  <w:tcW w:w="935" w:type="dxa"/>
                  <w:vAlign w:val="center"/>
                </w:tcPr>
                <w:p w14:paraId="73EF4970">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cs="Times New Roman"/>
                      <w:snapToGrid w:val="0"/>
                      <w:color w:val="auto"/>
                      <w:kern w:val="0"/>
                      <w:sz w:val="21"/>
                      <w:szCs w:val="21"/>
                      <w:lang w:val="en-US" w:eastAsia="zh-CN" w:bidi="ar-SA"/>
                    </w:rPr>
                    <w:t>0.5</w:t>
                  </w:r>
                </w:p>
              </w:tc>
              <w:tc>
                <w:tcPr>
                  <w:tcW w:w="1254" w:type="dxa"/>
                  <w:vAlign w:val="center"/>
                </w:tcPr>
                <w:p w14:paraId="30A03C55">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流动人员</w:t>
                  </w:r>
                </w:p>
              </w:tc>
            </w:tr>
            <w:tr w14:paraId="69878D5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87" w:hRule="atLeast"/>
                <w:jc w:val="center"/>
              </w:trPr>
              <w:tc>
                <w:tcPr>
                  <w:tcW w:w="912" w:type="dxa"/>
                  <w:vMerge w:val="continue"/>
                  <w:vAlign w:val="center"/>
                </w:tcPr>
                <w:p w14:paraId="0269073D">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2E7D5D7E">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消防中控室</w:t>
                  </w:r>
                </w:p>
              </w:tc>
              <w:tc>
                <w:tcPr>
                  <w:tcW w:w="1512" w:type="dxa"/>
                  <w:vAlign w:val="center"/>
                </w:tcPr>
                <w:p w14:paraId="53671938">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3276F332">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西</w:t>
                  </w:r>
                </w:p>
              </w:tc>
              <w:tc>
                <w:tcPr>
                  <w:tcW w:w="935" w:type="dxa"/>
                  <w:vAlign w:val="center"/>
                </w:tcPr>
                <w:p w14:paraId="444061C7">
                  <w:pPr>
                    <w:keepNext w:val="0"/>
                    <w:keepLines w:val="0"/>
                    <w:suppressLineNumbers w:val="0"/>
                    <w:spacing w:before="0" w:beforeAutospacing="0" w:after="0" w:afterAutospacing="0"/>
                    <w:ind w:left="0" w:leftChars="0" w:right="0" w:rightChars="0"/>
                    <w:jc w:val="center"/>
                    <w:rPr>
                      <w:rFonts w:hint="default" w:ascii="Times New Roman" w:hAnsi="Times New Roman" w:cs="Times New Roman"/>
                      <w:snapToGrid w:val="0"/>
                      <w:color w:val="auto"/>
                      <w:kern w:val="0"/>
                      <w:sz w:val="21"/>
                      <w:szCs w:val="21"/>
                      <w:lang w:val="en-US" w:eastAsia="zh-CN" w:bidi="ar-SA"/>
                    </w:rPr>
                  </w:pPr>
                  <w:r>
                    <w:rPr>
                      <w:rFonts w:hint="default" w:ascii="Times New Roman" w:hAnsi="Times New Roman" w:cs="Times New Roman"/>
                      <w:snapToGrid w:val="0"/>
                      <w:color w:val="auto"/>
                      <w:kern w:val="0"/>
                      <w:sz w:val="21"/>
                      <w:szCs w:val="21"/>
                      <w:lang w:val="en-US" w:eastAsia="zh-CN" w:bidi="ar-SA"/>
                    </w:rPr>
                    <w:t>0.5</w:t>
                  </w:r>
                </w:p>
              </w:tc>
              <w:tc>
                <w:tcPr>
                  <w:tcW w:w="1254" w:type="dxa"/>
                  <w:vAlign w:val="center"/>
                </w:tcPr>
                <w:p w14:paraId="48800382">
                  <w:pPr>
                    <w:keepNext w:val="0"/>
                    <w:keepLines w:val="0"/>
                    <w:suppressLineNumbers w:val="0"/>
                    <w:spacing w:before="0" w:beforeAutospacing="0" w:after="0" w:afterAutospacing="0"/>
                    <w:ind w:left="0" w:leftChars="0" w:right="0" w:rightChars="0"/>
                    <w:jc w:val="center"/>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流动人员</w:t>
                  </w:r>
                </w:p>
              </w:tc>
            </w:tr>
            <w:tr w14:paraId="24349C4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8" w:hRule="atLeast"/>
                <w:jc w:val="center"/>
              </w:trPr>
              <w:tc>
                <w:tcPr>
                  <w:tcW w:w="912" w:type="dxa"/>
                  <w:vMerge w:val="continue"/>
                  <w:vAlign w:val="center"/>
                </w:tcPr>
                <w:p w14:paraId="49FE4A79">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p>
              </w:tc>
              <w:tc>
                <w:tcPr>
                  <w:tcW w:w="3689" w:type="dxa"/>
                  <w:vAlign w:val="center"/>
                </w:tcPr>
                <w:p w14:paraId="4F8CAAE8">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医院内部道路</w:t>
                  </w:r>
                </w:p>
              </w:tc>
              <w:tc>
                <w:tcPr>
                  <w:tcW w:w="1512" w:type="dxa"/>
                  <w:vAlign w:val="center"/>
                </w:tcPr>
                <w:p w14:paraId="61794C76">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公众</w:t>
                  </w:r>
                </w:p>
              </w:tc>
              <w:tc>
                <w:tcPr>
                  <w:tcW w:w="969" w:type="dxa"/>
                  <w:vAlign w:val="center"/>
                </w:tcPr>
                <w:p w14:paraId="1E5A3104">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北</w:t>
                  </w:r>
                </w:p>
              </w:tc>
              <w:tc>
                <w:tcPr>
                  <w:tcW w:w="935" w:type="dxa"/>
                  <w:vAlign w:val="center"/>
                </w:tcPr>
                <w:p w14:paraId="022C680F">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0.5</w:t>
                  </w:r>
                </w:p>
              </w:tc>
              <w:tc>
                <w:tcPr>
                  <w:tcW w:w="1254" w:type="dxa"/>
                  <w:vAlign w:val="center"/>
                </w:tcPr>
                <w:p w14:paraId="7363C17A">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流动人员</w:t>
                  </w:r>
                </w:p>
              </w:tc>
            </w:tr>
            <w:tr w14:paraId="4947ED4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8" w:hRule="atLeast"/>
                <w:jc w:val="center"/>
              </w:trPr>
              <w:tc>
                <w:tcPr>
                  <w:tcW w:w="912" w:type="dxa"/>
                  <w:vMerge w:val="continue"/>
                  <w:vAlign w:val="center"/>
                </w:tcPr>
                <w:p w14:paraId="2A20EEB2">
                  <w:pPr>
                    <w:pStyle w:val="26"/>
                    <w:keepNext w:val="0"/>
                    <w:keepLines w:val="0"/>
                    <w:suppressLineNumbers w:val="0"/>
                    <w:spacing w:before="0" w:beforeAutospacing="0" w:after="0" w:afterAutospacing="0"/>
                    <w:ind w:left="0" w:right="0"/>
                    <w:rPr>
                      <w:rFonts w:hint="default"/>
                      <w:color w:val="auto"/>
                    </w:rPr>
                  </w:pPr>
                </w:p>
              </w:tc>
              <w:tc>
                <w:tcPr>
                  <w:tcW w:w="3689" w:type="dxa"/>
                  <w:vAlign w:val="center"/>
                </w:tcPr>
                <w:p w14:paraId="3D6AD68E">
                  <w:pPr>
                    <w:pStyle w:val="26"/>
                    <w:keepNext w:val="0"/>
                    <w:keepLines w:val="0"/>
                    <w:suppressLineNumbers w:val="0"/>
                    <w:spacing w:before="0" w:beforeAutospacing="0" w:after="0" w:afterAutospacing="0"/>
                    <w:ind w:left="0" w:leftChars="0" w:right="0" w:rightChars="0" w:firstLine="0" w:firstLineChars="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口腔科、五官科*</w:t>
                  </w:r>
                </w:p>
              </w:tc>
              <w:tc>
                <w:tcPr>
                  <w:tcW w:w="1512" w:type="dxa"/>
                  <w:vAlign w:val="center"/>
                </w:tcPr>
                <w:p w14:paraId="73E68E72">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38ED2C6A">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楼上</w:t>
                  </w:r>
                </w:p>
              </w:tc>
              <w:tc>
                <w:tcPr>
                  <w:tcW w:w="935" w:type="dxa"/>
                  <w:vAlign w:val="center"/>
                </w:tcPr>
                <w:p w14:paraId="4B981F4D">
                  <w:pPr>
                    <w:pStyle w:val="26"/>
                    <w:keepNext w:val="0"/>
                    <w:keepLines w:val="0"/>
                    <w:suppressLineNumbers w:val="0"/>
                    <w:spacing w:before="0" w:beforeAutospacing="0" w:after="0" w:afterAutospacing="0"/>
                    <w:ind w:left="0" w:leftChars="0" w:right="0" w:rightChars="0" w:firstLine="0" w:firstLineChars="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0.5</w:t>
                  </w:r>
                </w:p>
              </w:tc>
              <w:tc>
                <w:tcPr>
                  <w:tcW w:w="1254" w:type="dxa"/>
                  <w:vAlign w:val="center"/>
                </w:tcPr>
                <w:p w14:paraId="1704BD66">
                  <w:pPr>
                    <w:pStyle w:val="26"/>
                    <w:keepNext w:val="0"/>
                    <w:keepLines w:val="0"/>
                    <w:suppressLineNumbers w:val="0"/>
                    <w:spacing w:before="0" w:beforeAutospacing="0" w:after="0" w:afterAutospacing="0"/>
                    <w:ind w:left="0" w:leftChars="0" w:right="0" w:rightChars="0" w:firstLine="0" w:firstLineChars="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约5人</w:t>
                  </w:r>
                </w:p>
              </w:tc>
            </w:tr>
            <w:tr w14:paraId="4573BF0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912" w:type="dxa"/>
                  <w:vMerge w:val="restart"/>
                  <w:vAlign w:val="center"/>
                </w:tcPr>
                <w:p w14:paraId="6F22E780">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综合楼</w:t>
                  </w:r>
                </w:p>
              </w:tc>
              <w:tc>
                <w:tcPr>
                  <w:tcW w:w="3689" w:type="dxa"/>
                  <w:vAlign w:val="center"/>
                </w:tcPr>
                <w:p w14:paraId="111FE467">
                  <w:pPr>
                    <w:pStyle w:val="26"/>
                    <w:keepNext w:val="0"/>
                    <w:keepLines w:val="0"/>
                    <w:suppressLineNumbers w:val="0"/>
                    <w:spacing w:before="0" w:beforeAutospacing="0" w:after="0" w:afterAutospacing="0"/>
                    <w:ind w:left="0" w:leftChars="0" w:right="0" w:rightChars="0" w:firstLine="0" w:firstLineChars="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1楼：急诊室、抢救室、急诊监护室、观察室、心电图室、</w:t>
                  </w:r>
                  <w:r>
                    <w:rPr>
                      <w:rFonts w:hint="eastAsia" w:cs="Times New Roman"/>
                      <w:snapToGrid w:val="0"/>
                      <w:color w:val="auto"/>
                      <w:kern w:val="0"/>
                      <w:sz w:val="21"/>
                      <w:szCs w:val="21"/>
                      <w:lang w:val="en-US" w:eastAsia="zh-CN" w:bidi="ar-SA"/>
                    </w:rPr>
                    <w:t>输液大厅、门诊交费、观察室、出入院管理、彩超室、影像中心（</w:t>
                  </w:r>
                  <w:r>
                    <w:rPr>
                      <w:rFonts w:hint="eastAsia" w:cs="Times New Roman"/>
                      <w:snapToGrid w:val="0"/>
                      <w:color w:val="auto"/>
                      <w:kern w:val="0"/>
                      <w:sz w:val="21"/>
                      <w:szCs w:val="21"/>
                      <w:highlight w:val="none"/>
                      <w:lang w:val="en-US" w:eastAsia="zh-CN" w:bidi="ar-SA"/>
                    </w:rPr>
                    <w:t>CT室、DR室</w:t>
                  </w:r>
                  <w:r>
                    <w:rPr>
                      <w:rFonts w:hint="eastAsia" w:cs="Times New Roman"/>
                      <w:snapToGrid w:val="0"/>
                      <w:color w:val="auto"/>
                      <w:kern w:val="0"/>
                      <w:sz w:val="21"/>
                      <w:szCs w:val="21"/>
                      <w:lang w:val="en-US" w:eastAsia="zh-CN" w:bidi="ar-SA"/>
                    </w:rPr>
                    <w:t>、核磁共振室）碎石中心 中心药房等</w:t>
                  </w:r>
                </w:p>
              </w:tc>
              <w:tc>
                <w:tcPr>
                  <w:tcW w:w="1512" w:type="dxa"/>
                  <w:vAlign w:val="center"/>
                </w:tcPr>
                <w:p w14:paraId="2511C66F">
                  <w:pPr>
                    <w:pStyle w:val="26"/>
                    <w:keepNext w:val="0"/>
                    <w:keepLines w:val="0"/>
                    <w:suppressLineNumbers w:val="0"/>
                    <w:spacing w:before="0" w:beforeAutospacing="0" w:after="0" w:afterAutospacing="0"/>
                    <w:ind w:left="0" w:leftChars="0" w:right="0" w:rightChars="0" w:firstLine="0" w:firstLineChars="0"/>
                    <w:rPr>
                      <w:rFonts w:hint="eastAsia" w:cs="Times New Roman"/>
                      <w:b/>
                      <w:bCs/>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一般辐射工作人员（CT、DR操作人员）</w:t>
                  </w:r>
                  <w:r>
                    <w:rPr>
                      <w:rFonts w:hint="eastAsia" w:cs="Times New Roman"/>
                      <w:snapToGrid w:val="0"/>
                      <w:color w:val="auto"/>
                      <w:kern w:val="0"/>
                      <w:sz w:val="21"/>
                      <w:szCs w:val="21"/>
                      <w:lang w:val="en-US" w:eastAsia="zh-CN" w:bidi="ar-SA"/>
                    </w:rPr>
                    <w:t>和公众</w:t>
                  </w:r>
                </w:p>
              </w:tc>
              <w:tc>
                <w:tcPr>
                  <w:tcW w:w="969" w:type="dxa"/>
                  <w:vAlign w:val="center"/>
                </w:tcPr>
                <w:p w14:paraId="066EB606">
                  <w:pPr>
                    <w:pStyle w:val="26"/>
                    <w:keepNext w:val="0"/>
                    <w:keepLines w:val="0"/>
                    <w:suppressLineNumbers w:val="0"/>
                    <w:spacing w:before="0" w:beforeAutospacing="0" w:after="0" w:afterAutospacing="0"/>
                    <w:ind w:left="0" w:leftChars="0" w:right="0" w:rightChars="0" w:firstLine="0" w:firstLineChars="0"/>
                    <w:rPr>
                      <w:rFonts w:hint="eastAsia" w:cs="Times New Roman"/>
                      <w:b/>
                      <w:bCs/>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四周</w:t>
                  </w:r>
                </w:p>
              </w:tc>
              <w:tc>
                <w:tcPr>
                  <w:tcW w:w="935" w:type="dxa"/>
                  <w:vAlign w:val="center"/>
                </w:tcPr>
                <w:p w14:paraId="0A271D24">
                  <w:pPr>
                    <w:pStyle w:val="26"/>
                    <w:keepNext w:val="0"/>
                    <w:keepLines w:val="0"/>
                    <w:suppressLineNumbers w:val="0"/>
                    <w:spacing w:before="0" w:beforeAutospacing="0" w:after="0" w:afterAutospacing="0"/>
                    <w:ind w:left="0" w:leftChars="0" w:right="0" w:rightChars="0" w:firstLine="0" w:firstLineChars="0"/>
                    <w:rPr>
                      <w:rFonts w:hint="default" w:cs="Times New Roman"/>
                      <w:b/>
                      <w:bCs/>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13</w:t>
                  </w:r>
                </w:p>
              </w:tc>
              <w:tc>
                <w:tcPr>
                  <w:tcW w:w="1254" w:type="dxa"/>
                  <w:vMerge w:val="restart"/>
                  <w:vAlign w:val="center"/>
                </w:tcPr>
                <w:p w14:paraId="3A372520">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约</w:t>
                  </w:r>
                  <w:r>
                    <w:rPr>
                      <w:rFonts w:hint="eastAsia" w:cs="Times New Roman"/>
                      <w:snapToGrid w:val="0"/>
                      <w:color w:val="auto"/>
                      <w:kern w:val="0"/>
                      <w:sz w:val="21"/>
                      <w:szCs w:val="21"/>
                      <w:lang w:val="en-US" w:eastAsia="zh-CN" w:bidi="ar-SA"/>
                    </w:rPr>
                    <w:t>500</w:t>
                  </w:r>
                  <w:r>
                    <w:rPr>
                      <w:rFonts w:hint="default" w:ascii="Times New Roman" w:hAnsi="Times New Roman" w:eastAsia="宋体" w:cs="Times New Roman"/>
                      <w:snapToGrid w:val="0"/>
                      <w:color w:val="auto"/>
                      <w:kern w:val="0"/>
                      <w:sz w:val="21"/>
                      <w:szCs w:val="21"/>
                      <w:lang w:val="en-US" w:eastAsia="zh-CN" w:bidi="ar-SA"/>
                    </w:rPr>
                    <w:t>人</w:t>
                  </w:r>
                </w:p>
              </w:tc>
            </w:tr>
            <w:tr w14:paraId="7119221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912" w:type="dxa"/>
                  <w:vMerge w:val="continue"/>
                  <w:vAlign w:val="center"/>
                </w:tcPr>
                <w:p w14:paraId="3AC4A415">
                  <w:pPr>
                    <w:pStyle w:val="26"/>
                    <w:keepNext w:val="0"/>
                    <w:keepLines w:val="0"/>
                    <w:suppressLineNumbers w:val="0"/>
                    <w:spacing w:before="0" w:beforeAutospacing="0" w:after="0" w:afterAutospacing="0"/>
                    <w:ind w:left="0" w:right="0"/>
                    <w:rPr>
                      <w:rFonts w:hint="default"/>
                      <w:color w:val="auto"/>
                      <w:sz w:val="21"/>
                      <w:szCs w:val="21"/>
                    </w:rPr>
                  </w:pPr>
                </w:p>
              </w:tc>
              <w:tc>
                <w:tcPr>
                  <w:tcW w:w="3689" w:type="dxa"/>
                  <w:vAlign w:val="center"/>
                </w:tcPr>
                <w:p w14:paraId="3C2DF6AB">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2楼：妇产科门诊、妇产科病区、眼科、内窥镜室、体检科等</w:t>
                  </w:r>
                </w:p>
              </w:tc>
              <w:tc>
                <w:tcPr>
                  <w:tcW w:w="1512" w:type="dxa"/>
                  <w:vAlign w:val="center"/>
                </w:tcPr>
                <w:p w14:paraId="3C8C3058">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13396D15">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楼上</w:t>
                  </w:r>
                </w:p>
              </w:tc>
              <w:tc>
                <w:tcPr>
                  <w:tcW w:w="935" w:type="dxa"/>
                  <w:vAlign w:val="center"/>
                </w:tcPr>
                <w:p w14:paraId="609A75B0">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5</w:t>
                  </w:r>
                </w:p>
              </w:tc>
              <w:tc>
                <w:tcPr>
                  <w:tcW w:w="1254" w:type="dxa"/>
                  <w:vMerge w:val="continue"/>
                  <w:vAlign w:val="center"/>
                </w:tcPr>
                <w:p w14:paraId="4B99A1A2">
                  <w:pPr>
                    <w:keepNext w:val="0"/>
                    <w:keepLines w:val="0"/>
                    <w:suppressLineNumbers w:val="0"/>
                    <w:spacing w:before="0" w:beforeAutospacing="0" w:after="0" w:afterAutospacing="0"/>
                    <w:ind w:left="0" w:right="0"/>
                    <w:jc w:val="center"/>
                    <w:rPr>
                      <w:rFonts w:hint="default" w:cs="Times New Roman"/>
                      <w:snapToGrid w:val="0"/>
                      <w:color w:val="auto"/>
                      <w:kern w:val="0"/>
                      <w:sz w:val="21"/>
                      <w:szCs w:val="21"/>
                      <w:lang w:val="en-US" w:eastAsia="zh-CN" w:bidi="ar-SA"/>
                    </w:rPr>
                  </w:pPr>
                </w:p>
              </w:tc>
            </w:tr>
            <w:tr w14:paraId="1DD2E0B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912" w:type="dxa"/>
                  <w:vMerge w:val="continue"/>
                  <w:vAlign w:val="center"/>
                </w:tcPr>
                <w:p w14:paraId="720E37C8">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p>
              </w:tc>
              <w:tc>
                <w:tcPr>
                  <w:tcW w:w="3689" w:type="dxa"/>
                  <w:vAlign w:val="center"/>
                </w:tcPr>
                <w:p w14:paraId="79AE6114">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3楼：手术室、康复治疗中心、重症监护室等</w:t>
                  </w:r>
                </w:p>
              </w:tc>
              <w:tc>
                <w:tcPr>
                  <w:tcW w:w="1512" w:type="dxa"/>
                  <w:vAlign w:val="center"/>
                </w:tcPr>
                <w:p w14:paraId="4DF03E4D">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6D0D59A1">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楼上</w:t>
                  </w:r>
                </w:p>
              </w:tc>
              <w:tc>
                <w:tcPr>
                  <w:tcW w:w="935" w:type="dxa"/>
                  <w:vAlign w:val="center"/>
                </w:tcPr>
                <w:p w14:paraId="1D50A310">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10</w:t>
                  </w:r>
                </w:p>
              </w:tc>
              <w:tc>
                <w:tcPr>
                  <w:tcW w:w="1254" w:type="dxa"/>
                  <w:vMerge w:val="continue"/>
                  <w:vAlign w:val="center"/>
                </w:tcPr>
                <w:p w14:paraId="08B5ECF4">
                  <w:pPr>
                    <w:keepNext w:val="0"/>
                    <w:keepLines w:val="0"/>
                    <w:suppressLineNumbers w:val="0"/>
                    <w:spacing w:before="0" w:beforeAutospacing="0" w:after="0" w:afterAutospacing="0"/>
                    <w:ind w:left="0" w:right="0"/>
                    <w:jc w:val="center"/>
                    <w:rPr>
                      <w:rFonts w:hint="default" w:cs="Times New Roman"/>
                      <w:snapToGrid w:val="0"/>
                      <w:color w:val="auto"/>
                      <w:kern w:val="0"/>
                      <w:sz w:val="21"/>
                      <w:szCs w:val="21"/>
                      <w:lang w:val="en-US" w:eastAsia="zh-CN" w:bidi="ar-SA"/>
                    </w:rPr>
                  </w:pPr>
                </w:p>
              </w:tc>
            </w:tr>
            <w:tr w14:paraId="7542EAD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912" w:type="dxa"/>
                  <w:vMerge w:val="continue"/>
                  <w:vAlign w:val="center"/>
                </w:tcPr>
                <w:p w14:paraId="18E9B639">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p>
              </w:tc>
              <w:tc>
                <w:tcPr>
                  <w:tcW w:w="3689" w:type="dxa"/>
                  <w:vAlign w:val="center"/>
                </w:tcPr>
                <w:p w14:paraId="2E054A08">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4楼：大外科病区：微创外科、肛肠病治疗、泌尿外科、脑外科、整形外科等</w:t>
                  </w:r>
                </w:p>
              </w:tc>
              <w:tc>
                <w:tcPr>
                  <w:tcW w:w="1512" w:type="dxa"/>
                  <w:vAlign w:val="center"/>
                </w:tcPr>
                <w:p w14:paraId="1F0A0276">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4ED692FC">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楼上</w:t>
                  </w:r>
                </w:p>
              </w:tc>
              <w:tc>
                <w:tcPr>
                  <w:tcW w:w="935" w:type="dxa"/>
                  <w:vAlign w:val="center"/>
                </w:tcPr>
                <w:p w14:paraId="34C10BEC">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15</w:t>
                  </w:r>
                </w:p>
              </w:tc>
              <w:tc>
                <w:tcPr>
                  <w:tcW w:w="1254" w:type="dxa"/>
                  <w:vMerge w:val="continue"/>
                  <w:vAlign w:val="center"/>
                </w:tcPr>
                <w:p w14:paraId="38D7522F">
                  <w:pPr>
                    <w:keepNext w:val="0"/>
                    <w:keepLines w:val="0"/>
                    <w:suppressLineNumbers w:val="0"/>
                    <w:spacing w:before="0" w:beforeAutospacing="0" w:after="0" w:afterAutospacing="0"/>
                    <w:ind w:left="0" w:right="0"/>
                    <w:jc w:val="center"/>
                    <w:rPr>
                      <w:rFonts w:hint="eastAsia" w:cs="Times New Roman"/>
                      <w:snapToGrid w:val="0"/>
                      <w:color w:val="auto"/>
                      <w:kern w:val="0"/>
                      <w:sz w:val="21"/>
                      <w:szCs w:val="21"/>
                      <w:lang w:val="en-US" w:eastAsia="zh-CN" w:bidi="ar-SA"/>
                    </w:rPr>
                  </w:pPr>
                </w:p>
              </w:tc>
            </w:tr>
            <w:tr w14:paraId="7C8E076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912" w:type="dxa"/>
                  <w:vMerge w:val="continue"/>
                  <w:vAlign w:val="center"/>
                </w:tcPr>
                <w:p w14:paraId="2682E829">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p>
              </w:tc>
              <w:tc>
                <w:tcPr>
                  <w:tcW w:w="3689" w:type="dxa"/>
                  <w:vAlign w:val="center"/>
                </w:tcPr>
                <w:p w14:paraId="571842CB">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b w:val="0"/>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5楼：大内科病区：心内科、呼吸内科、儿科、神经内科、内分泌科、消化内科等</w:t>
                  </w:r>
                </w:p>
              </w:tc>
              <w:tc>
                <w:tcPr>
                  <w:tcW w:w="1512" w:type="dxa"/>
                  <w:vAlign w:val="center"/>
                </w:tcPr>
                <w:p w14:paraId="6367B95C">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4EF479C4">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楼上</w:t>
                  </w:r>
                </w:p>
              </w:tc>
              <w:tc>
                <w:tcPr>
                  <w:tcW w:w="935" w:type="dxa"/>
                  <w:vAlign w:val="center"/>
                </w:tcPr>
                <w:p w14:paraId="2F98E7F0">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20</w:t>
                  </w:r>
                </w:p>
              </w:tc>
              <w:tc>
                <w:tcPr>
                  <w:tcW w:w="1254" w:type="dxa"/>
                  <w:vMerge w:val="continue"/>
                  <w:vAlign w:val="center"/>
                </w:tcPr>
                <w:p w14:paraId="31C8B189">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sz w:val="21"/>
                      <w:szCs w:val="21"/>
                      <w:lang w:val="en-US" w:eastAsia="zh-CN" w:bidi="ar-SA"/>
                    </w:rPr>
                  </w:pPr>
                </w:p>
              </w:tc>
            </w:tr>
            <w:tr w14:paraId="4F46A90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4" w:hRule="atLeast"/>
                <w:jc w:val="center"/>
              </w:trPr>
              <w:tc>
                <w:tcPr>
                  <w:tcW w:w="912" w:type="dxa"/>
                  <w:vMerge w:val="continue"/>
                  <w:vAlign w:val="center"/>
                </w:tcPr>
                <w:p w14:paraId="4009232B">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p>
              </w:tc>
              <w:tc>
                <w:tcPr>
                  <w:tcW w:w="3689" w:type="dxa"/>
                  <w:vAlign w:val="center"/>
                </w:tcPr>
                <w:p w14:paraId="2DB1F598">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6楼：骨科（脊椎、创伤、关节）</w:t>
                  </w:r>
                </w:p>
              </w:tc>
              <w:tc>
                <w:tcPr>
                  <w:tcW w:w="1512" w:type="dxa"/>
                  <w:vAlign w:val="center"/>
                </w:tcPr>
                <w:p w14:paraId="6A580B89">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3F4DF012">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楼上</w:t>
                  </w:r>
                </w:p>
              </w:tc>
              <w:tc>
                <w:tcPr>
                  <w:tcW w:w="935" w:type="dxa"/>
                  <w:vAlign w:val="center"/>
                </w:tcPr>
                <w:p w14:paraId="415E23F4">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25</w:t>
                  </w:r>
                </w:p>
              </w:tc>
              <w:tc>
                <w:tcPr>
                  <w:tcW w:w="1254" w:type="dxa"/>
                  <w:vMerge w:val="continue"/>
                  <w:vAlign w:val="center"/>
                </w:tcPr>
                <w:p w14:paraId="66A4F88D">
                  <w:pPr>
                    <w:keepNext w:val="0"/>
                    <w:keepLines w:val="0"/>
                    <w:suppressLineNumbers w:val="0"/>
                    <w:spacing w:before="0" w:beforeAutospacing="0" w:after="0" w:afterAutospacing="0"/>
                    <w:ind w:left="0" w:leftChars="0" w:right="0" w:rightChars="0"/>
                    <w:jc w:val="center"/>
                    <w:rPr>
                      <w:rFonts w:hint="eastAsia" w:cs="Times New Roman"/>
                      <w:snapToGrid w:val="0"/>
                      <w:color w:val="auto"/>
                      <w:kern w:val="0"/>
                      <w:sz w:val="21"/>
                      <w:szCs w:val="21"/>
                      <w:lang w:val="en-US" w:eastAsia="zh-CN" w:bidi="ar-SA"/>
                    </w:rPr>
                  </w:pPr>
                </w:p>
              </w:tc>
            </w:tr>
            <w:tr w14:paraId="19524CD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06" w:hRule="atLeast"/>
                <w:jc w:val="center"/>
              </w:trPr>
              <w:tc>
                <w:tcPr>
                  <w:tcW w:w="912" w:type="dxa"/>
                  <w:vAlign w:val="center"/>
                </w:tcPr>
                <w:p w14:paraId="766E7807">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综合楼外</w:t>
                  </w:r>
                </w:p>
              </w:tc>
              <w:tc>
                <w:tcPr>
                  <w:tcW w:w="3689" w:type="dxa"/>
                  <w:vAlign w:val="center"/>
                </w:tcPr>
                <w:p w14:paraId="3C3D632C">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倒班宿舍楼、食堂、停车场、绿化带、过道等</w:t>
                  </w:r>
                </w:p>
              </w:tc>
              <w:tc>
                <w:tcPr>
                  <w:tcW w:w="1512" w:type="dxa"/>
                  <w:vAlign w:val="center"/>
                </w:tcPr>
                <w:p w14:paraId="1786FEAE">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5CF925C4">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四周</w:t>
                  </w:r>
                </w:p>
              </w:tc>
              <w:tc>
                <w:tcPr>
                  <w:tcW w:w="935" w:type="dxa"/>
                  <w:vAlign w:val="center"/>
                </w:tcPr>
                <w:p w14:paraId="7381E5E5">
                  <w:pPr>
                    <w:pStyle w:val="26"/>
                    <w:keepNext w:val="0"/>
                    <w:keepLines w:val="0"/>
                    <w:suppressLineNumbers w:val="0"/>
                    <w:spacing w:before="0" w:beforeAutospacing="0" w:after="0" w:afterAutospacing="0"/>
                    <w:ind w:left="0" w:right="0"/>
                    <w:rPr>
                      <w:rFonts w:hint="default"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50米内</w:t>
                  </w:r>
                </w:p>
              </w:tc>
              <w:tc>
                <w:tcPr>
                  <w:tcW w:w="1254" w:type="dxa"/>
                  <w:vAlign w:val="center"/>
                </w:tcPr>
                <w:p w14:paraId="24B767D5">
                  <w:pPr>
                    <w:pStyle w:val="26"/>
                    <w:keepNext w:val="0"/>
                    <w:keepLines w:val="0"/>
                    <w:suppressLineNumbers w:val="0"/>
                    <w:spacing w:before="0" w:beforeAutospacing="0" w:after="0" w:afterAutospacing="0"/>
                    <w:ind w:left="0" w:right="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约</w:t>
                  </w:r>
                  <w:r>
                    <w:rPr>
                      <w:rFonts w:hint="eastAsia" w:cs="Times New Roman"/>
                      <w:snapToGrid w:val="0"/>
                      <w:color w:val="auto"/>
                      <w:kern w:val="0"/>
                      <w:sz w:val="21"/>
                      <w:szCs w:val="21"/>
                      <w:lang w:val="en-US" w:eastAsia="zh-CN" w:bidi="ar-SA"/>
                    </w:rPr>
                    <w:t>50</w:t>
                  </w:r>
                  <w:r>
                    <w:rPr>
                      <w:rFonts w:hint="default" w:ascii="Times New Roman" w:hAnsi="Times New Roman" w:eastAsia="宋体" w:cs="Times New Roman"/>
                      <w:snapToGrid w:val="0"/>
                      <w:color w:val="auto"/>
                      <w:kern w:val="0"/>
                      <w:sz w:val="21"/>
                      <w:szCs w:val="21"/>
                      <w:lang w:val="en-US" w:eastAsia="zh-CN" w:bidi="ar-SA"/>
                    </w:rPr>
                    <w:t>人</w:t>
                  </w:r>
                </w:p>
              </w:tc>
            </w:tr>
            <w:tr w14:paraId="266A2EC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06" w:hRule="atLeast"/>
                <w:jc w:val="center"/>
              </w:trPr>
              <w:tc>
                <w:tcPr>
                  <w:tcW w:w="912" w:type="dxa"/>
                  <w:vAlign w:val="center"/>
                </w:tcPr>
                <w:p w14:paraId="3F0E47E5">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医院厂界外</w:t>
                  </w:r>
                </w:p>
              </w:tc>
              <w:tc>
                <w:tcPr>
                  <w:tcW w:w="3689" w:type="dxa"/>
                  <w:vAlign w:val="center"/>
                </w:tcPr>
                <w:p w14:paraId="7F58BEB7">
                  <w:pPr>
                    <w:pStyle w:val="26"/>
                    <w:keepNext w:val="0"/>
                    <w:keepLines w:val="0"/>
                    <w:suppressLineNumbers w:val="0"/>
                    <w:spacing w:before="0" w:beforeAutospacing="0" w:after="0" w:afterAutospacing="0"/>
                    <w:ind w:left="0" w:right="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北侧厂界外空地</w:t>
                  </w:r>
                </w:p>
              </w:tc>
              <w:tc>
                <w:tcPr>
                  <w:tcW w:w="1512" w:type="dxa"/>
                  <w:vAlign w:val="center"/>
                </w:tcPr>
                <w:p w14:paraId="50080EBB">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公众</w:t>
                  </w:r>
                </w:p>
              </w:tc>
              <w:tc>
                <w:tcPr>
                  <w:tcW w:w="969" w:type="dxa"/>
                  <w:vAlign w:val="center"/>
                </w:tcPr>
                <w:p w14:paraId="0E4EC314">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北侧</w:t>
                  </w:r>
                </w:p>
              </w:tc>
              <w:tc>
                <w:tcPr>
                  <w:tcW w:w="935" w:type="dxa"/>
                  <w:vAlign w:val="center"/>
                </w:tcPr>
                <w:p w14:paraId="5440AEF7">
                  <w:pPr>
                    <w:pStyle w:val="26"/>
                    <w:keepNext w:val="0"/>
                    <w:keepLines w:val="0"/>
                    <w:suppressLineNumbers w:val="0"/>
                    <w:spacing w:before="0" w:beforeAutospacing="0" w:after="0" w:afterAutospacing="0"/>
                    <w:ind w:left="0" w:leftChars="0" w:right="0" w:rightChars="0" w:firstLine="0" w:firstLineChars="0"/>
                    <w:rPr>
                      <w:rFonts w:hint="eastAsia" w:cs="Times New Roman"/>
                      <w:snapToGrid w:val="0"/>
                      <w:color w:val="auto"/>
                      <w:kern w:val="0"/>
                      <w:sz w:val="21"/>
                      <w:szCs w:val="21"/>
                      <w:lang w:val="en-US" w:eastAsia="zh-CN" w:bidi="ar-SA"/>
                    </w:rPr>
                  </w:pPr>
                  <w:r>
                    <w:rPr>
                      <w:rFonts w:hint="eastAsia" w:cs="Times New Roman"/>
                      <w:snapToGrid w:val="0"/>
                      <w:color w:val="auto"/>
                      <w:kern w:val="0"/>
                      <w:sz w:val="21"/>
                      <w:szCs w:val="21"/>
                      <w:lang w:val="en-US" w:eastAsia="zh-CN" w:bidi="ar-SA"/>
                    </w:rPr>
                    <w:t>50米内</w:t>
                  </w:r>
                </w:p>
              </w:tc>
              <w:tc>
                <w:tcPr>
                  <w:tcW w:w="1254" w:type="dxa"/>
                  <w:vAlign w:val="center"/>
                </w:tcPr>
                <w:p w14:paraId="7AAB4B35">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约</w:t>
                  </w:r>
                  <w:r>
                    <w:rPr>
                      <w:rFonts w:hint="eastAsia" w:cs="Times New Roman"/>
                      <w:snapToGrid w:val="0"/>
                      <w:color w:val="auto"/>
                      <w:kern w:val="0"/>
                      <w:sz w:val="21"/>
                      <w:szCs w:val="21"/>
                      <w:lang w:val="en-US" w:eastAsia="zh-CN" w:bidi="ar-SA"/>
                    </w:rPr>
                    <w:t>5</w:t>
                  </w:r>
                  <w:r>
                    <w:rPr>
                      <w:rFonts w:hint="default" w:ascii="Times New Roman" w:hAnsi="Times New Roman" w:eastAsia="宋体" w:cs="Times New Roman"/>
                      <w:snapToGrid w:val="0"/>
                      <w:color w:val="auto"/>
                      <w:kern w:val="0"/>
                      <w:sz w:val="21"/>
                      <w:szCs w:val="21"/>
                      <w:lang w:val="en-US" w:eastAsia="zh-CN" w:bidi="ar-SA"/>
                    </w:rPr>
                    <w:t>人</w:t>
                  </w:r>
                </w:p>
              </w:tc>
            </w:tr>
          </w:tbl>
          <w:p w14:paraId="4551825F">
            <w:pPr>
              <w:keepNext w:val="0"/>
              <w:keepLines w:val="0"/>
              <w:widowControl w:val="0"/>
              <w:suppressLineNumbers w:val="0"/>
              <w:spacing w:before="0" w:beforeAutospacing="0" w:after="0" w:afterAutospacing="0" w:line="240" w:lineRule="auto"/>
              <w:ind w:left="0" w:right="0" w:firstLine="360" w:firstLineChars="200"/>
              <w:jc w:val="both"/>
              <w:rPr>
                <w:rFonts w:hint="eastAsia" w:ascii="Times New Roman" w:hAnsi="Times New Roman" w:eastAsia="宋体" w:cs="Times New Roman"/>
                <w:b w:val="0"/>
                <w:bCs/>
                <w:snapToGrid w:val="0"/>
                <w:color w:val="auto"/>
                <w:kern w:val="0"/>
                <w:sz w:val="18"/>
                <w:szCs w:val="18"/>
                <w:lang w:val="en-US" w:eastAsia="zh-CN" w:bidi="ar-SA"/>
              </w:rPr>
            </w:pPr>
            <w:r>
              <w:rPr>
                <w:rFonts w:hint="default" w:ascii="Times New Roman" w:hAnsi="Times New Roman" w:eastAsia="宋体" w:cs="Times New Roman"/>
                <w:b w:val="0"/>
                <w:bCs/>
                <w:snapToGrid w:val="0"/>
                <w:color w:val="auto"/>
                <w:kern w:val="0"/>
                <w:sz w:val="18"/>
                <w:szCs w:val="18"/>
                <w:lang w:val="en-US" w:eastAsia="zh-CN" w:bidi="ar-SA"/>
              </w:rPr>
              <w:t>注：</w:t>
            </w:r>
            <w:r>
              <w:rPr>
                <w:rFonts w:hint="eastAsia" w:ascii="Times New Roman" w:hAnsi="Times New Roman" w:eastAsia="宋体" w:cs="Times New Roman"/>
                <w:b w:val="0"/>
                <w:bCs/>
                <w:snapToGrid w:val="0"/>
                <w:color w:val="auto"/>
                <w:kern w:val="0"/>
                <w:sz w:val="18"/>
                <w:szCs w:val="18"/>
                <w:lang w:val="en-US" w:eastAsia="zh-CN" w:bidi="ar-SA"/>
              </w:rPr>
              <w:t>*机房正上方现状为口腔科、五官科，将调整为活动室或库房等不涉及人员长期停留的科室；</w:t>
            </w:r>
          </w:p>
          <w:p w14:paraId="6A43C0C1">
            <w:pPr>
              <w:keepNext w:val="0"/>
              <w:keepLines w:val="0"/>
              <w:widowControl w:val="0"/>
              <w:suppressLineNumbers w:val="0"/>
              <w:spacing w:before="0" w:beforeAutospacing="0" w:after="0" w:afterAutospacing="0" w:line="240" w:lineRule="auto"/>
              <w:ind w:left="0" w:right="0" w:firstLine="360" w:firstLineChars="200"/>
              <w:jc w:val="both"/>
              <w:rPr>
                <w:rFonts w:hint="default" w:ascii="Times New Roman" w:hAnsi="Times New Roman" w:eastAsia="宋体" w:cs="Times New Roman"/>
                <w:b w:val="0"/>
                <w:bCs/>
                <w:snapToGrid w:val="0"/>
                <w:color w:val="auto"/>
                <w:kern w:val="0"/>
                <w:sz w:val="18"/>
                <w:szCs w:val="18"/>
                <w:lang w:val="en-US" w:eastAsia="zh-CN" w:bidi="ar-SA"/>
              </w:rPr>
            </w:pPr>
            <w:r>
              <w:rPr>
                <w:rFonts w:hint="default" w:ascii="Times New Roman" w:hAnsi="Times New Roman" w:eastAsia="宋体" w:cs="Times New Roman"/>
                <w:b w:val="0"/>
                <w:bCs/>
                <w:snapToGrid w:val="0"/>
                <w:color w:val="auto"/>
                <w:kern w:val="0"/>
                <w:sz w:val="18"/>
                <w:szCs w:val="18"/>
                <w:lang w:val="en-US" w:eastAsia="zh-CN" w:bidi="ar-SA"/>
              </w:rPr>
              <w:t>本表列出的公众为普通公众及医院内的非辐射工作人员。</w:t>
            </w:r>
          </w:p>
          <w:p w14:paraId="6C741B1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（2）声环境保护目标</w:t>
            </w:r>
          </w:p>
          <w:p w14:paraId="61FBBDDD">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80" w:firstLineChars="200"/>
              <w:jc w:val="left"/>
              <w:textAlignment w:val="auto"/>
              <w:rPr>
                <w:rFonts w:hint="eastAsia"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根据《环境影响评价技术导则 声环境》（HJ2.4-2021），声环境保护目标为依据法律法规、标准政策等确定的需要保持安静的建筑物及建筑物集中区。根据《中华人民共和国噪声污染防治法》（2022年6月5日起施行），声环境保护目标是指用于居住、科学研究、医疗卫生、文化教育、机关团体办公、社会福利等需要保持安静的建筑物及建筑物集中区</w:t>
            </w:r>
            <w:r>
              <w:rPr>
                <w:rFonts w:hint="eastAsia" w:cs="Times New Roman"/>
                <w:snapToGrid w:val="0"/>
                <w:color w:val="auto"/>
                <w:kern w:val="0"/>
                <w:sz w:val="24"/>
                <w:szCs w:val="21"/>
                <w:lang w:val="en-US" w:eastAsia="zh-CN" w:bidi="ar-SA"/>
              </w:rPr>
              <w:t>。</w:t>
            </w:r>
          </w:p>
          <w:p w14:paraId="2A0F1E9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根据现场踏勘情况，本项目评价范围内无声环境保护目标。</w:t>
            </w:r>
          </w:p>
          <w:p w14:paraId="5666A99A">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七、评价标准</w:t>
            </w:r>
          </w:p>
          <w:p w14:paraId="7E5111FF">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bookmarkStart w:id="41" w:name="OLE_LINK9"/>
            <w:r>
              <w:rPr>
                <w:rFonts w:hint="default" w:ascii="Times New Roman" w:hAnsi="Times New Roman" w:eastAsia="宋体" w:cs="Times New Roman"/>
                <w:b/>
                <w:bCs/>
                <w:snapToGrid w:val="0"/>
                <w:color w:val="auto"/>
                <w:kern w:val="0"/>
                <w:sz w:val="24"/>
                <w:szCs w:val="21"/>
                <w:lang w:val="en-US" w:eastAsia="zh-CN" w:bidi="ar-SA"/>
              </w:rPr>
              <w:t>（1）《</w:t>
            </w:r>
            <w:bookmarkStart w:id="42" w:name="OLE_LINK8"/>
            <w:bookmarkStart w:id="43" w:name="OLE_LINK6"/>
            <w:r>
              <w:rPr>
                <w:rFonts w:hint="default" w:ascii="Times New Roman" w:hAnsi="Times New Roman" w:eastAsia="宋体" w:cs="Times New Roman"/>
                <w:b/>
                <w:bCs/>
                <w:snapToGrid w:val="0"/>
                <w:color w:val="auto"/>
                <w:kern w:val="0"/>
                <w:sz w:val="24"/>
                <w:szCs w:val="21"/>
                <w:lang w:val="en-US" w:eastAsia="zh-CN" w:bidi="ar-SA"/>
              </w:rPr>
              <w:t>电离辐射防护</w:t>
            </w:r>
            <w:bookmarkEnd w:id="42"/>
            <w:r>
              <w:rPr>
                <w:rFonts w:hint="default" w:ascii="Times New Roman" w:hAnsi="Times New Roman" w:eastAsia="宋体" w:cs="Times New Roman"/>
                <w:b/>
                <w:bCs/>
                <w:snapToGrid w:val="0"/>
                <w:color w:val="auto"/>
                <w:kern w:val="0"/>
                <w:sz w:val="24"/>
                <w:szCs w:val="21"/>
                <w:lang w:val="en-US" w:eastAsia="zh-CN" w:bidi="ar-SA"/>
              </w:rPr>
              <w:t>与辐射源安全基本标准</w:t>
            </w:r>
            <w:bookmarkEnd w:id="43"/>
            <w:r>
              <w:rPr>
                <w:rFonts w:hint="default" w:ascii="Times New Roman" w:hAnsi="Times New Roman" w:eastAsia="宋体" w:cs="Times New Roman"/>
                <w:b/>
                <w:bCs/>
                <w:snapToGrid w:val="0"/>
                <w:color w:val="auto"/>
                <w:kern w:val="0"/>
                <w:sz w:val="24"/>
                <w:szCs w:val="21"/>
                <w:lang w:val="en-US" w:eastAsia="zh-CN" w:bidi="ar-SA"/>
              </w:rPr>
              <w:t>》（</w:t>
            </w:r>
            <w:r>
              <w:rPr>
                <w:rFonts w:hint="default" w:ascii="Times New Roman" w:hAnsi="Times New Roman" w:eastAsia="Times New Roman" w:cs="Times New Roman"/>
                <w:b/>
                <w:bCs/>
                <w:snapToGrid w:val="0"/>
                <w:color w:val="auto"/>
                <w:kern w:val="0"/>
                <w:sz w:val="24"/>
                <w:szCs w:val="21"/>
                <w:lang w:val="en-US" w:eastAsia="zh-CN" w:bidi="ar-SA"/>
              </w:rPr>
              <w:t>GB18871-2002</w:t>
            </w:r>
            <w:r>
              <w:rPr>
                <w:rFonts w:hint="default" w:ascii="Times New Roman" w:hAnsi="Times New Roman" w:eastAsia="宋体" w:cs="Times New Roman"/>
                <w:b/>
                <w:bCs/>
                <w:snapToGrid w:val="0"/>
                <w:color w:val="auto"/>
                <w:kern w:val="0"/>
                <w:sz w:val="24"/>
                <w:szCs w:val="21"/>
                <w:lang w:val="en-US" w:eastAsia="zh-CN" w:bidi="ar-SA"/>
              </w:rPr>
              <w:t>）</w:t>
            </w:r>
            <w:bookmarkEnd w:id="41"/>
            <w:r>
              <w:rPr>
                <w:rFonts w:hint="default" w:ascii="Times New Roman" w:hAnsi="Times New Roman" w:eastAsia="宋体" w:cs="Times New Roman"/>
                <w:b/>
                <w:bCs/>
                <w:snapToGrid w:val="0"/>
                <w:color w:val="auto"/>
                <w:kern w:val="0"/>
                <w:sz w:val="24"/>
                <w:szCs w:val="21"/>
                <w:lang w:val="en-US" w:eastAsia="zh-CN" w:bidi="ar-SA"/>
              </w:rPr>
              <w:t>：</w:t>
            </w:r>
          </w:p>
          <w:p w14:paraId="1531D73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根据附录B中规定：</w:t>
            </w:r>
          </w:p>
          <w:p w14:paraId="227FCF6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B1 剂量限值</w:t>
            </w:r>
          </w:p>
          <w:p w14:paraId="51960D7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B1.1 职业照射</w:t>
            </w:r>
          </w:p>
          <w:p w14:paraId="78E0C5A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B1.1.1剂量限值</w:t>
            </w:r>
          </w:p>
          <w:p w14:paraId="6D226AC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B1.1.1.1 应对任何辐射工作人员的职业照射水平进行控制，使之不超过下述限值：</w:t>
            </w:r>
          </w:p>
          <w:p w14:paraId="0335417E">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cs="Times New Roman" w:eastAsiaTheme="minorEastAsia"/>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由审管部门决定的连续5年的年平均有效剂量（但不可作任何追溯性平均），20mSv</w:t>
            </w:r>
            <w:r>
              <w:rPr>
                <w:rFonts w:hint="eastAsia"/>
                <w:color w:val="auto"/>
                <w:lang w:eastAsia="zh-CN"/>
              </w:rPr>
              <w:t>。</w:t>
            </w:r>
          </w:p>
          <w:p w14:paraId="1135BAE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B1.2 公众照射</w:t>
            </w:r>
          </w:p>
          <w:p w14:paraId="74BF26A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B1.2.1剂量限值</w:t>
            </w:r>
          </w:p>
          <w:p w14:paraId="47C314C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实践使公众中有关关键人群组的成员所受到的平均剂量估计值不应超过下述限值：</w:t>
            </w:r>
          </w:p>
          <w:p w14:paraId="7F8F4E4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年有效剂量，1mSv。</w:t>
            </w:r>
          </w:p>
          <w:p w14:paraId="5DC1807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实践使公众有关关键人群组的成员所受的平均剂量估计值不应超过下述限值：年有效剂量，lmSv。</w:t>
            </w:r>
          </w:p>
          <w:p w14:paraId="74A8EFF3">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管理目标：介入手术医护人员取国家标准的1/2作为年剂量约束值，其他职业人员取国家标准的1/4作为年剂量约束值，公众成员取年剂量限值的1/4作为年剂量约束值（即：介入手术医护人员年有效剂量不超过10mSv；其他职业人员年有效剂量不超过5mSv；公众成员年有效剂量不超过0.25mSv）。</w:t>
            </w:r>
          </w:p>
          <w:p w14:paraId="4CE64E0D">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（2）《放射诊断放射防护要求》（GBZ130-2020）：</w:t>
            </w:r>
          </w:p>
          <w:p w14:paraId="75548566">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重点引用</w:t>
            </w:r>
            <w:r>
              <w:rPr>
                <w:rFonts w:hint="default" w:ascii="Times New Roman" w:hAnsi="Times New Roman" w:eastAsia="宋体" w:cs="Times New Roman"/>
                <w:snapToGrid w:val="0"/>
                <w:color w:val="auto"/>
                <w:kern w:val="0"/>
                <w:sz w:val="24"/>
                <w:szCs w:val="21"/>
                <w:lang w:val="en-US" w:eastAsia="zh-CN" w:bidi="ar-SA"/>
              </w:rPr>
              <w:t>：</w:t>
            </w:r>
            <w:r>
              <w:rPr>
                <w:rFonts w:hint="eastAsia" w:ascii="Times New Roman" w:hAnsi="Times New Roman" w:eastAsia="宋体" w:cs="Times New Roman"/>
                <w:snapToGrid w:val="0"/>
                <w:color w:val="auto"/>
                <w:kern w:val="0"/>
                <w:sz w:val="24"/>
                <w:szCs w:val="21"/>
                <w:lang w:val="en-US" w:eastAsia="zh-CN" w:bidi="ar-SA"/>
              </w:rPr>
              <w:t xml:space="preserve">                                            </w:t>
            </w:r>
          </w:p>
          <w:p w14:paraId="63C3753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5.8 介入放射学、近台同室操作（非普通荧光屏透视）用X射线设备防护性能的专用要求：</w:t>
            </w:r>
          </w:p>
          <w:p w14:paraId="461281A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5.8.1 介入放射学、近台同室操作（非普通荧光屏透视）用X射线设备应满足其相应设备类型的防护性能专用要求。</w:t>
            </w:r>
          </w:p>
          <w:p w14:paraId="6D0E5A3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5.8.2 在机房内应具备工作人员在不变换操作位置情况下能成功切换透视和摄影功能的控制键。</w:t>
            </w:r>
          </w:p>
          <w:p w14:paraId="40FB834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5.8.3  X射线设备应配备能阻止使用焦皮距小于20cm的装置。</w:t>
            </w:r>
          </w:p>
          <w:p w14:paraId="10E4BC9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5.8.4 介入操作中，设备控制台和机房内显示器上应能显示当前受检者的辐射剂量测定指示和多次曝光剂量记录。</w:t>
            </w:r>
          </w:p>
          <w:p w14:paraId="6AFB29F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  X射线设备机房防护设施的技术要求</w:t>
            </w:r>
          </w:p>
          <w:p w14:paraId="2D831F4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6.1  X射线设备机房布局</w:t>
            </w:r>
          </w:p>
          <w:p w14:paraId="16F6E3B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6.1.1 应合理设置X射线设备、机房的门、窗和管线口位置，应尽量避免有用线束直接照射门、窗、管线口和工作人员操作位。</w:t>
            </w:r>
          </w:p>
          <w:p w14:paraId="4142822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6.1.2  X射线设备机房（照射室）的设置应充分考虑邻室（含楼上和楼下）及周围场所的人员防护与安全。</w:t>
            </w:r>
          </w:p>
          <w:p w14:paraId="6367F7C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6.1.3 每台固定使用的X射线设备应设有单独的机房，机房应满足使用设备的布局要求。</w:t>
            </w:r>
          </w:p>
          <w:p w14:paraId="0199AB8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6.1.5 除床旁摄影设备、便携式X射线设备和车载式诊断X射线设备外，对新建、改建和扩建项目和技术改造、技术引进项目的X射线设备机房，其最小有效使用面积、最小单边长度应符合下表7-</w:t>
            </w:r>
            <w:r>
              <w:rPr>
                <w:rFonts w:hint="eastAsia" w:ascii="Times New Roman" w:hAnsi="Times New Roman" w:eastAsia="宋体" w:cs="Times New Roman"/>
                <w:snapToGrid w:val="0"/>
                <w:color w:val="auto"/>
                <w:kern w:val="0"/>
                <w:sz w:val="24"/>
                <w:szCs w:val="21"/>
                <w:lang w:val="en-US" w:eastAsia="zh-CN" w:bidi="ar-SA"/>
              </w:rPr>
              <w:t>2</w:t>
            </w:r>
            <w:r>
              <w:rPr>
                <w:rFonts w:hint="default" w:ascii="Times New Roman" w:hAnsi="Times New Roman" w:eastAsia="宋体" w:cs="Times New Roman"/>
                <w:snapToGrid w:val="0"/>
                <w:color w:val="auto"/>
                <w:kern w:val="0"/>
                <w:sz w:val="24"/>
                <w:szCs w:val="21"/>
                <w:lang w:val="en-US" w:eastAsia="zh-CN" w:bidi="ar-SA"/>
              </w:rPr>
              <w:t>的规定。</w:t>
            </w:r>
            <w:bookmarkStart w:id="44" w:name="_Toc60407965"/>
            <w:bookmarkStart w:id="45" w:name="_Toc56003428"/>
            <w:bookmarkStart w:id="46" w:name="_Toc56004466"/>
          </w:p>
          <w:p w14:paraId="323ED402">
            <w:pPr>
              <w:keepNext w:val="0"/>
              <w:keepLines w:val="0"/>
              <w:widowControl w:val="0"/>
              <w:suppressLineNumbers w:val="0"/>
              <w:bidi w:val="0"/>
              <w:spacing w:before="0" w:beforeAutospacing="0" w:after="0" w:afterAutospacing="0" w:line="240" w:lineRule="auto"/>
              <w:ind w:left="0" w:right="0" w:firstLine="482" w:firstLineChars="200"/>
              <w:jc w:val="center"/>
              <w:rPr>
                <w:rFonts w:hint="default" w:ascii="Times New Roman" w:hAnsi="Times New Roman" w:eastAsia="宋体" w:cs="Times New Roman"/>
                <w:b/>
                <w:snapToGrid w:val="0"/>
                <w:color w:val="auto"/>
                <w:kern w:val="0"/>
                <w:sz w:val="24"/>
                <w:szCs w:val="21"/>
                <w:lang w:val="en-US" w:eastAsia="zh-CN" w:bidi="ar-SA"/>
              </w:rPr>
            </w:pPr>
            <w:r>
              <w:rPr>
                <w:rFonts w:hint="default" w:ascii="Times New Roman" w:hAnsi="Times New Roman" w:eastAsia="宋体" w:cs="Times New Roman"/>
                <w:b/>
                <w:snapToGrid w:val="0"/>
                <w:color w:val="auto"/>
                <w:kern w:val="0"/>
                <w:sz w:val="24"/>
                <w:szCs w:val="21"/>
                <w:lang w:val="en-US" w:eastAsia="zh-CN" w:bidi="ar-SA"/>
              </w:rPr>
              <w:t>表7-</w:t>
            </w:r>
            <w:r>
              <w:rPr>
                <w:rFonts w:hint="eastAsia" w:ascii="Times New Roman" w:hAnsi="Times New Roman" w:eastAsia="宋体" w:cs="Times New Roman"/>
                <w:b/>
                <w:snapToGrid w:val="0"/>
                <w:color w:val="auto"/>
                <w:kern w:val="0"/>
                <w:sz w:val="24"/>
                <w:szCs w:val="21"/>
                <w:lang w:val="en-US" w:eastAsia="zh-CN" w:bidi="ar-SA"/>
              </w:rPr>
              <w:t>2</w:t>
            </w:r>
            <w:r>
              <w:rPr>
                <w:rFonts w:hint="default" w:ascii="Times New Roman" w:hAnsi="Times New Roman" w:eastAsia="宋体" w:cs="Times New Roman"/>
                <w:b/>
                <w:snapToGrid w:val="0"/>
                <w:color w:val="auto"/>
                <w:kern w:val="0"/>
                <w:sz w:val="24"/>
                <w:szCs w:val="21"/>
                <w:lang w:val="en-US" w:eastAsia="zh-CN" w:bidi="ar-SA"/>
              </w:rPr>
              <w:t xml:space="preserve">  X射线设备机房（照射室）使用面积、单边长度的要求</w:t>
            </w:r>
            <w:bookmarkEnd w:id="44"/>
            <w:bookmarkEnd w:id="45"/>
            <w:bookmarkEnd w:id="46"/>
          </w:p>
          <w:tbl>
            <w:tblPr>
              <w:tblStyle w:val="18"/>
              <w:tblW w:w="9561" w:type="dxa"/>
              <w:tblInd w:w="-5"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4762"/>
              <w:gridCol w:w="2492"/>
              <w:gridCol w:w="2307"/>
            </w:tblGrid>
            <w:tr w14:paraId="08DEAB5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94" w:hRule="atLeast"/>
              </w:trPr>
              <w:tc>
                <w:tcPr>
                  <w:tcW w:w="4762" w:type="dxa"/>
                  <w:vAlign w:val="center"/>
                </w:tcPr>
                <w:p w14:paraId="6445BC2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设备类型</w:t>
                  </w:r>
                </w:p>
              </w:tc>
              <w:tc>
                <w:tcPr>
                  <w:tcW w:w="2492" w:type="dxa"/>
                  <w:vAlign w:val="center"/>
                </w:tcPr>
                <w:p w14:paraId="0660E098">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机房最小有效使用面积</w:t>
                  </w:r>
                  <w:r>
                    <w:rPr>
                      <w:rFonts w:hint="default" w:ascii="Times New Roman" w:hAnsi="Times New Roman" w:eastAsia="宋体" w:cs="Times New Roman"/>
                      <w:b w:val="0"/>
                      <w:snapToGrid w:val="0"/>
                      <w:color w:val="auto"/>
                      <w:kern w:val="0"/>
                      <w:sz w:val="21"/>
                      <w:szCs w:val="21"/>
                      <w:vertAlign w:val="superscript"/>
                      <w:lang w:val="en-US" w:eastAsia="zh-CN" w:bidi="ar-SA"/>
                    </w:rPr>
                    <w:t>d</w:t>
                  </w:r>
                </w:p>
                <w:p w14:paraId="0C23AA37">
                  <w:pPr>
                    <w:keepNext w:val="0"/>
                    <w:keepLines w:val="0"/>
                    <w:widowControl w:val="0"/>
                    <w:suppressLineNumbers w:val="0"/>
                    <w:spacing w:before="0" w:beforeAutospacing="0" w:after="0" w:afterAutospacing="0" w:line="240" w:lineRule="auto"/>
                    <w:ind w:left="0" w:right="0" w:firstLine="420" w:firstLineChars="20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m</w:t>
                  </w:r>
                  <w:r>
                    <w:rPr>
                      <w:rFonts w:hint="default" w:ascii="Times New Roman" w:hAnsi="Times New Roman" w:eastAsia="宋体" w:cs="Times New Roman"/>
                      <w:b w:val="0"/>
                      <w:snapToGrid w:val="0"/>
                      <w:color w:val="auto"/>
                      <w:kern w:val="0"/>
                      <w:sz w:val="21"/>
                      <w:szCs w:val="21"/>
                      <w:vertAlign w:val="superscript"/>
                      <w:lang w:val="en-US" w:eastAsia="zh-CN" w:bidi="ar-SA"/>
                    </w:rPr>
                    <w:t>2</w:t>
                  </w:r>
                </w:p>
              </w:tc>
              <w:tc>
                <w:tcPr>
                  <w:tcW w:w="2307" w:type="dxa"/>
                  <w:vAlign w:val="center"/>
                </w:tcPr>
                <w:p w14:paraId="68959D8E">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机房内最小单边长度</w:t>
                  </w:r>
                  <w:r>
                    <w:rPr>
                      <w:rFonts w:hint="default" w:ascii="Times New Roman" w:hAnsi="Times New Roman" w:eastAsia="宋体" w:cs="Times New Roman"/>
                      <w:b w:val="0"/>
                      <w:snapToGrid w:val="0"/>
                      <w:color w:val="auto"/>
                      <w:kern w:val="0"/>
                      <w:sz w:val="21"/>
                      <w:szCs w:val="21"/>
                      <w:vertAlign w:val="superscript"/>
                      <w:lang w:val="en-US" w:eastAsia="zh-CN" w:bidi="ar-SA"/>
                    </w:rPr>
                    <w:t>c</w:t>
                  </w:r>
                </w:p>
                <w:p w14:paraId="72826C87">
                  <w:pPr>
                    <w:keepNext w:val="0"/>
                    <w:keepLines w:val="0"/>
                    <w:widowControl w:val="0"/>
                    <w:suppressLineNumbers w:val="0"/>
                    <w:spacing w:before="0" w:beforeAutospacing="0" w:after="0" w:afterAutospacing="0" w:line="240" w:lineRule="auto"/>
                    <w:ind w:left="0" w:right="0" w:firstLine="420" w:firstLineChars="20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m</w:t>
                  </w:r>
                </w:p>
              </w:tc>
            </w:tr>
            <w:tr w14:paraId="5F33679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2" w:hRule="atLeast"/>
              </w:trPr>
              <w:tc>
                <w:tcPr>
                  <w:tcW w:w="4762" w:type="dxa"/>
                  <w:vAlign w:val="center"/>
                </w:tcPr>
                <w:p w14:paraId="599E671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CT机（不含头颅移动CT）</w:t>
                  </w:r>
                </w:p>
              </w:tc>
              <w:tc>
                <w:tcPr>
                  <w:tcW w:w="2492" w:type="dxa"/>
                  <w:vAlign w:val="center"/>
                </w:tcPr>
                <w:p w14:paraId="212F6EE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30</w:t>
                  </w:r>
                </w:p>
              </w:tc>
              <w:tc>
                <w:tcPr>
                  <w:tcW w:w="2307" w:type="dxa"/>
                  <w:vAlign w:val="center"/>
                </w:tcPr>
                <w:p w14:paraId="2568DE3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4.5</w:t>
                  </w:r>
                </w:p>
              </w:tc>
            </w:tr>
            <w:tr w14:paraId="057C700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24" w:hRule="atLeast"/>
              </w:trPr>
              <w:tc>
                <w:tcPr>
                  <w:tcW w:w="4762" w:type="dxa"/>
                  <w:shd w:val="clear" w:color="auto" w:fill="auto"/>
                  <w:vAlign w:val="center"/>
                </w:tcPr>
                <w:p w14:paraId="4410BEB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双管头或多管头X射线设备</w:t>
                  </w:r>
                  <w:r>
                    <w:rPr>
                      <w:rFonts w:hint="default" w:ascii="Times New Roman" w:hAnsi="Times New Roman" w:eastAsia="宋体" w:cs="Times New Roman"/>
                      <w:b w:val="0"/>
                      <w:snapToGrid w:val="0"/>
                      <w:color w:val="auto"/>
                      <w:kern w:val="0"/>
                      <w:sz w:val="21"/>
                      <w:szCs w:val="21"/>
                      <w:vertAlign w:val="superscript"/>
                      <w:lang w:val="en-US" w:eastAsia="zh-CN" w:bidi="ar-SA"/>
                    </w:rPr>
                    <w:t>a</w:t>
                  </w:r>
                  <w:r>
                    <w:rPr>
                      <w:rFonts w:hint="default" w:ascii="Times New Roman" w:hAnsi="Times New Roman" w:eastAsia="宋体" w:cs="Times New Roman"/>
                      <w:b w:val="0"/>
                      <w:snapToGrid w:val="0"/>
                      <w:color w:val="auto"/>
                      <w:kern w:val="0"/>
                      <w:sz w:val="21"/>
                      <w:szCs w:val="21"/>
                      <w:lang w:val="en-US" w:eastAsia="zh-CN" w:bidi="ar-SA"/>
                    </w:rPr>
                    <w:t>（含C形臂）</w:t>
                  </w:r>
                </w:p>
              </w:tc>
              <w:tc>
                <w:tcPr>
                  <w:tcW w:w="2492" w:type="dxa"/>
                  <w:shd w:val="clear" w:color="auto" w:fill="auto"/>
                  <w:vAlign w:val="center"/>
                </w:tcPr>
                <w:p w14:paraId="630DB05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30</w:t>
                  </w:r>
                </w:p>
              </w:tc>
              <w:tc>
                <w:tcPr>
                  <w:tcW w:w="2307" w:type="dxa"/>
                  <w:shd w:val="clear" w:color="auto" w:fill="auto"/>
                  <w:vAlign w:val="center"/>
                </w:tcPr>
                <w:p w14:paraId="4308682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4.5</w:t>
                  </w:r>
                </w:p>
              </w:tc>
            </w:tr>
            <w:tr w14:paraId="2963C81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77" w:hRule="atLeast"/>
              </w:trPr>
              <w:tc>
                <w:tcPr>
                  <w:tcW w:w="4762" w:type="dxa"/>
                  <w:shd w:val="clear" w:color="auto" w:fill="D7D7D7" w:themeFill="background1" w:themeFillShade="D8"/>
                  <w:vAlign w:val="center"/>
                </w:tcPr>
                <w:p w14:paraId="6D5FB0F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单管头X射线设备b（含C形臂，乳腺CBCT）</w:t>
                  </w:r>
                </w:p>
              </w:tc>
              <w:tc>
                <w:tcPr>
                  <w:tcW w:w="2492" w:type="dxa"/>
                  <w:shd w:val="clear" w:color="auto" w:fill="D7D7D7" w:themeFill="background1" w:themeFillShade="D8"/>
                  <w:vAlign w:val="center"/>
                </w:tcPr>
                <w:p w14:paraId="57028F2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c>
                <w:tcPr>
                  <w:tcW w:w="2307" w:type="dxa"/>
                  <w:shd w:val="clear" w:color="auto" w:fill="D7D7D7" w:themeFill="background1" w:themeFillShade="D8"/>
                  <w:vAlign w:val="center"/>
                </w:tcPr>
                <w:p w14:paraId="1D6AA24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3.5</w:t>
                  </w:r>
                </w:p>
              </w:tc>
            </w:tr>
            <w:tr w14:paraId="0EFE744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94" w:hRule="atLeast"/>
              </w:trPr>
              <w:tc>
                <w:tcPr>
                  <w:tcW w:w="4762" w:type="dxa"/>
                  <w:vAlign w:val="center"/>
                </w:tcPr>
                <w:p w14:paraId="7521F3C6">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透视专用机</w:t>
                  </w:r>
                  <w:r>
                    <w:rPr>
                      <w:rFonts w:hint="default" w:ascii="Times New Roman" w:hAnsi="Times New Roman" w:eastAsia="宋体" w:cs="Times New Roman"/>
                      <w:b w:val="0"/>
                      <w:snapToGrid w:val="0"/>
                      <w:color w:val="auto"/>
                      <w:kern w:val="0"/>
                      <w:sz w:val="21"/>
                      <w:szCs w:val="21"/>
                      <w:vertAlign w:val="superscript"/>
                      <w:lang w:val="en-US" w:eastAsia="zh-CN" w:bidi="ar-SA"/>
                    </w:rPr>
                    <w:t>c</w:t>
                  </w:r>
                  <w:r>
                    <w:rPr>
                      <w:rFonts w:hint="default" w:ascii="Times New Roman" w:hAnsi="Times New Roman" w:eastAsia="宋体" w:cs="Times New Roman"/>
                      <w:b w:val="0"/>
                      <w:snapToGrid w:val="0"/>
                      <w:color w:val="auto"/>
                      <w:kern w:val="0"/>
                      <w:sz w:val="21"/>
                      <w:szCs w:val="21"/>
                      <w:lang w:val="en-US" w:eastAsia="zh-CN" w:bidi="ar-SA"/>
                    </w:rPr>
                    <w:t>、碎石定位机、口腔CBCT卧位扫描</w:t>
                  </w:r>
                </w:p>
              </w:tc>
              <w:tc>
                <w:tcPr>
                  <w:tcW w:w="2492" w:type="dxa"/>
                  <w:vAlign w:val="center"/>
                </w:tcPr>
                <w:p w14:paraId="126AC0C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15</w:t>
                  </w:r>
                </w:p>
              </w:tc>
              <w:tc>
                <w:tcPr>
                  <w:tcW w:w="2307" w:type="dxa"/>
                  <w:vAlign w:val="center"/>
                </w:tcPr>
                <w:p w14:paraId="4F75086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3.0</w:t>
                  </w:r>
                </w:p>
              </w:tc>
            </w:tr>
            <w:tr w14:paraId="6F981ED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5" w:hRule="atLeast"/>
              </w:trPr>
              <w:tc>
                <w:tcPr>
                  <w:tcW w:w="4762" w:type="dxa"/>
                  <w:vAlign w:val="center"/>
                </w:tcPr>
                <w:p w14:paraId="0EFBC5C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乳腺机、全身骨密度仪</w:t>
                  </w:r>
                </w:p>
              </w:tc>
              <w:tc>
                <w:tcPr>
                  <w:tcW w:w="2492" w:type="dxa"/>
                  <w:vAlign w:val="center"/>
                </w:tcPr>
                <w:p w14:paraId="07783C3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10</w:t>
                  </w:r>
                </w:p>
              </w:tc>
              <w:tc>
                <w:tcPr>
                  <w:tcW w:w="2307" w:type="dxa"/>
                  <w:vAlign w:val="center"/>
                </w:tcPr>
                <w:p w14:paraId="01FFD87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2.5</w:t>
                  </w:r>
                </w:p>
              </w:tc>
            </w:tr>
            <w:tr w14:paraId="53D115E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64" w:hRule="atLeast"/>
              </w:trPr>
              <w:tc>
                <w:tcPr>
                  <w:tcW w:w="4762" w:type="dxa"/>
                  <w:vAlign w:val="center"/>
                </w:tcPr>
                <w:p w14:paraId="770EB44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牙科全景机、局部骨密度仪、口腔CBCT坐位扫描/站位扫描</w:t>
                  </w:r>
                </w:p>
              </w:tc>
              <w:tc>
                <w:tcPr>
                  <w:tcW w:w="2492" w:type="dxa"/>
                  <w:vAlign w:val="center"/>
                </w:tcPr>
                <w:p w14:paraId="3D6044E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5</w:t>
                  </w:r>
                </w:p>
              </w:tc>
              <w:tc>
                <w:tcPr>
                  <w:tcW w:w="2307" w:type="dxa"/>
                  <w:vAlign w:val="center"/>
                </w:tcPr>
                <w:p w14:paraId="521B0EC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r>
            <w:tr w14:paraId="4C897FD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93" w:hRule="atLeast"/>
              </w:trPr>
              <w:tc>
                <w:tcPr>
                  <w:tcW w:w="4762" w:type="dxa"/>
                  <w:vAlign w:val="center"/>
                </w:tcPr>
                <w:p w14:paraId="74CD710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口内牙片机</w:t>
                  </w:r>
                </w:p>
              </w:tc>
              <w:tc>
                <w:tcPr>
                  <w:tcW w:w="2492" w:type="dxa"/>
                  <w:vAlign w:val="center"/>
                </w:tcPr>
                <w:p w14:paraId="44788E7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w:t>
                  </w:r>
                </w:p>
              </w:tc>
              <w:tc>
                <w:tcPr>
                  <w:tcW w:w="2307" w:type="dxa"/>
                  <w:vAlign w:val="center"/>
                </w:tcPr>
                <w:p w14:paraId="4FC4681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1.5</w:t>
                  </w:r>
                </w:p>
              </w:tc>
            </w:tr>
            <w:tr w14:paraId="0B3E8C6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86" w:hRule="atLeast"/>
              </w:trPr>
              <w:tc>
                <w:tcPr>
                  <w:tcW w:w="9561" w:type="dxa"/>
                  <w:gridSpan w:val="3"/>
                </w:tcPr>
                <w:p w14:paraId="3B15BEBE">
                  <w:pPr>
                    <w:keepNext w:val="0"/>
                    <w:keepLines w:val="0"/>
                    <w:widowControl w:val="0"/>
                    <w:suppressLineNumbers w:val="0"/>
                    <w:spacing w:before="0" w:beforeAutospacing="0" w:after="0" w:afterAutospacing="0" w:line="240" w:lineRule="auto"/>
                    <w:ind w:left="0" w:right="0" w:firstLine="420" w:firstLineChars="200"/>
                    <w:jc w:val="left"/>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vertAlign w:val="superscript"/>
                      <w:lang w:val="en-US" w:eastAsia="zh-CN" w:bidi="ar-SA"/>
                    </w:rPr>
                    <w:t>a</w:t>
                  </w:r>
                  <w:r>
                    <w:rPr>
                      <w:rFonts w:hint="default" w:ascii="Times New Roman" w:hAnsi="Times New Roman" w:eastAsia="宋体" w:cs="Times New Roman"/>
                      <w:snapToGrid w:val="0"/>
                      <w:color w:val="auto"/>
                      <w:kern w:val="0"/>
                      <w:sz w:val="21"/>
                      <w:szCs w:val="21"/>
                      <w:lang w:val="en-US" w:eastAsia="zh-CN" w:bidi="ar-SA"/>
                    </w:rPr>
                    <w:t>双管头或多管头X射线设备的所有管球安装在同一机房内。</w:t>
                  </w:r>
                </w:p>
                <w:p w14:paraId="089C7A4B">
                  <w:pPr>
                    <w:keepNext w:val="0"/>
                    <w:keepLines w:val="0"/>
                    <w:widowControl w:val="0"/>
                    <w:suppressLineNumbers w:val="0"/>
                    <w:spacing w:before="0" w:beforeAutospacing="0" w:after="0" w:afterAutospacing="0" w:line="240" w:lineRule="auto"/>
                    <w:ind w:left="0" w:right="0" w:firstLine="420" w:firstLineChars="200"/>
                    <w:jc w:val="left"/>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vertAlign w:val="superscript"/>
                      <w:lang w:val="en-US" w:eastAsia="zh-CN" w:bidi="ar-SA"/>
                    </w:rPr>
                    <w:t>b</w:t>
                  </w:r>
                  <w:r>
                    <w:rPr>
                      <w:rFonts w:hint="default" w:ascii="Times New Roman" w:hAnsi="Times New Roman" w:eastAsia="宋体" w:cs="Times New Roman"/>
                      <w:snapToGrid w:val="0"/>
                      <w:color w:val="auto"/>
                      <w:kern w:val="0"/>
                      <w:sz w:val="21"/>
                      <w:szCs w:val="21"/>
                      <w:lang w:val="en-US" w:eastAsia="zh-CN" w:bidi="ar-SA"/>
                    </w:rPr>
                    <w:t>单管头、双管头或多管头X射线设备的每个管头各安装在1个房间内。</w:t>
                  </w:r>
                </w:p>
                <w:p w14:paraId="6C4EA5E0">
                  <w:pPr>
                    <w:keepNext w:val="0"/>
                    <w:keepLines w:val="0"/>
                    <w:widowControl w:val="0"/>
                    <w:suppressLineNumbers w:val="0"/>
                    <w:spacing w:before="0" w:beforeAutospacing="0" w:after="0" w:afterAutospacing="0" w:line="240" w:lineRule="auto"/>
                    <w:ind w:left="0" w:right="0" w:firstLine="420" w:firstLineChars="200"/>
                    <w:jc w:val="left"/>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vertAlign w:val="superscript"/>
                      <w:lang w:val="en-US" w:eastAsia="zh-CN" w:bidi="ar-SA"/>
                    </w:rPr>
                    <w:t>c</w:t>
                  </w:r>
                  <w:r>
                    <w:rPr>
                      <w:rFonts w:hint="default" w:ascii="Times New Roman" w:hAnsi="Times New Roman" w:eastAsia="宋体" w:cs="Times New Roman"/>
                      <w:snapToGrid w:val="0"/>
                      <w:color w:val="auto"/>
                      <w:kern w:val="0"/>
                      <w:sz w:val="21"/>
                      <w:szCs w:val="21"/>
                      <w:lang w:val="en-US" w:eastAsia="zh-CN" w:bidi="ar-SA"/>
                    </w:rPr>
                    <w:t>透视专用机指无诊断床、标称管电流小于5mA的X射线设备。</w:t>
                  </w:r>
                </w:p>
                <w:p w14:paraId="57185D35">
                  <w:pPr>
                    <w:keepNext w:val="0"/>
                    <w:keepLines w:val="0"/>
                    <w:widowControl w:val="0"/>
                    <w:suppressLineNumbers w:val="0"/>
                    <w:spacing w:before="0" w:beforeAutospacing="0" w:after="0" w:afterAutospacing="0" w:line="240" w:lineRule="auto"/>
                    <w:ind w:left="0" w:right="0" w:firstLine="420" w:firstLineChars="200"/>
                    <w:jc w:val="left"/>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vertAlign w:val="superscript"/>
                      <w:lang w:val="en-US" w:eastAsia="zh-CN" w:bidi="ar-SA"/>
                    </w:rPr>
                    <w:t>d</w:t>
                  </w:r>
                  <w:r>
                    <w:rPr>
                      <w:rFonts w:hint="default" w:ascii="Times New Roman" w:hAnsi="Times New Roman" w:eastAsia="宋体" w:cs="Times New Roman"/>
                      <w:snapToGrid w:val="0"/>
                      <w:color w:val="auto"/>
                      <w:kern w:val="0"/>
                      <w:sz w:val="21"/>
                      <w:szCs w:val="21"/>
                      <w:lang w:val="en-US" w:eastAsia="zh-CN" w:bidi="ar-SA"/>
                    </w:rPr>
                    <w:t>机房内有效使用面积指机房内可划出的最大矩形的面积。</w:t>
                  </w:r>
                </w:p>
                <w:p w14:paraId="7E3D308E">
                  <w:pPr>
                    <w:keepNext w:val="0"/>
                    <w:keepLines w:val="0"/>
                    <w:widowControl w:val="0"/>
                    <w:suppressLineNumbers w:val="0"/>
                    <w:spacing w:before="0" w:beforeAutospacing="0" w:after="0" w:afterAutospacing="0" w:line="240" w:lineRule="auto"/>
                    <w:ind w:left="0" w:right="0" w:firstLine="420" w:firstLineChars="200"/>
                    <w:jc w:val="left"/>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vertAlign w:val="superscript"/>
                      <w:lang w:val="en-US" w:eastAsia="zh-CN" w:bidi="ar-SA"/>
                    </w:rPr>
                    <w:t>e</w:t>
                  </w:r>
                  <w:r>
                    <w:rPr>
                      <w:rFonts w:hint="default" w:ascii="Times New Roman" w:hAnsi="Times New Roman" w:eastAsia="宋体" w:cs="Times New Roman"/>
                      <w:snapToGrid w:val="0"/>
                      <w:color w:val="auto"/>
                      <w:kern w:val="0"/>
                      <w:sz w:val="21"/>
                      <w:szCs w:val="21"/>
                      <w:lang w:val="en-US" w:eastAsia="zh-CN" w:bidi="ar-SA"/>
                    </w:rPr>
                    <w:t>机房内单边长度指机房内有效使用面积的最小边长。</w:t>
                  </w:r>
                </w:p>
              </w:tc>
            </w:tr>
          </w:tbl>
          <w:p w14:paraId="4793193D">
            <w:pPr>
              <w:keepNext w:val="0"/>
              <w:keepLines w:val="0"/>
              <w:suppressLineNumbers w:val="0"/>
              <w:spacing w:before="0" w:beforeAutospacing="0" w:after="0" w:afterAutospacing="0"/>
              <w:ind w:left="0" w:right="0" w:firstLine="360" w:firstLineChars="200"/>
              <w:jc w:val="left"/>
              <w:rPr>
                <w:rFonts w:hint="default" w:ascii="Times New Roman" w:hAnsi="Times New Roman" w:eastAsia="等线" w:cs="Times New Roman"/>
                <w:color w:val="auto"/>
                <w:kern w:val="0"/>
                <w:sz w:val="18"/>
                <w:szCs w:val="18"/>
              </w:rPr>
            </w:pPr>
            <w:r>
              <w:rPr>
                <w:rFonts w:hint="default" w:ascii="Times New Roman" w:hAnsi="Times New Roman" w:eastAsia="等线" w:cs="Times New Roman"/>
                <w:color w:val="auto"/>
                <w:kern w:val="0"/>
                <w:sz w:val="18"/>
                <w:szCs w:val="18"/>
              </w:rPr>
              <w:t>注：底纹部分为本项目适用条款。</w:t>
            </w:r>
          </w:p>
          <w:p w14:paraId="687E441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6.2 X射线设备机房屏蔽</w:t>
            </w:r>
          </w:p>
          <w:p w14:paraId="5018F93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6.2.1 不同类型X射线设备（不含床旁摄影设备和便携式X射线设备）机房的屏蔽防护应不低于下表7-</w:t>
            </w:r>
            <w:r>
              <w:rPr>
                <w:rFonts w:hint="eastAsia" w:ascii="Times New Roman" w:hAnsi="Times New Roman" w:eastAsia="宋体" w:cs="Times New Roman"/>
                <w:snapToGrid w:val="0"/>
                <w:color w:val="auto"/>
                <w:kern w:val="0"/>
                <w:sz w:val="24"/>
                <w:szCs w:val="21"/>
                <w:lang w:val="en-US" w:eastAsia="zh-CN" w:bidi="ar-SA"/>
              </w:rPr>
              <w:t>3</w:t>
            </w:r>
            <w:r>
              <w:rPr>
                <w:rFonts w:hint="default" w:ascii="Times New Roman" w:hAnsi="Times New Roman" w:eastAsia="宋体" w:cs="Times New Roman"/>
                <w:snapToGrid w:val="0"/>
                <w:color w:val="auto"/>
                <w:kern w:val="0"/>
                <w:sz w:val="24"/>
                <w:szCs w:val="21"/>
                <w:lang w:val="en-US" w:eastAsia="zh-CN" w:bidi="ar-SA"/>
              </w:rPr>
              <w:t>的规定。</w:t>
            </w:r>
          </w:p>
          <w:p w14:paraId="4B173DEF">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bCs/>
                <w:snapToGrid w:val="0"/>
                <w:color w:val="auto"/>
                <w:kern w:val="0"/>
                <w:sz w:val="24"/>
                <w:szCs w:val="21"/>
                <w:lang w:val="en-US" w:eastAsia="zh-CN" w:bidi="ar-SA"/>
              </w:rPr>
            </w:pPr>
            <w:bookmarkStart w:id="47" w:name="_Toc60407966"/>
            <w:bookmarkStart w:id="48" w:name="_Toc56004467"/>
            <w:bookmarkStart w:id="49" w:name="_Toc56003429"/>
            <w:r>
              <w:rPr>
                <w:rFonts w:hint="default" w:ascii="Times New Roman" w:hAnsi="Times New Roman" w:eastAsia="宋体" w:cs="Times New Roman"/>
                <w:b/>
                <w:bCs/>
                <w:snapToGrid w:val="0"/>
                <w:color w:val="auto"/>
                <w:kern w:val="0"/>
                <w:sz w:val="24"/>
                <w:szCs w:val="21"/>
                <w:lang w:val="en-US" w:eastAsia="zh-CN" w:bidi="ar-SA"/>
              </w:rPr>
              <w:t>表7-</w:t>
            </w:r>
            <w:r>
              <w:rPr>
                <w:rFonts w:hint="eastAsia" w:ascii="Times New Roman" w:hAnsi="Times New Roman" w:eastAsia="宋体" w:cs="Times New Roman"/>
                <w:b/>
                <w:bCs/>
                <w:snapToGrid w:val="0"/>
                <w:color w:val="auto"/>
                <w:kern w:val="0"/>
                <w:sz w:val="24"/>
                <w:szCs w:val="21"/>
                <w:lang w:val="en-US" w:eastAsia="zh-CN" w:bidi="ar-SA"/>
              </w:rPr>
              <w:t>3</w:t>
            </w:r>
            <w:r>
              <w:rPr>
                <w:rFonts w:hint="default" w:ascii="Times New Roman" w:hAnsi="Times New Roman" w:eastAsia="宋体" w:cs="Times New Roman"/>
                <w:b/>
                <w:bCs/>
                <w:snapToGrid w:val="0"/>
                <w:color w:val="auto"/>
                <w:kern w:val="0"/>
                <w:sz w:val="24"/>
                <w:szCs w:val="21"/>
                <w:lang w:val="en-US" w:eastAsia="zh-CN" w:bidi="ar-SA"/>
              </w:rPr>
              <w:t xml:space="preserve">  不同类型X射线设备机房的屏蔽防护铅当量厚度要求</w:t>
            </w:r>
            <w:bookmarkEnd w:id="47"/>
            <w:bookmarkEnd w:id="48"/>
            <w:bookmarkEnd w:id="49"/>
          </w:p>
          <w:tbl>
            <w:tblPr>
              <w:tblStyle w:val="17"/>
              <w:tblW w:w="9560" w:type="dxa"/>
              <w:jc w:val="center"/>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Layout w:type="fixed"/>
              <w:tblCellMar>
                <w:top w:w="0" w:type="dxa"/>
                <w:left w:w="108" w:type="dxa"/>
                <w:bottom w:w="0" w:type="dxa"/>
                <w:right w:w="108" w:type="dxa"/>
              </w:tblCellMar>
            </w:tblPr>
            <w:tblGrid>
              <w:gridCol w:w="4722"/>
              <w:gridCol w:w="2389"/>
              <w:gridCol w:w="2449"/>
            </w:tblGrid>
            <w:tr w14:paraId="5B2924A2">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746" w:hRule="atLeast"/>
                <w:jc w:val="center"/>
              </w:trPr>
              <w:tc>
                <w:tcPr>
                  <w:tcW w:w="4722" w:type="dxa"/>
                  <w:vAlign w:val="center"/>
                </w:tcPr>
                <w:p w14:paraId="214239E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机房类型</w:t>
                  </w:r>
                </w:p>
              </w:tc>
              <w:tc>
                <w:tcPr>
                  <w:tcW w:w="2389" w:type="dxa"/>
                  <w:vAlign w:val="center"/>
                </w:tcPr>
                <w:p w14:paraId="5A689E8A">
                  <w:pPr>
                    <w:keepNext w:val="0"/>
                    <w:keepLines w:val="0"/>
                    <w:widowControl w:val="0"/>
                    <w:suppressLineNumbers w:val="0"/>
                    <w:spacing w:before="0" w:beforeAutospacing="0" w:after="0" w:afterAutospacing="0" w:line="240" w:lineRule="auto"/>
                    <w:ind w:left="0" w:right="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有用线束方向铅当量</w:t>
                  </w:r>
                </w:p>
                <w:p w14:paraId="416D4679">
                  <w:pPr>
                    <w:keepNext w:val="0"/>
                    <w:keepLines w:val="0"/>
                    <w:widowControl w:val="0"/>
                    <w:suppressLineNumbers w:val="0"/>
                    <w:spacing w:before="0" w:beforeAutospacing="0" w:after="0" w:afterAutospacing="0" w:line="240" w:lineRule="auto"/>
                    <w:ind w:left="0" w:right="0" w:firstLine="420" w:firstLineChars="20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mmPb</w:t>
                  </w:r>
                </w:p>
              </w:tc>
              <w:tc>
                <w:tcPr>
                  <w:tcW w:w="2449" w:type="dxa"/>
                  <w:vAlign w:val="center"/>
                </w:tcPr>
                <w:p w14:paraId="7F09BD32">
                  <w:pPr>
                    <w:keepNext w:val="0"/>
                    <w:keepLines w:val="0"/>
                    <w:widowControl w:val="0"/>
                    <w:suppressLineNumbers w:val="0"/>
                    <w:spacing w:before="0" w:beforeAutospacing="0" w:after="0" w:afterAutospacing="0" w:line="240" w:lineRule="auto"/>
                    <w:ind w:left="0" w:right="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非有用线束方向铅当量</w:t>
                  </w:r>
                </w:p>
                <w:p w14:paraId="61BA3BD9">
                  <w:pPr>
                    <w:keepNext w:val="0"/>
                    <w:keepLines w:val="0"/>
                    <w:widowControl w:val="0"/>
                    <w:suppressLineNumbers w:val="0"/>
                    <w:spacing w:before="0" w:beforeAutospacing="0" w:after="0" w:afterAutospacing="0" w:line="240" w:lineRule="auto"/>
                    <w:ind w:left="0" w:right="0" w:firstLine="420" w:firstLineChars="20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mmPb</w:t>
                  </w:r>
                </w:p>
              </w:tc>
            </w:tr>
            <w:tr w14:paraId="0DA58F05">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355" w:hRule="atLeast"/>
                <w:jc w:val="center"/>
              </w:trPr>
              <w:tc>
                <w:tcPr>
                  <w:tcW w:w="4722" w:type="dxa"/>
                  <w:vAlign w:val="center"/>
                </w:tcPr>
                <w:p w14:paraId="410B53A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标称125kV以上的摄影机房</w:t>
                  </w:r>
                </w:p>
              </w:tc>
              <w:tc>
                <w:tcPr>
                  <w:tcW w:w="2389" w:type="dxa"/>
                  <w:vAlign w:val="center"/>
                </w:tcPr>
                <w:p w14:paraId="687E65E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3.0</w:t>
                  </w:r>
                </w:p>
              </w:tc>
              <w:tc>
                <w:tcPr>
                  <w:tcW w:w="2449" w:type="dxa"/>
                  <w:vAlign w:val="center"/>
                </w:tcPr>
                <w:p w14:paraId="21CDCEF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r>
            <w:tr w14:paraId="12A4FBF7">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373" w:hRule="atLeast"/>
                <w:jc w:val="center"/>
              </w:trPr>
              <w:tc>
                <w:tcPr>
                  <w:tcW w:w="4722" w:type="dxa"/>
                  <w:vAlign w:val="center"/>
                </w:tcPr>
                <w:p w14:paraId="63311EE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标称125kV及以下的摄影机房</w:t>
                  </w:r>
                </w:p>
              </w:tc>
              <w:tc>
                <w:tcPr>
                  <w:tcW w:w="2389" w:type="dxa"/>
                  <w:vAlign w:val="center"/>
                </w:tcPr>
                <w:p w14:paraId="1806CCF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c>
                <w:tcPr>
                  <w:tcW w:w="2449" w:type="dxa"/>
                  <w:vAlign w:val="center"/>
                </w:tcPr>
                <w:p w14:paraId="456CBC7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1.0</w:t>
                  </w:r>
                </w:p>
              </w:tc>
            </w:tr>
            <w:tr w14:paraId="645E21D3">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373" w:hRule="atLeast"/>
                <w:jc w:val="center"/>
              </w:trPr>
              <w:tc>
                <w:tcPr>
                  <w:tcW w:w="4722" w:type="dxa"/>
                  <w:shd w:val="clear" w:color="auto" w:fill="D0CECE"/>
                  <w:vAlign w:val="center"/>
                </w:tcPr>
                <w:p w14:paraId="48818C2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C形臂X射线设备机房</w:t>
                  </w:r>
                </w:p>
              </w:tc>
              <w:tc>
                <w:tcPr>
                  <w:tcW w:w="2389" w:type="dxa"/>
                  <w:shd w:val="clear" w:color="auto" w:fill="D0CECE"/>
                  <w:vAlign w:val="center"/>
                </w:tcPr>
                <w:p w14:paraId="23F50B8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c>
                <w:tcPr>
                  <w:tcW w:w="2449" w:type="dxa"/>
                  <w:shd w:val="clear" w:color="auto" w:fill="D0CECE"/>
                  <w:vAlign w:val="center"/>
                </w:tcPr>
                <w:p w14:paraId="2921E6E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r>
            <w:tr w14:paraId="444E0A00">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373" w:hRule="atLeast"/>
                <w:jc w:val="center"/>
              </w:trPr>
              <w:tc>
                <w:tcPr>
                  <w:tcW w:w="4722" w:type="dxa"/>
                  <w:vAlign w:val="center"/>
                </w:tcPr>
                <w:p w14:paraId="008C151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口腔CBCT、牙科全景机房（有头颅摄影）</w:t>
                  </w:r>
                </w:p>
              </w:tc>
              <w:tc>
                <w:tcPr>
                  <w:tcW w:w="2389" w:type="dxa"/>
                  <w:vAlign w:val="center"/>
                </w:tcPr>
                <w:p w14:paraId="3088CBA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c>
                <w:tcPr>
                  <w:tcW w:w="2449" w:type="dxa"/>
                  <w:vAlign w:val="center"/>
                </w:tcPr>
                <w:p w14:paraId="2365F6D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1.0</w:t>
                  </w:r>
                </w:p>
              </w:tc>
            </w:tr>
            <w:tr w14:paraId="5A6E78EA">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4722" w:type="dxa"/>
                  <w:vAlign w:val="center"/>
                </w:tcPr>
                <w:p w14:paraId="5CFB27A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透视机房、骨密度仪机房、口内牙片机房、牙科全景机房（无头颅摄影）、碎石机房、模拟定位机房、乳腺摄影机房、乳腺CBCT机房</w:t>
                  </w:r>
                </w:p>
              </w:tc>
              <w:tc>
                <w:tcPr>
                  <w:tcW w:w="2389" w:type="dxa"/>
                  <w:vAlign w:val="center"/>
                </w:tcPr>
                <w:p w14:paraId="5F130CE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1.0</w:t>
                  </w:r>
                </w:p>
              </w:tc>
              <w:tc>
                <w:tcPr>
                  <w:tcW w:w="2449" w:type="dxa"/>
                  <w:vAlign w:val="center"/>
                </w:tcPr>
                <w:p w14:paraId="3734E03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1.0</w:t>
                  </w:r>
                </w:p>
              </w:tc>
            </w:tr>
            <w:tr w14:paraId="2473BC37">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89" w:hRule="atLeast"/>
                <w:jc w:val="center"/>
              </w:trPr>
              <w:tc>
                <w:tcPr>
                  <w:tcW w:w="4722" w:type="dxa"/>
                  <w:vAlign w:val="center"/>
                </w:tcPr>
                <w:p w14:paraId="13D3D4E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CT机房（不含头颅移动CT）、CT模拟定位机房</w:t>
                  </w:r>
                </w:p>
              </w:tc>
              <w:tc>
                <w:tcPr>
                  <w:tcW w:w="4838" w:type="dxa"/>
                  <w:gridSpan w:val="2"/>
                  <w:vAlign w:val="center"/>
                </w:tcPr>
                <w:p w14:paraId="36BB72F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2.5</w:t>
                  </w:r>
                </w:p>
              </w:tc>
            </w:tr>
          </w:tbl>
          <w:p w14:paraId="3152AC0A">
            <w:pPr>
              <w:keepNext w:val="0"/>
              <w:keepLines w:val="0"/>
              <w:suppressLineNumbers w:val="0"/>
              <w:spacing w:before="0" w:beforeAutospacing="0" w:after="0" w:afterAutospacing="0"/>
              <w:ind w:left="0" w:right="0" w:firstLine="360" w:firstLineChars="200"/>
              <w:jc w:val="left"/>
              <w:rPr>
                <w:rFonts w:hint="eastAsia" w:ascii="等线" w:hAnsi="等线" w:eastAsia="等线" w:cs="等线"/>
                <w:color w:val="auto"/>
                <w:kern w:val="0"/>
                <w:sz w:val="18"/>
                <w:szCs w:val="18"/>
              </w:rPr>
            </w:pPr>
            <w:r>
              <w:rPr>
                <w:rFonts w:hint="eastAsia" w:ascii="等线" w:hAnsi="等线" w:eastAsia="等线" w:cs="等线"/>
                <w:color w:val="auto"/>
                <w:kern w:val="0"/>
                <w:sz w:val="18"/>
                <w:szCs w:val="18"/>
              </w:rPr>
              <w:t>注：底纹部分为本项目适用条款。</w:t>
            </w:r>
          </w:p>
          <w:p w14:paraId="3532270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6.2.2 医用诊断X射线防护中不同铅当量屏蔽物质厚度的典型值参见《放射诊断放射防护要求》（GBZ130-2020）附录C中表C.4～表C.7。</w:t>
            </w:r>
          </w:p>
          <w:p w14:paraId="30145F7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6.2.3 机房的门和窗关闭时应满足表7-</w:t>
            </w:r>
            <w:r>
              <w:rPr>
                <w:rFonts w:hint="eastAsia" w:ascii="Times New Roman" w:hAnsi="Times New Roman" w:eastAsia="宋体" w:cs="Times New Roman"/>
                <w:snapToGrid w:val="0"/>
                <w:color w:val="auto"/>
                <w:kern w:val="0"/>
                <w:sz w:val="24"/>
                <w:szCs w:val="21"/>
                <w:lang w:val="en-US" w:eastAsia="zh-CN" w:bidi="ar-SA"/>
              </w:rPr>
              <w:t>3</w:t>
            </w:r>
            <w:r>
              <w:rPr>
                <w:rFonts w:hint="default" w:ascii="Times New Roman" w:hAnsi="Times New Roman" w:eastAsia="宋体" w:cs="Times New Roman"/>
                <w:snapToGrid w:val="0"/>
                <w:color w:val="auto"/>
                <w:kern w:val="0"/>
                <w:sz w:val="24"/>
                <w:szCs w:val="21"/>
                <w:lang w:val="en-US" w:eastAsia="zh-CN" w:bidi="ar-SA"/>
              </w:rPr>
              <w:t>的要求。</w:t>
            </w:r>
          </w:p>
          <w:p w14:paraId="0AD6D07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6.2.4 距X射线设备表面100cm处的周围剂量当量率不大于2.5μSv/h时且X射线设备表面与机房墙体距离不小于100cm时，机房可不作专门屏蔽防护。</w:t>
            </w:r>
          </w:p>
          <w:p w14:paraId="08788D5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6.3 X射线设备机房屏蔽体外剂量水平</w:t>
            </w:r>
          </w:p>
          <w:p w14:paraId="0A14DF7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6.3.1 机房的辐射屏蔽防护，应满足下列要求：</w:t>
            </w:r>
          </w:p>
          <w:p w14:paraId="6007364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a) 具有透视功能的X射线设备在透视条件下检测时，周围剂量当量率应不大于2.5μSv/h；测量时，X射线设备连续出束时间应大于仪器响应时间；</w:t>
            </w:r>
          </w:p>
          <w:p w14:paraId="351909F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6.3.2 机房的辐射屏蔽防护检测方法及检测条件按第8章和附录B的要求。</w:t>
            </w:r>
          </w:p>
          <w:p w14:paraId="3DD14AE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6.3.3 宜使用能够测量短时间出束和脉冲辐射场的设备进行测量，若测量仪器达不到响应时间要求，则应对其读数进行响应时间修正，修正方法参见《放射诊断放射防护要求》（GBZ130-2020）附录D。</w:t>
            </w:r>
          </w:p>
          <w:p w14:paraId="0DF1F0E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 X射线设备工作场所防护</w:t>
            </w:r>
          </w:p>
          <w:p w14:paraId="1BBFA05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6.4.1 机房应设有观察窗或摄像监控装置，其设置的位置应便于观察到受检者状态及防护门开闭情况。</w:t>
            </w:r>
          </w:p>
          <w:p w14:paraId="3E82B72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6.4.2 机房内不应堆放与该设备诊断工作无关的杂物。</w:t>
            </w:r>
          </w:p>
          <w:p w14:paraId="0FECF9E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6.4.3 机房应设置动力通风装置，并保持良好的通风。</w:t>
            </w:r>
          </w:p>
          <w:p w14:paraId="3CBE82D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6.4.4 机房门外应有电离辐射警告标志；机房门上方应有醒目的工作状态指示灯，灯箱上应设置如</w:t>
            </w:r>
            <w:r>
              <w:rPr>
                <w:rFonts w:hint="eastAsia" w:ascii="宋体" w:hAnsi="宋体" w:eastAsia="宋体" w:cs="宋体"/>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射线有害、灯亮勿入</w:t>
            </w:r>
            <w:r>
              <w:rPr>
                <w:rFonts w:hint="eastAsia" w:ascii="宋体" w:hAnsi="宋体" w:eastAsia="宋体" w:cs="宋体"/>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的可视警示语句；候诊区应设置放射防护注意事项告知栏。</w:t>
            </w:r>
          </w:p>
          <w:p w14:paraId="79F26F5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6.4.5 平开机房门应有自动闭门装置；推拉式机房门应设有曝光时关闭机房门的管理措施；工作状态指示灯能与机房门有效关联。</w:t>
            </w:r>
          </w:p>
          <w:p w14:paraId="678CB86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6.4.6 电动推拉门宜设置防夹装置。</w:t>
            </w:r>
          </w:p>
          <w:p w14:paraId="035A41C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6.4.7 受检者不应在机房内候诊；非特殊情况，检查过程中陪检者不应滞留在机房内。</w:t>
            </w:r>
          </w:p>
          <w:p w14:paraId="4AD86E7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6.4.10 机房出入门宜处于散射辐射相对低的位置。</w:t>
            </w:r>
          </w:p>
          <w:p w14:paraId="1ED1A47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6.5 X射线设备工作场所防护用品及防护设施配置要求</w:t>
            </w:r>
          </w:p>
          <w:p w14:paraId="019BFE0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6.5.1 每台X射线设备根据工作内容，现场应配备不少于表7-</w:t>
            </w:r>
            <w:r>
              <w:rPr>
                <w:rFonts w:hint="eastAsia" w:ascii="Times New Roman" w:hAnsi="Times New Roman" w:eastAsia="宋体" w:cs="Times New Roman"/>
                <w:snapToGrid w:val="0"/>
                <w:color w:val="auto"/>
                <w:kern w:val="0"/>
                <w:sz w:val="24"/>
                <w:szCs w:val="21"/>
                <w:lang w:val="en-US" w:eastAsia="zh-CN" w:bidi="ar-SA"/>
              </w:rPr>
              <w:t>4</w:t>
            </w:r>
            <w:r>
              <w:rPr>
                <w:rFonts w:hint="default" w:ascii="Times New Roman" w:hAnsi="Times New Roman" w:eastAsia="宋体" w:cs="Times New Roman"/>
                <w:snapToGrid w:val="0"/>
                <w:color w:val="auto"/>
                <w:kern w:val="0"/>
                <w:sz w:val="24"/>
                <w:szCs w:val="21"/>
                <w:lang w:val="en-US" w:eastAsia="zh-CN" w:bidi="ar-SA"/>
              </w:rPr>
              <w:t>中基本种类要求的工作人员、受检者防护用品与辅助防护设施，其数量应满足开展工作需要，对陪检者应至少配备铅橡胶防护衣。</w:t>
            </w:r>
          </w:p>
          <w:p w14:paraId="1D8DC86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6.5.3 除介入防护手套外，防护用品和辅助防护设施的铅当量应不小于</w:t>
            </w:r>
            <w:r>
              <w:rPr>
                <w:rFonts w:hint="eastAsia" w:ascii="Times New Roman" w:hAnsi="Times New Roman" w:eastAsia="宋体" w:cs="Times New Roman"/>
                <w:snapToGrid w:val="0"/>
                <w:color w:val="auto"/>
                <w:kern w:val="0"/>
                <w:sz w:val="24"/>
                <w:szCs w:val="21"/>
                <w:lang w:val="en-US" w:eastAsia="zh-CN" w:bidi="ar-SA"/>
              </w:rPr>
              <w:t>0.35mm</w:t>
            </w:r>
            <w:r>
              <w:rPr>
                <w:rFonts w:hint="default" w:ascii="Times New Roman" w:hAnsi="Times New Roman" w:eastAsia="宋体" w:cs="Times New Roman"/>
                <w:snapToGrid w:val="0"/>
                <w:color w:val="auto"/>
                <w:kern w:val="0"/>
                <w:sz w:val="24"/>
                <w:szCs w:val="21"/>
                <w:lang w:val="en-US" w:eastAsia="zh-CN" w:bidi="ar-SA"/>
              </w:rPr>
              <w:t>Pb；介入防护手套铅当量应不小于0.025mmPb；甲状腺、性腺防护用品铅当量应不小于0.5mmPb；移动铅防护屏风铅当量应不小于2mmPb。</w:t>
            </w:r>
          </w:p>
          <w:p w14:paraId="3915128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6.5.4 应为儿童的X射线检查配备保护相应组织和器官的防护用品，防护用品和辅助防护设施的铅当量应不小于0.5mmPb。</w:t>
            </w:r>
          </w:p>
          <w:p w14:paraId="40576BF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w:t>
            </w:r>
            <w:bookmarkStart w:id="89" w:name="_GoBack"/>
            <w:r>
              <w:rPr>
                <w:rFonts w:hint="default" w:ascii="Times New Roman" w:hAnsi="Times New Roman" w:eastAsia="宋体" w:cs="Times New Roman"/>
                <w:snapToGrid w:val="0"/>
                <w:color w:val="auto"/>
                <w:kern w:val="0"/>
                <w:sz w:val="24"/>
                <w:szCs w:val="21"/>
                <w:lang w:val="en-US" w:eastAsia="zh-CN" w:bidi="ar-SA"/>
              </w:rPr>
              <w:t>5.5</w:t>
            </w:r>
            <w:bookmarkEnd w:id="89"/>
            <w:r>
              <w:rPr>
                <w:rFonts w:hint="default" w:ascii="Times New Roman" w:hAnsi="Times New Roman" w:eastAsia="宋体" w:cs="Times New Roman"/>
                <w:snapToGrid w:val="0"/>
                <w:color w:val="auto"/>
                <w:kern w:val="0"/>
                <w:sz w:val="24"/>
                <w:szCs w:val="21"/>
                <w:lang w:val="en-US" w:eastAsia="zh-CN" w:bidi="ar-SA"/>
              </w:rPr>
              <w:t xml:space="preserve"> 个人防护用品不使用时，应妥善存放，不应折叠放置，以防止断裂。</w:t>
            </w:r>
          </w:p>
          <w:p w14:paraId="29D0D55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6.5.6 对于移动式X射线设备使用频繁的场所（如：重症监护、危重病人救治、骨科复位等场所），应配备足够数量的移动铅防护屏风。</w:t>
            </w:r>
          </w:p>
          <w:p w14:paraId="457BB634">
            <w:pPr>
              <w:keepNext w:val="0"/>
              <w:keepLines w:val="0"/>
              <w:widowControl w:val="0"/>
              <w:suppressLineNumbers w:val="0"/>
              <w:tabs>
                <w:tab w:val="left" w:pos="2064"/>
                <w:tab w:val="center" w:pos="5085"/>
              </w:tabs>
              <w:spacing w:before="0" w:beforeAutospacing="0" w:after="0" w:afterAutospacing="0" w:line="240" w:lineRule="auto"/>
              <w:ind w:left="0" w:right="0" w:firstLine="482" w:firstLineChars="200"/>
              <w:jc w:val="left"/>
              <w:rPr>
                <w:rFonts w:hint="default" w:ascii="Times New Roman" w:hAnsi="Times New Roman" w:eastAsia="宋体" w:cs="Times New Roman"/>
                <w:b/>
                <w:snapToGrid w:val="0"/>
                <w:color w:val="auto"/>
                <w:kern w:val="0"/>
                <w:sz w:val="24"/>
                <w:szCs w:val="21"/>
                <w:lang w:val="en-US" w:eastAsia="zh-CN" w:bidi="ar-SA"/>
              </w:rPr>
            </w:pPr>
            <w:bookmarkStart w:id="50" w:name="_Toc56003430"/>
            <w:bookmarkStart w:id="51" w:name="_Toc56004468"/>
            <w:bookmarkStart w:id="52" w:name="_Toc60407967"/>
            <w:r>
              <w:rPr>
                <w:rFonts w:hint="eastAsia" w:ascii="Times New Roman" w:hAnsi="Times New Roman" w:eastAsia="宋体" w:cs="Times New Roman"/>
                <w:b/>
                <w:snapToGrid w:val="0"/>
                <w:color w:val="auto"/>
                <w:kern w:val="0"/>
                <w:sz w:val="24"/>
                <w:szCs w:val="21"/>
                <w:lang w:val="en-US" w:eastAsia="zh-CN" w:bidi="ar-SA"/>
              </w:rPr>
              <w:tab/>
            </w:r>
            <w:r>
              <w:rPr>
                <w:rFonts w:hint="eastAsia" w:ascii="Times New Roman" w:hAnsi="Times New Roman" w:eastAsia="宋体" w:cs="Times New Roman"/>
                <w:b/>
                <w:snapToGrid w:val="0"/>
                <w:color w:val="auto"/>
                <w:kern w:val="0"/>
                <w:sz w:val="24"/>
                <w:szCs w:val="21"/>
                <w:lang w:val="en-US" w:eastAsia="zh-CN" w:bidi="ar-SA"/>
              </w:rPr>
              <w:tab/>
            </w:r>
            <w:r>
              <w:rPr>
                <w:rFonts w:hint="default" w:ascii="Times New Roman" w:hAnsi="Times New Roman" w:eastAsia="宋体" w:cs="Times New Roman"/>
                <w:b/>
                <w:snapToGrid w:val="0"/>
                <w:color w:val="auto"/>
                <w:kern w:val="0"/>
                <w:sz w:val="24"/>
                <w:szCs w:val="21"/>
                <w:lang w:val="en-US" w:eastAsia="zh-CN" w:bidi="ar-SA"/>
              </w:rPr>
              <w:t>表7-</w:t>
            </w:r>
            <w:r>
              <w:rPr>
                <w:rFonts w:hint="eastAsia" w:ascii="Times New Roman" w:hAnsi="Times New Roman" w:eastAsia="宋体" w:cs="Times New Roman"/>
                <w:b/>
                <w:snapToGrid w:val="0"/>
                <w:color w:val="auto"/>
                <w:kern w:val="0"/>
                <w:sz w:val="24"/>
                <w:szCs w:val="21"/>
                <w:lang w:val="en-US" w:eastAsia="zh-CN" w:bidi="ar-SA"/>
              </w:rPr>
              <w:t>4</w:t>
            </w:r>
            <w:r>
              <w:rPr>
                <w:rFonts w:hint="default" w:ascii="Times New Roman" w:hAnsi="Times New Roman" w:eastAsia="宋体" w:cs="Times New Roman"/>
                <w:b/>
                <w:snapToGrid w:val="0"/>
                <w:color w:val="auto"/>
                <w:kern w:val="0"/>
                <w:sz w:val="24"/>
                <w:szCs w:val="21"/>
                <w:lang w:val="en-US" w:eastAsia="zh-CN" w:bidi="ar-SA"/>
              </w:rPr>
              <w:t xml:space="preserve">  个人防护用品和辅助防护设施配置要求（节选）</w:t>
            </w:r>
            <w:bookmarkEnd w:id="50"/>
            <w:bookmarkEnd w:id="51"/>
            <w:bookmarkEnd w:id="52"/>
          </w:p>
          <w:tbl>
            <w:tblPr>
              <w:tblStyle w:val="17"/>
              <w:tblW w:w="9562" w:type="dxa"/>
              <w:tblInd w:w="1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465"/>
              <w:gridCol w:w="2361"/>
              <w:gridCol w:w="2215"/>
              <w:gridCol w:w="1796"/>
              <w:gridCol w:w="1725"/>
            </w:tblGrid>
            <w:tr w14:paraId="090D6D2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465" w:type="dxa"/>
                  <w:vMerge w:val="restart"/>
                  <w:vAlign w:val="center"/>
                </w:tcPr>
                <w:p w14:paraId="053F76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放射检查</w:t>
                  </w:r>
                </w:p>
                <w:p w14:paraId="03DD0C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类型</w:t>
                  </w:r>
                </w:p>
              </w:tc>
              <w:tc>
                <w:tcPr>
                  <w:tcW w:w="4576" w:type="dxa"/>
                  <w:gridSpan w:val="2"/>
                  <w:vAlign w:val="center"/>
                </w:tcPr>
                <w:p w14:paraId="5476064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工作人员</w:t>
                  </w:r>
                </w:p>
              </w:tc>
              <w:tc>
                <w:tcPr>
                  <w:tcW w:w="3521" w:type="dxa"/>
                  <w:gridSpan w:val="2"/>
                  <w:vAlign w:val="center"/>
                </w:tcPr>
                <w:p w14:paraId="0857073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受检者</w:t>
                  </w:r>
                </w:p>
              </w:tc>
            </w:tr>
            <w:tr w14:paraId="645CC8D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69" w:hRule="atLeast"/>
              </w:trPr>
              <w:tc>
                <w:tcPr>
                  <w:tcW w:w="1465" w:type="dxa"/>
                  <w:vMerge w:val="continue"/>
                  <w:vAlign w:val="center"/>
                </w:tcPr>
                <w:p w14:paraId="14B048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eastAsia" w:ascii="宋体" w:hAnsi="宋体" w:eastAsia="宋体" w:cs="宋体"/>
                      <w:snapToGrid w:val="0"/>
                      <w:color w:val="auto"/>
                      <w:kern w:val="0"/>
                      <w:sz w:val="21"/>
                      <w:szCs w:val="21"/>
                      <w:lang w:val="en-US" w:eastAsia="zh-CN" w:bidi="ar-SA"/>
                    </w:rPr>
                  </w:pPr>
                </w:p>
              </w:tc>
              <w:tc>
                <w:tcPr>
                  <w:tcW w:w="2361" w:type="dxa"/>
                  <w:vAlign w:val="center"/>
                </w:tcPr>
                <w:p w14:paraId="320620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个人防护用品</w:t>
                  </w:r>
                </w:p>
              </w:tc>
              <w:tc>
                <w:tcPr>
                  <w:tcW w:w="2215" w:type="dxa"/>
                  <w:vAlign w:val="center"/>
                </w:tcPr>
                <w:p w14:paraId="21D1D35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辅助防护设施</w:t>
                  </w:r>
                </w:p>
              </w:tc>
              <w:tc>
                <w:tcPr>
                  <w:tcW w:w="1796" w:type="dxa"/>
                  <w:vAlign w:val="center"/>
                </w:tcPr>
                <w:p w14:paraId="5FB1DB8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个人防护用品</w:t>
                  </w:r>
                </w:p>
              </w:tc>
              <w:tc>
                <w:tcPr>
                  <w:tcW w:w="1725" w:type="dxa"/>
                  <w:vAlign w:val="center"/>
                </w:tcPr>
                <w:p w14:paraId="7BF5D68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辅助防护设施</w:t>
                  </w:r>
                </w:p>
              </w:tc>
            </w:tr>
            <w:tr w14:paraId="2E7D7F3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03" w:hRule="atLeast"/>
              </w:trPr>
              <w:tc>
                <w:tcPr>
                  <w:tcW w:w="1465" w:type="dxa"/>
                  <w:vAlign w:val="center"/>
                </w:tcPr>
                <w:p w14:paraId="3658934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介入放射学操作</w:t>
                  </w:r>
                </w:p>
              </w:tc>
              <w:tc>
                <w:tcPr>
                  <w:tcW w:w="2361" w:type="dxa"/>
                  <w:vAlign w:val="center"/>
                </w:tcPr>
                <w:p w14:paraId="28FD67F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铅橡胶围裙、铅橡胶颈套、铅防护眼镜、介入防护手套</w:t>
                  </w:r>
                </w:p>
              </w:tc>
              <w:tc>
                <w:tcPr>
                  <w:tcW w:w="2215" w:type="dxa"/>
                  <w:vAlign w:val="center"/>
                </w:tcPr>
                <w:p w14:paraId="00B9D3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铅悬挂防护屏/铅防护吊帘、床侧防护帘/床侧防护屏</w:t>
                  </w:r>
                </w:p>
              </w:tc>
              <w:tc>
                <w:tcPr>
                  <w:tcW w:w="1796" w:type="dxa"/>
                  <w:vAlign w:val="center"/>
                </w:tcPr>
                <w:p w14:paraId="1020F93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铅橡胶性腺防护围裙（方形）或方巾、铅橡胶颈套</w:t>
                  </w:r>
                </w:p>
              </w:tc>
              <w:tc>
                <w:tcPr>
                  <w:tcW w:w="1725" w:type="dxa"/>
                  <w:vAlign w:val="center"/>
                </w:tcPr>
                <w:p w14:paraId="68803A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snapToGrid w:val="0"/>
                      <w:color w:val="auto"/>
                      <w:kern w:val="0"/>
                      <w:sz w:val="21"/>
                      <w:szCs w:val="21"/>
                      <w:lang w:val="en-US" w:eastAsia="zh-CN" w:bidi="ar-SA"/>
                    </w:rPr>
                    <w:t>--</w:t>
                  </w:r>
                </w:p>
              </w:tc>
            </w:tr>
          </w:tbl>
          <w:p w14:paraId="42D1F9F5">
            <w:pPr>
              <w:keepNext w:val="0"/>
              <w:keepLines w:val="0"/>
              <w:suppressLineNumbers w:val="0"/>
              <w:spacing w:before="0" w:beforeAutospacing="0" w:after="0" w:afterAutospacing="0"/>
              <w:ind w:left="0" w:right="0"/>
              <w:rPr>
                <w:rFonts w:hint="default" w:ascii="Times New Roman" w:hAnsi="Times New Roman" w:eastAsia="等线" w:cs="Times New Roman"/>
                <w:color w:val="auto"/>
                <w:vertAlign w:val="baseline"/>
              </w:rPr>
            </w:pPr>
          </w:p>
        </w:tc>
      </w:tr>
    </w:tbl>
    <w:p w14:paraId="61B67025">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6DCF63A2">
      <w:pPr>
        <w:pStyle w:val="3"/>
        <w:bidi w:val="0"/>
        <w:rPr>
          <w:color w:val="auto"/>
        </w:rPr>
      </w:pPr>
      <w:bookmarkStart w:id="53" w:name="_Toc56004469"/>
      <w:bookmarkStart w:id="54" w:name="_Toc21933"/>
      <w:bookmarkStart w:id="55" w:name="_Toc67739914"/>
      <w:bookmarkStart w:id="56" w:name="_Toc30566"/>
      <w:bookmarkStart w:id="57" w:name="_Toc56003431"/>
      <w:r>
        <w:rPr>
          <w:color w:val="auto"/>
        </w:rPr>
        <w:t xml:space="preserve">表8 </w:t>
      </w:r>
      <w:r>
        <w:rPr>
          <w:rFonts w:hint="eastAsia"/>
          <w:color w:val="auto"/>
        </w:rPr>
        <w:t>环境质量与辐射现状</w:t>
      </w:r>
      <w:bookmarkEnd w:id="53"/>
      <w:bookmarkEnd w:id="54"/>
      <w:bookmarkEnd w:id="55"/>
      <w:bookmarkEnd w:id="56"/>
      <w:bookmarkEnd w:id="57"/>
    </w:p>
    <w:tbl>
      <w:tblPr>
        <w:tblStyle w:val="18"/>
        <w:tblW w:w="9775"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75"/>
      </w:tblGrid>
      <w:tr w14:paraId="6F05F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02" w:hRule="atLeast"/>
        </w:trPr>
        <w:tc>
          <w:tcPr>
            <w:tcW w:w="9775" w:type="dxa"/>
          </w:tcPr>
          <w:p w14:paraId="2B035360">
            <w:pPr>
              <w:pStyle w:val="23"/>
              <w:keepNext w:val="0"/>
              <w:keepLines w:val="0"/>
              <w:suppressLineNumbers w:val="0"/>
              <w:spacing w:before="0" w:beforeAutospacing="0" w:after="0" w:afterAutospacing="0"/>
              <w:ind w:left="0" w:leftChars="0" w:right="0" w:firstLine="482" w:firstLineChars="200"/>
              <w:rPr>
                <w:rFonts w:hint="default" w:cs="Times New Roman"/>
                <w:b/>
                <w:bCs/>
                <w:color w:val="auto"/>
              </w:rPr>
            </w:pPr>
            <w:r>
              <w:rPr>
                <w:rFonts w:hint="eastAsia" w:cs="Times New Roman"/>
                <w:b/>
                <w:bCs/>
                <w:color w:val="auto"/>
              </w:rPr>
              <w:t>1、项目地理位置及周边环境</w:t>
            </w:r>
          </w:p>
          <w:p w14:paraId="170F0123">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lang w:val="en-US" w:eastAsia="zh-CN"/>
              </w:rPr>
            </w:pPr>
            <w:r>
              <w:rPr>
                <w:rFonts w:hint="eastAsia" w:cs="Times New Roman"/>
                <w:color w:val="auto"/>
                <w:highlight w:val="none"/>
                <w:lang w:val="en-US" w:eastAsia="zh-CN"/>
              </w:rPr>
              <w:t>寿县安康医院</w:t>
            </w:r>
            <w:r>
              <w:rPr>
                <w:rFonts w:hint="default" w:ascii="Times New Roman" w:hAnsi="Times New Roman" w:cs="Times New Roman"/>
                <w:color w:val="auto"/>
                <w:highlight w:val="none"/>
                <w:lang w:val="en-US" w:eastAsia="zh-CN"/>
              </w:rPr>
              <w:t>位于</w:t>
            </w:r>
            <w:r>
              <w:rPr>
                <w:rFonts w:hint="eastAsia" w:cs="Times New Roman"/>
                <w:color w:val="auto"/>
                <w:highlight w:val="none"/>
                <w:lang w:val="en-US" w:eastAsia="zh-CN"/>
              </w:rPr>
              <w:t>安徽省淮南市寿县安丰镇石集街道</w:t>
            </w:r>
            <w:r>
              <w:rPr>
                <w:rFonts w:hint="eastAsia"/>
                <w:color w:val="auto"/>
                <w:lang w:val="en-US" w:eastAsia="zh-CN"/>
              </w:rPr>
              <w:t>，寿六路与石吴路交叉口南侧，</w:t>
            </w:r>
            <w:r>
              <w:rPr>
                <w:rFonts w:hint="default"/>
                <w:color w:val="auto"/>
                <w:lang w:val="en-US" w:eastAsia="zh-CN"/>
              </w:rPr>
              <w:t>医院东侧为</w:t>
            </w:r>
            <w:r>
              <w:rPr>
                <w:rFonts w:hint="eastAsia"/>
                <w:color w:val="auto"/>
                <w:lang w:val="en-US" w:eastAsia="zh-CN"/>
              </w:rPr>
              <w:t>石吴路，医院南侧为空地，西侧为寿六路、液化气站，北侧为安丰驾考中心</w:t>
            </w:r>
            <w:r>
              <w:rPr>
                <w:rFonts w:hint="default" w:ascii="Times New Roman" w:hAnsi="Times New Roman" w:cs="Times New Roman"/>
                <w:color w:val="auto"/>
                <w:highlight w:val="none"/>
                <w:lang w:val="en-US" w:eastAsia="zh-CN"/>
              </w:rPr>
              <w:t>。</w:t>
            </w:r>
          </w:p>
          <w:p w14:paraId="25C6FC10">
            <w:pPr>
              <w:pStyle w:val="23"/>
              <w:keepNext w:val="0"/>
              <w:keepLines w:val="0"/>
              <w:suppressLineNumbers w:val="0"/>
              <w:spacing w:before="0" w:beforeAutospacing="0" w:after="0" w:afterAutospacing="0"/>
              <w:ind w:left="0" w:right="0"/>
              <w:rPr>
                <w:rFonts w:hint="default"/>
                <w:color w:val="auto"/>
                <w:lang w:val="en-US" w:eastAsia="zh-CN"/>
              </w:rPr>
            </w:pPr>
            <w:r>
              <w:rPr>
                <w:rFonts w:hint="default"/>
                <w:color w:val="auto"/>
                <w:lang w:val="en-US" w:eastAsia="zh-CN"/>
              </w:rPr>
              <w:t>医院内</w:t>
            </w:r>
            <w:r>
              <w:rPr>
                <w:rFonts w:hint="eastAsia"/>
                <w:color w:val="auto"/>
                <w:lang w:val="en-US" w:eastAsia="zh-CN"/>
              </w:rPr>
              <w:t>北部</w:t>
            </w:r>
            <w:r>
              <w:rPr>
                <w:rFonts w:hint="default"/>
                <w:color w:val="auto"/>
                <w:lang w:val="en-US" w:eastAsia="zh-CN"/>
              </w:rPr>
              <w:t>自</w:t>
            </w:r>
            <w:r>
              <w:rPr>
                <w:rFonts w:hint="eastAsia"/>
                <w:color w:val="auto"/>
                <w:lang w:val="en-US" w:eastAsia="zh-CN"/>
              </w:rPr>
              <w:t>西</w:t>
            </w:r>
            <w:r>
              <w:rPr>
                <w:rFonts w:hint="default"/>
                <w:color w:val="auto"/>
                <w:lang w:val="en-US" w:eastAsia="zh-CN"/>
              </w:rPr>
              <w:t>往</w:t>
            </w:r>
            <w:r>
              <w:rPr>
                <w:rFonts w:hint="eastAsia"/>
                <w:color w:val="auto"/>
                <w:lang w:val="en-US" w:eastAsia="zh-CN"/>
              </w:rPr>
              <w:t>东</w:t>
            </w:r>
            <w:r>
              <w:rPr>
                <w:rFonts w:hint="default"/>
                <w:color w:val="auto"/>
                <w:lang w:val="en-US" w:eastAsia="zh-CN"/>
              </w:rPr>
              <w:t>依次为</w:t>
            </w:r>
            <w:r>
              <w:rPr>
                <w:rFonts w:hint="eastAsia"/>
                <w:color w:val="auto"/>
                <w:lang w:val="en-US" w:eastAsia="zh-CN"/>
              </w:rPr>
              <w:t>综合楼、倒班宿舍楼、食堂、停车场及医废暂存间，医院南部</w:t>
            </w:r>
            <w:r>
              <w:rPr>
                <w:rFonts w:hint="default"/>
                <w:color w:val="auto"/>
                <w:lang w:val="en-US" w:eastAsia="zh-CN"/>
              </w:rPr>
              <w:t>自</w:t>
            </w:r>
            <w:r>
              <w:rPr>
                <w:rFonts w:hint="eastAsia"/>
                <w:color w:val="auto"/>
                <w:lang w:val="en-US" w:eastAsia="zh-CN"/>
              </w:rPr>
              <w:t>西</w:t>
            </w:r>
            <w:r>
              <w:rPr>
                <w:rFonts w:hint="default"/>
                <w:color w:val="auto"/>
                <w:lang w:val="en-US" w:eastAsia="zh-CN"/>
              </w:rPr>
              <w:t>往</w:t>
            </w:r>
            <w:r>
              <w:rPr>
                <w:rFonts w:hint="eastAsia"/>
                <w:color w:val="auto"/>
                <w:lang w:val="en-US" w:eastAsia="zh-CN"/>
              </w:rPr>
              <w:t>东</w:t>
            </w:r>
            <w:r>
              <w:rPr>
                <w:rFonts w:hint="default"/>
                <w:color w:val="auto"/>
                <w:lang w:val="en-US" w:eastAsia="zh-CN"/>
              </w:rPr>
              <w:t>依次为</w:t>
            </w:r>
            <w:r>
              <w:rPr>
                <w:rFonts w:hint="eastAsia"/>
                <w:color w:val="auto"/>
                <w:lang w:val="en-US" w:eastAsia="zh-CN"/>
              </w:rPr>
              <w:t>行政楼、空地、污水处理站</w:t>
            </w:r>
            <w:r>
              <w:rPr>
                <w:rFonts w:hint="default"/>
                <w:color w:val="auto"/>
                <w:lang w:val="en-US" w:eastAsia="zh-CN"/>
              </w:rPr>
              <w:t>。</w:t>
            </w:r>
          </w:p>
          <w:p w14:paraId="62AA4F16">
            <w:pPr>
              <w:pStyle w:val="2"/>
              <w:keepNext w:val="0"/>
              <w:keepLines w:val="0"/>
              <w:suppressLineNumbers w:val="0"/>
              <w:bidi w:val="0"/>
              <w:spacing w:before="0" w:beforeAutospacing="0" w:after="0" w:afterAutospacing="0"/>
              <w:ind w:left="0" w:right="0" w:firstLine="480" w:firstLineChars="200"/>
              <w:rPr>
                <w:rFonts w:hint="default"/>
                <w:color w:val="auto"/>
                <w:lang w:val="en-US" w:eastAsia="zh-CN"/>
              </w:rPr>
            </w:pPr>
            <w:r>
              <w:rPr>
                <w:rFonts w:hint="default"/>
                <w:color w:val="auto"/>
                <w:lang w:val="en-US" w:eastAsia="zh-CN"/>
              </w:rPr>
              <w:t>本项目</w:t>
            </w:r>
            <w:r>
              <w:rPr>
                <w:rFonts w:hint="eastAsia"/>
                <w:color w:val="auto"/>
                <w:lang w:val="en-US" w:eastAsia="zh-CN"/>
              </w:rPr>
              <w:t>DSA机房</w:t>
            </w:r>
            <w:r>
              <w:rPr>
                <w:rFonts w:hint="default"/>
                <w:color w:val="auto"/>
                <w:lang w:val="en-US" w:eastAsia="zh-CN"/>
              </w:rPr>
              <w:t>位于医</w:t>
            </w:r>
            <w:r>
              <w:rPr>
                <w:rFonts w:hint="eastAsia"/>
                <w:color w:val="auto"/>
                <w:lang w:val="en-US" w:eastAsia="zh-CN"/>
              </w:rPr>
              <w:t>院综合楼1层</w:t>
            </w:r>
            <w:r>
              <w:rPr>
                <w:rFonts w:hint="default"/>
                <w:color w:val="auto"/>
                <w:lang w:val="en-US" w:eastAsia="zh-CN"/>
              </w:rPr>
              <w:t>，</w:t>
            </w:r>
            <w:r>
              <w:rPr>
                <w:rFonts w:hint="eastAsia"/>
                <w:color w:val="auto"/>
                <w:lang w:val="en-US" w:eastAsia="zh-CN"/>
              </w:rPr>
              <w:t>东侧为倒班宿舍楼，南</w:t>
            </w:r>
            <w:r>
              <w:rPr>
                <w:rFonts w:hint="default"/>
                <w:color w:val="auto"/>
                <w:lang w:val="en-US" w:eastAsia="zh-CN"/>
              </w:rPr>
              <w:t>侧</w:t>
            </w:r>
            <w:r>
              <w:rPr>
                <w:rFonts w:hint="eastAsia"/>
                <w:color w:val="auto"/>
                <w:lang w:val="en-US" w:eastAsia="zh-CN"/>
              </w:rPr>
              <w:t>为行政楼</w:t>
            </w:r>
            <w:r>
              <w:rPr>
                <w:rFonts w:hint="default"/>
                <w:color w:val="auto"/>
                <w:lang w:val="en-US" w:eastAsia="zh-CN"/>
              </w:rPr>
              <w:t>，</w:t>
            </w:r>
            <w:r>
              <w:rPr>
                <w:rFonts w:hint="eastAsia"/>
                <w:color w:val="auto"/>
                <w:lang w:val="en-US" w:eastAsia="zh-CN"/>
              </w:rPr>
              <w:t>西侧为休闲区，北侧为厂界</w:t>
            </w:r>
            <w:r>
              <w:rPr>
                <w:rFonts w:hint="default"/>
                <w:color w:val="auto"/>
                <w:lang w:val="en-US" w:eastAsia="zh-CN"/>
              </w:rPr>
              <w:t>。</w:t>
            </w:r>
          </w:p>
          <w:p w14:paraId="600DB7BC">
            <w:pPr>
              <w:pStyle w:val="2"/>
              <w:keepNext w:val="0"/>
              <w:keepLines w:val="0"/>
              <w:suppressLineNumbers w:val="0"/>
              <w:bidi w:val="0"/>
              <w:spacing w:before="0" w:beforeAutospacing="0" w:after="0" w:afterAutospacing="0"/>
              <w:ind w:left="0" w:right="0" w:firstLine="480" w:firstLineChars="200"/>
              <w:rPr>
                <w:rFonts w:hint="eastAsia"/>
                <w:color w:val="auto"/>
                <w:highlight w:val="none"/>
                <w:lang w:val="en-US" w:eastAsia="zh-CN"/>
              </w:rPr>
            </w:pPr>
            <w:r>
              <w:rPr>
                <w:rFonts w:hint="default" w:ascii="Times New Roman" w:hAnsi="Times New Roman" w:cs="Times New Roman"/>
                <w:color w:val="auto"/>
                <w:highlight w:val="none"/>
                <w:lang w:val="en-US" w:eastAsia="zh-CN"/>
              </w:rPr>
              <w:t>本项目DSA机房位于</w:t>
            </w:r>
            <w:r>
              <w:rPr>
                <w:rFonts w:hint="eastAsia"/>
                <w:color w:val="auto"/>
                <w:lang w:val="en-US" w:eastAsia="zh-CN"/>
              </w:rPr>
              <w:t>综合楼1层东北侧</w:t>
            </w:r>
            <w:r>
              <w:rPr>
                <w:rFonts w:hint="default" w:ascii="Times New Roman" w:hAnsi="Times New Roman" w:cs="Times New Roman"/>
                <w:color w:val="auto"/>
                <w:highlight w:val="none"/>
                <w:lang w:val="en-US" w:eastAsia="zh-CN"/>
              </w:rPr>
              <w:t>，</w:t>
            </w:r>
            <w:r>
              <w:rPr>
                <w:rFonts w:hint="default"/>
                <w:color w:val="auto"/>
                <w:lang w:val="en-US" w:eastAsia="zh-CN"/>
              </w:rPr>
              <w:t>东侧为</w:t>
            </w:r>
            <w:r>
              <w:rPr>
                <w:rFonts w:hint="eastAsia"/>
                <w:color w:val="auto"/>
                <w:lang w:val="en-US" w:eastAsia="zh-CN"/>
              </w:rPr>
              <w:t>控制室</w:t>
            </w:r>
            <w:r>
              <w:rPr>
                <w:rFonts w:hint="default"/>
                <w:color w:val="auto"/>
                <w:lang w:val="en-US" w:eastAsia="zh-CN"/>
              </w:rPr>
              <w:t>、住院门厅、电梯厅、放射科诊室等，南侧为走廊、检验中心等，西侧为楼梯间、消防中控室及走廊等，北侧为医院内部道路。DSA机房正上方</w:t>
            </w:r>
            <w:r>
              <w:rPr>
                <w:rFonts w:hint="eastAsia"/>
                <w:color w:val="auto"/>
                <w:lang w:val="en-US" w:eastAsia="zh-CN"/>
              </w:rPr>
              <w:t>现状</w:t>
            </w:r>
            <w:r>
              <w:rPr>
                <w:rFonts w:hint="default"/>
                <w:color w:val="auto"/>
                <w:lang w:val="en-US" w:eastAsia="zh-CN"/>
              </w:rPr>
              <w:t>为</w:t>
            </w:r>
            <w:r>
              <w:rPr>
                <w:rFonts w:hint="eastAsia"/>
                <w:color w:val="auto"/>
                <w:lang w:val="en-US" w:eastAsia="zh-CN"/>
              </w:rPr>
              <w:t>口腔科和五官科（拟改设为活动室、库房等不涉及人员长期停留的科室）</w:t>
            </w:r>
            <w:r>
              <w:rPr>
                <w:rFonts w:hint="default" w:ascii="Times New Roman" w:hAnsi="Times New Roman" w:cs="Times New Roman"/>
                <w:color w:val="auto"/>
                <w:highlight w:val="none"/>
                <w:lang w:val="en-US" w:eastAsia="zh-CN"/>
              </w:rPr>
              <w:t>。机房顶部</w:t>
            </w:r>
            <w:r>
              <w:rPr>
                <w:rFonts w:hint="eastAsia" w:cs="Times New Roman"/>
                <w:color w:val="auto"/>
                <w:highlight w:val="none"/>
                <w:lang w:val="en-US" w:eastAsia="zh-CN"/>
              </w:rPr>
              <w:t>、地面</w:t>
            </w:r>
            <w:r>
              <w:rPr>
                <w:rFonts w:hint="default" w:ascii="Times New Roman" w:hAnsi="Times New Roman" w:cs="Times New Roman"/>
                <w:color w:val="auto"/>
                <w:highlight w:val="none"/>
                <w:lang w:val="en-US" w:eastAsia="zh-CN"/>
              </w:rPr>
              <w:t>和四侧墙体进行防护建设。</w:t>
            </w:r>
          </w:p>
          <w:p w14:paraId="0E5392DB">
            <w:pPr>
              <w:pStyle w:val="25"/>
              <w:keepNext w:val="0"/>
              <w:keepLines w:val="0"/>
              <w:suppressLineNumbers w:val="0"/>
              <w:spacing w:before="0" w:beforeAutospacing="0" w:after="0" w:afterAutospacing="0"/>
              <w:ind w:left="0" w:right="0" w:firstLine="482" w:firstLineChars="200"/>
              <w:rPr>
                <w:rFonts w:hint="default"/>
                <w:color w:val="auto"/>
              </w:rPr>
            </w:pPr>
            <w:r>
              <w:rPr>
                <w:rFonts w:hint="eastAsia"/>
                <w:color w:val="auto"/>
              </w:rPr>
              <w:t>表8</w:t>
            </w:r>
            <w:r>
              <w:rPr>
                <w:rFonts w:hint="default"/>
                <w:color w:val="auto"/>
              </w:rPr>
              <w:t xml:space="preserve">-1  </w:t>
            </w:r>
            <w:r>
              <w:rPr>
                <w:rFonts w:hint="eastAsia"/>
                <w:color w:val="auto"/>
              </w:rPr>
              <w:t>本项目机房周边关系</w:t>
            </w:r>
          </w:p>
          <w:tbl>
            <w:tblPr>
              <w:tblStyle w:val="18"/>
              <w:tblW w:w="9470"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737"/>
              <w:gridCol w:w="1522"/>
              <w:gridCol w:w="878"/>
              <w:gridCol w:w="1200"/>
              <w:gridCol w:w="1188"/>
              <w:gridCol w:w="3145"/>
              <w:gridCol w:w="800"/>
            </w:tblGrid>
            <w:tr w14:paraId="186C7A5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97" w:hRule="atLeast"/>
                <w:jc w:val="center"/>
              </w:trPr>
              <w:tc>
                <w:tcPr>
                  <w:tcW w:w="737" w:type="dxa"/>
                  <w:vAlign w:val="center"/>
                </w:tcPr>
                <w:p w14:paraId="1F858F1D">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机房名称</w:t>
                  </w:r>
                </w:p>
              </w:tc>
              <w:tc>
                <w:tcPr>
                  <w:tcW w:w="1522" w:type="dxa"/>
                  <w:vAlign w:val="center"/>
                </w:tcPr>
                <w:p w14:paraId="1039F715">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东侧</w:t>
                  </w:r>
                </w:p>
              </w:tc>
              <w:tc>
                <w:tcPr>
                  <w:tcW w:w="878" w:type="dxa"/>
                  <w:vAlign w:val="center"/>
                </w:tcPr>
                <w:p w14:paraId="747EE663">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南侧</w:t>
                  </w:r>
                </w:p>
              </w:tc>
              <w:tc>
                <w:tcPr>
                  <w:tcW w:w="1200" w:type="dxa"/>
                  <w:vAlign w:val="center"/>
                </w:tcPr>
                <w:p w14:paraId="792014C5">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西侧</w:t>
                  </w:r>
                </w:p>
              </w:tc>
              <w:tc>
                <w:tcPr>
                  <w:tcW w:w="1188" w:type="dxa"/>
                  <w:vAlign w:val="center"/>
                </w:tcPr>
                <w:p w14:paraId="02051CE6">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北侧</w:t>
                  </w:r>
                </w:p>
              </w:tc>
              <w:tc>
                <w:tcPr>
                  <w:tcW w:w="3145" w:type="dxa"/>
                  <w:vAlign w:val="center"/>
                </w:tcPr>
                <w:p w14:paraId="38818F5F">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楼上</w:t>
                  </w:r>
                </w:p>
              </w:tc>
              <w:tc>
                <w:tcPr>
                  <w:tcW w:w="800" w:type="dxa"/>
                  <w:vAlign w:val="center"/>
                </w:tcPr>
                <w:p w14:paraId="0FC166F4">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b w:val="0"/>
                      <w:color w:val="auto"/>
                      <w:kern w:val="2"/>
                      <w:sz w:val="21"/>
                      <w:szCs w:val="21"/>
                      <w:lang w:val="en-US" w:eastAsia="zh-CN" w:bidi="ar-SA"/>
                    </w:rPr>
                    <w:t>楼下</w:t>
                  </w:r>
                </w:p>
              </w:tc>
            </w:tr>
            <w:tr w14:paraId="176D474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737" w:type="dxa"/>
                  <w:vAlign w:val="center"/>
                </w:tcPr>
                <w:p w14:paraId="5AEACA22">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b w:val="0"/>
                      <w:color w:val="auto"/>
                      <w:kern w:val="2"/>
                      <w:sz w:val="21"/>
                      <w:szCs w:val="21"/>
                      <w:highlight w:val="none"/>
                      <w:lang w:val="en-US" w:eastAsia="zh-CN" w:bidi="ar-SA"/>
                    </w:rPr>
                    <w:t>DSA机房</w:t>
                  </w:r>
                </w:p>
              </w:tc>
              <w:tc>
                <w:tcPr>
                  <w:tcW w:w="1522" w:type="dxa"/>
                  <w:vAlign w:val="center"/>
                </w:tcPr>
                <w:p w14:paraId="58C766C1">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highlight w:val="none"/>
                      <w:lang w:val="en-US"/>
                    </w:rPr>
                  </w:pPr>
                  <w:r>
                    <w:rPr>
                      <w:rFonts w:hint="eastAsia" w:cs="Times New Roman"/>
                      <w:color w:val="auto"/>
                      <w:sz w:val="21"/>
                      <w:szCs w:val="21"/>
                      <w:highlight w:val="none"/>
                      <w:lang w:val="en-US" w:eastAsia="zh-CN"/>
                    </w:rPr>
                    <w:t>控制室</w:t>
                  </w:r>
                  <w:r>
                    <w:rPr>
                      <w:rFonts w:hint="default" w:ascii="Times New Roman" w:hAnsi="Times New Roman" w:eastAsia="宋体" w:cs="Times New Roman"/>
                      <w:color w:val="auto"/>
                      <w:sz w:val="21"/>
                      <w:szCs w:val="21"/>
                      <w:highlight w:val="none"/>
                      <w:lang w:val="en-US" w:eastAsia="zh-CN"/>
                    </w:rPr>
                    <w:t>、住院门厅、电梯厅、放射科诊室</w:t>
                  </w:r>
                </w:p>
              </w:tc>
              <w:tc>
                <w:tcPr>
                  <w:tcW w:w="878" w:type="dxa"/>
                  <w:vAlign w:val="center"/>
                </w:tcPr>
                <w:p w14:paraId="2D41EFD6">
                  <w:pPr>
                    <w:keepNext w:val="0"/>
                    <w:keepLines w:val="0"/>
                    <w:suppressLineNumbers w:val="0"/>
                    <w:spacing w:before="0" w:beforeAutospacing="0" w:after="0" w:afterAutospacing="0" w:line="276" w:lineRule="auto"/>
                    <w:ind w:left="0" w:right="0"/>
                    <w:jc w:val="center"/>
                    <w:rPr>
                      <w:rFonts w:hint="default" w:ascii="Times New Roman" w:hAnsi="Times New Roman" w:eastAsia="宋体" w:cs="Times New Roman"/>
                      <w:b w:val="0"/>
                      <w:color w:val="auto"/>
                      <w:kern w:val="2"/>
                      <w:sz w:val="21"/>
                      <w:szCs w:val="21"/>
                      <w:highlight w:val="none"/>
                      <w:lang w:val="en-US" w:eastAsia="zh-CN" w:bidi="ar-SA"/>
                    </w:rPr>
                  </w:pPr>
                  <w:r>
                    <w:rPr>
                      <w:rFonts w:hint="eastAsia"/>
                      <w:color w:val="auto"/>
                      <w:lang w:val="en-US" w:eastAsia="zh-CN"/>
                    </w:rPr>
                    <w:t>走廊、检验中心</w:t>
                  </w:r>
                </w:p>
              </w:tc>
              <w:tc>
                <w:tcPr>
                  <w:tcW w:w="1200" w:type="dxa"/>
                  <w:vAlign w:val="center"/>
                </w:tcPr>
                <w:p w14:paraId="404C5DDD">
                  <w:pPr>
                    <w:keepNext w:val="0"/>
                    <w:keepLines w:val="0"/>
                    <w:suppressLineNumbers w:val="0"/>
                    <w:spacing w:before="0" w:beforeAutospacing="0" w:after="0" w:afterAutospacing="0" w:line="276" w:lineRule="auto"/>
                    <w:ind w:left="0" w:right="0"/>
                    <w:jc w:val="center"/>
                    <w:rPr>
                      <w:rFonts w:hint="default" w:ascii="Times New Roman" w:hAnsi="Times New Roman" w:eastAsia="宋体" w:cs="Times New Roman"/>
                      <w:color w:val="auto"/>
                      <w:sz w:val="21"/>
                      <w:szCs w:val="21"/>
                      <w:highlight w:val="none"/>
                      <w:lang w:val="en-US" w:eastAsia="zh-CN"/>
                    </w:rPr>
                  </w:pPr>
                  <w:r>
                    <w:rPr>
                      <w:rFonts w:hint="eastAsia"/>
                      <w:color w:val="auto"/>
                      <w:lang w:val="en-US" w:eastAsia="zh-CN"/>
                    </w:rPr>
                    <w:t>楼梯间、消防中控室及走廊</w:t>
                  </w:r>
                </w:p>
              </w:tc>
              <w:tc>
                <w:tcPr>
                  <w:tcW w:w="1188" w:type="dxa"/>
                  <w:vAlign w:val="center"/>
                </w:tcPr>
                <w:p w14:paraId="79B736D7">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highlight w:val="none"/>
                      <w:lang w:val="en-US"/>
                    </w:rPr>
                  </w:pPr>
                  <w:r>
                    <w:rPr>
                      <w:rFonts w:hint="default" w:ascii="Times New Roman" w:hAnsi="Times New Roman" w:eastAsia="宋体" w:cs="Times New Roman"/>
                      <w:color w:val="auto"/>
                      <w:sz w:val="21"/>
                      <w:szCs w:val="21"/>
                      <w:highlight w:val="none"/>
                      <w:lang w:val="en-US" w:eastAsia="zh-CN"/>
                    </w:rPr>
                    <w:t>医院内部道路</w:t>
                  </w:r>
                </w:p>
              </w:tc>
              <w:tc>
                <w:tcPr>
                  <w:tcW w:w="3145" w:type="dxa"/>
                  <w:vAlign w:val="center"/>
                </w:tcPr>
                <w:p w14:paraId="689FC8EF">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现状为</w:t>
                  </w:r>
                  <w:r>
                    <w:rPr>
                      <w:rFonts w:hint="default" w:ascii="Times New Roman" w:hAnsi="Times New Roman" w:eastAsia="宋体" w:cs="Times New Roman"/>
                      <w:color w:val="auto"/>
                      <w:sz w:val="21"/>
                      <w:szCs w:val="21"/>
                      <w:highlight w:val="none"/>
                      <w:lang w:val="en-US" w:eastAsia="zh-CN"/>
                    </w:rPr>
                    <w:t>口腔科和五官科</w:t>
                  </w:r>
                  <w:r>
                    <w:rPr>
                      <w:rFonts w:hint="eastAsia" w:cs="Times New Roman"/>
                      <w:color w:val="auto"/>
                      <w:sz w:val="21"/>
                      <w:szCs w:val="21"/>
                      <w:highlight w:val="none"/>
                      <w:lang w:val="en-US" w:eastAsia="zh-CN"/>
                    </w:rPr>
                    <w:t>，拟调整为活动室、库房等不涉及人员长期停留的科室</w:t>
                  </w:r>
                </w:p>
              </w:tc>
              <w:tc>
                <w:tcPr>
                  <w:tcW w:w="800" w:type="dxa"/>
                  <w:vAlign w:val="center"/>
                </w:tcPr>
                <w:p w14:paraId="160AA224">
                  <w:pPr>
                    <w:pStyle w:val="26"/>
                    <w:keepNext w:val="0"/>
                    <w:keepLines w:val="0"/>
                    <w:suppressLineNumbers w:val="0"/>
                    <w:spacing w:before="0" w:beforeAutospacing="0" w:after="0" w:afterAutospacing="0" w:line="276" w:lineRule="auto"/>
                    <w:ind w:left="0" w:right="0"/>
                    <w:rPr>
                      <w:rFonts w:hint="default" w:ascii="Times New Roman" w:hAnsi="Times New Roman" w:eastAsia="宋体" w:cs="Times New Roman"/>
                      <w:color w:val="auto"/>
                      <w:sz w:val="21"/>
                      <w:szCs w:val="21"/>
                      <w:highlight w:val="none"/>
                    </w:rPr>
                  </w:pPr>
                  <w:r>
                    <w:rPr>
                      <w:rFonts w:hint="eastAsia" w:cs="Times New Roman"/>
                      <w:color w:val="auto"/>
                      <w:sz w:val="21"/>
                      <w:szCs w:val="21"/>
                      <w:highlight w:val="none"/>
                      <w:lang w:val="en-US" w:eastAsia="zh-CN"/>
                    </w:rPr>
                    <w:t>土壤层</w:t>
                  </w:r>
                </w:p>
              </w:tc>
            </w:tr>
          </w:tbl>
          <w:p w14:paraId="745CBCD2">
            <w:pPr>
              <w:pStyle w:val="15"/>
              <w:keepNext w:val="0"/>
              <w:keepLines w:val="0"/>
              <w:suppressLineNumbers w:val="0"/>
              <w:spacing w:before="0" w:beforeAutospacing="0" w:after="0" w:afterAutospacing="0"/>
              <w:ind w:left="0" w:leftChars="0" w:right="0" w:firstLine="482" w:firstLineChars="200"/>
              <w:rPr>
                <w:rFonts w:hint="eastAsia"/>
                <w:color w:val="auto"/>
                <w:vertAlign w:val="baseline"/>
                <w:lang w:val="en-US" w:eastAsia="zh-CN"/>
              </w:rPr>
            </w:pPr>
            <w:r>
              <w:rPr>
                <w:rFonts w:hint="eastAsia" w:cs="Times New Roman"/>
                <w:b/>
                <w:bCs/>
                <w:color w:val="auto"/>
              </w:rPr>
              <w:t>2、辐射环境现状调查及评价</w:t>
            </w:r>
          </w:p>
          <w:p w14:paraId="62C262E4">
            <w:pPr>
              <w:pStyle w:val="2"/>
              <w:keepNext w:val="0"/>
              <w:keepLines w:val="0"/>
              <w:suppressLineNumbers w:val="0"/>
              <w:bidi w:val="0"/>
              <w:spacing w:before="0" w:beforeAutospacing="0" w:after="0" w:afterAutospacing="0"/>
              <w:ind w:left="0" w:right="0" w:firstLine="480" w:firstLineChars="200"/>
              <w:rPr>
                <w:rFonts w:hint="eastAsia"/>
                <w:color w:val="auto"/>
                <w:lang w:val="en-US" w:eastAsia="zh-CN"/>
              </w:rPr>
            </w:pPr>
            <w:r>
              <w:rPr>
                <w:rFonts w:hint="eastAsia" w:cs="Times New Roman"/>
                <w:color w:val="auto"/>
              </w:rPr>
              <w:t>本次评价委托</w:t>
            </w:r>
            <w:r>
              <w:rPr>
                <w:rFonts w:hint="eastAsia" w:cs="Times New Roman"/>
                <w:color w:val="auto"/>
                <w:highlight w:val="none"/>
                <w:lang w:val="en-US" w:eastAsia="zh-CN"/>
              </w:rPr>
              <w:t>中国科学院合肥物质科学研究院计量与检测中心</w:t>
            </w:r>
            <w:r>
              <w:rPr>
                <w:rFonts w:hint="eastAsia" w:cs="Times New Roman"/>
                <w:color w:val="auto"/>
                <w:highlight w:val="none"/>
              </w:rPr>
              <w:t>于202</w:t>
            </w:r>
            <w:r>
              <w:rPr>
                <w:rFonts w:hint="eastAsia" w:cs="Times New Roman"/>
                <w:color w:val="auto"/>
                <w:highlight w:val="none"/>
                <w:lang w:val="en-US" w:eastAsia="zh-CN"/>
              </w:rPr>
              <w:t>4</w:t>
            </w:r>
            <w:r>
              <w:rPr>
                <w:rFonts w:hint="eastAsia" w:cs="Times New Roman"/>
                <w:color w:val="auto"/>
                <w:highlight w:val="none"/>
              </w:rPr>
              <w:t>年</w:t>
            </w:r>
            <w:r>
              <w:rPr>
                <w:rFonts w:hint="eastAsia" w:cs="Times New Roman"/>
                <w:color w:val="auto"/>
                <w:highlight w:val="none"/>
                <w:lang w:val="en-US" w:eastAsia="zh-CN"/>
              </w:rPr>
              <w:t>8</w:t>
            </w:r>
            <w:r>
              <w:rPr>
                <w:rFonts w:hint="eastAsia" w:cs="Times New Roman"/>
                <w:color w:val="auto"/>
                <w:highlight w:val="none"/>
              </w:rPr>
              <w:t>月</w:t>
            </w:r>
            <w:r>
              <w:rPr>
                <w:rFonts w:hint="eastAsia" w:cs="Times New Roman"/>
                <w:color w:val="auto"/>
                <w:highlight w:val="none"/>
                <w:lang w:val="en-US" w:eastAsia="zh-CN"/>
              </w:rPr>
              <w:t>5</w:t>
            </w:r>
            <w:r>
              <w:rPr>
                <w:rFonts w:hint="eastAsia" w:cs="Times New Roman"/>
                <w:color w:val="auto"/>
                <w:highlight w:val="none"/>
              </w:rPr>
              <w:t>日对本项目区域及周边环境进行了辐射环境背景监测，</w:t>
            </w:r>
            <w:r>
              <w:rPr>
                <w:rFonts w:hint="eastAsia" w:cs="Times New Roman"/>
                <w:color w:val="auto"/>
                <w:highlight w:val="none"/>
                <w:lang w:eastAsia="zh-CN"/>
              </w:rPr>
              <w:t>监测</w:t>
            </w:r>
            <w:r>
              <w:rPr>
                <w:rFonts w:hint="eastAsia" w:cs="Times New Roman"/>
                <w:color w:val="auto"/>
                <w:highlight w:val="none"/>
              </w:rPr>
              <w:t>报告详见附件</w:t>
            </w:r>
            <w:r>
              <w:rPr>
                <w:rFonts w:hint="default" w:cs="Times New Roman"/>
                <w:color w:val="auto"/>
                <w:highlight w:val="none"/>
              </w:rPr>
              <w:t>1</w:t>
            </w:r>
            <w:r>
              <w:rPr>
                <w:rFonts w:hint="eastAsia" w:cs="Times New Roman"/>
                <w:color w:val="auto"/>
                <w:highlight w:val="none"/>
                <w:lang w:val="en-US" w:eastAsia="zh-CN"/>
              </w:rPr>
              <w:t>2</w:t>
            </w:r>
            <w:r>
              <w:rPr>
                <w:rFonts w:hint="eastAsia" w:cs="Times New Roman"/>
                <w:color w:val="auto"/>
              </w:rPr>
              <w:t>。</w:t>
            </w:r>
          </w:p>
          <w:p w14:paraId="55A96652">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（1）监测因子</w:t>
            </w:r>
          </w:p>
          <w:p w14:paraId="5C86EDD1">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本次项目监测因子为γ辐射空气吸收剂量率。</w:t>
            </w:r>
          </w:p>
          <w:p w14:paraId="04B09FC0">
            <w:pPr>
              <w:pStyle w:val="23"/>
              <w:keepNext w:val="0"/>
              <w:keepLines w:val="0"/>
              <w:numPr>
                <w:ilvl w:val="0"/>
                <w:numId w:val="1"/>
              </w:numPr>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监测布点</w:t>
            </w:r>
          </w:p>
          <w:p w14:paraId="30528A60">
            <w:pPr>
              <w:pStyle w:val="25"/>
              <w:keepNext w:val="0"/>
              <w:keepLines w:val="0"/>
              <w:suppressLineNumbers w:val="0"/>
              <w:spacing w:before="0" w:beforeAutospacing="0" w:after="0" w:afterAutospacing="0"/>
              <w:ind w:left="0" w:right="0" w:firstLine="480" w:firstLineChars="200"/>
              <w:jc w:val="both"/>
              <w:rPr>
                <w:rFonts w:hint="eastAsia"/>
                <w:color w:val="auto"/>
              </w:rPr>
            </w:pPr>
            <w:r>
              <w:rPr>
                <w:rFonts w:hint="eastAsia" w:ascii="宋体" w:hAnsi="宋体" w:eastAsia="宋体" w:cs="宋体"/>
                <w:b w:val="0"/>
                <w:bCs/>
                <w:color w:val="auto"/>
              </w:rPr>
              <w:t>根据均布性和代表性原则进行布点，共布设</w:t>
            </w:r>
            <w:r>
              <w:rPr>
                <w:rFonts w:hint="default" w:ascii="Times New Roman" w:hAnsi="Times New Roman" w:eastAsia="宋体" w:cs="Times New Roman"/>
                <w:b w:val="0"/>
                <w:bCs/>
                <w:color w:val="auto"/>
                <w:lang w:val="en-US" w:eastAsia="zh-CN"/>
              </w:rPr>
              <w:t>1</w:t>
            </w:r>
            <w:r>
              <w:rPr>
                <w:rFonts w:hint="default" w:ascii="Times New Roman" w:hAnsi="Times New Roman" w:cs="Times New Roman"/>
                <w:b w:val="0"/>
                <w:bCs/>
                <w:color w:val="auto"/>
                <w:lang w:val="en-US" w:eastAsia="zh-CN"/>
              </w:rPr>
              <w:t>1</w:t>
            </w:r>
            <w:r>
              <w:rPr>
                <w:rFonts w:hint="eastAsia" w:ascii="宋体" w:hAnsi="宋体" w:eastAsia="宋体" w:cs="宋体"/>
                <w:b w:val="0"/>
                <w:bCs/>
                <w:color w:val="auto"/>
              </w:rPr>
              <w:t>个监测点位</w:t>
            </w:r>
            <w:r>
              <w:rPr>
                <w:rFonts w:hint="eastAsia" w:ascii="宋体" w:hAnsi="宋体" w:eastAsia="宋体" w:cs="宋体"/>
                <w:b w:val="0"/>
                <w:bCs/>
                <w:color w:val="auto"/>
                <w:lang w:eastAsia="zh-CN"/>
              </w:rPr>
              <w:t>，</w:t>
            </w:r>
            <w:r>
              <w:rPr>
                <w:rFonts w:hint="eastAsia" w:ascii="宋体" w:hAnsi="宋体" w:eastAsia="宋体" w:cs="宋体"/>
                <w:b w:val="0"/>
                <w:bCs/>
                <w:color w:val="auto"/>
                <w:lang w:val="en-US" w:eastAsia="zh-CN"/>
              </w:rPr>
              <w:t>具体如下。</w:t>
            </w:r>
          </w:p>
          <w:p w14:paraId="4E816E0D">
            <w:pPr>
              <w:pStyle w:val="23"/>
              <w:keepNext w:val="0"/>
              <w:keepLines w:val="0"/>
              <w:suppressLineNumbers w:val="0"/>
              <w:spacing w:before="0" w:beforeAutospacing="0" w:after="0" w:afterAutospacing="0" w:line="240" w:lineRule="auto"/>
              <w:ind w:left="0" w:right="0" w:firstLine="482" w:firstLineChars="200"/>
              <w:jc w:val="center"/>
              <w:rPr>
                <w:rFonts w:hint="default" w:cs="Times New Roman"/>
                <w:b/>
                <w:bCs/>
                <w:color w:val="auto"/>
                <w:szCs w:val="24"/>
              </w:rPr>
            </w:pPr>
            <w:r>
              <w:rPr>
                <w:rFonts w:hint="default" w:cs="Times New Roman"/>
                <w:b/>
                <w:bCs/>
                <w:color w:val="auto"/>
              </w:rPr>
              <w:t>表</w:t>
            </w:r>
            <w:r>
              <w:rPr>
                <w:rFonts w:hint="eastAsia" w:cs="Times New Roman"/>
                <w:b/>
                <w:bCs/>
                <w:color w:val="auto"/>
                <w:lang w:val="en-US" w:eastAsia="zh-CN"/>
              </w:rPr>
              <w:t>8-2</w:t>
            </w:r>
            <w:r>
              <w:rPr>
                <w:rFonts w:hint="default" w:cs="Times New Roman"/>
                <w:b/>
                <w:bCs/>
                <w:color w:val="auto"/>
              </w:rPr>
              <w:t xml:space="preserve">  </w:t>
            </w:r>
            <w:r>
              <w:rPr>
                <w:rFonts w:hint="eastAsia" w:cs="Times New Roman"/>
                <w:b/>
                <w:bCs/>
                <w:color w:val="auto"/>
                <w:lang w:val="en-US" w:eastAsia="zh-CN"/>
              </w:rPr>
              <w:t>辐射本底</w:t>
            </w:r>
            <w:r>
              <w:rPr>
                <w:rFonts w:hint="default" w:cs="Times New Roman"/>
                <w:b/>
                <w:bCs/>
                <w:color w:val="auto"/>
                <w:szCs w:val="24"/>
              </w:rPr>
              <w:t>监测点位一览表</w:t>
            </w:r>
          </w:p>
          <w:tbl>
            <w:tblPr>
              <w:tblStyle w:val="18"/>
              <w:tblW w:w="486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4"/>
              <w:gridCol w:w="1497"/>
              <w:gridCol w:w="3869"/>
              <w:gridCol w:w="2124"/>
            </w:tblGrid>
            <w:tr w14:paraId="75AAF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tcBorders>
                    <w:tl2br w:val="nil"/>
                    <w:tr2bl w:val="nil"/>
                  </w:tcBorders>
                  <w:vAlign w:val="center"/>
                </w:tcPr>
                <w:p w14:paraId="4D4397BB">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环境因素</w:t>
                  </w:r>
                </w:p>
              </w:tc>
              <w:tc>
                <w:tcPr>
                  <w:tcW w:w="806" w:type="pct"/>
                  <w:tcBorders>
                    <w:tl2br w:val="nil"/>
                    <w:tr2bl w:val="nil"/>
                  </w:tcBorders>
                  <w:vAlign w:val="center"/>
                </w:tcPr>
                <w:p w14:paraId="1BD6CEA1">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点位编号</w:t>
                  </w:r>
                </w:p>
              </w:tc>
              <w:tc>
                <w:tcPr>
                  <w:tcW w:w="2083" w:type="pct"/>
                  <w:tcBorders>
                    <w:tl2br w:val="nil"/>
                    <w:tr2bl w:val="nil"/>
                  </w:tcBorders>
                  <w:vAlign w:val="center"/>
                </w:tcPr>
                <w:p w14:paraId="1D75F3A1">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点位名称</w:t>
                  </w:r>
                </w:p>
              </w:tc>
              <w:tc>
                <w:tcPr>
                  <w:tcW w:w="1143" w:type="pct"/>
                  <w:tcBorders>
                    <w:tl2br w:val="nil"/>
                    <w:tr2bl w:val="nil"/>
                  </w:tcBorders>
                  <w:vAlign w:val="center"/>
                </w:tcPr>
                <w:p w14:paraId="2FCACC4E">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监测因子</w:t>
                  </w:r>
                </w:p>
              </w:tc>
            </w:tr>
            <w:tr w14:paraId="175D0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restart"/>
                  <w:tcBorders>
                    <w:tl2br w:val="nil"/>
                    <w:tr2bl w:val="nil"/>
                  </w:tcBorders>
                  <w:vAlign w:val="center"/>
                </w:tcPr>
                <w:p w14:paraId="63130299">
                  <w:pPr>
                    <w:pStyle w:val="23"/>
                    <w:keepNext w:val="0"/>
                    <w:keepLines w:val="0"/>
                    <w:suppressLineNumbers w:val="0"/>
                    <w:spacing w:before="0" w:beforeAutospacing="0" w:after="0" w:afterAutospacing="0" w:line="240" w:lineRule="auto"/>
                    <w:ind w:left="0" w:right="0" w:firstLine="0" w:firstLineChars="0"/>
                    <w:jc w:val="center"/>
                    <w:rPr>
                      <w:rFonts w:hint="eastAsia" w:eastAsia="宋体" w:cs="Times New Roman"/>
                      <w:color w:val="auto"/>
                      <w:sz w:val="21"/>
                      <w:szCs w:val="21"/>
                      <w:lang w:eastAsia="zh-CN"/>
                    </w:rPr>
                  </w:pPr>
                  <w:r>
                    <w:rPr>
                      <w:rFonts w:hint="eastAsia" w:ascii="Times New Roman" w:hAnsi="Times New Roman" w:eastAsia="宋体" w:cs="Times New Roman"/>
                      <w:b w:val="0"/>
                      <w:snapToGrid w:val="0"/>
                      <w:color w:val="auto"/>
                      <w:kern w:val="0"/>
                      <w:sz w:val="21"/>
                      <w:szCs w:val="21"/>
                      <w:lang w:val="en-US" w:eastAsia="zh-CN" w:bidi="ar-SA"/>
                    </w:rPr>
                    <w:t>辐射环境</w:t>
                  </w:r>
                </w:p>
              </w:tc>
              <w:tc>
                <w:tcPr>
                  <w:tcW w:w="806" w:type="pct"/>
                  <w:tcBorders>
                    <w:tl2br w:val="nil"/>
                    <w:tr2bl w:val="nil"/>
                  </w:tcBorders>
                  <w:vAlign w:val="center"/>
                </w:tcPr>
                <w:p w14:paraId="1F5D2CBD">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eastAsia="宋体" w:cs="Times New Roman"/>
                      <w:color w:val="auto"/>
                      <w:sz w:val="21"/>
                      <w:szCs w:val="21"/>
                      <w:lang w:val="en-US" w:eastAsia="zh-CN"/>
                    </w:rPr>
                  </w:pPr>
                  <w:r>
                    <w:rPr>
                      <w:rFonts w:hint="eastAsia" w:cs="Times New Roman"/>
                      <w:color w:val="auto"/>
                      <w:sz w:val="21"/>
                      <w:szCs w:val="21"/>
                      <w:lang w:val="en-US" w:eastAsia="zh-CN"/>
                    </w:rPr>
                    <w:t>1#</w:t>
                  </w:r>
                </w:p>
              </w:tc>
              <w:tc>
                <w:tcPr>
                  <w:tcW w:w="2083" w:type="pct"/>
                  <w:tcBorders>
                    <w:tl2br w:val="nil"/>
                    <w:tr2bl w:val="nil"/>
                  </w:tcBorders>
                  <w:vAlign w:val="center"/>
                </w:tcPr>
                <w:p w14:paraId="22CC7B28">
                  <w:pPr>
                    <w:pStyle w:val="26"/>
                    <w:keepNext w:val="0"/>
                    <w:keepLines w:val="0"/>
                    <w:suppressLineNumbers w:val="0"/>
                    <w:spacing w:before="0" w:beforeAutospacing="0" w:after="0" w:afterAutospacing="0"/>
                    <w:ind w:left="0" w:leftChars="0" w:right="0" w:rightChars="0" w:firstLine="0" w:firstLineChars="0"/>
                    <w:rPr>
                      <w:rFonts w:hint="default" w:eastAsia="宋体"/>
                      <w:color w:val="auto"/>
                      <w:sz w:val="21"/>
                      <w:szCs w:val="21"/>
                      <w:lang w:val="en-US" w:eastAsia="zh-CN"/>
                    </w:rPr>
                  </w:pPr>
                  <w:r>
                    <w:rPr>
                      <w:rFonts w:hint="eastAsia" w:cs="Times New Roman"/>
                      <w:snapToGrid w:val="0"/>
                      <w:color w:val="auto"/>
                      <w:kern w:val="0"/>
                      <w:sz w:val="21"/>
                      <w:szCs w:val="21"/>
                      <w:lang w:val="en-US" w:eastAsia="zh-CN" w:bidi="ar-SA"/>
                    </w:rPr>
                    <w:t>综合楼</w:t>
                  </w:r>
                  <w:r>
                    <w:rPr>
                      <w:rFonts w:hint="eastAsia" w:ascii="Times New Roman" w:hAnsi="Times New Roman" w:eastAsia="宋体" w:cs="Times New Roman"/>
                      <w:snapToGrid w:val="0"/>
                      <w:color w:val="auto"/>
                      <w:kern w:val="0"/>
                      <w:sz w:val="21"/>
                      <w:szCs w:val="21"/>
                      <w:lang w:val="en-US" w:eastAsia="zh-CN" w:bidi="ar-SA"/>
                    </w:rPr>
                    <w:t>门口</w:t>
                  </w:r>
                </w:p>
              </w:tc>
              <w:tc>
                <w:tcPr>
                  <w:tcW w:w="1143" w:type="pct"/>
                  <w:vMerge w:val="restart"/>
                  <w:tcBorders>
                    <w:tl2br w:val="nil"/>
                    <w:tr2bl w:val="nil"/>
                  </w:tcBorders>
                  <w:vAlign w:val="center"/>
                </w:tcPr>
                <w:p w14:paraId="44D6B17F">
                  <w:pPr>
                    <w:pStyle w:val="23"/>
                    <w:keepNext w:val="0"/>
                    <w:keepLines w:val="0"/>
                    <w:suppressLineNumbers w:val="0"/>
                    <w:spacing w:before="0" w:beforeAutospacing="0" w:after="0" w:afterAutospacing="0" w:line="240" w:lineRule="auto"/>
                    <w:ind w:left="0" w:right="0" w:firstLine="0" w:firstLineChars="0"/>
                    <w:jc w:val="center"/>
                    <w:rPr>
                      <w:rFonts w:hint="eastAsia" w:eastAsia="宋体" w:cs="Times New Roman"/>
                      <w:color w:val="auto"/>
                      <w:sz w:val="21"/>
                      <w:szCs w:val="21"/>
                      <w:lang w:eastAsia="zh-CN"/>
                    </w:rPr>
                  </w:pPr>
                  <w:r>
                    <w:rPr>
                      <w:rFonts w:hint="default" w:ascii="Times New Roman" w:hAnsi="Times New Roman" w:eastAsia="宋体" w:cs="Times New Roman"/>
                      <w:b w:val="0"/>
                      <w:snapToGrid w:val="0"/>
                      <w:color w:val="auto"/>
                      <w:kern w:val="0"/>
                      <w:sz w:val="21"/>
                      <w:szCs w:val="21"/>
                      <w:lang w:val="en-US" w:eastAsia="zh-CN" w:bidi="ar-SA"/>
                    </w:rPr>
                    <w:t>γ</w:t>
                  </w:r>
                  <w:r>
                    <w:rPr>
                      <w:rFonts w:hint="eastAsia" w:ascii="Times New Roman" w:hAnsi="Times New Roman" w:eastAsia="宋体" w:cs="Times New Roman"/>
                      <w:b w:val="0"/>
                      <w:snapToGrid w:val="0"/>
                      <w:color w:val="auto"/>
                      <w:kern w:val="0"/>
                      <w:sz w:val="21"/>
                      <w:szCs w:val="21"/>
                      <w:lang w:val="en-US" w:eastAsia="zh-CN" w:bidi="ar-SA"/>
                    </w:rPr>
                    <w:t>辐射空气吸收剂量率（Gy/h）</w:t>
                  </w:r>
                </w:p>
              </w:tc>
            </w:tr>
            <w:tr w14:paraId="06B60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7E066962">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563D9DEC">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cs="Times New Roman"/>
                      <w:color w:val="auto"/>
                      <w:sz w:val="21"/>
                      <w:szCs w:val="21"/>
                      <w:lang w:val="en-US" w:eastAsia="zh-CN"/>
                    </w:rPr>
                  </w:pPr>
                  <w:r>
                    <w:rPr>
                      <w:rFonts w:hint="eastAsia" w:cs="Times New Roman"/>
                      <w:color w:val="auto"/>
                      <w:sz w:val="21"/>
                      <w:szCs w:val="21"/>
                      <w:lang w:val="en-US" w:eastAsia="zh-CN"/>
                    </w:rPr>
                    <w:t>2#</w:t>
                  </w:r>
                </w:p>
              </w:tc>
              <w:tc>
                <w:tcPr>
                  <w:tcW w:w="2083" w:type="pct"/>
                  <w:tcBorders>
                    <w:tl2br w:val="nil"/>
                    <w:tr2bl w:val="nil"/>
                  </w:tcBorders>
                  <w:vAlign w:val="center"/>
                </w:tcPr>
                <w:p w14:paraId="60EE0DD5">
                  <w:pPr>
                    <w:pStyle w:val="26"/>
                    <w:keepNext w:val="0"/>
                    <w:keepLines w:val="0"/>
                    <w:suppressLineNumbers w:val="0"/>
                    <w:spacing w:before="0" w:beforeAutospacing="0" w:after="0" w:afterAutospacing="0"/>
                    <w:ind w:left="0" w:leftChars="0" w:right="0" w:rightChars="0" w:firstLine="0" w:firstLineChars="0"/>
                    <w:rPr>
                      <w:rFonts w:hint="eastAsia"/>
                      <w:color w:val="auto"/>
                      <w:sz w:val="21"/>
                      <w:szCs w:val="21"/>
                      <w:lang w:eastAsia="zh-CN"/>
                    </w:rPr>
                  </w:pPr>
                  <w:r>
                    <w:rPr>
                      <w:rFonts w:hint="eastAsia" w:ascii="Times New Roman" w:hAnsi="Times New Roman" w:eastAsia="宋体" w:cs="Times New Roman"/>
                      <w:snapToGrid w:val="0"/>
                      <w:color w:val="auto"/>
                      <w:kern w:val="0"/>
                      <w:sz w:val="21"/>
                      <w:szCs w:val="21"/>
                      <w:lang w:val="en-US" w:eastAsia="zh-CN" w:bidi="ar-SA"/>
                    </w:rPr>
                    <w:t>拟建DSA机房位置</w:t>
                  </w:r>
                </w:p>
              </w:tc>
              <w:tc>
                <w:tcPr>
                  <w:tcW w:w="1143" w:type="pct"/>
                  <w:vMerge w:val="continue"/>
                  <w:tcBorders>
                    <w:tl2br w:val="nil"/>
                    <w:tr2bl w:val="nil"/>
                  </w:tcBorders>
                  <w:vAlign w:val="center"/>
                </w:tcPr>
                <w:p w14:paraId="18997ACE">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221843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1CF14C41">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5B2478B4">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3#</w:t>
                  </w:r>
                </w:p>
              </w:tc>
              <w:tc>
                <w:tcPr>
                  <w:tcW w:w="2083" w:type="pct"/>
                  <w:tcBorders>
                    <w:tl2br w:val="nil"/>
                    <w:tr2bl w:val="nil"/>
                  </w:tcBorders>
                  <w:vAlign w:val="center"/>
                </w:tcPr>
                <w:p w14:paraId="0C3F3675">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拟建DSA机房东侧</w:t>
                  </w:r>
                  <w:r>
                    <w:rPr>
                      <w:rFonts w:hint="eastAsia" w:cs="Times New Roman"/>
                      <w:snapToGrid w:val="0"/>
                      <w:color w:val="auto"/>
                      <w:kern w:val="0"/>
                      <w:sz w:val="21"/>
                      <w:szCs w:val="21"/>
                      <w:lang w:val="en-US" w:eastAsia="zh-CN" w:bidi="ar-SA"/>
                    </w:rPr>
                    <w:t>控制室</w:t>
                  </w:r>
                </w:p>
              </w:tc>
              <w:tc>
                <w:tcPr>
                  <w:tcW w:w="1143" w:type="pct"/>
                  <w:vMerge w:val="continue"/>
                  <w:tcBorders>
                    <w:tl2br w:val="nil"/>
                    <w:tr2bl w:val="nil"/>
                  </w:tcBorders>
                  <w:vAlign w:val="center"/>
                </w:tcPr>
                <w:p w14:paraId="5A3AAF9F">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499C2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325EACE9">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7E7E0BAD">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cs="Times New Roman"/>
                      <w:color w:val="auto"/>
                      <w:sz w:val="21"/>
                      <w:szCs w:val="21"/>
                      <w:lang w:val="en-US" w:eastAsia="zh-CN"/>
                    </w:rPr>
                  </w:pPr>
                  <w:r>
                    <w:rPr>
                      <w:rFonts w:hint="eastAsia" w:cs="Times New Roman"/>
                      <w:color w:val="auto"/>
                      <w:sz w:val="21"/>
                      <w:szCs w:val="21"/>
                      <w:lang w:val="en-US" w:eastAsia="zh-CN"/>
                    </w:rPr>
                    <w:t>4#</w:t>
                  </w:r>
                </w:p>
              </w:tc>
              <w:tc>
                <w:tcPr>
                  <w:tcW w:w="2083" w:type="pct"/>
                  <w:tcBorders>
                    <w:tl2br w:val="nil"/>
                    <w:tr2bl w:val="nil"/>
                  </w:tcBorders>
                  <w:vAlign w:val="center"/>
                </w:tcPr>
                <w:p w14:paraId="228CC021">
                  <w:pPr>
                    <w:pStyle w:val="26"/>
                    <w:keepNext w:val="0"/>
                    <w:keepLines w:val="0"/>
                    <w:suppressLineNumbers w:val="0"/>
                    <w:spacing w:before="0" w:beforeAutospacing="0" w:after="0" w:afterAutospacing="0"/>
                    <w:ind w:left="0" w:leftChars="0" w:right="0" w:rightChars="0" w:firstLine="0" w:firstLineChars="0"/>
                    <w:jc w:val="center"/>
                    <w:rPr>
                      <w:rFonts w:hint="default"/>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拟建DSA机房东侧</w:t>
                  </w:r>
                  <w:r>
                    <w:rPr>
                      <w:rFonts w:hint="eastAsia" w:cs="Times New Roman"/>
                      <w:snapToGrid w:val="0"/>
                      <w:color w:val="auto"/>
                      <w:kern w:val="0"/>
                      <w:sz w:val="21"/>
                      <w:szCs w:val="21"/>
                      <w:lang w:val="en-US" w:eastAsia="zh-CN" w:bidi="ar-SA"/>
                    </w:rPr>
                    <w:t>住院门厅</w:t>
                  </w:r>
                </w:p>
              </w:tc>
              <w:tc>
                <w:tcPr>
                  <w:tcW w:w="1143" w:type="pct"/>
                  <w:vMerge w:val="continue"/>
                  <w:tcBorders>
                    <w:tl2br w:val="nil"/>
                    <w:tr2bl w:val="nil"/>
                  </w:tcBorders>
                  <w:vAlign w:val="center"/>
                </w:tcPr>
                <w:p w14:paraId="7C72556A">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7BF67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4E21F386">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30E1432D">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cs="Times New Roman"/>
                      <w:color w:val="auto"/>
                      <w:sz w:val="21"/>
                      <w:szCs w:val="21"/>
                      <w:lang w:val="en-US" w:eastAsia="zh-CN"/>
                    </w:rPr>
                  </w:pPr>
                  <w:r>
                    <w:rPr>
                      <w:rFonts w:hint="eastAsia" w:cs="Times New Roman"/>
                      <w:color w:val="auto"/>
                      <w:sz w:val="21"/>
                      <w:szCs w:val="21"/>
                      <w:lang w:val="en-US" w:eastAsia="zh-CN"/>
                    </w:rPr>
                    <w:t>5#</w:t>
                  </w:r>
                </w:p>
              </w:tc>
              <w:tc>
                <w:tcPr>
                  <w:tcW w:w="2083" w:type="pct"/>
                  <w:tcBorders>
                    <w:tl2br w:val="nil"/>
                    <w:tr2bl w:val="nil"/>
                  </w:tcBorders>
                  <w:vAlign w:val="center"/>
                </w:tcPr>
                <w:p w14:paraId="66CF250C">
                  <w:pPr>
                    <w:pStyle w:val="26"/>
                    <w:keepNext w:val="0"/>
                    <w:keepLines w:val="0"/>
                    <w:suppressLineNumbers w:val="0"/>
                    <w:spacing w:before="0" w:beforeAutospacing="0" w:after="0" w:afterAutospacing="0"/>
                    <w:ind w:left="0" w:leftChars="0" w:right="0" w:rightChars="0" w:firstLine="0" w:firstLineChars="0"/>
                    <w:jc w:val="center"/>
                    <w:rPr>
                      <w:rFonts w:hint="default"/>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w:t>
                  </w:r>
                  <w:r>
                    <w:rPr>
                      <w:rFonts w:hint="eastAsia" w:cs="Times New Roman"/>
                      <w:snapToGrid w:val="0"/>
                      <w:color w:val="auto"/>
                      <w:kern w:val="0"/>
                      <w:sz w:val="21"/>
                      <w:szCs w:val="21"/>
                      <w:lang w:val="en-US" w:eastAsia="zh-CN" w:bidi="ar-SA"/>
                    </w:rPr>
                    <w:t>南</w:t>
                  </w:r>
                  <w:r>
                    <w:rPr>
                      <w:rFonts w:hint="eastAsia" w:ascii="Times New Roman" w:hAnsi="Times New Roman" w:eastAsia="宋体" w:cs="Times New Roman"/>
                      <w:snapToGrid w:val="0"/>
                      <w:color w:val="auto"/>
                      <w:kern w:val="0"/>
                      <w:sz w:val="21"/>
                      <w:szCs w:val="21"/>
                      <w:lang w:val="en-US" w:eastAsia="zh-CN" w:bidi="ar-SA"/>
                    </w:rPr>
                    <w:t>侧</w:t>
                  </w:r>
                  <w:r>
                    <w:rPr>
                      <w:rFonts w:hint="eastAsia" w:cs="Times New Roman"/>
                      <w:snapToGrid w:val="0"/>
                      <w:color w:val="auto"/>
                      <w:kern w:val="0"/>
                      <w:sz w:val="21"/>
                      <w:szCs w:val="21"/>
                      <w:lang w:val="en-US" w:eastAsia="zh-CN" w:bidi="ar-SA"/>
                    </w:rPr>
                    <w:t>走廊</w:t>
                  </w:r>
                </w:p>
              </w:tc>
              <w:tc>
                <w:tcPr>
                  <w:tcW w:w="1143" w:type="pct"/>
                  <w:vMerge w:val="continue"/>
                  <w:tcBorders>
                    <w:tl2br w:val="nil"/>
                    <w:tr2bl w:val="nil"/>
                  </w:tcBorders>
                  <w:vAlign w:val="center"/>
                </w:tcPr>
                <w:p w14:paraId="6C020B0A">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6C624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05B7D073">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5FECF26B">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6#</w:t>
                  </w:r>
                </w:p>
              </w:tc>
              <w:tc>
                <w:tcPr>
                  <w:tcW w:w="2083" w:type="pct"/>
                  <w:tcBorders>
                    <w:tl2br w:val="nil"/>
                    <w:tr2bl w:val="nil"/>
                  </w:tcBorders>
                  <w:vAlign w:val="center"/>
                </w:tcPr>
                <w:p w14:paraId="11F45759">
                  <w:pPr>
                    <w:pStyle w:val="26"/>
                    <w:keepNext w:val="0"/>
                    <w:keepLines w:val="0"/>
                    <w:suppressLineNumbers w:val="0"/>
                    <w:spacing w:before="0" w:beforeAutospacing="0" w:after="0" w:afterAutospacing="0"/>
                    <w:ind w:left="0" w:leftChars="0" w:right="0" w:rightChars="0" w:firstLine="0" w:firstLineChars="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w:t>
                  </w:r>
                  <w:r>
                    <w:rPr>
                      <w:rFonts w:hint="eastAsia" w:cs="Times New Roman"/>
                      <w:snapToGrid w:val="0"/>
                      <w:color w:val="auto"/>
                      <w:kern w:val="0"/>
                      <w:sz w:val="21"/>
                      <w:szCs w:val="21"/>
                      <w:lang w:val="en-US" w:eastAsia="zh-CN" w:bidi="ar-SA"/>
                    </w:rPr>
                    <w:t>南</w:t>
                  </w:r>
                  <w:r>
                    <w:rPr>
                      <w:rFonts w:hint="eastAsia" w:ascii="Times New Roman" w:hAnsi="Times New Roman" w:eastAsia="宋体" w:cs="Times New Roman"/>
                      <w:snapToGrid w:val="0"/>
                      <w:color w:val="auto"/>
                      <w:kern w:val="0"/>
                      <w:sz w:val="21"/>
                      <w:szCs w:val="21"/>
                      <w:lang w:val="en-US" w:eastAsia="zh-CN" w:bidi="ar-SA"/>
                    </w:rPr>
                    <w:t>侧</w:t>
                  </w:r>
                  <w:r>
                    <w:rPr>
                      <w:rFonts w:hint="eastAsia" w:cs="Times New Roman"/>
                      <w:snapToGrid w:val="0"/>
                      <w:color w:val="auto"/>
                      <w:kern w:val="0"/>
                      <w:sz w:val="21"/>
                      <w:szCs w:val="21"/>
                      <w:lang w:val="en-US" w:eastAsia="zh-CN" w:bidi="ar-SA"/>
                    </w:rPr>
                    <w:t>中心检验区</w:t>
                  </w:r>
                </w:p>
              </w:tc>
              <w:tc>
                <w:tcPr>
                  <w:tcW w:w="1143" w:type="pct"/>
                  <w:vMerge w:val="continue"/>
                  <w:tcBorders>
                    <w:tl2br w:val="nil"/>
                    <w:tr2bl w:val="nil"/>
                  </w:tcBorders>
                  <w:vAlign w:val="center"/>
                </w:tcPr>
                <w:p w14:paraId="2F5F4E57">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22226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607C60C3">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3EDE2732">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7#</w:t>
                  </w:r>
                </w:p>
              </w:tc>
              <w:tc>
                <w:tcPr>
                  <w:tcW w:w="2083" w:type="pct"/>
                  <w:tcBorders>
                    <w:tl2br w:val="nil"/>
                    <w:tr2bl w:val="nil"/>
                  </w:tcBorders>
                  <w:vAlign w:val="center"/>
                </w:tcPr>
                <w:p w14:paraId="2EB6F346">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拟建DSA机房西侧</w:t>
                  </w:r>
                  <w:r>
                    <w:rPr>
                      <w:rFonts w:hint="eastAsia" w:cs="Times New Roman"/>
                      <w:snapToGrid w:val="0"/>
                      <w:color w:val="auto"/>
                      <w:kern w:val="0"/>
                      <w:sz w:val="21"/>
                      <w:szCs w:val="21"/>
                      <w:lang w:val="en-US" w:eastAsia="zh-CN" w:bidi="ar-SA"/>
                    </w:rPr>
                    <w:t>楼梯间</w:t>
                  </w:r>
                </w:p>
              </w:tc>
              <w:tc>
                <w:tcPr>
                  <w:tcW w:w="1143" w:type="pct"/>
                  <w:vMerge w:val="continue"/>
                  <w:tcBorders>
                    <w:tl2br w:val="nil"/>
                    <w:tr2bl w:val="nil"/>
                  </w:tcBorders>
                  <w:vAlign w:val="center"/>
                </w:tcPr>
                <w:p w14:paraId="51D7EA7D">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7D56C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0B8153DD">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63DE265F">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cs="Times New Roman"/>
                      <w:color w:val="auto"/>
                      <w:sz w:val="21"/>
                      <w:szCs w:val="21"/>
                      <w:lang w:val="en-US" w:eastAsia="zh-CN"/>
                    </w:rPr>
                  </w:pPr>
                  <w:r>
                    <w:rPr>
                      <w:rFonts w:hint="eastAsia" w:cs="Times New Roman"/>
                      <w:color w:val="auto"/>
                      <w:sz w:val="21"/>
                      <w:szCs w:val="21"/>
                      <w:lang w:val="en-US" w:eastAsia="zh-CN"/>
                    </w:rPr>
                    <w:t>8#</w:t>
                  </w:r>
                </w:p>
              </w:tc>
              <w:tc>
                <w:tcPr>
                  <w:tcW w:w="2083" w:type="pct"/>
                  <w:tcBorders>
                    <w:tl2br w:val="nil"/>
                    <w:tr2bl w:val="nil"/>
                  </w:tcBorders>
                  <w:vAlign w:val="center"/>
                </w:tcPr>
                <w:p w14:paraId="55576271">
                  <w:pPr>
                    <w:keepNext w:val="0"/>
                    <w:keepLines w:val="0"/>
                    <w:suppressLineNumbers w:val="0"/>
                    <w:spacing w:before="0" w:beforeAutospacing="0" w:after="0" w:afterAutospacing="0"/>
                    <w:ind w:left="0" w:leftChars="0" w:right="0" w:rightChars="0" w:firstLine="0" w:firstLineChars="0"/>
                    <w:jc w:val="center"/>
                    <w:rPr>
                      <w:rFonts w:hint="default" w:eastAsia="宋体"/>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拟建DSA机房西侧</w:t>
                  </w:r>
                  <w:r>
                    <w:rPr>
                      <w:rFonts w:hint="eastAsia" w:cs="Times New Roman"/>
                      <w:snapToGrid w:val="0"/>
                      <w:color w:val="auto"/>
                      <w:kern w:val="0"/>
                      <w:sz w:val="21"/>
                      <w:szCs w:val="21"/>
                      <w:lang w:val="en-US" w:eastAsia="zh-CN" w:bidi="ar-SA"/>
                    </w:rPr>
                    <w:t>消防中控室</w:t>
                  </w:r>
                </w:p>
              </w:tc>
              <w:tc>
                <w:tcPr>
                  <w:tcW w:w="1143" w:type="pct"/>
                  <w:vMerge w:val="continue"/>
                  <w:tcBorders>
                    <w:tl2br w:val="nil"/>
                    <w:tr2bl w:val="nil"/>
                  </w:tcBorders>
                  <w:vAlign w:val="center"/>
                </w:tcPr>
                <w:p w14:paraId="5E8AA258">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6ED3FE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4D85D473">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6E992E85">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9#</w:t>
                  </w:r>
                </w:p>
              </w:tc>
              <w:tc>
                <w:tcPr>
                  <w:tcW w:w="2083" w:type="pct"/>
                  <w:tcBorders>
                    <w:tl2br w:val="nil"/>
                    <w:tr2bl w:val="nil"/>
                  </w:tcBorders>
                  <w:vAlign w:val="center"/>
                </w:tcPr>
                <w:p w14:paraId="6C5538B2">
                  <w:pPr>
                    <w:pStyle w:val="26"/>
                    <w:keepNext w:val="0"/>
                    <w:keepLines w:val="0"/>
                    <w:suppressLineNumbers w:val="0"/>
                    <w:spacing w:before="0" w:beforeAutospacing="0" w:after="0" w:afterAutospacing="0"/>
                    <w:ind w:left="0" w:leftChars="0" w:right="0" w:rightChars="0" w:firstLine="0" w:firstLineChars="0"/>
                    <w:jc w:val="center"/>
                    <w:rPr>
                      <w:rFonts w:hint="default"/>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拟建DSA机房北侧</w:t>
                  </w:r>
                  <w:r>
                    <w:rPr>
                      <w:rFonts w:hint="eastAsia" w:cs="Times New Roman"/>
                      <w:snapToGrid w:val="0"/>
                      <w:color w:val="auto"/>
                      <w:kern w:val="0"/>
                      <w:sz w:val="21"/>
                      <w:szCs w:val="21"/>
                      <w:lang w:val="en-US" w:eastAsia="zh-CN" w:bidi="ar-SA"/>
                    </w:rPr>
                    <w:t>医院内部道路</w:t>
                  </w:r>
                </w:p>
              </w:tc>
              <w:tc>
                <w:tcPr>
                  <w:tcW w:w="1143" w:type="pct"/>
                  <w:vMerge w:val="continue"/>
                  <w:tcBorders>
                    <w:tl2br w:val="nil"/>
                    <w:tr2bl w:val="nil"/>
                  </w:tcBorders>
                  <w:vAlign w:val="center"/>
                </w:tcPr>
                <w:p w14:paraId="734A5ABE">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20F5C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0796762D">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2E82685C">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10#</w:t>
                  </w:r>
                </w:p>
              </w:tc>
              <w:tc>
                <w:tcPr>
                  <w:tcW w:w="2083" w:type="pct"/>
                  <w:tcBorders>
                    <w:tl2br w:val="nil"/>
                    <w:tr2bl w:val="nil"/>
                  </w:tcBorders>
                  <w:vAlign w:val="center"/>
                </w:tcPr>
                <w:p w14:paraId="7389A297">
                  <w:pPr>
                    <w:pStyle w:val="26"/>
                    <w:keepNext w:val="0"/>
                    <w:keepLines w:val="0"/>
                    <w:suppressLineNumbers w:val="0"/>
                    <w:spacing w:before="0" w:beforeAutospacing="0" w:after="0" w:afterAutospacing="0"/>
                    <w:ind w:left="0" w:leftChars="0" w:right="0" w:rightChars="0" w:firstLine="0" w:firstLineChars="0"/>
                    <w:jc w:val="center"/>
                    <w:rPr>
                      <w:rFonts w:hint="default"/>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拟建DSA机房楼上</w:t>
                  </w:r>
                  <w:r>
                    <w:rPr>
                      <w:rFonts w:hint="eastAsia" w:cs="Times New Roman"/>
                      <w:snapToGrid w:val="0"/>
                      <w:color w:val="auto"/>
                      <w:kern w:val="0"/>
                      <w:sz w:val="21"/>
                      <w:szCs w:val="21"/>
                      <w:lang w:val="en-US" w:eastAsia="zh-CN" w:bidi="ar-SA"/>
                    </w:rPr>
                    <w:t>五官科室</w:t>
                  </w:r>
                </w:p>
              </w:tc>
              <w:tc>
                <w:tcPr>
                  <w:tcW w:w="1143" w:type="pct"/>
                  <w:vMerge w:val="continue"/>
                  <w:tcBorders>
                    <w:tl2br w:val="nil"/>
                    <w:tr2bl w:val="nil"/>
                  </w:tcBorders>
                  <w:vAlign w:val="center"/>
                </w:tcPr>
                <w:p w14:paraId="4E2439EC">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3E21D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6" w:type="pct"/>
                  <w:vMerge w:val="continue"/>
                  <w:tcBorders>
                    <w:tl2br w:val="nil"/>
                    <w:tr2bl w:val="nil"/>
                  </w:tcBorders>
                  <w:vAlign w:val="center"/>
                </w:tcPr>
                <w:p w14:paraId="75AECF2A">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5D3EEEBB">
                  <w:pPr>
                    <w:pStyle w:val="23"/>
                    <w:keepNext w:val="0"/>
                    <w:keepLines w:val="0"/>
                    <w:suppressLineNumbers w:val="0"/>
                    <w:spacing w:before="0" w:beforeAutospacing="0" w:after="0" w:afterAutospacing="0" w:line="240" w:lineRule="auto"/>
                    <w:ind w:left="0" w:leftChars="0" w:right="0" w:rightChars="0" w:firstLine="0" w:firstLineChars="0"/>
                    <w:jc w:val="center"/>
                    <w:rPr>
                      <w:rFonts w:hint="eastAsia" w:cs="Times New Roman"/>
                      <w:color w:val="auto"/>
                      <w:sz w:val="21"/>
                      <w:szCs w:val="21"/>
                      <w:lang w:val="en-US" w:eastAsia="zh-CN"/>
                    </w:rPr>
                  </w:pPr>
                  <w:r>
                    <w:rPr>
                      <w:rFonts w:hint="eastAsia" w:cs="Times New Roman"/>
                      <w:color w:val="auto"/>
                      <w:sz w:val="21"/>
                      <w:szCs w:val="21"/>
                      <w:lang w:val="en-US" w:eastAsia="zh-CN"/>
                    </w:rPr>
                    <w:t>11#</w:t>
                  </w:r>
                </w:p>
              </w:tc>
              <w:tc>
                <w:tcPr>
                  <w:tcW w:w="2083" w:type="pct"/>
                  <w:tcBorders>
                    <w:tl2br w:val="nil"/>
                    <w:tr2bl w:val="nil"/>
                  </w:tcBorders>
                  <w:vAlign w:val="center"/>
                </w:tcPr>
                <w:p w14:paraId="4633F1FA">
                  <w:pPr>
                    <w:pStyle w:val="26"/>
                    <w:keepNext w:val="0"/>
                    <w:keepLines w:val="0"/>
                    <w:suppressLineNumbers w:val="0"/>
                    <w:spacing w:before="0" w:beforeAutospacing="0" w:after="0" w:afterAutospacing="0"/>
                    <w:ind w:left="0" w:leftChars="0" w:right="0" w:rightChars="0" w:firstLine="0" w:firstLineChars="0"/>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拟建DSA机房楼上</w:t>
                  </w:r>
                  <w:r>
                    <w:rPr>
                      <w:rFonts w:hint="eastAsia" w:cs="Times New Roman"/>
                      <w:snapToGrid w:val="0"/>
                      <w:color w:val="auto"/>
                      <w:kern w:val="0"/>
                      <w:sz w:val="21"/>
                      <w:szCs w:val="21"/>
                      <w:lang w:val="en-US" w:eastAsia="zh-CN" w:bidi="ar-SA"/>
                    </w:rPr>
                    <w:t>口腔科室</w:t>
                  </w:r>
                </w:p>
              </w:tc>
              <w:tc>
                <w:tcPr>
                  <w:tcW w:w="1143" w:type="pct"/>
                  <w:vMerge w:val="continue"/>
                  <w:tcBorders>
                    <w:tl2br w:val="nil"/>
                    <w:tr2bl w:val="nil"/>
                  </w:tcBorders>
                  <w:vAlign w:val="center"/>
                </w:tcPr>
                <w:p w14:paraId="2665CCBB">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bl>
          <w:p w14:paraId="3134CA03">
            <w:pPr>
              <w:pStyle w:val="2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color w:val="auto"/>
              </w:rPr>
            </w:pPr>
            <w:r>
              <w:rPr>
                <w:rFonts w:hint="default"/>
              </w:rPr>
              <w:drawing>
                <wp:inline distT="0" distB="0" distL="114300" distR="114300">
                  <wp:extent cx="6069965" cy="3340100"/>
                  <wp:effectExtent l="0" t="0" r="0" b="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1"/>
                          <a:srcRect b="12114"/>
                          <a:stretch>
                            <a:fillRect/>
                          </a:stretch>
                        </pic:blipFill>
                        <pic:spPr>
                          <a:xfrm>
                            <a:off x="0" y="0"/>
                            <a:ext cx="6069965" cy="3340100"/>
                          </a:xfrm>
                          <a:prstGeom prst="rect">
                            <a:avLst/>
                          </a:prstGeom>
                          <a:noFill/>
                          <a:ln>
                            <a:noFill/>
                          </a:ln>
                        </pic:spPr>
                      </pic:pic>
                    </a:graphicData>
                  </a:graphic>
                </wp:inline>
              </w:drawing>
            </w:r>
            <w:r>
              <w:rPr>
                <w:rFonts w:hint="default"/>
              </w:rPr>
              <w:drawing>
                <wp:inline distT="0" distB="0" distL="114300" distR="114300">
                  <wp:extent cx="6061710" cy="4030980"/>
                  <wp:effectExtent l="0" t="0" r="15240" b="7620"/>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2"/>
                          <a:stretch>
                            <a:fillRect/>
                          </a:stretch>
                        </pic:blipFill>
                        <pic:spPr>
                          <a:xfrm>
                            <a:off x="0" y="0"/>
                            <a:ext cx="6061710" cy="4030980"/>
                          </a:xfrm>
                          <a:prstGeom prst="rect">
                            <a:avLst/>
                          </a:prstGeom>
                          <a:noFill/>
                          <a:ln>
                            <a:noFill/>
                          </a:ln>
                        </pic:spPr>
                      </pic:pic>
                    </a:graphicData>
                  </a:graphic>
                </wp:inline>
              </w:drawing>
            </w:r>
          </w:p>
          <w:p w14:paraId="7843B16C">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color w:val="auto"/>
              </w:rPr>
            </w:pPr>
            <w:r>
              <w:rPr>
                <w:rFonts w:hint="default" w:ascii="Times New Roman" w:hAnsi="Times New Roman" w:eastAsia="宋体" w:cs="Times New Roman"/>
                <w:b/>
                <w:bCs/>
                <w:color w:val="auto"/>
              </w:rPr>
              <w:t xml:space="preserve">图8-1  </w:t>
            </w:r>
            <w:r>
              <w:rPr>
                <w:rFonts w:hint="eastAsia" w:ascii="Times New Roman" w:hAnsi="Times New Roman" w:eastAsia="宋体" w:cs="Times New Roman"/>
                <w:b/>
                <w:bCs/>
                <w:color w:val="auto"/>
                <w:lang w:val="en-US" w:eastAsia="zh-CN"/>
              </w:rPr>
              <w:t>辐射本底</w:t>
            </w:r>
            <w:r>
              <w:rPr>
                <w:rFonts w:hint="default" w:ascii="Times New Roman" w:hAnsi="Times New Roman" w:eastAsia="宋体" w:cs="Times New Roman"/>
                <w:b/>
                <w:bCs/>
                <w:color w:val="auto"/>
              </w:rPr>
              <w:t>监测点位示意图</w:t>
            </w:r>
          </w:p>
          <w:p w14:paraId="720528EB">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w:t>
            </w:r>
            <w:r>
              <w:rPr>
                <w:rFonts w:hint="eastAsia"/>
                <w:color w:val="auto"/>
                <w:lang w:val="en-US" w:eastAsia="zh-CN"/>
              </w:rPr>
              <w:t>3</w:t>
            </w:r>
            <w:r>
              <w:rPr>
                <w:rFonts w:hint="eastAsia"/>
                <w:color w:val="auto"/>
              </w:rPr>
              <w:t>）质量保证措施</w:t>
            </w:r>
          </w:p>
          <w:p w14:paraId="3EED0961">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①本项目监测</w:t>
            </w:r>
            <w:r>
              <w:rPr>
                <w:rFonts w:hint="eastAsia"/>
                <w:color w:val="auto"/>
                <w:lang w:eastAsia="zh-CN"/>
              </w:rPr>
              <w:t>单位</w:t>
            </w:r>
            <w:r>
              <w:rPr>
                <w:rFonts w:hint="eastAsia"/>
                <w:color w:val="auto"/>
              </w:rPr>
              <w:t>具备监测资质。</w:t>
            </w:r>
          </w:p>
          <w:p w14:paraId="1E03A8D7">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②监测点位在拟建场地四周及周边敏感目标布点，点位布设兼顾均布性和代表性，点位布设具有合理性。</w:t>
            </w:r>
          </w:p>
          <w:p w14:paraId="2327AE2C">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③监测方法</w:t>
            </w:r>
            <w:r>
              <w:rPr>
                <w:rFonts w:hint="eastAsia"/>
                <w:color w:val="auto"/>
                <w:lang w:eastAsia="zh-CN"/>
              </w:rPr>
              <w:t>采用</w:t>
            </w:r>
            <w:r>
              <w:rPr>
                <w:rFonts w:hint="eastAsia"/>
                <w:color w:val="auto"/>
              </w:rPr>
              <w:t>国家有关部门颁布的标准进行。</w:t>
            </w:r>
          </w:p>
          <w:p w14:paraId="2D9B21BB">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④监测人员均参加过相关的培训，现场监测人员具备合理判断数据的能力。</w:t>
            </w:r>
          </w:p>
          <w:p w14:paraId="7854B77E">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⑤监测所用仪器定期经计量部门检定，检定合格后在有效使用期内使用，且与所测对象在频率、量程、响应时间等方面相符合，保证获得真实的测量结果。每次测量前、后均检查仪器的工作状态是否良好。</w:t>
            </w:r>
          </w:p>
          <w:p w14:paraId="344DECEA">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⑥由专业人员按操作规程操作仪器，并做好记录。</w:t>
            </w:r>
          </w:p>
          <w:p w14:paraId="4E4E0AD5">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⑦监测时获取足够的数据量，以保证监测结果的统计学精度。</w:t>
            </w:r>
          </w:p>
          <w:p w14:paraId="292639DC">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⑧监测报告严格实行三级审核制度。</w:t>
            </w:r>
          </w:p>
          <w:p w14:paraId="374218F3">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w:t>
            </w:r>
            <w:r>
              <w:rPr>
                <w:rFonts w:hint="eastAsia"/>
                <w:color w:val="auto"/>
                <w:lang w:val="en-US" w:eastAsia="zh-CN"/>
              </w:rPr>
              <w:t>4</w:t>
            </w:r>
            <w:r>
              <w:rPr>
                <w:rFonts w:hint="eastAsia"/>
                <w:color w:val="auto"/>
              </w:rPr>
              <w:t>）监测结果</w:t>
            </w:r>
          </w:p>
          <w:p w14:paraId="361FC070">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监测结果见</w:t>
            </w:r>
            <w:r>
              <w:rPr>
                <w:rFonts w:hint="eastAsia"/>
                <w:color w:val="auto"/>
                <w:lang w:val="en-US" w:eastAsia="zh-CN"/>
              </w:rPr>
              <w:t>下表</w:t>
            </w:r>
            <w:r>
              <w:rPr>
                <w:rFonts w:hint="default"/>
                <w:color w:val="auto"/>
              </w:rPr>
              <w:t>。</w:t>
            </w:r>
          </w:p>
          <w:p w14:paraId="1B92978D">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cs="Times New Roman"/>
                <w:b/>
                <w:bCs/>
                <w:color w:val="auto"/>
              </w:rPr>
            </w:pPr>
          </w:p>
          <w:p w14:paraId="017BAB2C">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cs="Times New Roman"/>
                <w:b/>
                <w:bCs/>
                <w:color w:val="auto"/>
                <w:szCs w:val="24"/>
              </w:rPr>
            </w:pPr>
            <w:r>
              <w:rPr>
                <w:rFonts w:hint="default" w:cs="Times New Roman"/>
                <w:b/>
                <w:bCs/>
                <w:color w:val="auto"/>
              </w:rPr>
              <w:t>表</w:t>
            </w:r>
            <w:r>
              <w:rPr>
                <w:rFonts w:hint="eastAsia" w:cs="Times New Roman"/>
                <w:b/>
                <w:bCs/>
                <w:color w:val="auto"/>
                <w:lang w:val="en-US" w:eastAsia="zh-CN"/>
              </w:rPr>
              <w:t>8-3</w:t>
            </w:r>
            <w:r>
              <w:rPr>
                <w:rFonts w:hint="default" w:cs="Times New Roman"/>
                <w:b/>
                <w:bCs/>
                <w:color w:val="auto"/>
              </w:rPr>
              <w:t xml:space="preserve">  </w:t>
            </w:r>
            <w:r>
              <w:rPr>
                <w:rFonts w:hint="eastAsia" w:cs="Times New Roman"/>
                <w:b/>
                <w:bCs/>
                <w:color w:val="auto"/>
                <w:lang w:val="en-US" w:eastAsia="zh-CN"/>
              </w:rPr>
              <w:t>辐射本底</w:t>
            </w:r>
            <w:r>
              <w:rPr>
                <w:rFonts w:hint="default" w:cs="Times New Roman"/>
                <w:b/>
                <w:bCs/>
                <w:color w:val="auto"/>
                <w:szCs w:val="24"/>
              </w:rPr>
              <w:t>监测</w:t>
            </w:r>
            <w:r>
              <w:rPr>
                <w:rFonts w:hint="eastAsia" w:cs="Times New Roman"/>
                <w:b/>
                <w:bCs/>
                <w:color w:val="auto"/>
                <w:szCs w:val="24"/>
                <w:lang w:val="en-US" w:eastAsia="zh-CN"/>
              </w:rPr>
              <w:t>结果</w:t>
            </w:r>
            <w:r>
              <w:rPr>
                <w:rFonts w:hint="default" w:cs="Times New Roman"/>
                <w:b/>
                <w:bCs/>
                <w:color w:val="auto"/>
                <w:szCs w:val="24"/>
              </w:rPr>
              <w:t>一览表</w:t>
            </w:r>
          </w:p>
          <w:tbl>
            <w:tblPr>
              <w:tblStyle w:val="18"/>
              <w:tblW w:w="91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8"/>
              <w:gridCol w:w="4685"/>
              <w:gridCol w:w="2895"/>
            </w:tblGrid>
            <w:tr w14:paraId="12514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717ADECA">
                  <w:pPr>
                    <w:pStyle w:val="23"/>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snapToGrid w:val="0"/>
                      <w:color w:val="auto"/>
                      <w:kern w:val="0"/>
                      <w:sz w:val="21"/>
                      <w:szCs w:val="21"/>
                      <w:lang w:val="en-US" w:eastAsia="zh-CN" w:bidi="ar-SA"/>
                    </w:rPr>
                    <w:t>点位编号</w:t>
                  </w:r>
                </w:p>
              </w:tc>
              <w:tc>
                <w:tcPr>
                  <w:tcW w:w="4685" w:type="dxa"/>
                  <w:tcBorders>
                    <w:tl2br w:val="nil"/>
                    <w:tr2bl w:val="nil"/>
                  </w:tcBorders>
                  <w:vAlign w:val="center"/>
                </w:tcPr>
                <w:p w14:paraId="6516644E">
                  <w:pPr>
                    <w:pStyle w:val="23"/>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snapToGrid w:val="0"/>
                      <w:color w:val="auto"/>
                      <w:kern w:val="0"/>
                      <w:sz w:val="21"/>
                      <w:szCs w:val="21"/>
                      <w:lang w:val="en-US" w:eastAsia="zh-CN" w:bidi="ar-SA"/>
                    </w:rPr>
                    <w:t>点位名称</w:t>
                  </w:r>
                </w:p>
              </w:tc>
              <w:tc>
                <w:tcPr>
                  <w:tcW w:w="2895" w:type="dxa"/>
                  <w:tcBorders>
                    <w:tl2br w:val="nil"/>
                    <w:tr2bl w:val="nil"/>
                  </w:tcBorders>
                  <w:vAlign w:val="center"/>
                </w:tcPr>
                <w:p w14:paraId="1C5981DA">
                  <w:pPr>
                    <w:pStyle w:val="23"/>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监测结果（nGy/h）</w:t>
                  </w:r>
                </w:p>
              </w:tc>
            </w:tr>
            <w:tr w14:paraId="163025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47513790">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4685" w:type="dxa"/>
                  <w:tcBorders>
                    <w:tl2br w:val="nil"/>
                    <w:tr2bl w:val="nil"/>
                  </w:tcBorders>
                  <w:vAlign w:val="center"/>
                </w:tcPr>
                <w:p w14:paraId="25517D32">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lang w:val="en-US" w:eastAsia="zh-CN"/>
                    </w:rPr>
                  </w:pPr>
                  <w:r>
                    <w:rPr>
                      <w:rFonts w:hint="eastAsia" w:cs="Times New Roman"/>
                      <w:snapToGrid w:val="0"/>
                      <w:color w:val="auto"/>
                      <w:kern w:val="0"/>
                      <w:sz w:val="21"/>
                      <w:szCs w:val="21"/>
                      <w:lang w:val="en-US" w:eastAsia="zh-CN" w:bidi="ar-SA"/>
                    </w:rPr>
                    <w:t>综合楼</w:t>
                  </w:r>
                  <w:r>
                    <w:rPr>
                      <w:rFonts w:hint="eastAsia" w:ascii="Times New Roman" w:hAnsi="Times New Roman" w:eastAsia="宋体" w:cs="Times New Roman"/>
                      <w:snapToGrid w:val="0"/>
                      <w:color w:val="auto"/>
                      <w:kern w:val="0"/>
                      <w:sz w:val="21"/>
                      <w:szCs w:val="21"/>
                      <w:lang w:val="en-US" w:eastAsia="zh-CN" w:bidi="ar-SA"/>
                    </w:rPr>
                    <w:t>门口</w:t>
                  </w:r>
                  <w:r>
                    <w:rPr>
                      <w:rFonts w:hint="default" w:ascii="Times New Roman" w:hAnsi="Times New Roman" w:eastAsia="宋体" w:cs="Times New Roman"/>
                      <w:b w:val="0"/>
                      <w:bCs/>
                      <w:color w:val="auto"/>
                      <w:kern w:val="2"/>
                      <w:sz w:val="21"/>
                      <w:szCs w:val="21"/>
                      <w:lang w:val="en-US" w:eastAsia="zh-CN" w:bidi="ar-SA"/>
                    </w:rPr>
                    <w:t>距地1m处</w:t>
                  </w:r>
                </w:p>
              </w:tc>
              <w:tc>
                <w:tcPr>
                  <w:tcW w:w="2895" w:type="dxa"/>
                  <w:tcBorders>
                    <w:tl2br w:val="nil"/>
                    <w:tr2bl w:val="nil"/>
                  </w:tcBorders>
                  <w:vAlign w:val="center"/>
                </w:tcPr>
                <w:p w14:paraId="7AD8A6B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b w:val="0"/>
                      <w:bCs/>
                      <w:color w:val="auto"/>
                      <w:sz w:val="21"/>
                      <w:szCs w:val="21"/>
                      <w:highlight w:val="none"/>
                      <w:lang w:val="en-US" w:eastAsia="zh-CN"/>
                    </w:rPr>
                    <w:t>85.3±1.4</w:t>
                  </w:r>
                </w:p>
              </w:tc>
            </w:tr>
            <w:tr w14:paraId="049EAA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37E2DB63">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w:t>
                  </w:r>
                </w:p>
              </w:tc>
              <w:tc>
                <w:tcPr>
                  <w:tcW w:w="4685" w:type="dxa"/>
                  <w:tcBorders>
                    <w:tl2br w:val="nil"/>
                    <w:tr2bl w:val="nil"/>
                  </w:tcBorders>
                  <w:vAlign w:val="center"/>
                </w:tcPr>
                <w:p w14:paraId="38EC8DB1">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snapToGrid w:val="0"/>
                      <w:color w:val="auto"/>
                      <w:kern w:val="0"/>
                      <w:sz w:val="21"/>
                      <w:szCs w:val="21"/>
                      <w:lang w:val="en-US" w:eastAsia="zh-CN" w:bidi="ar-SA"/>
                    </w:rPr>
                    <w:t>拟建DSA机房位置</w:t>
                  </w:r>
                  <w:r>
                    <w:rPr>
                      <w:rFonts w:hint="default" w:ascii="Times New Roman" w:hAnsi="Times New Roman" w:eastAsia="宋体" w:cs="Times New Roman"/>
                      <w:b w:val="0"/>
                      <w:bCs/>
                      <w:color w:val="auto"/>
                      <w:kern w:val="2"/>
                      <w:sz w:val="21"/>
                      <w:szCs w:val="21"/>
                      <w:lang w:val="en-US" w:eastAsia="zh-CN" w:bidi="ar-SA"/>
                    </w:rPr>
                    <w:t>距地1m处</w:t>
                  </w:r>
                </w:p>
              </w:tc>
              <w:tc>
                <w:tcPr>
                  <w:tcW w:w="2895" w:type="dxa"/>
                  <w:tcBorders>
                    <w:tl2br w:val="nil"/>
                    <w:tr2bl w:val="nil"/>
                  </w:tcBorders>
                  <w:vAlign w:val="center"/>
                </w:tcPr>
                <w:p w14:paraId="0E0D13E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90.0±1.4</w:t>
                  </w:r>
                </w:p>
              </w:tc>
            </w:tr>
            <w:tr w14:paraId="688F8A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064AB6B0">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3#</w:t>
                  </w:r>
                </w:p>
              </w:tc>
              <w:tc>
                <w:tcPr>
                  <w:tcW w:w="4685" w:type="dxa"/>
                  <w:tcBorders>
                    <w:tl2br w:val="nil"/>
                    <w:tr2bl w:val="nil"/>
                  </w:tcBorders>
                  <w:vAlign w:val="center"/>
                </w:tcPr>
                <w:p w14:paraId="73C7ACBD">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拟建DSA机房东侧</w:t>
                  </w:r>
                  <w:r>
                    <w:rPr>
                      <w:rFonts w:hint="eastAsia" w:cs="Times New Roman"/>
                      <w:snapToGrid w:val="0"/>
                      <w:color w:val="auto"/>
                      <w:kern w:val="0"/>
                      <w:sz w:val="21"/>
                      <w:szCs w:val="21"/>
                      <w:lang w:val="en-US" w:eastAsia="zh-CN" w:bidi="ar-SA"/>
                    </w:rPr>
                    <w:t>控制室</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7030999A">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80.5±1.6</w:t>
                  </w:r>
                </w:p>
              </w:tc>
            </w:tr>
            <w:tr w14:paraId="12835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03EE55FD">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w:t>
                  </w:r>
                </w:p>
              </w:tc>
              <w:tc>
                <w:tcPr>
                  <w:tcW w:w="4685" w:type="dxa"/>
                  <w:tcBorders>
                    <w:tl2br w:val="nil"/>
                    <w:tr2bl w:val="nil"/>
                  </w:tcBorders>
                  <w:vAlign w:val="center"/>
                </w:tcPr>
                <w:p w14:paraId="2D369CAB">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拟建DSA机房东侧</w:t>
                  </w:r>
                  <w:r>
                    <w:rPr>
                      <w:rFonts w:hint="eastAsia" w:cs="Times New Roman"/>
                      <w:snapToGrid w:val="0"/>
                      <w:color w:val="auto"/>
                      <w:kern w:val="0"/>
                      <w:sz w:val="21"/>
                      <w:szCs w:val="21"/>
                      <w:lang w:val="en-US" w:eastAsia="zh-CN" w:bidi="ar-SA"/>
                    </w:rPr>
                    <w:t>住院门厅</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5C5957B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82.6±1.7</w:t>
                  </w:r>
                </w:p>
              </w:tc>
            </w:tr>
            <w:tr w14:paraId="0301B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7D40CE0B">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5#</w:t>
                  </w:r>
                </w:p>
              </w:tc>
              <w:tc>
                <w:tcPr>
                  <w:tcW w:w="4685" w:type="dxa"/>
                  <w:tcBorders>
                    <w:tl2br w:val="nil"/>
                    <w:tr2bl w:val="nil"/>
                  </w:tcBorders>
                  <w:vAlign w:val="center"/>
                </w:tcPr>
                <w:p w14:paraId="10343229">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color w:val="auto"/>
                      <w:kern w:val="2"/>
                      <w:sz w:val="21"/>
                      <w:szCs w:val="21"/>
                      <w:lang w:val="en-US" w:eastAsia="zh-CN" w:bidi="ar-SA"/>
                    </w:rPr>
                    <w:t>拟建DSA机房南侧走廊内距地1m处</w:t>
                  </w:r>
                </w:p>
              </w:tc>
              <w:tc>
                <w:tcPr>
                  <w:tcW w:w="2895" w:type="dxa"/>
                  <w:tcBorders>
                    <w:tl2br w:val="nil"/>
                    <w:tr2bl w:val="nil"/>
                  </w:tcBorders>
                  <w:vAlign w:val="center"/>
                </w:tcPr>
                <w:p w14:paraId="50D7355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82.4±0.7</w:t>
                  </w:r>
                </w:p>
              </w:tc>
            </w:tr>
            <w:tr w14:paraId="6C4ED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618" w:type="dxa"/>
                  <w:tcBorders>
                    <w:tl2br w:val="nil"/>
                    <w:tr2bl w:val="nil"/>
                  </w:tcBorders>
                  <w:vAlign w:val="center"/>
                </w:tcPr>
                <w:p w14:paraId="584DB634">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6#</w:t>
                  </w:r>
                </w:p>
              </w:tc>
              <w:tc>
                <w:tcPr>
                  <w:tcW w:w="4685" w:type="dxa"/>
                  <w:tcBorders>
                    <w:tl2br w:val="nil"/>
                    <w:tr2bl w:val="nil"/>
                  </w:tcBorders>
                  <w:vAlign w:val="center"/>
                </w:tcPr>
                <w:p w14:paraId="3DCF456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w:t>
                  </w:r>
                  <w:r>
                    <w:rPr>
                      <w:rFonts w:hint="eastAsia" w:cs="Times New Roman"/>
                      <w:snapToGrid w:val="0"/>
                      <w:color w:val="auto"/>
                      <w:kern w:val="0"/>
                      <w:sz w:val="21"/>
                      <w:szCs w:val="21"/>
                      <w:lang w:val="en-US" w:eastAsia="zh-CN" w:bidi="ar-SA"/>
                    </w:rPr>
                    <w:t>南</w:t>
                  </w:r>
                  <w:r>
                    <w:rPr>
                      <w:rFonts w:hint="eastAsia" w:ascii="Times New Roman" w:hAnsi="Times New Roman" w:eastAsia="宋体" w:cs="Times New Roman"/>
                      <w:snapToGrid w:val="0"/>
                      <w:color w:val="auto"/>
                      <w:kern w:val="0"/>
                      <w:sz w:val="21"/>
                      <w:szCs w:val="21"/>
                      <w:lang w:val="en-US" w:eastAsia="zh-CN" w:bidi="ar-SA"/>
                    </w:rPr>
                    <w:t>侧</w:t>
                  </w:r>
                  <w:r>
                    <w:rPr>
                      <w:rFonts w:hint="eastAsia" w:cs="Times New Roman"/>
                      <w:snapToGrid w:val="0"/>
                      <w:color w:val="auto"/>
                      <w:kern w:val="0"/>
                      <w:sz w:val="21"/>
                      <w:szCs w:val="21"/>
                      <w:lang w:val="en-US" w:eastAsia="zh-CN" w:bidi="ar-SA"/>
                    </w:rPr>
                    <w:t>中心检验区</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583C36C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84.0±0.6</w:t>
                  </w:r>
                </w:p>
              </w:tc>
            </w:tr>
            <w:tr w14:paraId="2D879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26C2A1F1">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7#</w:t>
                  </w:r>
                </w:p>
              </w:tc>
              <w:tc>
                <w:tcPr>
                  <w:tcW w:w="4685" w:type="dxa"/>
                  <w:tcBorders>
                    <w:tl2br w:val="nil"/>
                    <w:tr2bl w:val="nil"/>
                  </w:tcBorders>
                  <w:vAlign w:val="center"/>
                </w:tcPr>
                <w:p w14:paraId="7693876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拟建DSA机房西侧</w:t>
                  </w:r>
                  <w:r>
                    <w:rPr>
                      <w:rFonts w:hint="eastAsia" w:cs="Times New Roman"/>
                      <w:snapToGrid w:val="0"/>
                      <w:color w:val="auto"/>
                      <w:kern w:val="0"/>
                      <w:sz w:val="21"/>
                      <w:szCs w:val="21"/>
                      <w:lang w:val="en-US" w:eastAsia="zh-CN" w:bidi="ar-SA"/>
                    </w:rPr>
                    <w:t>楼梯间</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62A7125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84.8±0.5</w:t>
                  </w:r>
                </w:p>
              </w:tc>
            </w:tr>
            <w:tr w14:paraId="081BE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0F2D27F7">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8#</w:t>
                  </w:r>
                </w:p>
              </w:tc>
              <w:tc>
                <w:tcPr>
                  <w:tcW w:w="4685" w:type="dxa"/>
                  <w:tcBorders>
                    <w:tl2br w:val="nil"/>
                    <w:tr2bl w:val="nil"/>
                  </w:tcBorders>
                  <w:vAlign w:val="center"/>
                </w:tcPr>
                <w:p w14:paraId="07F7974B">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拟建DSA机房西侧</w:t>
                  </w:r>
                  <w:r>
                    <w:rPr>
                      <w:rFonts w:hint="eastAsia" w:cs="Times New Roman"/>
                      <w:snapToGrid w:val="0"/>
                      <w:color w:val="auto"/>
                      <w:kern w:val="0"/>
                      <w:sz w:val="21"/>
                      <w:szCs w:val="21"/>
                      <w:lang w:val="en-US" w:eastAsia="zh-CN" w:bidi="ar-SA"/>
                    </w:rPr>
                    <w:t>消防中控室</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0100F97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 xml:space="preserve"> 84.6±0.6</w:t>
                  </w:r>
                </w:p>
              </w:tc>
            </w:tr>
            <w:tr w14:paraId="2DE1B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7DCF1157">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9#</w:t>
                  </w:r>
                </w:p>
              </w:tc>
              <w:tc>
                <w:tcPr>
                  <w:tcW w:w="4685" w:type="dxa"/>
                  <w:tcBorders>
                    <w:tl2br w:val="nil"/>
                    <w:tr2bl w:val="nil"/>
                  </w:tcBorders>
                  <w:vAlign w:val="center"/>
                </w:tcPr>
                <w:p w14:paraId="517831DA">
                  <w:pPr>
                    <w:pStyle w:val="26"/>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拟建DSA机房北侧</w:t>
                  </w:r>
                  <w:r>
                    <w:rPr>
                      <w:rFonts w:hint="eastAsia" w:cs="Times New Roman"/>
                      <w:snapToGrid w:val="0"/>
                      <w:color w:val="auto"/>
                      <w:kern w:val="0"/>
                      <w:sz w:val="21"/>
                      <w:szCs w:val="21"/>
                      <w:lang w:val="en-US" w:eastAsia="zh-CN" w:bidi="ar-SA"/>
                    </w:rPr>
                    <w:t>医院内部道路</w:t>
                  </w:r>
                  <w:r>
                    <w:rPr>
                      <w:rFonts w:hint="default" w:ascii="Times New Roman" w:hAnsi="Times New Roman" w:eastAsia="宋体" w:cs="Times New Roman"/>
                      <w:b w:val="0"/>
                      <w:bCs/>
                      <w:color w:val="auto"/>
                      <w:kern w:val="2"/>
                      <w:sz w:val="21"/>
                      <w:szCs w:val="21"/>
                      <w:lang w:val="en-US" w:eastAsia="zh-CN" w:bidi="ar-SA"/>
                    </w:rPr>
                    <w:t>距地1m处</w:t>
                  </w:r>
                </w:p>
              </w:tc>
              <w:tc>
                <w:tcPr>
                  <w:tcW w:w="2895" w:type="dxa"/>
                  <w:tcBorders>
                    <w:tl2br w:val="nil"/>
                    <w:tr2bl w:val="nil"/>
                  </w:tcBorders>
                  <w:vAlign w:val="center"/>
                </w:tcPr>
                <w:p w14:paraId="57C1BD0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82.7±0.8</w:t>
                  </w:r>
                </w:p>
              </w:tc>
            </w:tr>
            <w:tr w14:paraId="65C9D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24BF1B75">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10#</w:t>
                  </w:r>
                </w:p>
              </w:tc>
              <w:tc>
                <w:tcPr>
                  <w:tcW w:w="4685" w:type="dxa"/>
                  <w:tcBorders>
                    <w:tl2br w:val="nil"/>
                    <w:tr2bl w:val="nil"/>
                  </w:tcBorders>
                  <w:vAlign w:val="center"/>
                </w:tcPr>
                <w:p w14:paraId="24BCDAE6">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snapToGrid w:val="0"/>
                      <w:color w:val="auto"/>
                      <w:kern w:val="0"/>
                      <w:sz w:val="21"/>
                      <w:szCs w:val="21"/>
                      <w:lang w:val="en-US" w:eastAsia="zh-CN" w:bidi="ar-SA"/>
                    </w:rPr>
                    <w:t>拟建DSA机房楼上</w:t>
                  </w:r>
                  <w:r>
                    <w:rPr>
                      <w:rFonts w:hint="eastAsia" w:cs="Times New Roman"/>
                      <w:snapToGrid w:val="0"/>
                      <w:color w:val="auto"/>
                      <w:kern w:val="0"/>
                      <w:sz w:val="21"/>
                      <w:szCs w:val="21"/>
                      <w:lang w:val="en-US" w:eastAsia="zh-CN" w:bidi="ar-SA"/>
                    </w:rPr>
                    <w:t>五官科室</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339B54A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81.9±0.8</w:t>
                  </w:r>
                </w:p>
              </w:tc>
            </w:tr>
            <w:tr w14:paraId="7B180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618" w:type="dxa"/>
                  <w:tcBorders>
                    <w:tl2br w:val="nil"/>
                    <w:tr2bl w:val="nil"/>
                  </w:tcBorders>
                  <w:vAlign w:val="center"/>
                </w:tcPr>
                <w:p w14:paraId="301C9208">
                  <w:pPr>
                    <w:pStyle w:val="23"/>
                    <w:keepNext w:val="0"/>
                    <w:keepLines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11#</w:t>
                  </w:r>
                </w:p>
              </w:tc>
              <w:tc>
                <w:tcPr>
                  <w:tcW w:w="4685" w:type="dxa"/>
                  <w:tcBorders>
                    <w:tl2br w:val="nil"/>
                    <w:tr2bl w:val="nil"/>
                  </w:tcBorders>
                  <w:vAlign w:val="center"/>
                </w:tcPr>
                <w:p w14:paraId="173AC0F4">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拟建DSA机房楼上</w:t>
                  </w:r>
                  <w:r>
                    <w:rPr>
                      <w:rFonts w:hint="eastAsia" w:cs="Times New Roman"/>
                      <w:snapToGrid w:val="0"/>
                      <w:color w:val="auto"/>
                      <w:kern w:val="0"/>
                      <w:sz w:val="21"/>
                      <w:szCs w:val="21"/>
                      <w:lang w:val="en-US" w:eastAsia="zh-CN" w:bidi="ar-SA"/>
                    </w:rPr>
                    <w:t>口腔科室</w:t>
                  </w:r>
                  <w:r>
                    <w:rPr>
                      <w:rFonts w:hint="default" w:ascii="Times New Roman" w:hAnsi="Times New Roman" w:eastAsia="宋体" w:cs="Times New Roman"/>
                      <w:b w:val="0"/>
                      <w:bCs/>
                      <w:color w:val="auto"/>
                      <w:kern w:val="2"/>
                      <w:sz w:val="21"/>
                      <w:szCs w:val="21"/>
                      <w:lang w:val="en-US" w:eastAsia="zh-CN" w:bidi="ar-SA"/>
                    </w:rPr>
                    <w:t>内距地1m处</w:t>
                  </w:r>
                </w:p>
              </w:tc>
              <w:tc>
                <w:tcPr>
                  <w:tcW w:w="2895" w:type="dxa"/>
                  <w:tcBorders>
                    <w:tl2br w:val="nil"/>
                    <w:tr2bl w:val="nil"/>
                  </w:tcBorders>
                  <w:vAlign w:val="center"/>
                </w:tcPr>
                <w:p w14:paraId="0120D2D3">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82.9±0.9</w:t>
                  </w:r>
                </w:p>
              </w:tc>
            </w:tr>
            <w:tr w14:paraId="0E7DE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9198" w:type="dxa"/>
                  <w:gridSpan w:val="3"/>
                  <w:tcBorders>
                    <w:tl2br w:val="nil"/>
                    <w:tr2bl w:val="nil"/>
                  </w:tcBorders>
                  <w:vAlign w:val="center"/>
                </w:tcPr>
                <w:p w14:paraId="20846E1A">
                  <w:pPr>
                    <w:keepNext w:val="0"/>
                    <w:keepLines w:val="0"/>
                    <w:suppressLineNumbers w:val="0"/>
                    <w:spacing w:before="0" w:beforeAutospacing="0" w:after="0" w:afterAutospacing="0"/>
                    <w:ind w:left="0" w:right="0"/>
                    <w:jc w:val="left"/>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注：①测量值未扣除宇宙射线响应。</w:t>
                  </w:r>
                </w:p>
              </w:tc>
            </w:tr>
          </w:tbl>
          <w:p w14:paraId="5FF3DF75">
            <w:pPr>
              <w:pStyle w:val="2"/>
              <w:keepNext w:val="0"/>
              <w:keepLines w:val="0"/>
              <w:suppressLineNumbers w:val="0"/>
              <w:bidi w:val="0"/>
              <w:spacing w:before="0" w:beforeAutospacing="0" w:after="0" w:afterAutospacing="0"/>
              <w:ind w:left="0" w:right="0" w:firstLine="480" w:firstLineChars="200"/>
              <w:rPr>
                <w:rFonts w:hint="default"/>
                <w:color w:val="auto"/>
              </w:rPr>
            </w:pPr>
            <w:r>
              <w:rPr>
                <w:rFonts w:hint="eastAsia"/>
                <w:color w:val="auto"/>
                <w:lang w:eastAsia="zh-CN"/>
              </w:rPr>
              <w:t>（</w:t>
            </w:r>
            <w:r>
              <w:rPr>
                <w:rFonts w:hint="eastAsia"/>
                <w:color w:val="auto"/>
                <w:lang w:val="en-US" w:eastAsia="zh-CN"/>
              </w:rPr>
              <w:t>5</w:t>
            </w:r>
            <w:r>
              <w:rPr>
                <w:rFonts w:hint="eastAsia"/>
                <w:color w:val="auto"/>
                <w:lang w:eastAsia="zh-CN"/>
              </w:rPr>
              <w:t>）</w:t>
            </w:r>
            <w:r>
              <w:rPr>
                <w:rFonts w:hint="default"/>
                <w:color w:val="auto"/>
              </w:rPr>
              <w:t>监测</w:t>
            </w:r>
            <w:r>
              <w:rPr>
                <w:rFonts w:hint="default"/>
                <w:color w:val="auto"/>
                <w:lang w:eastAsia="zh-CN"/>
              </w:rPr>
              <w:t>仪器及监测</w:t>
            </w:r>
            <w:r>
              <w:rPr>
                <w:rFonts w:hint="default"/>
                <w:color w:val="auto"/>
              </w:rPr>
              <w:t>依据</w:t>
            </w:r>
          </w:p>
          <w:p w14:paraId="237953C3">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监测仪器及监测依据详见下表。</w:t>
            </w:r>
          </w:p>
          <w:p w14:paraId="45C1D8AC">
            <w:pPr>
              <w:pStyle w:val="23"/>
              <w:keepNext w:val="0"/>
              <w:keepLines w:val="0"/>
              <w:numPr>
                <w:ilvl w:val="0"/>
                <w:numId w:val="0"/>
              </w:numPr>
              <w:suppressLineNumbers w:val="0"/>
              <w:spacing w:before="0" w:beforeAutospacing="0" w:after="0" w:afterAutospacing="0"/>
              <w:ind w:left="0" w:right="0" w:firstLine="482" w:firstLineChars="200"/>
              <w:jc w:val="center"/>
              <w:rPr>
                <w:rFonts w:hint="eastAsia"/>
                <w:b/>
                <w:bCs/>
                <w:color w:val="auto"/>
                <w:lang w:eastAsia="zh-CN"/>
              </w:rPr>
            </w:pPr>
          </w:p>
          <w:p w14:paraId="3A805CBC">
            <w:pPr>
              <w:pStyle w:val="23"/>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60" w:lineRule="exact"/>
              <w:ind w:left="0" w:right="0" w:firstLine="0" w:firstLineChars="0"/>
              <w:jc w:val="center"/>
              <w:textAlignment w:val="auto"/>
              <w:rPr>
                <w:rFonts w:hint="eastAsia"/>
                <w:b/>
                <w:bCs/>
                <w:color w:val="auto"/>
                <w:lang w:eastAsia="zh-CN"/>
              </w:rPr>
            </w:pPr>
          </w:p>
          <w:p w14:paraId="4BB3C6F9">
            <w:pPr>
              <w:pStyle w:val="23"/>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60" w:lineRule="exact"/>
              <w:ind w:left="0" w:right="0" w:firstLine="0" w:firstLineChars="0"/>
              <w:jc w:val="center"/>
              <w:textAlignment w:val="auto"/>
              <w:rPr>
                <w:rFonts w:hint="eastAsia"/>
                <w:b/>
                <w:bCs/>
                <w:color w:val="auto"/>
                <w:lang w:eastAsia="zh-CN"/>
              </w:rPr>
            </w:pPr>
          </w:p>
          <w:p w14:paraId="7C0F66BD">
            <w:pPr>
              <w:pStyle w:val="23"/>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60" w:lineRule="exact"/>
              <w:ind w:left="0" w:right="0" w:firstLine="0" w:firstLineChars="0"/>
              <w:jc w:val="center"/>
              <w:textAlignment w:val="auto"/>
              <w:rPr>
                <w:rFonts w:hint="default" w:eastAsia="宋体"/>
                <w:b/>
                <w:bCs/>
                <w:color w:val="auto"/>
                <w:lang w:val="en-US" w:eastAsia="zh-CN"/>
              </w:rPr>
            </w:pPr>
            <w:r>
              <w:rPr>
                <w:rFonts w:hint="eastAsia"/>
                <w:b/>
                <w:bCs/>
                <w:color w:val="auto"/>
                <w:lang w:eastAsia="zh-CN"/>
              </w:rPr>
              <w:t>表</w:t>
            </w:r>
            <w:r>
              <w:rPr>
                <w:rFonts w:hint="eastAsia"/>
                <w:b/>
                <w:bCs/>
                <w:color w:val="auto"/>
                <w:lang w:val="en-US" w:eastAsia="zh-CN"/>
              </w:rPr>
              <w:t>8-4  监测仪器与监测依据一览表</w:t>
            </w:r>
          </w:p>
          <w:tbl>
            <w:tblPr>
              <w:tblStyle w:val="18"/>
              <w:tblW w:w="9537"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898"/>
              <w:gridCol w:w="1902"/>
              <w:gridCol w:w="1908"/>
              <w:gridCol w:w="1729"/>
              <w:gridCol w:w="2100"/>
            </w:tblGrid>
            <w:tr w14:paraId="5612744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4" w:hRule="atLeast"/>
              </w:trPr>
              <w:tc>
                <w:tcPr>
                  <w:tcW w:w="1898" w:type="dxa"/>
                  <w:vAlign w:val="center"/>
                </w:tcPr>
                <w:p w14:paraId="3D950728">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项目</w:t>
                  </w:r>
                </w:p>
              </w:tc>
              <w:tc>
                <w:tcPr>
                  <w:tcW w:w="1902" w:type="dxa"/>
                  <w:vAlign w:val="center"/>
                </w:tcPr>
                <w:p w14:paraId="15A0EF5F">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仪器名称</w:t>
                  </w:r>
                </w:p>
              </w:tc>
              <w:tc>
                <w:tcPr>
                  <w:tcW w:w="1908" w:type="dxa"/>
                  <w:vAlign w:val="center"/>
                </w:tcPr>
                <w:p w14:paraId="7881291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型号</w:t>
                  </w:r>
                </w:p>
              </w:tc>
              <w:tc>
                <w:tcPr>
                  <w:tcW w:w="1729" w:type="dxa"/>
                  <w:vAlign w:val="center"/>
                </w:tcPr>
                <w:p w14:paraId="02C705D2">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编号</w:t>
                  </w:r>
                </w:p>
              </w:tc>
              <w:tc>
                <w:tcPr>
                  <w:tcW w:w="2100" w:type="dxa"/>
                  <w:vAlign w:val="center"/>
                </w:tcPr>
                <w:p w14:paraId="0CA42EC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lang w:eastAsia="zh-CN"/>
                    </w:rPr>
                    <w:t>测量范围</w:t>
                  </w:r>
                </w:p>
              </w:tc>
            </w:tr>
            <w:tr w14:paraId="5104697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46" w:hRule="atLeast"/>
              </w:trPr>
              <w:tc>
                <w:tcPr>
                  <w:tcW w:w="1898" w:type="dxa"/>
                  <w:vAlign w:val="center"/>
                </w:tcPr>
                <w:p w14:paraId="7CD63238">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辐射环境</w:t>
                  </w:r>
                </w:p>
              </w:tc>
              <w:tc>
                <w:tcPr>
                  <w:tcW w:w="1902" w:type="dxa"/>
                  <w:vAlign w:val="center"/>
                </w:tcPr>
                <w:p w14:paraId="10F8CB1B">
                  <w:pPr>
                    <w:keepNext w:val="0"/>
                    <w:keepLines w:val="0"/>
                    <w:suppressLineNumbers w:val="0"/>
                    <w:adjustRightInd w:val="0"/>
                    <w:snapToGrid w:val="0"/>
                    <w:spacing w:before="0" w:beforeAutospacing="0" w:after="0" w:afterAutospacing="0"/>
                    <w:ind w:left="0" w:right="0" w:firstLine="105" w:firstLineChars="50"/>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eastAsia="zh-CN"/>
                    </w:rPr>
                    <w:t>X、γ剂量率仪</w:t>
                  </w:r>
                </w:p>
              </w:tc>
              <w:tc>
                <w:tcPr>
                  <w:tcW w:w="1908" w:type="dxa"/>
                  <w:vAlign w:val="center"/>
                </w:tcPr>
                <w:p w14:paraId="66143006">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yellow"/>
                      <w:lang w:val="en-US" w:eastAsia="zh-CN"/>
                    </w:rPr>
                  </w:pPr>
                  <w:r>
                    <w:rPr>
                      <w:rFonts w:hint="eastAsia"/>
                      <w:sz w:val="21"/>
                      <w:szCs w:val="21"/>
                    </w:rPr>
                    <w:t>XH-3512E</w:t>
                  </w:r>
                </w:p>
              </w:tc>
              <w:tc>
                <w:tcPr>
                  <w:tcW w:w="1729" w:type="dxa"/>
                  <w:vAlign w:val="center"/>
                </w:tcPr>
                <w:p w14:paraId="5AD82E5B">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yellow"/>
                      <w:lang w:val="en-US" w:eastAsia="zh-CN"/>
                    </w:rPr>
                  </w:pPr>
                  <w:r>
                    <w:rPr>
                      <w:rFonts w:hint="default" w:ascii="Times New Roman" w:hAnsi="Times New Roman" w:eastAsia="宋体" w:cs="Times New Roman"/>
                      <w:color w:val="auto"/>
                      <w:sz w:val="21"/>
                      <w:szCs w:val="21"/>
                      <w:highlight w:val="none"/>
                      <w:lang w:val="en-US" w:eastAsia="zh-CN"/>
                    </w:rPr>
                    <w:t>DR2021K203</w:t>
                  </w:r>
                </w:p>
              </w:tc>
              <w:tc>
                <w:tcPr>
                  <w:tcW w:w="2100" w:type="dxa"/>
                  <w:vAlign w:val="center"/>
                </w:tcPr>
                <w:p w14:paraId="1815CA9D">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snapToGrid w:val="0"/>
                      <w:color w:val="auto"/>
                      <w:kern w:val="0"/>
                      <w:sz w:val="21"/>
                      <w:szCs w:val="21"/>
                      <w:highlight w:val="yellow"/>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1n</w:t>
                  </w:r>
                  <w:r>
                    <w:rPr>
                      <w:rFonts w:hint="default" w:ascii="Times New Roman" w:hAnsi="Times New Roman" w:eastAsia="宋体" w:cs="Times New Roman"/>
                      <w:b w:val="0"/>
                      <w:snapToGrid w:val="0"/>
                      <w:color w:val="auto"/>
                      <w:kern w:val="0"/>
                      <w:sz w:val="21"/>
                      <w:szCs w:val="21"/>
                      <w:lang w:val="en-US" w:eastAsia="zh-CN" w:bidi="ar-SA"/>
                    </w:rPr>
                    <w:t>Gy</w:t>
                  </w:r>
                  <w:r>
                    <w:rPr>
                      <w:rFonts w:hint="default" w:ascii="Times New Roman" w:hAnsi="Times New Roman" w:eastAsia="宋体" w:cs="Times New Roman"/>
                      <w:b w:val="0"/>
                      <w:snapToGrid w:val="0"/>
                      <w:color w:val="auto"/>
                      <w:kern w:val="0"/>
                      <w:sz w:val="21"/>
                      <w:szCs w:val="21"/>
                      <w:highlight w:val="none"/>
                      <w:lang w:val="en-US" w:eastAsia="zh-CN" w:bidi="ar-SA"/>
                    </w:rPr>
                    <w:t>/h-100μ</w:t>
                  </w:r>
                  <w:r>
                    <w:rPr>
                      <w:rFonts w:hint="default" w:ascii="Times New Roman" w:hAnsi="Times New Roman" w:eastAsia="宋体" w:cs="Times New Roman"/>
                      <w:b w:val="0"/>
                      <w:snapToGrid w:val="0"/>
                      <w:color w:val="auto"/>
                      <w:kern w:val="0"/>
                      <w:sz w:val="21"/>
                      <w:szCs w:val="21"/>
                      <w:lang w:val="en-US" w:eastAsia="zh-CN" w:bidi="ar-SA"/>
                    </w:rPr>
                    <w:t>Gy</w:t>
                  </w:r>
                  <w:r>
                    <w:rPr>
                      <w:rFonts w:hint="default" w:ascii="Times New Roman" w:hAnsi="Times New Roman" w:eastAsia="宋体" w:cs="Times New Roman"/>
                      <w:b w:val="0"/>
                      <w:snapToGrid w:val="0"/>
                      <w:color w:val="auto"/>
                      <w:kern w:val="0"/>
                      <w:sz w:val="21"/>
                      <w:szCs w:val="21"/>
                      <w:highlight w:val="none"/>
                      <w:lang w:val="en-US" w:eastAsia="zh-CN" w:bidi="ar-SA"/>
                    </w:rPr>
                    <w:t>/h</w:t>
                  </w:r>
                </w:p>
              </w:tc>
            </w:tr>
            <w:tr w14:paraId="51332BF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97" w:hRule="atLeast"/>
              </w:trPr>
              <w:tc>
                <w:tcPr>
                  <w:tcW w:w="1898" w:type="dxa"/>
                  <w:vAlign w:val="center"/>
                </w:tcPr>
                <w:p w14:paraId="0A66F63F">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eastAsia="zh-CN"/>
                    </w:rPr>
                    <w:t>检定</w:t>
                  </w:r>
                  <w:r>
                    <w:rPr>
                      <w:rFonts w:hint="eastAsia" w:cs="Times New Roman"/>
                      <w:color w:val="auto"/>
                      <w:sz w:val="21"/>
                      <w:szCs w:val="21"/>
                      <w:lang w:val="en-US" w:eastAsia="zh-CN"/>
                    </w:rPr>
                    <w:t>/校准信息</w:t>
                  </w:r>
                </w:p>
              </w:tc>
              <w:tc>
                <w:tcPr>
                  <w:tcW w:w="7639" w:type="dxa"/>
                  <w:gridSpan w:val="4"/>
                  <w:vAlign w:val="center"/>
                </w:tcPr>
                <w:p w14:paraId="5EE77A60">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检定单位：中国计量科学研究院</w:t>
                  </w:r>
                  <w:r>
                    <w:rPr>
                      <w:rFonts w:hint="eastAsia" w:cs="Times New Roman"/>
                      <w:b w:val="0"/>
                      <w:snapToGrid w:val="0"/>
                      <w:color w:val="auto"/>
                      <w:kern w:val="0"/>
                      <w:sz w:val="21"/>
                      <w:szCs w:val="21"/>
                      <w:highlight w:val="none"/>
                      <w:lang w:val="en-US" w:eastAsia="zh-CN" w:bidi="ar-SA"/>
                    </w:rPr>
                    <w:t>；</w:t>
                  </w:r>
                  <w:r>
                    <w:rPr>
                      <w:rFonts w:hint="default" w:ascii="Times New Roman" w:hAnsi="Times New Roman" w:eastAsia="宋体" w:cs="Times New Roman"/>
                      <w:b w:val="0"/>
                      <w:snapToGrid w:val="0"/>
                      <w:color w:val="auto"/>
                      <w:kern w:val="0"/>
                      <w:sz w:val="21"/>
                      <w:szCs w:val="21"/>
                      <w:highlight w:val="none"/>
                      <w:lang w:val="en-US" w:eastAsia="zh-CN" w:bidi="ar-SA"/>
                    </w:rPr>
                    <w:t>证书编号：YH2024B-005138</w:t>
                  </w:r>
                </w:p>
                <w:p w14:paraId="5B1D13F6">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snapToGrid w:val="0"/>
                      <w:color w:val="auto"/>
                      <w:kern w:val="0"/>
                      <w:sz w:val="21"/>
                      <w:szCs w:val="21"/>
                      <w:highlight w:val="none"/>
                      <w:lang w:val="en-US" w:eastAsia="zh-CN" w:bidi="ar-SA"/>
                    </w:rPr>
                    <w:t>有效期限</w:t>
                  </w:r>
                  <w:r>
                    <w:rPr>
                      <w:rFonts w:hint="eastAsia" w:cs="Times New Roman"/>
                      <w:b w:val="0"/>
                      <w:snapToGrid w:val="0"/>
                      <w:color w:val="auto"/>
                      <w:kern w:val="0"/>
                      <w:sz w:val="21"/>
                      <w:szCs w:val="21"/>
                      <w:highlight w:val="none"/>
                      <w:lang w:val="en-US" w:eastAsia="zh-CN" w:bidi="ar-SA"/>
                    </w:rPr>
                    <w:t>至</w:t>
                  </w:r>
                  <w:r>
                    <w:rPr>
                      <w:rFonts w:hint="default" w:ascii="Times New Roman" w:hAnsi="Times New Roman" w:eastAsia="宋体" w:cs="Times New Roman"/>
                      <w:b w:val="0"/>
                      <w:snapToGrid w:val="0"/>
                      <w:color w:val="auto"/>
                      <w:kern w:val="0"/>
                      <w:sz w:val="21"/>
                      <w:szCs w:val="21"/>
                      <w:highlight w:val="none"/>
                      <w:lang w:val="en-US" w:eastAsia="zh-CN" w:bidi="ar-SA"/>
                    </w:rPr>
                    <w:t>：2025年7月15日</w:t>
                  </w:r>
                </w:p>
              </w:tc>
            </w:tr>
            <w:tr w14:paraId="193AD23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97" w:hRule="atLeast"/>
              </w:trPr>
              <w:tc>
                <w:tcPr>
                  <w:tcW w:w="1898" w:type="dxa"/>
                  <w:vAlign w:val="center"/>
                </w:tcPr>
                <w:p w14:paraId="6C077AE6">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检测依据</w:t>
                  </w:r>
                </w:p>
              </w:tc>
              <w:tc>
                <w:tcPr>
                  <w:tcW w:w="7639" w:type="dxa"/>
                  <w:gridSpan w:val="4"/>
                  <w:vAlign w:val="center"/>
                </w:tcPr>
                <w:p w14:paraId="73CA64A5">
                  <w:pPr>
                    <w:pStyle w:val="26"/>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《辐射环境监测技术规范》（HJ 61—2021）</w:t>
                  </w:r>
                </w:p>
                <w:p w14:paraId="562222D7">
                  <w:pPr>
                    <w:pStyle w:val="26"/>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《环境γ辐射剂量率测量技术规范》（HJ1157--2021）</w:t>
                  </w:r>
                </w:p>
              </w:tc>
            </w:tr>
          </w:tbl>
          <w:p w14:paraId="2F922654">
            <w:pPr>
              <w:pStyle w:val="23"/>
              <w:keepNext w:val="0"/>
              <w:keepLines w:val="0"/>
              <w:suppressLineNumbers w:val="0"/>
              <w:spacing w:before="0" w:beforeAutospacing="0" w:after="0" w:afterAutospacing="0"/>
              <w:ind w:left="0" w:leftChars="0" w:right="0" w:firstLine="480" w:firstLineChars="200"/>
              <w:rPr>
                <w:rFonts w:hint="default"/>
                <w:color w:val="auto"/>
              </w:rPr>
            </w:pPr>
            <w:r>
              <w:rPr>
                <w:rFonts w:hint="eastAsia"/>
                <w:color w:val="auto"/>
              </w:rPr>
              <w:t>（6）检测结果评价</w:t>
            </w:r>
          </w:p>
          <w:p w14:paraId="725E9C78">
            <w:pPr>
              <w:pStyle w:val="15"/>
              <w:keepNext w:val="0"/>
              <w:keepLines w:val="0"/>
              <w:suppressLineNumbers w:val="0"/>
              <w:spacing w:before="0" w:beforeAutospacing="0" w:after="0" w:afterAutospacing="0"/>
              <w:ind w:left="0" w:right="0" w:firstLine="480" w:firstLineChars="200"/>
              <w:rPr>
                <w:rFonts w:hint="eastAsia"/>
                <w:color w:val="auto"/>
              </w:rPr>
            </w:pPr>
            <w:r>
              <w:rPr>
                <w:rFonts w:hint="eastAsia"/>
                <w:color w:val="auto"/>
                <w:highlight w:val="none"/>
              </w:rPr>
              <w:t>由上表可知，本项目核技术应用场所及周边辐射环境现状本底在</w:t>
            </w:r>
            <w:r>
              <w:rPr>
                <w:rFonts w:hint="eastAsia"/>
                <w:color w:val="auto"/>
                <w:highlight w:val="none"/>
                <w:lang w:val="en-US" w:eastAsia="zh-CN"/>
              </w:rPr>
              <w:t>80.5±1.6～90.0±1.4nGy/h</w:t>
            </w:r>
            <w:r>
              <w:rPr>
                <w:rFonts w:hint="eastAsia"/>
                <w:color w:val="auto"/>
                <w:highlight w:val="none"/>
              </w:rPr>
              <w:t>范围内。根据《202</w:t>
            </w:r>
            <w:r>
              <w:rPr>
                <w:rFonts w:hint="eastAsia"/>
                <w:color w:val="auto"/>
                <w:highlight w:val="none"/>
                <w:lang w:val="en-US" w:eastAsia="zh-CN"/>
              </w:rPr>
              <w:t>3</w:t>
            </w:r>
            <w:r>
              <w:rPr>
                <w:rFonts w:hint="eastAsia"/>
                <w:color w:val="auto"/>
                <w:highlight w:val="none"/>
              </w:rPr>
              <w:t>年安徽省生态环境状况公报》中数据显示，202</w:t>
            </w:r>
            <w:r>
              <w:rPr>
                <w:rFonts w:hint="eastAsia"/>
                <w:color w:val="auto"/>
                <w:highlight w:val="none"/>
                <w:lang w:val="en-US" w:eastAsia="zh-CN"/>
              </w:rPr>
              <w:t>3</w:t>
            </w:r>
            <w:r>
              <w:rPr>
                <w:rFonts w:hint="eastAsia"/>
                <w:color w:val="auto"/>
                <w:highlight w:val="none"/>
              </w:rPr>
              <w:t>年，全省伽玛辐射空气吸收剂量率（含宇宙射线贡献值）平均值为</w:t>
            </w:r>
            <w:r>
              <w:rPr>
                <w:rFonts w:hint="eastAsia"/>
                <w:color w:val="auto"/>
              </w:rPr>
              <w:t>9</w:t>
            </w:r>
            <w:r>
              <w:rPr>
                <w:rFonts w:hint="eastAsia"/>
                <w:color w:val="auto"/>
                <w:lang w:val="en-US" w:eastAsia="zh-CN"/>
              </w:rPr>
              <w:t>7.0</w:t>
            </w:r>
            <w:r>
              <w:rPr>
                <w:rFonts w:hint="eastAsia"/>
                <w:color w:val="auto"/>
              </w:rPr>
              <w:t>纳戈瑞/小时，范围为</w:t>
            </w:r>
            <w:r>
              <w:rPr>
                <w:rFonts w:hint="eastAsia"/>
                <w:color w:val="auto"/>
                <w:lang w:val="en-US" w:eastAsia="zh-CN"/>
              </w:rPr>
              <w:t>59</w:t>
            </w:r>
            <w:r>
              <w:rPr>
                <w:rFonts w:hint="eastAsia"/>
                <w:color w:val="auto"/>
              </w:rPr>
              <w:t>～</w:t>
            </w:r>
            <w:r>
              <w:rPr>
                <w:rFonts w:hint="eastAsia"/>
                <w:color w:val="auto"/>
                <w:lang w:val="en-US" w:eastAsia="zh-CN"/>
              </w:rPr>
              <w:t>129</w:t>
            </w:r>
            <w:r>
              <w:rPr>
                <w:rFonts w:hint="default" w:cs="Times New Roman"/>
                <w:color w:val="auto"/>
              </w:rPr>
              <w:t>n</w:t>
            </w:r>
            <w:r>
              <w:rPr>
                <w:rFonts w:hint="eastAsia"/>
                <w:color w:val="auto"/>
              </w:rPr>
              <w:t>Gy/h。</w:t>
            </w:r>
          </w:p>
          <w:p w14:paraId="528FA738">
            <w:pPr>
              <w:pStyle w:val="15"/>
              <w:keepNext w:val="0"/>
              <w:keepLines w:val="0"/>
              <w:suppressLineNumbers w:val="0"/>
              <w:spacing w:before="0" w:beforeAutospacing="0" w:after="0" w:afterAutospacing="0"/>
              <w:ind w:left="0" w:right="0" w:firstLine="480" w:firstLineChars="200"/>
              <w:rPr>
                <w:rFonts w:hint="default"/>
                <w:color w:val="auto"/>
              </w:rPr>
            </w:pPr>
            <w:r>
              <w:rPr>
                <w:rFonts w:hint="eastAsia"/>
                <w:color w:val="auto"/>
                <w:lang w:eastAsia="zh-CN"/>
              </w:rPr>
              <w:t>综上</w:t>
            </w:r>
            <w:r>
              <w:rPr>
                <w:rFonts w:hint="eastAsia"/>
                <w:color w:val="auto"/>
              </w:rPr>
              <w:t>，本项目核技术应用场所及周边辐射环境现状本底值与安徽省天然贯穿辐射水平相当，属于正常本底范围。</w:t>
            </w:r>
          </w:p>
          <w:p w14:paraId="1CB60E97">
            <w:pPr>
              <w:pStyle w:val="15"/>
              <w:keepNext w:val="0"/>
              <w:keepLines w:val="0"/>
              <w:numPr>
                <w:ilvl w:val="0"/>
                <w:numId w:val="0"/>
              </w:numPr>
              <w:suppressLineNumbers w:val="0"/>
              <w:spacing w:before="0" w:beforeAutospacing="0" w:after="0" w:afterAutospacing="0"/>
              <w:ind w:left="0" w:leftChars="0" w:right="0" w:rightChars="0" w:firstLine="482" w:firstLineChars="200"/>
              <w:rPr>
                <w:rFonts w:hint="eastAsia" w:cs="Times New Roman"/>
                <w:b/>
                <w:bCs/>
                <w:color w:val="auto"/>
              </w:rPr>
            </w:pPr>
            <w:r>
              <w:rPr>
                <w:rFonts w:hint="eastAsia" w:ascii="Times New Roman" w:hAnsi="Times New Roman" w:eastAsia="宋体" w:cs="Times New Roman"/>
                <w:b/>
                <w:bCs/>
                <w:color w:val="auto"/>
                <w:kern w:val="2"/>
                <w:sz w:val="24"/>
                <w:szCs w:val="22"/>
                <w:lang w:val="en-US" w:eastAsia="zh-CN" w:bidi="ar-SA"/>
              </w:rPr>
              <w:t>3、</w:t>
            </w:r>
            <w:r>
              <w:rPr>
                <w:rFonts w:hint="eastAsia" w:cs="Times New Roman"/>
                <w:b/>
                <w:bCs/>
                <w:color w:val="auto"/>
                <w:lang w:eastAsia="zh-CN"/>
              </w:rPr>
              <w:t>声</w:t>
            </w:r>
            <w:r>
              <w:rPr>
                <w:rFonts w:hint="eastAsia" w:cs="Times New Roman"/>
                <w:b/>
                <w:bCs/>
                <w:color w:val="auto"/>
              </w:rPr>
              <w:t>环境现状调查及评价</w:t>
            </w:r>
          </w:p>
          <w:p w14:paraId="11F60EF2">
            <w:pPr>
              <w:pStyle w:val="2"/>
              <w:keepNext w:val="0"/>
              <w:keepLines w:val="0"/>
              <w:suppressLineNumbers w:val="0"/>
              <w:bidi w:val="0"/>
              <w:spacing w:before="0" w:beforeAutospacing="0" w:after="0" w:afterAutospacing="0"/>
              <w:ind w:left="0" w:right="0" w:firstLine="480" w:firstLineChars="200"/>
              <w:rPr>
                <w:rFonts w:hint="eastAsia"/>
                <w:color w:val="auto"/>
                <w:lang w:val="en-US" w:eastAsia="zh-CN"/>
              </w:rPr>
            </w:pPr>
            <w:r>
              <w:rPr>
                <w:rFonts w:hint="eastAsia" w:cs="Times New Roman"/>
                <w:color w:val="auto"/>
              </w:rPr>
              <w:t>本次评价委托</w:t>
            </w:r>
            <w:r>
              <w:rPr>
                <w:rFonts w:hint="eastAsia" w:cs="Times New Roman"/>
                <w:color w:val="auto"/>
                <w:highlight w:val="none"/>
                <w:lang w:val="en-US" w:eastAsia="zh-CN"/>
              </w:rPr>
              <w:t>中国科学院合肥物质科学研究院计量与检测中心</w:t>
            </w:r>
            <w:r>
              <w:rPr>
                <w:rFonts w:hint="eastAsia" w:cs="Times New Roman"/>
                <w:color w:val="auto"/>
                <w:highlight w:val="none"/>
              </w:rPr>
              <w:t>于202</w:t>
            </w:r>
            <w:r>
              <w:rPr>
                <w:rFonts w:hint="eastAsia" w:cs="Times New Roman"/>
                <w:color w:val="auto"/>
                <w:highlight w:val="none"/>
                <w:lang w:val="en-US" w:eastAsia="zh-CN"/>
              </w:rPr>
              <w:t>4</w:t>
            </w:r>
            <w:r>
              <w:rPr>
                <w:rFonts w:hint="eastAsia" w:cs="Times New Roman"/>
                <w:color w:val="auto"/>
                <w:highlight w:val="none"/>
              </w:rPr>
              <w:t>年</w:t>
            </w:r>
            <w:r>
              <w:rPr>
                <w:rFonts w:hint="eastAsia" w:cs="Times New Roman"/>
                <w:color w:val="auto"/>
                <w:highlight w:val="none"/>
                <w:lang w:val="en-US" w:eastAsia="zh-CN"/>
              </w:rPr>
              <w:t>8</w:t>
            </w:r>
            <w:r>
              <w:rPr>
                <w:rFonts w:hint="eastAsia" w:cs="Times New Roman"/>
                <w:color w:val="auto"/>
                <w:highlight w:val="none"/>
              </w:rPr>
              <w:t>月</w:t>
            </w:r>
            <w:r>
              <w:rPr>
                <w:rFonts w:hint="eastAsia" w:cs="Times New Roman"/>
                <w:color w:val="auto"/>
                <w:highlight w:val="none"/>
                <w:lang w:val="en-US" w:eastAsia="zh-CN"/>
              </w:rPr>
              <w:t>5</w:t>
            </w:r>
            <w:r>
              <w:rPr>
                <w:rFonts w:hint="eastAsia" w:cs="Times New Roman"/>
                <w:color w:val="auto"/>
                <w:highlight w:val="none"/>
              </w:rPr>
              <w:t>日</w:t>
            </w:r>
            <w:r>
              <w:rPr>
                <w:rFonts w:hint="eastAsia" w:cs="Times New Roman"/>
                <w:color w:val="auto"/>
              </w:rPr>
              <w:t>对本项目区域及周边环境进行了</w:t>
            </w:r>
            <w:r>
              <w:rPr>
                <w:rFonts w:hint="eastAsia" w:cs="Times New Roman"/>
                <w:color w:val="auto"/>
                <w:lang w:eastAsia="zh-CN"/>
              </w:rPr>
              <w:t>声</w:t>
            </w:r>
            <w:r>
              <w:rPr>
                <w:rFonts w:hint="eastAsia" w:cs="Times New Roman"/>
                <w:color w:val="auto"/>
              </w:rPr>
              <w:t>环境背景监测，</w:t>
            </w:r>
            <w:r>
              <w:rPr>
                <w:rFonts w:hint="eastAsia" w:cs="Times New Roman"/>
                <w:color w:val="auto"/>
                <w:lang w:eastAsia="zh-CN"/>
              </w:rPr>
              <w:t>监测</w:t>
            </w:r>
            <w:r>
              <w:rPr>
                <w:rFonts w:hint="eastAsia" w:cs="Times New Roman"/>
                <w:color w:val="auto"/>
              </w:rPr>
              <w:t>报告详见</w:t>
            </w:r>
            <w:r>
              <w:rPr>
                <w:rFonts w:hint="eastAsia" w:cs="Times New Roman"/>
                <w:color w:val="auto"/>
                <w:highlight w:val="none"/>
              </w:rPr>
              <w:t>附件</w:t>
            </w:r>
            <w:r>
              <w:rPr>
                <w:rFonts w:hint="default" w:cs="Times New Roman"/>
                <w:color w:val="auto"/>
                <w:highlight w:val="none"/>
              </w:rPr>
              <w:t>1</w:t>
            </w:r>
            <w:r>
              <w:rPr>
                <w:rFonts w:hint="eastAsia" w:cs="Times New Roman"/>
                <w:color w:val="auto"/>
                <w:highlight w:val="none"/>
                <w:lang w:val="en-US" w:eastAsia="zh-CN"/>
              </w:rPr>
              <w:t>2</w:t>
            </w:r>
            <w:r>
              <w:rPr>
                <w:rFonts w:hint="eastAsia" w:cs="Times New Roman"/>
                <w:color w:val="auto"/>
              </w:rPr>
              <w:t>。</w:t>
            </w:r>
          </w:p>
          <w:p w14:paraId="5A2A7222">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（1）监测因子</w:t>
            </w:r>
          </w:p>
          <w:p w14:paraId="4C4FA91C">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本次项目监测因子为</w:t>
            </w:r>
            <w:r>
              <w:rPr>
                <w:rFonts w:hint="eastAsia" w:cs="Times New Roman"/>
                <w:color w:val="auto"/>
                <w:lang w:eastAsia="zh-CN"/>
              </w:rPr>
              <w:t>环境噪声等效连续</w:t>
            </w:r>
            <w:r>
              <w:rPr>
                <w:rFonts w:hint="eastAsia" w:cs="Times New Roman"/>
                <w:color w:val="auto"/>
                <w:lang w:val="en-US" w:eastAsia="zh-CN"/>
              </w:rPr>
              <w:t>A声级（Leq）</w:t>
            </w:r>
            <w:r>
              <w:rPr>
                <w:rFonts w:hint="default" w:ascii="Times New Roman" w:hAnsi="Times New Roman" w:cs="Times New Roman"/>
                <w:color w:val="auto"/>
              </w:rPr>
              <w:t>。</w:t>
            </w:r>
          </w:p>
          <w:p w14:paraId="3A1726F7">
            <w:pPr>
              <w:pStyle w:val="23"/>
              <w:keepNext w:val="0"/>
              <w:keepLines w:val="0"/>
              <w:numPr>
                <w:ilvl w:val="0"/>
                <w:numId w:val="2"/>
              </w:numPr>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监测</w:t>
            </w:r>
            <w:r>
              <w:rPr>
                <w:rFonts w:hint="eastAsia" w:cs="Times New Roman"/>
                <w:color w:val="auto"/>
                <w:lang w:eastAsia="zh-CN"/>
              </w:rPr>
              <w:t>频率</w:t>
            </w:r>
          </w:p>
          <w:p w14:paraId="55A5FFA8">
            <w:pPr>
              <w:pStyle w:val="23"/>
              <w:keepNext w:val="0"/>
              <w:keepLines w:val="0"/>
              <w:numPr>
                <w:ilvl w:val="0"/>
                <w:numId w:val="0"/>
              </w:numPr>
              <w:suppressLineNumbers w:val="0"/>
              <w:spacing w:before="0" w:beforeAutospacing="0" w:after="0" w:afterAutospacing="0"/>
              <w:ind w:left="420" w:leftChars="200" w:right="0" w:rightChars="0" w:firstLine="480" w:firstLineChars="200"/>
              <w:rPr>
                <w:rFonts w:hint="default" w:ascii="Times New Roman" w:hAnsi="Times New Roman" w:cs="Times New Roman"/>
                <w:color w:val="auto"/>
              </w:rPr>
            </w:pPr>
            <w:r>
              <w:rPr>
                <w:rFonts w:hint="eastAsia" w:cs="Times New Roman"/>
                <w:color w:val="auto"/>
                <w:lang w:val="en-US" w:eastAsia="zh-CN"/>
              </w:rPr>
              <w:t>监测一天，昼夜各一次。</w:t>
            </w:r>
          </w:p>
          <w:p w14:paraId="0006DFAB">
            <w:pPr>
              <w:pStyle w:val="23"/>
              <w:keepNext w:val="0"/>
              <w:keepLines w:val="0"/>
              <w:numPr>
                <w:ilvl w:val="0"/>
                <w:numId w:val="2"/>
              </w:numPr>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eastAsia" w:cs="Times New Roman"/>
                <w:color w:val="auto"/>
                <w:lang w:eastAsia="zh-CN"/>
              </w:rPr>
              <w:t>监测布点</w:t>
            </w:r>
          </w:p>
          <w:p w14:paraId="371FDE76">
            <w:pPr>
              <w:pStyle w:val="23"/>
              <w:keepNext w:val="0"/>
              <w:keepLines w:val="0"/>
              <w:suppressLineNumbers w:val="0"/>
              <w:spacing w:before="0" w:beforeAutospacing="0" w:after="0" w:afterAutospacing="0"/>
              <w:ind w:left="0" w:right="0" w:firstLine="480" w:firstLineChars="200"/>
              <w:rPr>
                <w:rFonts w:hint="default" w:cs="Times New Roman"/>
                <w:b/>
                <w:bCs/>
                <w:color w:val="auto"/>
              </w:rPr>
            </w:pPr>
            <w:r>
              <w:rPr>
                <w:rFonts w:hint="default" w:ascii="Times New Roman" w:hAnsi="Times New Roman" w:cs="Times New Roman"/>
                <w:color w:val="auto"/>
              </w:rPr>
              <w:t>根据均布性和代表性原则进行布点，共布设</w:t>
            </w:r>
            <w:r>
              <w:rPr>
                <w:rFonts w:hint="eastAsia" w:cs="Times New Roman"/>
                <w:color w:val="auto"/>
                <w:lang w:val="en-US" w:eastAsia="zh-CN"/>
              </w:rPr>
              <w:t>4</w:t>
            </w:r>
            <w:r>
              <w:rPr>
                <w:rFonts w:hint="default" w:ascii="Times New Roman" w:hAnsi="Times New Roman" w:cs="Times New Roman"/>
                <w:color w:val="auto"/>
              </w:rPr>
              <w:t>个监测点位</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具体如下</w:t>
            </w:r>
            <w:r>
              <w:rPr>
                <w:rFonts w:hint="default" w:ascii="Times New Roman" w:hAnsi="Times New Roman" w:cs="Times New Roman"/>
                <w:color w:val="auto"/>
              </w:rPr>
              <w:t>。</w:t>
            </w:r>
          </w:p>
          <w:p w14:paraId="2B6C6716">
            <w:pPr>
              <w:pStyle w:val="23"/>
              <w:keepNext w:val="0"/>
              <w:keepLines w:val="0"/>
              <w:suppressLineNumbers w:val="0"/>
              <w:spacing w:before="0" w:beforeAutospacing="0" w:after="0" w:afterAutospacing="0" w:line="240" w:lineRule="auto"/>
              <w:ind w:left="0" w:right="0" w:firstLine="482" w:firstLineChars="200"/>
              <w:jc w:val="center"/>
              <w:rPr>
                <w:rFonts w:hint="default" w:cs="Times New Roman"/>
                <w:b/>
                <w:bCs/>
                <w:color w:val="auto"/>
                <w:szCs w:val="24"/>
              </w:rPr>
            </w:pPr>
            <w:r>
              <w:rPr>
                <w:rFonts w:hint="default" w:cs="Times New Roman"/>
                <w:b/>
                <w:bCs/>
                <w:color w:val="auto"/>
              </w:rPr>
              <w:t>表</w:t>
            </w:r>
            <w:r>
              <w:rPr>
                <w:rFonts w:hint="eastAsia" w:cs="Times New Roman"/>
                <w:b/>
                <w:bCs/>
                <w:color w:val="auto"/>
                <w:lang w:val="en-US" w:eastAsia="zh-CN"/>
              </w:rPr>
              <w:t>8-5</w:t>
            </w:r>
            <w:r>
              <w:rPr>
                <w:rFonts w:hint="default" w:cs="Times New Roman"/>
                <w:b/>
                <w:bCs/>
                <w:color w:val="auto"/>
              </w:rPr>
              <w:t xml:space="preserve">  </w:t>
            </w:r>
            <w:r>
              <w:rPr>
                <w:rFonts w:hint="eastAsia" w:cs="Times New Roman"/>
                <w:b/>
                <w:bCs/>
                <w:color w:val="auto"/>
                <w:lang w:val="en-US" w:eastAsia="zh-CN"/>
              </w:rPr>
              <w:t>辐射本底</w:t>
            </w:r>
            <w:r>
              <w:rPr>
                <w:rFonts w:hint="default" w:cs="Times New Roman"/>
                <w:b/>
                <w:bCs/>
                <w:color w:val="auto"/>
                <w:szCs w:val="24"/>
              </w:rPr>
              <w:t>监测点位一览表</w:t>
            </w:r>
          </w:p>
          <w:tbl>
            <w:tblPr>
              <w:tblStyle w:val="18"/>
              <w:tblW w:w="485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86"/>
              <w:gridCol w:w="1497"/>
              <w:gridCol w:w="3872"/>
              <w:gridCol w:w="2122"/>
            </w:tblGrid>
            <w:tr w14:paraId="543BB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2" w:type="pct"/>
                  <w:tcBorders>
                    <w:tl2br w:val="nil"/>
                    <w:tr2bl w:val="nil"/>
                  </w:tcBorders>
                  <w:vAlign w:val="center"/>
                </w:tcPr>
                <w:p w14:paraId="29460479">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环境因素</w:t>
                  </w:r>
                </w:p>
              </w:tc>
              <w:tc>
                <w:tcPr>
                  <w:tcW w:w="806" w:type="pct"/>
                  <w:tcBorders>
                    <w:tl2br w:val="nil"/>
                    <w:tr2bl w:val="nil"/>
                  </w:tcBorders>
                  <w:vAlign w:val="center"/>
                </w:tcPr>
                <w:p w14:paraId="23EEB551">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点位编号</w:t>
                  </w:r>
                </w:p>
              </w:tc>
              <w:tc>
                <w:tcPr>
                  <w:tcW w:w="2086" w:type="pct"/>
                  <w:tcBorders>
                    <w:tl2br w:val="nil"/>
                    <w:tr2bl w:val="nil"/>
                  </w:tcBorders>
                  <w:vAlign w:val="center"/>
                </w:tcPr>
                <w:p w14:paraId="1E770199">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点位名称</w:t>
                  </w:r>
                </w:p>
              </w:tc>
              <w:tc>
                <w:tcPr>
                  <w:tcW w:w="1143" w:type="pct"/>
                  <w:tcBorders>
                    <w:tl2br w:val="nil"/>
                    <w:tr2bl w:val="nil"/>
                  </w:tcBorders>
                  <w:vAlign w:val="center"/>
                </w:tcPr>
                <w:p w14:paraId="58081016">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r>
                    <w:rPr>
                      <w:rFonts w:hint="eastAsia" w:ascii="Times New Roman" w:hAnsi="Times New Roman" w:eastAsia="宋体" w:cs="Times New Roman"/>
                      <w:b w:val="0"/>
                      <w:snapToGrid w:val="0"/>
                      <w:color w:val="auto"/>
                      <w:kern w:val="0"/>
                      <w:sz w:val="21"/>
                      <w:szCs w:val="21"/>
                      <w:lang w:val="en-US" w:eastAsia="zh-CN" w:bidi="ar-SA"/>
                    </w:rPr>
                    <w:t>监测因子</w:t>
                  </w:r>
                </w:p>
              </w:tc>
            </w:tr>
            <w:tr w14:paraId="62EF8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2" w:type="pct"/>
                  <w:vMerge w:val="restart"/>
                  <w:tcBorders>
                    <w:tl2br w:val="nil"/>
                    <w:tr2bl w:val="nil"/>
                  </w:tcBorders>
                  <w:vAlign w:val="center"/>
                </w:tcPr>
                <w:p w14:paraId="3B958AE1">
                  <w:pPr>
                    <w:pStyle w:val="23"/>
                    <w:keepNext w:val="0"/>
                    <w:keepLines w:val="0"/>
                    <w:suppressLineNumbers w:val="0"/>
                    <w:spacing w:before="0" w:beforeAutospacing="0" w:after="0" w:afterAutospacing="0" w:line="240" w:lineRule="auto"/>
                    <w:ind w:left="0" w:right="0" w:firstLine="0" w:firstLineChars="0"/>
                    <w:jc w:val="center"/>
                    <w:rPr>
                      <w:rFonts w:hint="eastAsia" w:eastAsia="宋体" w:cs="Times New Roman"/>
                      <w:color w:val="auto"/>
                      <w:sz w:val="21"/>
                      <w:szCs w:val="21"/>
                      <w:lang w:eastAsia="zh-CN"/>
                    </w:rPr>
                  </w:pPr>
                  <w:r>
                    <w:rPr>
                      <w:rFonts w:hint="eastAsia" w:ascii="Times New Roman" w:hAnsi="Times New Roman" w:eastAsia="宋体" w:cs="Times New Roman"/>
                      <w:b w:val="0"/>
                      <w:snapToGrid w:val="0"/>
                      <w:color w:val="000000" w:themeColor="text1"/>
                      <w:kern w:val="0"/>
                      <w:sz w:val="21"/>
                      <w:szCs w:val="21"/>
                      <w:highlight w:val="none"/>
                      <w:lang w:val="en-US" w:eastAsia="zh-CN" w:bidi="ar-SA"/>
                      <w14:textFill>
                        <w14:solidFill>
                          <w14:schemeClr w14:val="tx1"/>
                        </w14:solidFill>
                      </w14:textFill>
                    </w:rPr>
                    <w:t>声环境</w:t>
                  </w:r>
                </w:p>
              </w:tc>
              <w:tc>
                <w:tcPr>
                  <w:tcW w:w="806" w:type="pct"/>
                  <w:tcBorders>
                    <w:tl2br w:val="nil"/>
                    <w:tr2bl w:val="nil"/>
                  </w:tcBorders>
                  <w:vAlign w:val="center"/>
                </w:tcPr>
                <w:p w14:paraId="0A5D7DC0">
                  <w:pPr>
                    <w:pStyle w:val="23"/>
                    <w:keepNext w:val="0"/>
                    <w:keepLines w:val="0"/>
                    <w:suppressLineNumbers w:val="0"/>
                    <w:spacing w:before="0" w:beforeAutospacing="0" w:after="0" w:afterAutospacing="0" w:line="240" w:lineRule="auto"/>
                    <w:ind w:left="0" w:right="0" w:firstLine="0" w:firstLineChars="0"/>
                    <w:jc w:val="center"/>
                    <w:rPr>
                      <w:rFonts w:hint="default" w:eastAsia="宋体" w:cs="Times New Roman"/>
                      <w:color w:val="auto"/>
                      <w:sz w:val="21"/>
                      <w:szCs w:val="21"/>
                      <w:lang w:val="en-US" w:eastAsia="zh-CN"/>
                    </w:rPr>
                  </w:pPr>
                  <w:r>
                    <w:rPr>
                      <w:rFonts w:hint="eastAsia" w:cs="Times New Roman"/>
                      <w:color w:val="auto"/>
                      <w:sz w:val="21"/>
                      <w:szCs w:val="21"/>
                      <w:lang w:val="en-US" w:eastAsia="zh-CN"/>
                    </w:rPr>
                    <w:t>N1</w:t>
                  </w:r>
                </w:p>
              </w:tc>
              <w:tc>
                <w:tcPr>
                  <w:tcW w:w="2086" w:type="pct"/>
                  <w:tcBorders>
                    <w:tl2br w:val="nil"/>
                    <w:tr2bl w:val="nil"/>
                  </w:tcBorders>
                  <w:vAlign w:val="center"/>
                </w:tcPr>
                <w:p w14:paraId="43DBF03F">
                  <w:pPr>
                    <w:pStyle w:val="26"/>
                    <w:keepNext w:val="0"/>
                    <w:keepLines w:val="0"/>
                    <w:suppressLineNumbers w:val="0"/>
                    <w:spacing w:before="0" w:beforeAutospacing="0" w:after="0" w:afterAutospacing="0"/>
                    <w:ind w:left="0" w:right="0" w:firstLine="0" w:firstLineChars="0"/>
                    <w:rPr>
                      <w:rFonts w:hint="default" w:eastAsia="宋体"/>
                      <w:color w:val="auto"/>
                      <w:sz w:val="21"/>
                      <w:szCs w:val="21"/>
                      <w:lang w:val="en-US" w:eastAsia="zh-CN"/>
                    </w:rPr>
                  </w:pPr>
                  <w:r>
                    <w:rPr>
                      <w:rFonts w:hint="eastAsia"/>
                      <w:color w:val="auto"/>
                      <w:sz w:val="21"/>
                      <w:szCs w:val="21"/>
                      <w:lang w:eastAsia="zh-CN"/>
                    </w:rPr>
                    <w:t>东厂界</w:t>
                  </w:r>
                </w:p>
              </w:tc>
              <w:tc>
                <w:tcPr>
                  <w:tcW w:w="1143" w:type="pct"/>
                  <w:vMerge w:val="restart"/>
                  <w:tcBorders>
                    <w:tl2br w:val="nil"/>
                    <w:tr2bl w:val="nil"/>
                  </w:tcBorders>
                  <w:vAlign w:val="center"/>
                </w:tcPr>
                <w:p w14:paraId="4977EB6A">
                  <w:pPr>
                    <w:pStyle w:val="23"/>
                    <w:keepNext w:val="0"/>
                    <w:keepLines w:val="0"/>
                    <w:suppressLineNumbers w:val="0"/>
                    <w:spacing w:before="0" w:beforeAutospacing="0" w:after="0" w:afterAutospacing="0" w:line="240" w:lineRule="auto"/>
                    <w:ind w:left="0" w:right="0" w:firstLine="0" w:firstLineChars="0"/>
                    <w:jc w:val="center"/>
                    <w:rPr>
                      <w:rFonts w:hint="eastAsia" w:eastAsia="宋体" w:cs="Times New Roman"/>
                      <w:color w:val="auto"/>
                      <w:sz w:val="21"/>
                      <w:szCs w:val="21"/>
                      <w:lang w:eastAsia="zh-CN"/>
                    </w:rPr>
                  </w:pPr>
                  <w:r>
                    <w:rPr>
                      <w:rFonts w:hint="eastAsia" w:cs="Times New Roman"/>
                      <w:color w:val="auto"/>
                      <w:sz w:val="21"/>
                      <w:szCs w:val="21"/>
                      <w:lang w:eastAsia="zh-CN"/>
                    </w:rPr>
                    <w:t>环境噪声</w:t>
                  </w:r>
                </w:p>
              </w:tc>
            </w:tr>
            <w:tr w14:paraId="7DBC4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2" w:type="pct"/>
                  <w:vMerge w:val="continue"/>
                  <w:tcBorders>
                    <w:tl2br w:val="nil"/>
                    <w:tr2bl w:val="nil"/>
                  </w:tcBorders>
                  <w:vAlign w:val="center"/>
                </w:tcPr>
                <w:p w14:paraId="67B51809">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37853198">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lang w:val="en-US" w:eastAsia="zh-CN"/>
                    </w:rPr>
                  </w:pPr>
                  <w:r>
                    <w:rPr>
                      <w:rFonts w:hint="eastAsia" w:cs="Times New Roman"/>
                      <w:color w:val="auto"/>
                      <w:sz w:val="21"/>
                      <w:szCs w:val="21"/>
                      <w:lang w:val="en-US" w:eastAsia="zh-CN"/>
                    </w:rPr>
                    <w:t>N2</w:t>
                  </w:r>
                </w:p>
              </w:tc>
              <w:tc>
                <w:tcPr>
                  <w:tcW w:w="2086" w:type="pct"/>
                  <w:tcBorders>
                    <w:tl2br w:val="nil"/>
                    <w:tr2bl w:val="nil"/>
                  </w:tcBorders>
                  <w:vAlign w:val="center"/>
                </w:tcPr>
                <w:p w14:paraId="176C3A28">
                  <w:pPr>
                    <w:pStyle w:val="26"/>
                    <w:keepNext w:val="0"/>
                    <w:keepLines w:val="0"/>
                    <w:suppressLineNumbers w:val="0"/>
                    <w:spacing w:before="0" w:beforeAutospacing="0" w:after="0" w:afterAutospacing="0"/>
                    <w:ind w:left="0" w:right="0" w:firstLine="0" w:firstLineChars="0"/>
                    <w:rPr>
                      <w:rFonts w:hint="eastAsia"/>
                      <w:color w:val="auto"/>
                      <w:sz w:val="21"/>
                      <w:szCs w:val="21"/>
                      <w:lang w:eastAsia="zh-CN"/>
                    </w:rPr>
                  </w:pPr>
                  <w:r>
                    <w:rPr>
                      <w:rFonts w:hint="eastAsia"/>
                      <w:color w:val="auto"/>
                      <w:sz w:val="21"/>
                      <w:szCs w:val="21"/>
                      <w:lang w:eastAsia="zh-CN"/>
                    </w:rPr>
                    <w:t>南厂界</w:t>
                  </w:r>
                </w:p>
              </w:tc>
              <w:tc>
                <w:tcPr>
                  <w:tcW w:w="1143" w:type="pct"/>
                  <w:vMerge w:val="continue"/>
                  <w:tcBorders>
                    <w:tl2br w:val="nil"/>
                    <w:tr2bl w:val="nil"/>
                  </w:tcBorders>
                  <w:vAlign w:val="center"/>
                </w:tcPr>
                <w:p w14:paraId="58E5C69C">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359CF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jc w:val="center"/>
              </w:trPr>
              <w:tc>
                <w:tcPr>
                  <w:tcW w:w="962" w:type="pct"/>
                  <w:vMerge w:val="continue"/>
                  <w:tcBorders>
                    <w:tl2br w:val="nil"/>
                    <w:tr2bl w:val="nil"/>
                  </w:tcBorders>
                  <w:vAlign w:val="center"/>
                </w:tcPr>
                <w:p w14:paraId="1EB75D4C">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2033431A">
                  <w:pPr>
                    <w:pStyle w:val="23"/>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宋体" w:cs="Times New Roman"/>
                      <w:snapToGrid w:val="0"/>
                      <w:color w:val="auto"/>
                      <w:kern w:val="0"/>
                      <w:sz w:val="21"/>
                      <w:szCs w:val="21"/>
                      <w:lang w:val="en-US" w:eastAsia="zh-CN" w:bidi="ar-SA"/>
                    </w:rPr>
                  </w:pPr>
                  <w:r>
                    <w:rPr>
                      <w:rFonts w:hint="eastAsia" w:cs="Times New Roman"/>
                      <w:color w:val="auto"/>
                      <w:sz w:val="21"/>
                      <w:szCs w:val="21"/>
                      <w:lang w:val="en-US" w:eastAsia="zh-CN"/>
                    </w:rPr>
                    <w:t>N3</w:t>
                  </w:r>
                </w:p>
              </w:tc>
              <w:tc>
                <w:tcPr>
                  <w:tcW w:w="2086" w:type="pct"/>
                  <w:tcBorders>
                    <w:tl2br w:val="nil"/>
                    <w:tr2bl w:val="nil"/>
                  </w:tcBorders>
                  <w:vAlign w:val="center"/>
                </w:tcPr>
                <w:p w14:paraId="4538C6C6">
                  <w:pPr>
                    <w:pStyle w:val="26"/>
                    <w:keepNext w:val="0"/>
                    <w:keepLines w:val="0"/>
                    <w:suppressLineNumbers w:val="0"/>
                    <w:spacing w:before="0" w:beforeAutospacing="0" w:after="0" w:afterAutospacing="0"/>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color w:val="auto"/>
                      <w:sz w:val="21"/>
                      <w:szCs w:val="21"/>
                      <w:lang w:eastAsia="zh-CN"/>
                    </w:rPr>
                    <w:t>西厂界</w:t>
                  </w:r>
                </w:p>
              </w:tc>
              <w:tc>
                <w:tcPr>
                  <w:tcW w:w="1143" w:type="pct"/>
                  <w:vMerge w:val="continue"/>
                  <w:tcBorders>
                    <w:tl2br w:val="nil"/>
                    <w:tr2bl w:val="nil"/>
                  </w:tcBorders>
                  <w:vAlign w:val="center"/>
                </w:tcPr>
                <w:p w14:paraId="368605B7">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r w14:paraId="7E752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62" w:type="pct"/>
                  <w:vMerge w:val="continue"/>
                  <w:tcBorders>
                    <w:tl2br w:val="nil"/>
                    <w:tr2bl w:val="nil"/>
                  </w:tcBorders>
                  <w:vAlign w:val="center"/>
                </w:tcPr>
                <w:p w14:paraId="676396FC">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c>
                <w:tcPr>
                  <w:tcW w:w="806" w:type="pct"/>
                  <w:tcBorders>
                    <w:tl2br w:val="nil"/>
                    <w:tr2bl w:val="nil"/>
                  </w:tcBorders>
                  <w:vAlign w:val="center"/>
                </w:tcPr>
                <w:p w14:paraId="11DAD178">
                  <w:pPr>
                    <w:pStyle w:val="23"/>
                    <w:keepNext w:val="0"/>
                    <w:keepLines w:val="0"/>
                    <w:suppressLineNumbers w:val="0"/>
                    <w:spacing w:before="0" w:beforeAutospacing="0" w:after="0" w:afterAutospacing="0" w:line="240" w:lineRule="auto"/>
                    <w:ind w:left="0" w:right="0" w:firstLine="0" w:firstLineChars="0"/>
                    <w:jc w:val="center"/>
                    <w:rPr>
                      <w:rFonts w:hint="eastAsia" w:cs="Times New Roman"/>
                      <w:color w:val="auto"/>
                      <w:sz w:val="21"/>
                      <w:szCs w:val="21"/>
                      <w:lang w:val="en-US" w:eastAsia="zh-CN"/>
                    </w:rPr>
                  </w:pPr>
                  <w:r>
                    <w:rPr>
                      <w:rFonts w:hint="eastAsia" w:cs="Times New Roman"/>
                      <w:color w:val="auto"/>
                      <w:sz w:val="21"/>
                      <w:szCs w:val="21"/>
                      <w:lang w:val="en-US" w:eastAsia="zh-CN"/>
                    </w:rPr>
                    <w:t>N4</w:t>
                  </w:r>
                </w:p>
              </w:tc>
              <w:tc>
                <w:tcPr>
                  <w:tcW w:w="2086" w:type="pct"/>
                  <w:tcBorders>
                    <w:tl2br w:val="nil"/>
                    <w:tr2bl w:val="nil"/>
                  </w:tcBorders>
                  <w:vAlign w:val="center"/>
                </w:tcPr>
                <w:p w14:paraId="1B4F535B">
                  <w:pPr>
                    <w:pStyle w:val="26"/>
                    <w:keepNext w:val="0"/>
                    <w:keepLines w:val="0"/>
                    <w:suppressLineNumbers w:val="0"/>
                    <w:spacing w:before="0" w:beforeAutospacing="0" w:after="0" w:afterAutospacing="0"/>
                    <w:ind w:left="0" w:right="0" w:firstLine="0" w:firstLineChars="0"/>
                    <w:jc w:val="center"/>
                    <w:rPr>
                      <w:rFonts w:hint="default"/>
                      <w:color w:val="auto"/>
                      <w:sz w:val="21"/>
                      <w:szCs w:val="21"/>
                      <w:lang w:val="en-US" w:eastAsia="zh-CN"/>
                    </w:rPr>
                  </w:pPr>
                  <w:r>
                    <w:rPr>
                      <w:rFonts w:hint="eastAsia"/>
                      <w:color w:val="auto"/>
                      <w:sz w:val="21"/>
                      <w:szCs w:val="21"/>
                      <w:lang w:eastAsia="zh-CN"/>
                    </w:rPr>
                    <w:t>北厂界</w:t>
                  </w:r>
                </w:p>
              </w:tc>
              <w:tc>
                <w:tcPr>
                  <w:tcW w:w="1143" w:type="pct"/>
                  <w:vMerge w:val="continue"/>
                  <w:tcBorders>
                    <w:tl2br w:val="nil"/>
                    <w:tr2bl w:val="nil"/>
                  </w:tcBorders>
                  <w:vAlign w:val="center"/>
                </w:tcPr>
                <w:p w14:paraId="751B2F48">
                  <w:pPr>
                    <w:pStyle w:val="23"/>
                    <w:keepNext w:val="0"/>
                    <w:keepLines w:val="0"/>
                    <w:suppressLineNumbers w:val="0"/>
                    <w:spacing w:before="0" w:beforeAutospacing="0" w:after="0" w:afterAutospacing="0" w:line="240" w:lineRule="auto"/>
                    <w:ind w:left="0" w:right="0" w:firstLine="0" w:firstLineChars="0"/>
                    <w:jc w:val="center"/>
                    <w:rPr>
                      <w:rFonts w:hint="default" w:cs="Times New Roman"/>
                      <w:color w:val="auto"/>
                      <w:sz w:val="21"/>
                      <w:szCs w:val="21"/>
                    </w:rPr>
                  </w:pPr>
                </w:p>
              </w:tc>
            </w:tr>
          </w:tbl>
          <w:p w14:paraId="71E10B24">
            <w:pPr>
              <w:pStyle w:val="15"/>
              <w:keepNext w:val="0"/>
              <w:keepLines w:val="0"/>
              <w:suppressLineNumbers w:val="0"/>
              <w:spacing w:before="0" w:beforeAutospacing="0" w:after="0" w:afterAutospacing="0"/>
              <w:ind w:left="0" w:leftChars="0" w:right="0" w:firstLine="0" w:firstLineChars="0"/>
              <w:jc w:val="both"/>
              <w:rPr>
                <w:rFonts w:hint="eastAsia" w:ascii="Times New Roman" w:hAnsi="Times New Roman" w:eastAsia="宋体" w:cs="Times New Roman"/>
                <w:b/>
                <w:bCs/>
                <w:color w:val="auto"/>
                <w:lang w:eastAsia="zh-CN"/>
              </w:rPr>
            </w:pPr>
            <w:r>
              <w:rPr>
                <w:rFonts w:hint="default"/>
                <w:sz w:val="24"/>
              </w:rPr>
              <mc:AlternateContent>
                <mc:Choice Requires="wps">
                  <w:drawing>
                    <wp:anchor distT="0" distB="0" distL="114300" distR="114300" simplePos="0" relativeHeight="251664384" behindDoc="0" locked="0" layoutInCell="1" allowOverlap="1">
                      <wp:simplePos x="0" y="0"/>
                      <wp:positionH relativeFrom="column">
                        <wp:posOffset>5527675</wp:posOffset>
                      </wp:positionH>
                      <wp:positionV relativeFrom="paragraph">
                        <wp:posOffset>919480</wp:posOffset>
                      </wp:positionV>
                      <wp:extent cx="370840" cy="1170305"/>
                      <wp:effectExtent l="0" t="0" r="0" b="0"/>
                      <wp:wrapNone/>
                      <wp:docPr id="53" name="文本框 53" descr="7b0a20202020227461726765744d6f64756c65223a202270726f636573734f6e6c696e65466f6e7473220a7d0a"/>
                      <wp:cNvGraphicFramePr/>
                      <a:graphic xmlns:a="http://schemas.openxmlformats.org/drawingml/2006/main">
                        <a:graphicData uri="http://schemas.microsoft.com/office/word/2010/wordprocessingShape">
                          <wps:wsp>
                            <wps:cNvSpPr txBox="1"/>
                            <wps:spPr>
                              <a:xfrm>
                                <a:off x="0" y="0"/>
                                <a:ext cx="370840" cy="11703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02F9A8">
                                  <w:pPr>
                                    <w:rPr>
                                      <w:rFonts w:hint="eastAsia" w:ascii="华文新魏" w:hAnsi="华文新魏" w:eastAsia="华文新魏" w:cs="华文新魏"/>
                                      <w:b/>
                                      <w:bCs/>
                                      <w:color w:val="FFFFFF" w:themeColor="background1"/>
                                      <w:sz w:val="30"/>
                                      <w:szCs w:val="30"/>
                                      <w:lang w:val="en-US" w:eastAsia="zh-CN"/>
                                      <w14:textFill>
                                        <w14:solidFill>
                                          <w14:schemeClr w14:val="bg1"/>
                                        </w14:solidFill>
                                      </w14:textFill>
                                    </w:rPr>
                                  </w:pPr>
                                  <w:r>
                                    <w:rPr>
                                      <w:rFonts w:hint="eastAsia" w:ascii="华文新魏" w:hAnsi="华文新魏" w:eastAsia="华文新魏" w:cs="华文新魏"/>
                                      <w:b/>
                                      <w:bCs/>
                                      <w:color w:val="FFFFFF" w:themeColor="background1"/>
                                      <w:sz w:val="30"/>
                                      <w:szCs w:val="30"/>
                                      <w:lang w:val="en-US" w:eastAsia="zh-CN"/>
                                      <w14:textFill>
                                        <w14:solidFill>
                                          <w14:schemeClr w14:val="bg1"/>
                                        </w14:solidFill>
                                      </w14:textFill>
                                    </w:rPr>
                                    <w:t>商业区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alt="7b0a20202020227461726765744d6f64756c65223a202270726f636573734f6e6c696e65466f6e7473220a7d0a" type="#_x0000_t202" style="position:absolute;left:0pt;margin-left:435.25pt;margin-top:72.4pt;height:92.15pt;width:29.2pt;z-index:251664384;mso-width-relative:page;mso-height-relative:page;" filled="f" stroked="f" coordsize="21600,21600" o:gfxdata="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GP8Qe9wAAAALAQAADwAAAAAAAAAB&#10;ACAAAAAiAAAAZHJzL2Rvd25yZXYueG1sUEsBAhQAFAAAAAgAh07iQFVuLwl+AgAAywQAAA4AAAAA&#10;AAAAAQAgAAAAKwEAAGRycy9lMm9Eb2MueG1sUEsFBgAAAAAGAAYAWQEAABsGAAAAAA==&#10;">
                      <v:fill on="f" focussize="0,0"/>
                      <v:stroke on="f" weight="0.5pt"/>
                      <v:imagedata o:title=""/>
                      <o:lock v:ext="edit" aspectratio="f"/>
                      <v:textbox>
                        <w:txbxContent>
                          <w:p w14:paraId="2102F9A8">
                            <w:pPr>
                              <w:rPr>
                                <w:rFonts w:hint="eastAsia" w:ascii="华文新魏" w:hAnsi="华文新魏" w:eastAsia="华文新魏" w:cs="华文新魏"/>
                                <w:b/>
                                <w:bCs/>
                                <w:color w:val="FFFFFF" w:themeColor="background1"/>
                                <w:sz w:val="30"/>
                                <w:szCs w:val="30"/>
                                <w:lang w:val="en-US" w:eastAsia="zh-CN"/>
                                <w14:textFill>
                                  <w14:solidFill>
                                    <w14:schemeClr w14:val="bg1"/>
                                  </w14:solidFill>
                                </w14:textFill>
                              </w:rPr>
                            </w:pPr>
                            <w:r>
                              <w:rPr>
                                <w:rFonts w:hint="eastAsia" w:ascii="华文新魏" w:hAnsi="华文新魏" w:eastAsia="华文新魏" w:cs="华文新魏"/>
                                <w:b/>
                                <w:bCs/>
                                <w:color w:val="FFFFFF" w:themeColor="background1"/>
                                <w:sz w:val="30"/>
                                <w:szCs w:val="30"/>
                                <w:lang w:val="en-US" w:eastAsia="zh-CN"/>
                                <w14:textFill>
                                  <w14:solidFill>
                                    <w14:schemeClr w14:val="bg1"/>
                                  </w14:solidFill>
                                </w14:textFill>
                              </w:rPr>
                              <w:t>商业区</w:t>
                            </w:r>
                          </w:p>
                        </w:txbxContent>
                      </v:textbox>
                    </v:shape>
                  </w:pict>
                </mc:Fallback>
              </mc:AlternateContent>
            </w:r>
            <w:r>
              <w:rPr>
                <w:rFonts w:hint="default"/>
              </w:rPr>
              <w:drawing>
                <wp:inline distT="0" distB="0" distL="114300" distR="114300">
                  <wp:extent cx="6065520" cy="3895090"/>
                  <wp:effectExtent l="0" t="0" r="11430" b="10160"/>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13"/>
                          <a:stretch>
                            <a:fillRect/>
                          </a:stretch>
                        </pic:blipFill>
                        <pic:spPr>
                          <a:xfrm>
                            <a:off x="0" y="0"/>
                            <a:ext cx="6065520" cy="3895090"/>
                          </a:xfrm>
                          <a:prstGeom prst="rect">
                            <a:avLst/>
                          </a:prstGeom>
                          <a:noFill/>
                          <a:ln>
                            <a:noFill/>
                          </a:ln>
                        </pic:spPr>
                      </pic:pic>
                    </a:graphicData>
                  </a:graphic>
                </wp:inline>
              </w:drawing>
            </w:r>
          </w:p>
          <w:p w14:paraId="76E46E10">
            <w:pPr>
              <w:pStyle w:val="15"/>
              <w:keepNext w:val="0"/>
              <w:keepLines w:val="0"/>
              <w:suppressLineNumbers w:val="0"/>
              <w:spacing w:before="0" w:beforeAutospacing="0" w:after="0" w:afterAutospacing="0"/>
              <w:ind w:left="0" w:leftChars="0" w:right="0" w:firstLine="482" w:firstLineChars="200"/>
              <w:jc w:val="center"/>
              <w:rPr>
                <w:rFonts w:hint="default"/>
                <w:color w:val="auto"/>
              </w:rPr>
            </w:pPr>
            <w:r>
              <w:rPr>
                <w:rFonts w:hint="default" w:ascii="Times New Roman" w:hAnsi="Times New Roman" w:eastAsia="宋体" w:cs="Times New Roman"/>
                <w:b/>
                <w:bCs/>
                <w:color w:val="auto"/>
              </w:rPr>
              <w:t>图8-</w:t>
            </w:r>
            <w:r>
              <w:rPr>
                <w:rFonts w:hint="eastAsia" w:cs="Times New Roman"/>
                <w:b/>
                <w:bCs/>
                <w:color w:val="auto"/>
                <w:lang w:val="en-US" w:eastAsia="zh-CN"/>
              </w:rPr>
              <w:t>2</w:t>
            </w:r>
            <w:r>
              <w:rPr>
                <w:rFonts w:hint="default" w:ascii="Times New Roman" w:hAnsi="Times New Roman" w:eastAsia="宋体" w:cs="Times New Roman"/>
                <w:b/>
                <w:bCs/>
                <w:color w:val="auto"/>
              </w:rPr>
              <w:t xml:space="preserve">  </w:t>
            </w:r>
            <w:r>
              <w:rPr>
                <w:rFonts w:hint="eastAsia" w:cs="Times New Roman"/>
                <w:b/>
                <w:bCs/>
                <w:color w:val="auto"/>
                <w:lang w:eastAsia="zh-CN"/>
              </w:rPr>
              <w:t>声环境</w:t>
            </w:r>
            <w:r>
              <w:rPr>
                <w:rFonts w:hint="default" w:ascii="Times New Roman" w:hAnsi="Times New Roman" w:eastAsia="宋体" w:cs="Times New Roman"/>
                <w:b/>
                <w:bCs/>
                <w:color w:val="auto"/>
              </w:rPr>
              <w:t>监测点位示意图</w:t>
            </w:r>
          </w:p>
          <w:p w14:paraId="0739F789">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w:t>
            </w:r>
            <w:r>
              <w:rPr>
                <w:rFonts w:hint="eastAsia"/>
                <w:color w:val="auto"/>
                <w:lang w:val="en-US" w:eastAsia="zh-CN"/>
              </w:rPr>
              <w:t>4</w:t>
            </w:r>
            <w:r>
              <w:rPr>
                <w:rFonts w:hint="eastAsia"/>
                <w:color w:val="auto"/>
              </w:rPr>
              <w:t>）质量保证措施</w:t>
            </w:r>
          </w:p>
          <w:p w14:paraId="2810CC09">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①本项目监测单位具备监测资质。</w:t>
            </w:r>
          </w:p>
          <w:p w14:paraId="41EF8920">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②监测点位在</w:t>
            </w:r>
            <w:r>
              <w:rPr>
                <w:rFonts w:hint="eastAsia"/>
                <w:color w:val="auto"/>
                <w:lang w:eastAsia="zh-CN"/>
              </w:rPr>
              <w:t>厂界</w:t>
            </w:r>
            <w:r>
              <w:rPr>
                <w:rFonts w:hint="eastAsia"/>
                <w:color w:val="auto"/>
              </w:rPr>
              <w:t>四周布点，点位布设兼顾均布性和代表性，点位布设具有合理性。</w:t>
            </w:r>
          </w:p>
          <w:p w14:paraId="5FDA1472">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③监测方法采用了国家有关部门颁布的标准进行。</w:t>
            </w:r>
          </w:p>
          <w:p w14:paraId="55FB6008">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④监测人员均参加过相关的培训，现场监测人员具备合理判断数据的能力。</w:t>
            </w:r>
          </w:p>
          <w:p w14:paraId="5D4701B4">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⑤监测所用仪器定期经计量部门检定，检定合格后在有效使用期内使用，且与所测对象在频率、量程、响应时间等方面相符合，保证获得真实的测量结果。每次测量前、后均检查仪器的工作状态是否良好。</w:t>
            </w:r>
          </w:p>
          <w:p w14:paraId="6A641C34">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⑥由专业人员按操作规程操作仪器，并做好记录。</w:t>
            </w:r>
          </w:p>
          <w:p w14:paraId="3F5744E7">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⑦监测时获取足够的数据量，以保证监测结果的统计学精度。</w:t>
            </w:r>
          </w:p>
          <w:p w14:paraId="39B50352">
            <w:pPr>
              <w:pStyle w:val="23"/>
              <w:keepNext w:val="0"/>
              <w:keepLines w:val="0"/>
              <w:suppressLineNumbers w:val="0"/>
              <w:spacing w:before="0" w:beforeAutospacing="0" w:after="0" w:afterAutospacing="0"/>
              <w:ind w:left="0" w:right="0" w:firstLine="480" w:firstLineChars="200"/>
              <w:rPr>
                <w:rFonts w:hint="default"/>
                <w:color w:val="auto"/>
              </w:rPr>
            </w:pPr>
            <w:r>
              <w:rPr>
                <w:rFonts w:hint="eastAsia"/>
                <w:color w:val="auto"/>
              </w:rPr>
              <w:t>⑧监测报告严格实行三级审核制度。</w:t>
            </w:r>
          </w:p>
          <w:p w14:paraId="63030880">
            <w:pPr>
              <w:pStyle w:val="23"/>
              <w:keepNext w:val="0"/>
              <w:keepLines w:val="0"/>
              <w:suppressLineNumbers w:val="0"/>
              <w:spacing w:before="0" w:beforeAutospacing="0" w:after="0" w:afterAutospacing="0"/>
              <w:ind w:left="0" w:leftChars="0" w:right="0" w:firstLine="480" w:firstLineChars="200"/>
              <w:rPr>
                <w:rFonts w:hint="default"/>
                <w:color w:val="auto"/>
              </w:rPr>
            </w:pPr>
            <w:r>
              <w:rPr>
                <w:rFonts w:hint="eastAsia"/>
                <w:color w:val="auto"/>
              </w:rPr>
              <w:t>（</w:t>
            </w:r>
            <w:r>
              <w:rPr>
                <w:rFonts w:hint="eastAsia"/>
                <w:color w:val="auto"/>
                <w:lang w:val="en-US" w:eastAsia="zh-CN"/>
              </w:rPr>
              <w:t>5</w:t>
            </w:r>
            <w:r>
              <w:rPr>
                <w:rFonts w:hint="eastAsia"/>
                <w:color w:val="auto"/>
              </w:rPr>
              <w:t>）监测结果</w:t>
            </w:r>
          </w:p>
          <w:p w14:paraId="2422B81D">
            <w:pPr>
              <w:pStyle w:val="23"/>
              <w:keepNext w:val="0"/>
              <w:keepLines w:val="0"/>
              <w:suppressLineNumbers w:val="0"/>
              <w:spacing w:before="0" w:beforeAutospacing="0" w:after="0" w:afterAutospacing="0"/>
              <w:ind w:left="0" w:right="0" w:firstLine="480" w:firstLineChars="200"/>
              <w:rPr>
                <w:rFonts w:hint="default" w:eastAsia="宋体" w:cs="Times New Roman"/>
                <w:bCs/>
                <w:color w:val="auto"/>
                <w:sz w:val="24"/>
                <w:szCs w:val="24"/>
                <w:lang w:val="en-US" w:eastAsia="zh-CN"/>
              </w:rPr>
            </w:pPr>
            <w:r>
              <w:rPr>
                <w:rFonts w:hint="eastAsia"/>
                <w:color w:val="auto"/>
              </w:rPr>
              <w:t>监测结果见</w:t>
            </w:r>
            <w:r>
              <w:rPr>
                <w:rFonts w:hint="eastAsia"/>
                <w:color w:val="auto"/>
                <w:lang w:val="en-US" w:eastAsia="zh-CN"/>
              </w:rPr>
              <w:t>下表</w:t>
            </w:r>
            <w:r>
              <w:rPr>
                <w:rFonts w:hint="default"/>
                <w:color w:val="auto"/>
              </w:rPr>
              <w:t>。</w:t>
            </w:r>
          </w:p>
          <w:p w14:paraId="21F987F8">
            <w:pPr>
              <w:pStyle w:val="23"/>
              <w:keepNext w:val="0"/>
              <w:keepLines w:val="0"/>
              <w:suppressLineNumbers w:val="0"/>
              <w:spacing w:before="0" w:beforeAutospacing="0" w:after="0" w:afterAutospacing="0" w:line="240" w:lineRule="auto"/>
              <w:ind w:left="0" w:right="0" w:firstLine="482" w:firstLineChars="200"/>
              <w:jc w:val="center"/>
              <w:rPr>
                <w:rFonts w:hint="default" w:cs="Times New Roman"/>
                <w:b/>
                <w:bCs/>
                <w:color w:val="auto"/>
              </w:rPr>
            </w:pPr>
          </w:p>
          <w:p w14:paraId="295F5EFC">
            <w:pPr>
              <w:pStyle w:val="23"/>
              <w:keepNext w:val="0"/>
              <w:keepLines w:val="0"/>
              <w:suppressLineNumbers w:val="0"/>
              <w:spacing w:before="0" w:beforeAutospacing="0" w:after="0" w:afterAutospacing="0" w:line="240" w:lineRule="auto"/>
              <w:ind w:left="0" w:right="0" w:firstLine="482" w:firstLineChars="200"/>
              <w:jc w:val="center"/>
              <w:rPr>
                <w:rFonts w:hint="default" w:cs="Times New Roman"/>
                <w:b/>
                <w:bCs/>
                <w:color w:val="auto"/>
              </w:rPr>
            </w:pPr>
          </w:p>
          <w:p w14:paraId="65761AAF">
            <w:pPr>
              <w:pStyle w:val="23"/>
              <w:keepNext w:val="0"/>
              <w:keepLines w:val="0"/>
              <w:suppressLineNumbers w:val="0"/>
              <w:spacing w:before="0" w:beforeAutospacing="0" w:after="0" w:afterAutospacing="0" w:line="240" w:lineRule="auto"/>
              <w:ind w:left="0" w:right="0" w:firstLine="482" w:firstLineChars="200"/>
              <w:jc w:val="center"/>
              <w:rPr>
                <w:rFonts w:hint="default" w:cs="Times New Roman"/>
                <w:b/>
                <w:bCs/>
                <w:color w:val="auto"/>
              </w:rPr>
            </w:pPr>
          </w:p>
          <w:p w14:paraId="269A984B">
            <w:pPr>
              <w:pStyle w:val="23"/>
              <w:keepNext w:val="0"/>
              <w:keepLines w:val="0"/>
              <w:suppressLineNumbers w:val="0"/>
              <w:spacing w:before="0" w:beforeAutospacing="0" w:after="0" w:afterAutospacing="0" w:line="240" w:lineRule="auto"/>
              <w:ind w:left="0" w:right="0" w:firstLine="482" w:firstLineChars="200"/>
              <w:jc w:val="center"/>
              <w:rPr>
                <w:rFonts w:hint="default" w:cs="Times New Roman"/>
                <w:b/>
                <w:bCs/>
                <w:color w:val="auto"/>
                <w:szCs w:val="24"/>
              </w:rPr>
            </w:pPr>
            <w:r>
              <w:rPr>
                <w:rFonts w:hint="default" w:cs="Times New Roman"/>
                <w:b/>
                <w:bCs/>
                <w:color w:val="auto"/>
              </w:rPr>
              <w:t>表</w:t>
            </w:r>
            <w:r>
              <w:rPr>
                <w:rFonts w:hint="eastAsia" w:cs="Times New Roman"/>
                <w:b/>
                <w:bCs/>
                <w:color w:val="auto"/>
                <w:lang w:val="en-US" w:eastAsia="zh-CN"/>
              </w:rPr>
              <w:t>8-6</w:t>
            </w:r>
            <w:r>
              <w:rPr>
                <w:rFonts w:hint="default" w:cs="Times New Roman"/>
                <w:b/>
                <w:bCs/>
                <w:color w:val="auto"/>
              </w:rPr>
              <w:t xml:space="preserve">  </w:t>
            </w:r>
            <w:r>
              <w:rPr>
                <w:rFonts w:hint="eastAsia" w:cs="Times New Roman"/>
                <w:b/>
                <w:bCs/>
                <w:color w:val="auto"/>
                <w:lang w:eastAsia="zh-CN"/>
              </w:rPr>
              <w:t>声环境</w:t>
            </w:r>
            <w:r>
              <w:rPr>
                <w:rFonts w:hint="default" w:cs="Times New Roman"/>
                <w:b/>
                <w:bCs/>
                <w:color w:val="auto"/>
                <w:szCs w:val="24"/>
              </w:rPr>
              <w:t>监测</w:t>
            </w:r>
            <w:r>
              <w:rPr>
                <w:rFonts w:hint="eastAsia" w:cs="Times New Roman"/>
                <w:b/>
                <w:bCs/>
                <w:color w:val="auto"/>
                <w:szCs w:val="24"/>
                <w:lang w:val="en-US" w:eastAsia="zh-CN"/>
              </w:rPr>
              <w:t>结果</w:t>
            </w:r>
          </w:p>
          <w:tbl>
            <w:tblPr>
              <w:tblStyle w:val="18"/>
              <w:tblW w:w="342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8"/>
              <w:gridCol w:w="2571"/>
              <w:gridCol w:w="1396"/>
              <w:gridCol w:w="1243"/>
            </w:tblGrid>
            <w:tr w14:paraId="15BC8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1015" w:type="pct"/>
                  <w:vMerge w:val="restart"/>
                  <w:tcBorders>
                    <w:tl2br w:val="nil"/>
                    <w:tr2bl w:val="nil"/>
                  </w:tcBorders>
                  <w:vAlign w:val="center"/>
                </w:tcPr>
                <w:p w14:paraId="6012FDD0">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color w:val="auto"/>
                      <w:sz w:val="21"/>
                      <w:szCs w:val="21"/>
                    </w:rPr>
                  </w:pPr>
                  <w:r>
                    <w:rPr>
                      <w:rFonts w:hint="eastAsia" w:ascii="宋体" w:hAnsi="宋体" w:eastAsia="宋体" w:cs="宋体"/>
                      <w:color w:val="auto"/>
                      <w:sz w:val="21"/>
                      <w:szCs w:val="21"/>
                      <w:lang w:eastAsia="zh-CN"/>
                    </w:rPr>
                    <w:t>测点</w:t>
                  </w:r>
                  <w:r>
                    <w:rPr>
                      <w:rFonts w:hint="eastAsia" w:ascii="宋体" w:hAnsi="宋体" w:eastAsia="宋体" w:cs="宋体"/>
                      <w:color w:val="auto"/>
                      <w:sz w:val="21"/>
                      <w:szCs w:val="21"/>
                    </w:rPr>
                    <w:t>编号</w:t>
                  </w:r>
                </w:p>
              </w:tc>
              <w:tc>
                <w:tcPr>
                  <w:tcW w:w="1966" w:type="pct"/>
                  <w:vMerge w:val="restart"/>
                  <w:tcBorders>
                    <w:tl2br w:val="nil"/>
                    <w:tr2bl w:val="nil"/>
                  </w:tcBorders>
                  <w:vAlign w:val="center"/>
                </w:tcPr>
                <w:p w14:paraId="51252ACA">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测点位置</w:t>
                  </w:r>
                </w:p>
              </w:tc>
              <w:tc>
                <w:tcPr>
                  <w:tcW w:w="2018" w:type="pct"/>
                  <w:gridSpan w:val="2"/>
                  <w:tcBorders>
                    <w:tl2br w:val="nil"/>
                    <w:tr2bl w:val="nil"/>
                  </w:tcBorders>
                  <w:vAlign w:val="center"/>
                </w:tcPr>
                <w:p w14:paraId="0B949847">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color w:val="auto"/>
                      <w:sz w:val="21"/>
                      <w:szCs w:val="21"/>
                    </w:rPr>
                  </w:pPr>
                  <w:r>
                    <w:rPr>
                      <w:rFonts w:hint="eastAsia" w:ascii="宋体" w:hAnsi="宋体" w:eastAsia="宋体" w:cs="宋体"/>
                      <w:color w:val="auto"/>
                      <w:sz w:val="21"/>
                      <w:szCs w:val="21"/>
                    </w:rPr>
                    <w:t>监测</w:t>
                  </w:r>
                  <w:r>
                    <w:rPr>
                      <w:rFonts w:hint="eastAsia" w:ascii="宋体" w:hAnsi="宋体" w:eastAsia="宋体" w:cs="宋体"/>
                      <w:color w:val="auto"/>
                      <w:sz w:val="21"/>
                      <w:szCs w:val="21"/>
                      <w:lang w:val="en-US" w:eastAsia="zh-CN"/>
                    </w:rPr>
                    <w:t>结果</w:t>
                  </w:r>
                  <w:r>
                    <w:rPr>
                      <w:rFonts w:hint="eastAsia" w:ascii="宋体" w:hAnsi="宋体" w:eastAsia="宋体" w:cs="宋体"/>
                      <w:color w:val="auto"/>
                      <w:sz w:val="21"/>
                      <w:szCs w:val="21"/>
                    </w:rPr>
                    <w:t>（</w:t>
                  </w:r>
                  <w:r>
                    <w:rPr>
                      <w:rFonts w:hint="eastAsia" w:ascii="宋体" w:hAnsi="宋体" w:eastAsia="宋体" w:cs="宋体"/>
                      <w:color w:val="auto"/>
                      <w:sz w:val="21"/>
                      <w:szCs w:val="21"/>
                      <w:lang w:val="en-US" w:eastAsia="zh-CN"/>
                    </w:rPr>
                    <w:t>dB(A)</w:t>
                  </w:r>
                  <w:r>
                    <w:rPr>
                      <w:rFonts w:hint="eastAsia" w:ascii="宋体" w:hAnsi="宋体" w:eastAsia="宋体" w:cs="宋体"/>
                      <w:color w:val="auto"/>
                      <w:sz w:val="21"/>
                      <w:szCs w:val="21"/>
                    </w:rPr>
                    <w:t>）</w:t>
                  </w:r>
                </w:p>
              </w:tc>
            </w:tr>
            <w:tr w14:paraId="6935C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1015" w:type="pct"/>
                  <w:vMerge w:val="continue"/>
                  <w:tcBorders>
                    <w:tl2br w:val="nil"/>
                    <w:tr2bl w:val="nil"/>
                  </w:tcBorders>
                  <w:vAlign w:val="center"/>
                </w:tcPr>
                <w:p w14:paraId="5B935A8D">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sz w:val="21"/>
                      <w:szCs w:val="21"/>
                    </w:rPr>
                  </w:pPr>
                </w:p>
              </w:tc>
              <w:tc>
                <w:tcPr>
                  <w:tcW w:w="1966" w:type="pct"/>
                  <w:vMerge w:val="continue"/>
                  <w:tcBorders>
                    <w:tl2br w:val="nil"/>
                    <w:tr2bl w:val="nil"/>
                  </w:tcBorders>
                  <w:vAlign w:val="center"/>
                </w:tcPr>
                <w:p w14:paraId="0ED5599C">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sz w:val="21"/>
                      <w:szCs w:val="21"/>
                    </w:rPr>
                  </w:pPr>
                </w:p>
              </w:tc>
              <w:tc>
                <w:tcPr>
                  <w:tcW w:w="1067" w:type="pct"/>
                  <w:tcBorders>
                    <w:tl2br w:val="nil"/>
                    <w:tr2bl w:val="nil"/>
                  </w:tcBorders>
                  <w:vAlign w:val="center"/>
                </w:tcPr>
                <w:p w14:paraId="5D9BC945">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昼间</w:t>
                  </w:r>
                </w:p>
              </w:tc>
              <w:tc>
                <w:tcPr>
                  <w:tcW w:w="950" w:type="pct"/>
                  <w:tcBorders>
                    <w:tl2br w:val="nil"/>
                    <w:tr2bl w:val="nil"/>
                  </w:tcBorders>
                  <w:vAlign w:val="center"/>
                </w:tcPr>
                <w:p w14:paraId="2B979D54">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夜间</w:t>
                  </w:r>
                </w:p>
              </w:tc>
            </w:tr>
            <w:tr w14:paraId="0A09A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015" w:type="pct"/>
                  <w:tcBorders>
                    <w:tl2br w:val="nil"/>
                    <w:tr2bl w:val="nil"/>
                  </w:tcBorders>
                  <w:vAlign w:val="center"/>
                </w:tcPr>
                <w:p w14:paraId="7E7CD5C8">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N1</w:t>
                  </w:r>
                </w:p>
              </w:tc>
              <w:tc>
                <w:tcPr>
                  <w:tcW w:w="1966" w:type="pct"/>
                  <w:tcBorders>
                    <w:tl2br w:val="nil"/>
                    <w:tr2bl w:val="nil"/>
                  </w:tcBorders>
                  <w:vAlign w:val="center"/>
                </w:tcPr>
                <w:p w14:paraId="034FA00D">
                  <w:pPr>
                    <w:pStyle w:val="26"/>
                    <w:keepNext w:val="0"/>
                    <w:keepLines w:val="0"/>
                    <w:suppressLineNumbers w:val="0"/>
                    <w:spacing w:before="0" w:beforeAutospacing="0" w:after="0" w:afterAutospacing="0"/>
                    <w:ind w:left="0" w:right="0" w:firstLine="0" w:firstLineChars="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eastAsia="zh-CN"/>
                    </w:rPr>
                    <w:t>东厂界</w:t>
                  </w:r>
                </w:p>
              </w:tc>
              <w:tc>
                <w:tcPr>
                  <w:tcW w:w="1067" w:type="pct"/>
                  <w:tcBorders>
                    <w:tl2br w:val="nil"/>
                    <w:tr2bl w:val="nil"/>
                  </w:tcBorders>
                  <w:vAlign w:val="center"/>
                </w:tcPr>
                <w:p w14:paraId="7F26DD75">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58</w:t>
                  </w:r>
                </w:p>
              </w:tc>
              <w:tc>
                <w:tcPr>
                  <w:tcW w:w="950" w:type="pct"/>
                  <w:tcBorders>
                    <w:tl2br w:val="nil"/>
                    <w:tr2bl w:val="nil"/>
                  </w:tcBorders>
                  <w:vAlign w:val="center"/>
                </w:tcPr>
                <w:p w14:paraId="78BFE523">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48</w:t>
                  </w:r>
                </w:p>
              </w:tc>
            </w:tr>
            <w:tr w14:paraId="7035A9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015" w:type="pct"/>
                  <w:tcBorders>
                    <w:tl2br w:val="nil"/>
                    <w:tr2bl w:val="nil"/>
                  </w:tcBorders>
                  <w:vAlign w:val="center"/>
                </w:tcPr>
                <w:p w14:paraId="6898BB0A">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N2</w:t>
                  </w:r>
                </w:p>
              </w:tc>
              <w:tc>
                <w:tcPr>
                  <w:tcW w:w="1966" w:type="pct"/>
                  <w:tcBorders>
                    <w:tl2br w:val="nil"/>
                    <w:tr2bl w:val="nil"/>
                  </w:tcBorders>
                  <w:vAlign w:val="center"/>
                </w:tcPr>
                <w:p w14:paraId="20140DDD">
                  <w:pPr>
                    <w:pStyle w:val="26"/>
                    <w:keepNext w:val="0"/>
                    <w:keepLines w:val="0"/>
                    <w:suppressLineNumbers w:val="0"/>
                    <w:spacing w:before="0" w:beforeAutospacing="0" w:after="0" w:afterAutospacing="0"/>
                    <w:ind w:left="0" w:right="0" w:firstLine="0" w:firstLineChars="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南厂界</w:t>
                  </w:r>
                </w:p>
              </w:tc>
              <w:tc>
                <w:tcPr>
                  <w:tcW w:w="1067" w:type="pct"/>
                  <w:tcBorders>
                    <w:tl2br w:val="nil"/>
                    <w:tr2bl w:val="nil"/>
                  </w:tcBorders>
                  <w:vAlign w:val="center"/>
                </w:tcPr>
                <w:p w14:paraId="11F1F753">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50</w:t>
                  </w:r>
                </w:p>
              </w:tc>
              <w:tc>
                <w:tcPr>
                  <w:tcW w:w="950" w:type="pct"/>
                  <w:tcBorders>
                    <w:tl2br w:val="nil"/>
                    <w:tr2bl w:val="nil"/>
                  </w:tcBorders>
                  <w:vAlign w:val="center"/>
                </w:tcPr>
                <w:p w14:paraId="401A05A6">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47</w:t>
                  </w:r>
                </w:p>
              </w:tc>
            </w:tr>
            <w:tr w14:paraId="3E815C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015" w:type="pct"/>
                  <w:tcBorders>
                    <w:tl2br w:val="nil"/>
                    <w:tr2bl w:val="nil"/>
                  </w:tcBorders>
                  <w:vAlign w:val="center"/>
                </w:tcPr>
                <w:p w14:paraId="15B9DFBB">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color w:val="auto"/>
                      <w:sz w:val="21"/>
                      <w:szCs w:val="21"/>
                      <w:lang w:val="en-US" w:eastAsia="zh-CN"/>
                    </w:rPr>
                    <w:t>N3</w:t>
                  </w:r>
                </w:p>
              </w:tc>
              <w:tc>
                <w:tcPr>
                  <w:tcW w:w="1966" w:type="pct"/>
                  <w:tcBorders>
                    <w:tl2br w:val="nil"/>
                    <w:tr2bl w:val="nil"/>
                  </w:tcBorders>
                  <w:vAlign w:val="center"/>
                </w:tcPr>
                <w:p w14:paraId="3C4B70DE">
                  <w:pPr>
                    <w:pStyle w:val="26"/>
                    <w:keepNext w:val="0"/>
                    <w:keepLines w:val="0"/>
                    <w:suppressLineNumbers w:val="0"/>
                    <w:spacing w:before="0" w:beforeAutospacing="0" w:after="0" w:afterAutospacing="0"/>
                    <w:ind w:left="0" w:right="0" w:firstLine="0" w:firstLineChars="0"/>
                    <w:jc w:val="center"/>
                    <w:rPr>
                      <w:rFonts w:hint="eastAsia" w:ascii="宋体" w:hAnsi="宋体" w:eastAsia="宋体" w:cs="宋体"/>
                      <w:snapToGrid w:val="0"/>
                      <w:color w:val="auto"/>
                      <w:kern w:val="0"/>
                      <w:sz w:val="21"/>
                      <w:szCs w:val="21"/>
                      <w:lang w:val="en-US" w:eastAsia="zh-CN" w:bidi="ar-SA"/>
                    </w:rPr>
                  </w:pPr>
                  <w:r>
                    <w:rPr>
                      <w:rFonts w:hint="eastAsia" w:ascii="宋体" w:hAnsi="宋体" w:eastAsia="宋体" w:cs="宋体"/>
                      <w:color w:val="auto"/>
                      <w:sz w:val="21"/>
                      <w:szCs w:val="21"/>
                      <w:lang w:eastAsia="zh-CN"/>
                    </w:rPr>
                    <w:t>西厂界</w:t>
                  </w:r>
                </w:p>
              </w:tc>
              <w:tc>
                <w:tcPr>
                  <w:tcW w:w="1067" w:type="pct"/>
                  <w:tcBorders>
                    <w:tl2br w:val="nil"/>
                    <w:tr2bl w:val="nil"/>
                  </w:tcBorders>
                  <w:vAlign w:val="center"/>
                </w:tcPr>
                <w:p w14:paraId="0BD8E33E">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52</w:t>
                  </w:r>
                </w:p>
              </w:tc>
              <w:tc>
                <w:tcPr>
                  <w:tcW w:w="950" w:type="pct"/>
                  <w:tcBorders>
                    <w:tl2br w:val="nil"/>
                    <w:tr2bl w:val="nil"/>
                  </w:tcBorders>
                  <w:vAlign w:val="center"/>
                </w:tcPr>
                <w:p w14:paraId="0D961571">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49</w:t>
                  </w:r>
                </w:p>
              </w:tc>
            </w:tr>
            <w:tr w14:paraId="36661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1015" w:type="pct"/>
                  <w:tcBorders>
                    <w:tl2br w:val="nil"/>
                    <w:tr2bl w:val="nil"/>
                  </w:tcBorders>
                  <w:vAlign w:val="center"/>
                </w:tcPr>
                <w:p w14:paraId="1D1B1A1C">
                  <w:pPr>
                    <w:pStyle w:val="23"/>
                    <w:keepNext w:val="0"/>
                    <w:keepLines w:val="0"/>
                    <w:suppressLineNumbers w:val="0"/>
                    <w:spacing w:before="0" w:beforeAutospacing="0" w:after="0" w:afterAutospacing="0" w:line="240" w:lineRule="auto"/>
                    <w:ind w:left="0" w:right="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N4</w:t>
                  </w:r>
                </w:p>
              </w:tc>
              <w:tc>
                <w:tcPr>
                  <w:tcW w:w="1966" w:type="pct"/>
                  <w:tcBorders>
                    <w:tl2br w:val="nil"/>
                    <w:tr2bl w:val="nil"/>
                  </w:tcBorders>
                  <w:vAlign w:val="center"/>
                </w:tcPr>
                <w:p w14:paraId="5EF2183B">
                  <w:pPr>
                    <w:pStyle w:val="26"/>
                    <w:keepNext w:val="0"/>
                    <w:keepLines w:val="0"/>
                    <w:suppressLineNumbers w:val="0"/>
                    <w:spacing w:before="0" w:beforeAutospacing="0" w:after="0" w:afterAutospacing="0"/>
                    <w:ind w:left="0" w:right="0" w:firstLine="0" w:firstLineChars="0"/>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eastAsia="zh-CN"/>
                    </w:rPr>
                    <w:t>北厂界</w:t>
                  </w:r>
                </w:p>
              </w:tc>
              <w:tc>
                <w:tcPr>
                  <w:tcW w:w="1067" w:type="pct"/>
                  <w:tcBorders>
                    <w:tl2br w:val="nil"/>
                    <w:tr2bl w:val="nil"/>
                  </w:tcBorders>
                  <w:vAlign w:val="center"/>
                </w:tcPr>
                <w:p w14:paraId="1ABDCBE8">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51</w:t>
                  </w:r>
                </w:p>
              </w:tc>
              <w:tc>
                <w:tcPr>
                  <w:tcW w:w="950" w:type="pct"/>
                  <w:tcBorders>
                    <w:tl2br w:val="nil"/>
                    <w:tr2bl w:val="nil"/>
                  </w:tcBorders>
                  <w:vAlign w:val="center"/>
                </w:tcPr>
                <w:p w14:paraId="6A266231">
                  <w:pPr>
                    <w:keepNext w:val="0"/>
                    <w:keepLines w:val="0"/>
                    <w:suppressLineNumbers w:val="0"/>
                    <w:spacing w:before="0" w:beforeAutospacing="0" w:after="0" w:afterAutospacing="0"/>
                    <w:ind w:left="0" w:right="0"/>
                    <w:jc w:val="center"/>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45</w:t>
                  </w:r>
                </w:p>
              </w:tc>
            </w:tr>
          </w:tbl>
          <w:p w14:paraId="6E326F1D">
            <w:pPr>
              <w:pStyle w:val="2"/>
              <w:keepNext w:val="0"/>
              <w:keepLines w:val="0"/>
              <w:suppressLineNumbers w:val="0"/>
              <w:bidi w:val="0"/>
              <w:spacing w:before="0" w:beforeAutospacing="0" w:after="0" w:afterAutospacing="0"/>
              <w:ind w:left="0" w:right="0" w:firstLine="480" w:firstLineChars="200"/>
              <w:rPr>
                <w:rFonts w:hint="default"/>
                <w:color w:val="auto"/>
              </w:rPr>
            </w:pPr>
            <w:r>
              <w:rPr>
                <w:rFonts w:hint="eastAsia"/>
                <w:color w:val="auto"/>
                <w:lang w:eastAsia="zh-CN"/>
              </w:rPr>
              <w:t>（</w:t>
            </w:r>
            <w:r>
              <w:rPr>
                <w:rFonts w:hint="eastAsia"/>
                <w:color w:val="auto"/>
                <w:lang w:val="en-US" w:eastAsia="zh-CN"/>
              </w:rPr>
              <w:t>6</w:t>
            </w:r>
            <w:r>
              <w:rPr>
                <w:rFonts w:hint="eastAsia"/>
                <w:color w:val="auto"/>
                <w:lang w:eastAsia="zh-CN"/>
              </w:rPr>
              <w:t>）</w:t>
            </w:r>
            <w:r>
              <w:rPr>
                <w:rFonts w:hint="default"/>
                <w:color w:val="auto"/>
              </w:rPr>
              <w:t>监测</w:t>
            </w:r>
            <w:r>
              <w:rPr>
                <w:rFonts w:hint="default"/>
                <w:color w:val="auto"/>
                <w:lang w:eastAsia="zh-CN"/>
              </w:rPr>
              <w:t>仪器及监测</w:t>
            </w:r>
            <w:r>
              <w:rPr>
                <w:rFonts w:hint="default"/>
                <w:color w:val="auto"/>
              </w:rPr>
              <w:t>依据</w:t>
            </w:r>
          </w:p>
          <w:p w14:paraId="7B102927">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监测仪器及监测依据详见下表。</w:t>
            </w:r>
          </w:p>
          <w:p w14:paraId="2D5A2CF6">
            <w:pPr>
              <w:pStyle w:val="23"/>
              <w:keepNext w:val="0"/>
              <w:keepLines w:val="0"/>
              <w:numPr>
                <w:ilvl w:val="0"/>
                <w:numId w:val="0"/>
              </w:numPr>
              <w:suppressLineNumbers w:val="0"/>
              <w:spacing w:before="0" w:beforeAutospacing="0" w:after="0" w:afterAutospacing="0"/>
              <w:ind w:left="0" w:right="0" w:firstLine="482" w:firstLineChars="200"/>
              <w:jc w:val="center"/>
              <w:rPr>
                <w:rFonts w:hint="eastAsia"/>
                <w:b/>
                <w:bCs/>
                <w:color w:val="auto"/>
                <w:lang w:val="en-US" w:eastAsia="zh-CN"/>
              </w:rPr>
            </w:pPr>
            <w:r>
              <w:rPr>
                <w:rFonts w:hint="eastAsia"/>
                <w:b/>
                <w:bCs/>
                <w:color w:val="auto"/>
                <w:lang w:eastAsia="zh-CN"/>
              </w:rPr>
              <w:t>表</w:t>
            </w:r>
            <w:r>
              <w:rPr>
                <w:rFonts w:hint="eastAsia"/>
                <w:b/>
                <w:bCs/>
                <w:color w:val="auto"/>
                <w:lang w:val="en-US" w:eastAsia="zh-CN"/>
              </w:rPr>
              <w:t>8-7  监测仪器与监测依据一览表</w:t>
            </w:r>
          </w:p>
          <w:tbl>
            <w:tblPr>
              <w:tblStyle w:val="18"/>
              <w:tblW w:w="95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63"/>
              <w:gridCol w:w="3368"/>
              <w:gridCol w:w="3728"/>
            </w:tblGrid>
            <w:tr w14:paraId="2A0F4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63" w:type="dxa"/>
                </w:tcPr>
                <w:p w14:paraId="0755171A">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rPr>
                    <w:t>仪器名称</w:t>
                  </w:r>
                </w:p>
              </w:tc>
              <w:tc>
                <w:tcPr>
                  <w:tcW w:w="3368" w:type="dxa"/>
                </w:tcPr>
                <w:p w14:paraId="4989A872">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val="en-US" w:eastAsia="zh-CN"/>
                    </w:rPr>
                    <w:t>多功能声级计</w:t>
                  </w:r>
                </w:p>
              </w:tc>
              <w:tc>
                <w:tcPr>
                  <w:tcW w:w="3728" w:type="dxa"/>
                </w:tcPr>
                <w:p w14:paraId="03CFDEF1">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声校准器</w:t>
                  </w:r>
                </w:p>
              </w:tc>
            </w:tr>
            <w:tr w14:paraId="3441A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63" w:type="dxa"/>
                </w:tcPr>
                <w:p w14:paraId="3241EDFD">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rPr>
                    <w:t>型号</w:t>
                  </w:r>
                </w:p>
              </w:tc>
              <w:tc>
                <w:tcPr>
                  <w:tcW w:w="3368" w:type="dxa"/>
                </w:tcPr>
                <w:p w14:paraId="1C1DB7E6">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AWA5680</w:t>
                  </w:r>
                </w:p>
              </w:tc>
              <w:tc>
                <w:tcPr>
                  <w:tcW w:w="3728" w:type="dxa"/>
                </w:tcPr>
                <w:p w14:paraId="7163D0EE">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AWA6022A</w:t>
                  </w:r>
                </w:p>
              </w:tc>
            </w:tr>
            <w:tr w14:paraId="42B44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63" w:type="dxa"/>
                </w:tcPr>
                <w:p w14:paraId="1A8226A8">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rPr>
                    <w:t>编号</w:t>
                  </w:r>
                </w:p>
              </w:tc>
              <w:tc>
                <w:tcPr>
                  <w:tcW w:w="3368" w:type="dxa"/>
                </w:tcPr>
                <w:p w14:paraId="23A2EB78">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MARA-SB009</w:t>
                  </w:r>
                </w:p>
              </w:tc>
              <w:tc>
                <w:tcPr>
                  <w:tcW w:w="3728" w:type="dxa"/>
                </w:tcPr>
                <w:p w14:paraId="17996C04">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MARA-SB010</w:t>
                  </w:r>
                </w:p>
              </w:tc>
            </w:tr>
            <w:tr w14:paraId="068CF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63" w:type="dxa"/>
                </w:tcPr>
                <w:p w14:paraId="65A6600F">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eastAsia="zh-CN"/>
                    </w:rPr>
                    <w:t>测量范围</w:t>
                  </w:r>
                </w:p>
              </w:tc>
              <w:tc>
                <w:tcPr>
                  <w:tcW w:w="3368" w:type="dxa"/>
                </w:tcPr>
                <w:p w14:paraId="4F2FFD05">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35～130dB(A)</w:t>
                  </w:r>
                </w:p>
              </w:tc>
              <w:tc>
                <w:tcPr>
                  <w:tcW w:w="3728" w:type="dxa"/>
                </w:tcPr>
                <w:p w14:paraId="5476703D">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94dB和114dB</w:t>
                  </w:r>
                </w:p>
              </w:tc>
            </w:tr>
            <w:tr w14:paraId="3A7EE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63" w:type="dxa"/>
                </w:tcPr>
                <w:p w14:paraId="2DD482F2">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eastAsia="zh-CN"/>
                    </w:rPr>
                    <w:t>检定</w:t>
                  </w:r>
                  <w:r>
                    <w:rPr>
                      <w:rFonts w:hint="default" w:ascii="Times New Roman" w:hAnsi="Times New Roman" w:eastAsia="宋体" w:cs="Times New Roman"/>
                      <w:b w:val="0"/>
                      <w:bCs w:val="0"/>
                      <w:color w:val="auto"/>
                      <w:sz w:val="21"/>
                      <w:szCs w:val="21"/>
                      <w:lang w:val="en-US" w:eastAsia="zh-CN"/>
                    </w:rPr>
                    <w:t>/校准信息</w:t>
                  </w:r>
                </w:p>
              </w:tc>
              <w:tc>
                <w:tcPr>
                  <w:tcW w:w="3368" w:type="dxa"/>
                </w:tcPr>
                <w:p w14:paraId="5BE4704C">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bCs w:val="0"/>
                      <w:snapToGrid w:val="0"/>
                      <w:color w:val="auto"/>
                      <w:kern w:val="0"/>
                      <w:sz w:val="21"/>
                      <w:szCs w:val="21"/>
                      <w:highlight w:val="none"/>
                      <w:lang w:val="en-US" w:eastAsia="zh-CN" w:bidi="ar-SA"/>
                    </w:rPr>
                  </w:pPr>
                  <w:r>
                    <w:rPr>
                      <w:rFonts w:hint="default" w:ascii="Times New Roman" w:hAnsi="Times New Roman" w:eastAsia="宋体" w:cs="Times New Roman"/>
                      <w:b w:val="0"/>
                      <w:bCs w:val="0"/>
                      <w:snapToGrid w:val="0"/>
                      <w:color w:val="auto"/>
                      <w:kern w:val="0"/>
                      <w:sz w:val="21"/>
                      <w:szCs w:val="21"/>
                      <w:highlight w:val="none"/>
                      <w:lang w:val="en-US" w:eastAsia="zh-CN" w:bidi="ar-SA"/>
                    </w:rPr>
                    <w:t>检定单位：安徽省长江计量所；</w:t>
                  </w:r>
                </w:p>
                <w:p w14:paraId="40764D75">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bCs w:val="0"/>
                      <w:snapToGrid w:val="0"/>
                      <w:color w:val="auto"/>
                      <w:kern w:val="0"/>
                      <w:sz w:val="21"/>
                      <w:szCs w:val="21"/>
                      <w:highlight w:val="none"/>
                      <w:lang w:val="en-US" w:eastAsia="zh-CN" w:bidi="ar-SA"/>
                    </w:rPr>
                  </w:pPr>
                  <w:r>
                    <w:rPr>
                      <w:rFonts w:hint="default" w:ascii="Times New Roman" w:hAnsi="Times New Roman" w:eastAsia="宋体" w:cs="Times New Roman"/>
                      <w:b w:val="0"/>
                      <w:bCs w:val="0"/>
                      <w:snapToGrid w:val="0"/>
                      <w:color w:val="auto"/>
                      <w:kern w:val="0"/>
                      <w:sz w:val="21"/>
                      <w:szCs w:val="21"/>
                      <w:highlight w:val="none"/>
                      <w:lang w:val="en-US" w:eastAsia="zh-CN" w:bidi="ar-SA"/>
                    </w:rPr>
                    <w:t>证书编号：LX2403016066；</w:t>
                  </w:r>
                </w:p>
                <w:p w14:paraId="5F3CD5D6">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napToGrid w:val="0"/>
                      <w:color w:val="auto"/>
                      <w:kern w:val="0"/>
                      <w:sz w:val="21"/>
                      <w:szCs w:val="21"/>
                      <w:highlight w:val="none"/>
                      <w:lang w:val="en-US" w:eastAsia="zh-CN" w:bidi="ar-SA"/>
                    </w:rPr>
                    <w:t>有效期限至：2025年3月29日</w:t>
                  </w:r>
                </w:p>
              </w:tc>
              <w:tc>
                <w:tcPr>
                  <w:tcW w:w="3728" w:type="dxa"/>
                </w:tcPr>
                <w:p w14:paraId="61D2F866">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bCs w:val="0"/>
                      <w:snapToGrid w:val="0"/>
                      <w:color w:val="auto"/>
                      <w:kern w:val="0"/>
                      <w:sz w:val="21"/>
                      <w:szCs w:val="21"/>
                      <w:highlight w:val="none"/>
                      <w:lang w:val="en-US" w:eastAsia="zh-CN" w:bidi="ar-SA"/>
                    </w:rPr>
                  </w:pPr>
                  <w:r>
                    <w:rPr>
                      <w:rFonts w:hint="default" w:ascii="Times New Roman" w:hAnsi="Times New Roman" w:eastAsia="宋体" w:cs="Times New Roman"/>
                      <w:b w:val="0"/>
                      <w:bCs w:val="0"/>
                      <w:snapToGrid w:val="0"/>
                      <w:color w:val="auto"/>
                      <w:kern w:val="0"/>
                      <w:sz w:val="21"/>
                      <w:szCs w:val="21"/>
                      <w:highlight w:val="none"/>
                      <w:lang w:val="en-US" w:eastAsia="zh-CN" w:bidi="ar-SA"/>
                    </w:rPr>
                    <w:t>检定单位：安徽省长江计量所；</w:t>
                  </w:r>
                </w:p>
                <w:p w14:paraId="0B83C621">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bCs w:val="0"/>
                      <w:snapToGrid w:val="0"/>
                      <w:color w:val="auto"/>
                      <w:kern w:val="0"/>
                      <w:sz w:val="21"/>
                      <w:szCs w:val="21"/>
                      <w:highlight w:val="none"/>
                      <w:lang w:val="en-US" w:eastAsia="zh-CN" w:bidi="ar-SA"/>
                    </w:rPr>
                  </w:pPr>
                  <w:r>
                    <w:rPr>
                      <w:rFonts w:hint="default" w:ascii="Times New Roman" w:hAnsi="Times New Roman" w:eastAsia="宋体" w:cs="Times New Roman"/>
                      <w:b w:val="0"/>
                      <w:bCs w:val="0"/>
                      <w:snapToGrid w:val="0"/>
                      <w:color w:val="auto"/>
                      <w:kern w:val="0"/>
                      <w:sz w:val="21"/>
                      <w:szCs w:val="21"/>
                      <w:highlight w:val="none"/>
                      <w:lang w:val="en-US" w:eastAsia="zh-CN" w:bidi="ar-SA"/>
                    </w:rPr>
                    <w:t>证书编号：LX2403016065；</w:t>
                  </w:r>
                </w:p>
                <w:p w14:paraId="10173389">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napToGrid w:val="0"/>
                      <w:color w:val="auto"/>
                      <w:kern w:val="0"/>
                      <w:sz w:val="21"/>
                      <w:szCs w:val="21"/>
                      <w:highlight w:val="none"/>
                      <w:lang w:val="en-US" w:eastAsia="zh-CN" w:bidi="ar-SA"/>
                    </w:rPr>
                    <w:t>有效期限至：2025年3月29日</w:t>
                  </w:r>
                </w:p>
              </w:tc>
            </w:tr>
            <w:tr w14:paraId="66862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63" w:type="dxa"/>
                </w:tcPr>
                <w:p w14:paraId="41638BD9">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rPr>
                    <w:t>检测依据</w:t>
                  </w:r>
                </w:p>
              </w:tc>
              <w:tc>
                <w:tcPr>
                  <w:tcW w:w="7096" w:type="dxa"/>
                  <w:gridSpan w:val="2"/>
                </w:tcPr>
                <w:p w14:paraId="5D33BF16">
                  <w:pPr>
                    <w:pStyle w:val="23"/>
                    <w:keepNext w:val="0"/>
                    <w:keepLines w:val="0"/>
                    <w:numPr>
                      <w:ilvl w:val="0"/>
                      <w:numId w:val="0"/>
                    </w:numPr>
                    <w:suppressLineNumbers w:val="0"/>
                    <w:spacing w:before="0" w:beforeAutospacing="0" w:after="0" w:afterAutospacing="0"/>
                    <w:ind w:left="0" w:right="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val="en-US" w:eastAsia="zh-CN"/>
                    </w:rPr>
                    <w:t>《声环境质量标准》（GB 3096-2008）</w:t>
                  </w:r>
                </w:p>
              </w:tc>
            </w:tr>
          </w:tbl>
          <w:p w14:paraId="4AC4592E">
            <w:pPr>
              <w:pStyle w:val="23"/>
              <w:keepNext w:val="0"/>
              <w:keepLines w:val="0"/>
              <w:suppressLineNumbers w:val="0"/>
              <w:spacing w:before="0" w:beforeAutospacing="0" w:after="0" w:afterAutospacing="0"/>
              <w:ind w:left="0" w:leftChars="0" w:right="0" w:firstLine="480" w:firstLineChars="200"/>
              <w:rPr>
                <w:rFonts w:hint="default"/>
                <w:color w:val="auto"/>
              </w:rPr>
            </w:pPr>
            <w:r>
              <w:rPr>
                <w:rFonts w:hint="eastAsia"/>
                <w:color w:val="auto"/>
              </w:rPr>
              <w:t>（</w:t>
            </w:r>
            <w:r>
              <w:rPr>
                <w:rFonts w:hint="eastAsia"/>
                <w:color w:val="auto"/>
                <w:lang w:val="en-US" w:eastAsia="zh-CN"/>
              </w:rPr>
              <w:t>7</w:t>
            </w:r>
            <w:r>
              <w:rPr>
                <w:rFonts w:hint="eastAsia"/>
                <w:color w:val="auto"/>
              </w:rPr>
              <w:t>）检测结果评价</w:t>
            </w:r>
          </w:p>
          <w:p w14:paraId="4D9C76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eastAsia="宋体" w:cs="Times New Roman"/>
                <w:color w:val="auto"/>
                <w:spacing w:val="6"/>
                <w:sz w:val="24"/>
                <w:szCs w:val="24"/>
                <w:lang w:eastAsia="zh-CN"/>
              </w:rPr>
            </w:pPr>
            <w:r>
              <w:rPr>
                <w:rFonts w:hint="eastAsia"/>
                <w:color w:val="auto"/>
              </w:rPr>
              <w:t>由上表可知，</w:t>
            </w:r>
            <w:r>
              <w:rPr>
                <w:rFonts w:hint="eastAsia"/>
                <w:color w:val="auto"/>
                <w:sz w:val="24"/>
                <w:szCs w:val="24"/>
              </w:rPr>
              <w:t>本项目核技术应用场所</w:t>
            </w:r>
            <w:r>
              <w:rPr>
                <w:rFonts w:hint="eastAsia"/>
                <w:color w:val="auto"/>
                <w:sz w:val="24"/>
                <w:szCs w:val="24"/>
                <w:lang w:eastAsia="zh-CN"/>
              </w:rPr>
              <w:t>四周厂界声</w:t>
            </w:r>
            <w:r>
              <w:rPr>
                <w:rFonts w:hint="eastAsia"/>
                <w:color w:val="auto"/>
                <w:sz w:val="24"/>
                <w:szCs w:val="24"/>
              </w:rPr>
              <w:t>环境现状</w:t>
            </w:r>
            <w:r>
              <w:rPr>
                <w:rFonts w:hint="eastAsia"/>
                <w:color w:val="auto"/>
                <w:sz w:val="24"/>
                <w:szCs w:val="24"/>
                <w:lang w:eastAsia="zh-CN"/>
              </w:rPr>
              <w:t>可以满足</w:t>
            </w:r>
            <w:r>
              <w:rPr>
                <w:rFonts w:hint="default" w:ascii="Times New Roman" w:hAnsi="Times New Roman" w:eastAsia="宋体" w:cs="Times New Roman"/>
                <w:bCs/>
                <w:color w:val="auto"/>
                <w:sz w:val="24"/>
                <w:szCs w:val="24"/>
              </w:rPr>
              <w:t>《声环境质量标准》（GB 3096-2008）</w:t>
            </w:r>
            <w:r>
              <w:rPr>
                <w:rFonts w:hint="eastAsia" w:ascii="Times New Roman" w:hAnsi="Times New Roman" w:eastAsia="宋体" w:cs="Times New Roman"/>
                <w:bCs/>
                <w:color w:val="auto"/>
                <w:sz w:val="24"/>
                <w:szCs w:val="24"/>
                <w:lang w:eastAsia="zh-CN"/>
              </w:rPr>
              <w:t>中</w:t>
            </w:r>
            <w:r>
              <w:rPr>
                <w:rFonts w:hint="eastAsia" w:ascii="Times New Roman" w:hAnsi="Times New Roman" w:eastAsia="宋体" w:cs="Times New Roman"/>
                <w:bCs/>
                <w:color w:val="auto"/>
                <w:sz w:val="24"/>
                <w:szCs w:val="24"/>
                <w:lang w:val="en-US" w:eastAsia="zh-CN"/>
              </w:rPr>
              <w:t>2类</w:t>
            </w:r>
            <w:r>
              <w:rPr>
                <w:rFonts w:hint="eastAsia" w:cs="Times New Roman"/>
                <w:bCs/>
                <w:color w:val="auto"/>
                <w:sz w:val="24"/>
                <w:szCs w:val="24"/>
                <w:lang w:val="en-US" w:eastAsia="zh-CN"/>
              </w:rPr>
              <w:t>声环境功能</w:t>
            </w:r>
            <w:r>
              <w:rPr>
                <w:rFonts w:hint="eastAsia" w:ascii="Times New Roman" w:hAnsi="Times New Roman" w:eastAsia="宋体" w:cs="Times New Roman"/>
                <w:bCs/>
                <w:color w:val="auto"/>
                <w:sz w:val="24"/>
                <w:szCs w:val="24"/>
                <w:lang w:val="en-US" w:eastAsia="zh-CN"/>
              </w:rPr>
              <w:t>区</w:t>
            </w:r>
            <w:r>
              <w:rPr>
                <w:rFonts w:hint="eastAsia" w:eastAsia="宋体" w:cs="Times New Roman"/>
                <w:bCs/>
                <w:color w:val="auto"/>
                <w:sz w:val="24"/>
                <w:szCs w:val="24"/>
                <w:lang w:val="en-US" w:eastAsia="zh-CN"/>
              </w:rPr>
              <w:t>的</w:t>
            </w:r>
            <w:r>
              <w:rPr>
                <w:rFonts w:hint="eastAsia" w:cs="Times New Roman"/>
                <w:bCs/>
                <w:color w:val="auto"/>
                <w:sz w:val="24"/>
                <w:szCs w:val="24"/>
                <w:lang w:val="en-US" w:eastAsia="zh-CN"/>
              </w:rPr>
              <w:t>标准限制要求</w:t>
            </w:r>
            <w:r>
              <w:rPr>
                <w:rFonts w:hint="eastAsia"/>
                <w:color w:val="auto"/>
                <w:sz w:val="24"/>
                <w:szCs w:val="24"/>
                <w:lang w:val="en-US" w:eastAsia="zh-CN"/>
              </w:rPr>
              <w:t>，区域声环境质量现状较好</w:t>
            </w:r>
            <w:r>
              <w:rPr>
                <w:rFonts w:hint="eastAsia" w:ascii="Times New Roman" w:hAnsi="Times New Roman" w:eastAsia="宋体" w:cs="Times New Roman"/>
                <w:color w:val="auto"/>
                <w:spacing w:val="6"/>
                <w:sz w:val="24"/>
                <w:szCs w:val="24"/>
                <w:lang w:eastAsia="zh-CN"/>
              </w:rPr>
              <w:t>。</w:t>
            </w:r>
          </w:p>
          <w:p w14:paraId="66F0F0CF">
            <w:pPr>
              <w:keepNext w:val="0"/>
              <w:keepLines w:val="0"/>
              <w:suppressLineNumbers w:val="0"/>
              <w:wordWrap w:val="0"/>
              <w:topLinePunct/>
              <w:spacing w:before="0" w:beforeAutospacing="0" w:after="0" w:afterAutospacing="0" w:line="360" w:lineRule="auto"/>
              <w:ind w:left="0" w:right="0" w:firstLine="480" w:firstLineChars="200"/>
              <w:contextualSpacing/>
              <w:textAlignment w:val="center"/>
              <w:rPr>
                <w:rFonts w:hint="default" w:ascii="Times New Roman" w:hAnsi="Times New Roman" w:cs="Times New Roman"/>
                <w:color w:val="auto"/>
                <w:spacing w:val="0"/>
                <w:sz w:val="24"/>
              </w:rPr>
            </w:pPr>
          </w:p>
          <w:p w14:paraId="19013BB9">
            <w:pPr>
              <w:keepNext w:val="0"/>
              <w:keepLines w:val="0"/>
              <w:suppressLineNumbers w:val="0"/>
              <w:wordWrap w:val="0"/>
              <w:topLinePunct/>
              <w:spacing w:before="0" w:beforeAutospacing="0" w:after="0" w:afterAutospacing="0" w:line="360" w:lineRule="auto"/>
              <w:ind w:left="0" w:right="0" w:firstLine="480" w:firstLineChars="200"/>
              <w:contextualSpacing/>
              <w:textAlignment w:val="center"/>
              <w:rPr>
                <w:rFonts w:hint="default" w:ascii="Times New Roman" w:hAnsi="Times New Roman" w:cs="Times New Roman"/>
                <w:color w:val="auto"/>
                <w:spacing w:val="0"/>
                <w:sz w:val="24"/>
              </w:rPr>
            </w:pPr>
          </w:p>
          <w:p w14:paraId="69D81033">
            <w:pPr>
              <w:pStyle w:val="15"/>
              <w:keepNext w:val="0"/>
              <w:keepLines w:val="0"/>
              <w:suppressLineNumbers w:val="0"/>
              <w:spacing w:before="0" w:beforeAutospacing="0" w:after="0" w:afterAutospacing="0"/>
              <w:ind w:left="0" w:right="0" w:firstLine="480" w:firstLineChars="200"/>
              <w:rPr>
                <w:rFonts w:hint="eastAsia"/>
                <w:color w:val="auto"/>
                <w:vertAlign w:val="baseline"/>
                <w:lang w:val="en-US" w:eastAsia="zh-CN"/>
              </w:rPr>
            </w:pPr>
          </w:p>
        </w:tc>
      </w:tr>
    </w:tbl>
    <w:p w14:paraId="49E16426">
      <w:pPr>
        <w:pStyle w:val="15"/>
        <w:ind w:left="0" w:leftChars="0" w:firstLine="0" w:firstLineChars="0"/>
        <w:rPr>
          <w:rFonts w:hint="default"/>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4E5183B2">
      <w:pPr>
        <w:keepNext/>
        <w:keepLines/>
        <w:widowControl w:val="0"/>
        <w:bidi w:val="0"/>
        <w:spacing w:line="240" w:lineRule="auto"/>
        <w:jc w:val="both"/>
        <w:outlineLvl w:val="0"/>
        <w:rPr>
          <w:rFonts w:ascii="Times New Roman" w:hAnsi="Times New Roman" w:eastAsia="宋体" w:cs="Times New Roman"/>
          <w:b/>
          <w:bCs/>
          <w:color w:val="auto"/>
          <w:kern w:val="44"/>
          <w:sz w:val="28"/>
          <w:szCs w:val="44"/>
          <w:lang w:val="en-US" w:eastAsia="zh-CN" w:bidi="ar-SA"/>
        </w:rPr>
      </w:pPr>
      <w:bookmarkStart w:id="58" w:name="_Toc67739915"/>
      <w:bookmarkStart w:id="59" w:name="_Toc12007"/>
      <w:bookmarkStart w:id="60" w:name="_Toc15126"/>
      <w:r>
        <w:rPr>
          <w:rFonts w:ascii="Times New Roman" w:hAnsi="Times New Roman" w:eastAsia="宋体" w:cs="Times New Roman"/>
          <w:b/>
          <w:bCs/>
          <w:color w:val="auto"/>
          <w:kern w:val="44"/>
          <w:sz w:val="28"/>
          <w:szCs w:val="44"/>
          <w:lang w:val="en-US" w:eastAsia="zh-CN" w:bidi="ar-SA"/>
        </w:rPr>
        <w:t xml:space="preserve">表9 </w:t>
      </w:r>
      <w:r>
        <w:rPr>
          <w:rFonts w:hint="eastAsia" w:ascii="Times New Roman" w:hAnsi="Times New Roman" w:eastAsia="宋体" w:cs="Times New Roman"/>
          <w:b/>
          <w:bCs/>
          <w:color w:val="auto"/>
          <w:kern w:val="44"/>
          <w:sz w:val="28"/>
          <w:szCs w:val="44"/>
          <w:lang w:val="en-US" w:eastAsia="zh-CN" w:bidi="ar-SA"/>
        </w:rPr>
        <w:t>项目工程分析与源项</w:t>
      </w:r>
      <w:bookmarkEnd w:id="58"/>
      <w:bookmarkEnd w:id="59"/>
      <w:bookmarkEnd w:id="60"/>
    </w:p>
    <w:tbl>
      <w:tblPr>
        <w:tblStyle w:val="18"/>
        <w:tblW w:w="977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774"/>
      </w:tblGrid>
      <w:tr w14:paraId="2CE1CF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9774" w:type="dxa"/>
          </w:tcPr>
          <w:p w14:paraId="59A2EBBD">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一、施工期工程分析及污染源分析</w:t>
            </w:r>
          </w:p>
          <w:p w14:paraId="40C9A7AB">
            <w:pPr>
              <w:pStyle w:val="2"/>
              <w:keepNext w:val="0"/>
              <w:keepLines w:val="0"/>
              <w:suppressLineNumbers w:val="0"/>
              <w:bidi w:val="0"/>
              <w:spacing w:before="0" w:beforeAutospacing="0" w:after="0" w:afterAutospacing="0"/>
              <w:ind w:left="0" w:right="0" w:firstLine="480" w:firstLineChars="200"/>
              <w:rPr>
                <w:rFonts w:hint="default"/>
                <w:color w:val="auto"/>
                <w:lang w:val="en-US" w:eastAsia="zh-CN"/>
              </w:rPr>
            </w:pPr>
            <w:r>
              <w:rPr>
                <w:rFonts w:hint="default" w:ascii="Times New Roman" w:hAnsi="Times New Roman" w:eastAsia="宋体" w:cs="Times New Roman"/>
                <w:snapToGrid w:val="0"/>
                <w:color w:val="auto"/>
                <w:kern w:val="0"/>
                <w:sz w:val="24"/>
                <w:szCs w:val="24"/>
                <w:lang w:val="en-US" w:eastAsia="zh-CN" w:bidi="ar-SA"/>
              </w:rPr>
              <w:t>本项目建设内容</w:t>
            </w:r>
            <w:r>
              <w:rPr>
                <w:rFonts w:hint="eastAsia" w:ascii="Times New Roman" w:hAnsi="Times New Roman" w:eastAsia="宋体" w:cs="Times New Roman"/>
                <w:snapToGrid w:val="0"/>
                <w:color w:val="auto"/>
                <w:kern w:val="0"/>
                <w:sz w:val="24"/>
                <w:szCs w:val="24"/>
                <w:lang w:val="en-US" w:eastAsia="zh-CN" w:bidi="ar-SA"/>
              </w:rPr>
              <w:t>主要</w:t>
            </w:r>
            <w:r>
              <w:rPr>
                <w:rFonts w:hint="default" w:ascii="Times New Roman" w:hAnsi="Times New Roman" w:eastAsia="宋体" w:cs="Times New Roman"/>
                <w:snapToGrid w:val="0"/>
                <w:color w:val="auto"/>
                <w:kern w:val="0"/>
                <w:sz w:val="24"/>
                <w:szCs w:val="24"/>
                <w:lang w:val="en-US" w:eastAsia="zh-CN" w:bidi="ar-SA"/>
              </w:rPr>
              <w:t>为：</w:t>
            </w:r>
            <w:r>
              <w:rPr>
                <w:rFonts w:hint="eastAsia" w:cs="Times New Roman"/>
                <w:snapToGrid w:val="0"/>
                <w:color w:val="auto"/>
                <w:kern w:val="0"/>
                <w:sz w:val="24"/>
                <w:szCs w:val="24"/>
                <w:lang w:val="en-US" w:eastAsia="zh-CN" w:bidi="ar-SA"/>
              </w:rPr>
              <w:t>拟</w:t>
            </w:r>
            <w:r>
              <w:rPr>
                <w:rFonts w:hint="eastAsia" w:ascii="Times New Roman" w:hAnsi="Times New Roman" w:eastAsia="宋体" w:cs="Times New Roman"/>
                <w:color w:val="auto"/>
                <w:sz w:val="24"/>
                <w:szCs w:val="24"/>
                <w:lang w:eastAsia="zh-CN"/>
              </w:rPr>
              <w:t>购买一台</w:t>
            </w:r>
            <w:r>
              <w:rPr>
                <w:rFonts w:hint="eastAsia" w:ascii="Times New Roman" w:hAnsi="Times New Roman" w:eastAsia="宋体" w:cs="Times New Roman"/>
                <w:color w:val="auto"/>
                <w:sz w:val="24"/>
                <w:szCs w:val="24"/>
                <w:lang w:val="en-US" w:eastAsia="zh-CN"/>
              </w:rPr>
              <w:t>DSA</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安装于</w:t>
            </w:r>
            <w:r>
              <w:rPr>
                <w:rFonts w:hint="eastAsia" w:cs="Times New Roman"/>
                <w:color w:val="auto"/>
                <w:sz w:val="24"/>
                <w:szCs w:val="24"/>
                <w:lang w:val="en-US" w:eastAsia="zh-CN"/>
              </w:rPr>
              <w:t>综合楼一楼DSA机房</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并同步</w:t>
            </w:r>
            <w:r>
              <w:rPr>
                <w:rFonts w:hint="default" w:ascii="Times New Roman" w:hAnsi="Times New Roman" w:eastAsia="宋体" w:cs="Times New Roman"/>
                <w:color w:val="auto"/>
                <w:sz w:val="24"/>
                <w:szCs w:val="24"/>
              </w:rPr>
              <w:t>进行机房的防护建设</w:t>
            </w:r>
            <w:r>
              <w:rPr>
                <w:rFonts w:hint="default" w:ascii="Times New Roman" w:hAnsi="Times New Roman" w:eastAsia="宋体" w:cs="Times New Roman"/>
                <w:color w:val="auto"/>
                <w:sz w:val="24"/>
                <w:szCs w:val="24"/>
                <w:lang w:eastAsia="zh-CN"/>
              </w:rPr>
              <w:t>。</w:t>
            </w:r>
          </w:p>
          <w:p w14:paraId="5196DD1B">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4"/>
                <w:lang w:val="en-US" w:eastAsia="zh-CN" w:bidi="ar-SA"/>
              </w:rPr>
            </w:pPr>
            <w:r>
              <w:rPr>
                <w:rFonts w:hint="eastAsia" w:ascii="Times New Roman" w:hAnsi="Times New Roman" w:eastAsia="宋体" w:cs="Times New Roman"/>
                <w:snapToGrid w:val="0"/>
                <w:color w:val="auto"/>
                <w:kern w:val="0"/>
                <w:sz w:val="24"/>
                <w:szCs w:val="24"/>
                <w:lang w:val="en-US" w:eastAsia="zh-CN" w:bidi="ar-SA"/>
              </w:rPr>
              <w:t>施工期工艺流程及产污环节详见下图：</w:t>
            </w:r>
          </w:p>
          <w:p w14:paraId="0C7FE80F">
            <w:pPr>
              <w:pStyle w:val="2"/>
              <w:keepNext w:val="0"/>
              <w:keepLines w:val="0"/>
              <w:suppressLineNumbers w:val="0"/>
              <w:spacing w:before="0" w:beforeAutospacing="0" w:after="0" w:afterAutospacing="0"/>
              <w:ind w:left="0" w:right="0" w:firstLine="480" w:firstLineChars="200"/>
              <w:rPr>
                <w:rFonts w:hint="eastAsia" w:ascii="Times New Roman" w:hAnsi="Times New Roman" w:eastAsia="宋体" w:cs="Times New Roman"/>
                <w:snapToGrid w:val="0"/>
                <w:color w:val="auto"/>
                <w:kern w:val="0"/>
                <w:sz w:val="24"/>
                <w:szCs w:val="24"/>
                <w:lang w:val="en-US" w:eastAsia="zh-CN" w:bidi="ar-SA"/>
              </w:rPr>
            </w:pPr>
            <w:r>
              <w:rPr>
                <w:rFonts w:hint="eastAsia" w:ascii="Times New Roman" w:hAnsi="Times New Roman" w:eastAsia="宋体" w:cs="Times New Roman"/>
                <w:snapToGrid w:val="0"/>
                <w:color w:val="auto"/>
                <w:kern w:val="0"/>
                <w:sz w:val="24"/>
                <w:szCs w:val="24"/>
                <w:lang w:val="en-US" w:eastAsia="zh-CN" w:bidi="ar-SA"/>
              </w:rPr>
              <w:drawing>
                <wp:inline distT="0" distB="0" distL="114300" distR="114300">
                  <wp:extent cx="5551170" cy="2654935"/>
                  <wp:effectExtent l="0" t="0" r="11430" b="12065"/>
                  <wp:docPr id="36" name="图片 36" descr="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666"/>
                          <pic:cNvPicPr>
                            <a:picLocks noChangeAspect="1"/>
                          </pic:cNvPicPr>
                        </pic:nvPicPr>
                        <pic:blipFill>
                          <a:blip r:embed="rId14">
                            <a:clrChange>
                              <a:clrFrom>
                                <a:srgbClr val="FFFFFF">
                                  <a:alpha val="100000"/>
                                </a:srgbClr>
                              </a:clrFrom>
                              <a:clrTo>
                                <a:srgbClr val="FFFFFF">
                                  <a:alpha val="100000"/>
                                  <a:alpha val="0"/>
                                </a:srgbClr>
                              </a:clrTo>
                            </a:clrChange>
                            <a:lum contrast="18000"/>
                          </a:blip>
                          <a:srcRect l="5297"/>
                          <a:stretch>
                            <a:fillRect/>
                          </a:stretch>
                        </pic:blipFill>
                        <pic:spPr>
                          <a:xfrm>
                            <a:off x="0" y="0"/>
                            <a:ext cx="5551170" cy="2654935"/>
                          </a:xfrm>
                          <a:prstGeom prst="rect">
                            <a:avLst/>
                          </a:prstGeom>
                        </pic:spPr>
                      </pic:pic>
                    </a:graphicData>
                  </a:graphic>
                </wp:inline>
              </w:drawing>
            </w:r>
          </w:p>
          <w:p w14:paraId="3FDB7B4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eastAsia="宋体" w:cs="Times New Roman"/>
                <w:b/>
                <w:bCs/>
                <w:snapToGrid w:val="0"/>
                <w:color w:val="auto"/>
                <w:kern w:val="0"/>
                <w:sz w:val="24"/>
                <w:szCs w:val="24"/>
                <w:lang w:val="en-US" w:eastAsia="zh-CN" w:bidi="ar-SA"/>
              </w:rPr>
            </w:pPr>
            <w:r>
              <w:rPr>
                <w:rFonts w:hint="eastAsia" w:cs="Times New Roman"/>
                <w:b/>
                <w:bCs/>
                <w:snapToGrid w:val="0"/>
                <w:color w:val="auto"/>
                <w:kern w:val="0"/>
                <w:sz w:val="24"/>
                <w:szCs w:val="24"/>
                <w:lang w:val="en-US" w:eastAsia="zh-CN" w:bidi="ar-SA"/>
              </w:rPr>
              <w:t>图9-1  项目施工期工艺流程及产污环节示意图</w:t>
            </w:r>
          </w:p>
          <w:p w14:paraId="2DCD7D16">
            <w:pPr>
              <w:keepNext w:val="0"/>
              <w:keepLines w:val="0"/>
              <w:widowControl w:val="0"/>
              <w:numPr>
                <w:ilvl w:val="0"/>
                <w:numId w:val="3"/>
              </w:numPr>
              <w:suppressLineNumbers w:val="0"/>
              <w:spacing w:before="0" w:beforeAutospacing="0" w:after="0" w:afterAutospacing="0" w:line="360" w:lineRule="auto"/>
              <w:ind w:left="0" w:right="0" w:firstLine="480" w:firstLineChars="200"/>
              <w:jc w:val="both"/>
              <w:rPr>
                <w:rFonts w:hint="default"/>
                <w:color w:val="auto"/>
                <w:lang w:val="en-US" w:eastAsia="zh-CN"/>
              </w:rPr>
            </w:pPr>
            <w:r>
              <w:rPr>
                <w:rFonts w:hint="eastAsia" w:ascii="Times New Roman" w:hAnsi="Times New Roman" w:eastAsia="宋体" w:cs="Times New Roman"/>
                <w:snapToGrid w:val="0"/>
                <w:color w:val="auto"/>
                <w:kern w:val="0"/>
                <w:sz w:val="24"/>
                <w:szCs w:val="21"/>
                <w:lang w:val="en-US" w:eastAsia="zh-CN" w:bidi="ar-SA"/>
              </w:rPr>
              <w:t>施工</w:t>
            </w:r>
            <w:r>
              <w:rPr>
                <w:rFonts w:hint="default" w:ascii="Times New Roman" w:hAnsi="Times New Roman" w:eastAsia="宋体" w:cs="Times New Roman"/>
                <w:snapToGrid w:val="0"/>
                <w:color w:val="auto"/>
                <w:kern w:val="0"/>
                <w:sz w:val="24"/>
                <w:szCs w:val="21"/>
                <w:lang w:val="en-US" w:eastAsia="zh-CN" w:bidi="ar-SA"/>
              </w:rPr>
              <w:t>噪声</w:t>
            </w:r>
          </w:p>
          <w:p w14:paraId="7E50CB64">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施工期</w:t>
            </w:r>
            <w:r>
              <w:rPr>
                <w:rFonts w:hint="default" w:ascii="Times New Roman" w:hAnsi="Times New Roman" w:eastAsia="宋体" w:cs="Times New Roman"/>
                <w:snapToGrid w:val="0"/>
                <w:color w:val="auto"/>
                <w:kern w:val="0"/>
                <w:sz w:val="24"/>
                <w:szCs w:val="21"/>
                <w:lang w:val="en-US" w:eastAsia="zh-CN" w:bidi="ar-SA"/>
              </w:rPr>
              <w:t>的噪声污染特点是随着施工阶段</w:t>
            </w:r>
            <w:r>
              <w:rPr>
                <w:rFonts w:hint="eastAsia" w:ascii="Times New Roman" w:hAnsi="Times New Roman" w:eastAsia="宋体" w:cs="Times New Roman"/>
                <w:snapToGrid w:val="0"/>
                <w:color w:val="auto"/>
                <w:kern w:val="0"/>
                <w:sz w:val="24"/>
                <w:szCs w:val="21"/>
                <w:lang w:val="en-US" w:eastAsia="zh-CN" w:bidi="ar-SA"/>
              </w:rPr>
              <w:t>的</w:t>
            </w:r>
            <w:r>
              <w:rPr>
                <w:rFonts w:hint="default" w:ascii="Times New Roman" w:hAnsi="Times New Roman" w:eastAsia="宋体" w:cs="Times New Roman"/>
                <w:snapToGrid w:val="0"/>
                <w:color w:val="auto"/>
                <w:kern w:val="0"/>
                <w:sz w:val="24"/>
                <w:szCs w:val="21"/>
                <w:lang w:val="en-US" w:eastAsia="zh-CN" w:bidi="ar-SA"/>
              </w:rPr>
              <w:t>不同，噪声源将发生明显的变化，噪声影响程度也有所不同。</w:t>
            </w:r>
          </w:p>
          <w:p w14:paraId="42B5CE5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项目噪声主要来源于材料搬运和切割、运输、设备安装等环节。施工噪声主要来自施工作业。施工作业噪声主要指一些零星的敲打声、装卸建材的撞击声、拆装模板的撞击声等，多为瞬间噪声。</w:t>
            </w:r>
          </w:p>
          <w:p w14:paraId="2B323F4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本项目为防护</w:t>
            </w:r>
            <w:r>
              <w:rPr>
                <w:rFonts w:hint="eastAsia" w:ascii="Times New Roman" w:hAnsi="Times New Roman" w:eastAsia="宋体" w:cs="Times New Roman"/>
                <w:snapToGrid w:val="0"/>
                <w:color w:val="auto"/>
                <w:kern w:val="0"/>
                <w:sz w:val="24"/>
                <w:szCs w:val="21"/>
                <w:lang w:val="en-US" w:eastAsia="zh-CN" w:bidi="ar-SA"/>
              </w:rPr>
              <w:t>施工及内部</w:t>
            </w:r>
            <w:r>
              <w:rPr>
                <w:rFonts w:hint="default" w:ascii="Times New Roman" w:hAnsi="Times New Roman" w:eastAsia="宋体" w:cs="Times New Roman"/>
                <w:snapToGrid w:val="0"/>
                <w:color w:val="auto"/>
                <w:kern w:val="0"/>
                <w:sz w:val="24"/>
                <w:szCs w:val="21"/>
                <w:lang w:val="en-US" w:eastAsia="zh-CN" w:bidi="ar-SA"/>
              </w:rPr>
              <w:t>装修工程，主要考虑防护</w:t>
            </w:r>
            <w:r>
              <w:rPr>
                <w:rFonts w:hint="eastAsia" w:ascii="Times New Roman" w:hAnsi="Times New Roman" w:eastAsia="宋体" w:cs="Times New Roman"/>
                <w:snapToGrid w:val="0"/>
                <w:color w:val="auto"/>
                <w:kern w:val="0"/>
                <w:sz w:val="24"/>
                <w:szCs w:val="21"/>
                <w:lang w:val="en-US" w:eastAsia="zh-CN" w:bidi="ar-SA"/>
              </w:rPr>
              <w:t>施工、</w:t>
            </w:r>
            <w:r>
              <w:rPr>
                <w:rFonts w:hint="default" w:ascii="Times New Roman" w:hAnsi="Times New Roman" w:eastAsia="宋体" w:cs="Times New Roman"/>
                <w:snapToGrid w:val="0"/>
                <w:color w:val="auto"/>
                <w:kern w:val="0"/>
                <w:sz w:val="24"/>
                <w:szCs w:val="21"/>
                <w:lang w:val="en-US" w:eastAsia="zh-CN" w:bidi="ar-SA"/>
              </w:rPr>
              <w:t>装修工程阶段的噪声污染。根据《环境噪声与振动控制工程技术导则》（HJ2034-2013）中表A.2常见施工设备噪声源不同距离声压级，施工期主要施工机械设备的噪声源强见表9-1，当多台机械设备同时作业时，产生噪声叠加，根据类比调查，叠加后的噪声增加3~8dB（A），一般不会超过10dB（A）。</w:t>
            </w:r>
          </w:p>
          <w:p w14:paraId="5B273D04">
            <w:pPr>
              <w:keepNext w:val="0"/>
              <w:keepLines w:val="0"/>
              <w:widowControl w:val="0"/>
              <w:suppressLineNumbers w:val="0"/>
              <w:spacing w:before="0" w:beforeAutospacing="0" w:after="0" w:afterAutospacing="0" w:line="360" w:lineRule="auto"/>
              <w:ind w:left="0" w:right="0"/>
              <w:jc w:val="center"/>
              <w:rPr>
                <w:rFonts w:hint="default" w:ascii="Times New Roman" w:hAnsi="Times New Roman" w:eastAsia="宋体" w:cs="Times New Roman"/>
                <w:b/>
                <w:bCs/>
                <w:snapToGrid w:val="0"/>
                <w:color w:val="auto"/>
                <w:kern w:val="0"/>
                <w:sz w:val="24"/>
                <w:szCs w:val="21"/>
                <w:lang w:val="en-US" w:eastAsia="zh-CN" w:bidi="ar-SA"/>
              </w:rPr>
            </w:pPr>
          </w:p>
          <w:p w14:paraId="6F783430">
            <w:pPr>
              <w:keepNext w:val="0"/>
              <w:keepLines w:val="0"/>
              <w:widowControl w:val="0"/>
              <w:suppressLineNumbers w:val="0"/>
              <w:spacing w:before="0" w:beforeAutospacing="0" w:after="0" w:afterAutospacing="0" w:line="360" w:lineRule="auto"/>
              <w:ind w:left="0" w:right="0"/>
              <w:jc w:val="center"/>
              <w:rPr>
                <w:rFonts w:hint="default" w:ascii="Times New Roman" w:hAnsi="Times New Roman" w:eastAsia="宋体" w:cs="Times New Roman"/>
                <w:b/>
                <w:bCs/>
                <w:snapToGrid w:val="0"/>
                <w:color w:val="auto"/>
                <w:kern w:val="0"/>
                <w:sz w:val="24"/>
                <w:szCs w:val="21"/>
                <w:lang w:val="en-US" w:eastAsia="zh-CN" w:bidi="ar-SA"/>
              </w:rPr>
            </w:pPr>
          </w:p>
          <w:p w14:paraId="5F1878A6">
            <w:pPr>
              <w:keepNext w:val="0"/>
              <w:keepLines w:val="0"/>
              <w:widowControl w:val="0"/>
              <w:suppressLineNumbers w:val="0"/>
              <w:spacing w:before="0" w:beforeAutospacing="0" w:after="0" w:afterAutospacing="0" w:line="360" w:lineRule="auto"/>
              <w:ind w:left="0" w:right="0"/>
              <w:jc w:val="center"/>
              <w:rPr>
                <w:rFonts w:hint="default" w:ascii="Times New Roman" w:hAnsi="Times New Roman" w:eastAsia="宋体" w:cs="Times New Roman"/>
                <w:b/>
                <w:bCs/>
                <w:snapToGrid w:val="0"/>
                <w:color w:val="auto"/>
                <w:kern w:val="0"/>
                <w:sz w:val="24"/>
                <w:szCs w:val="21"/>
                <w:lang w:val="en-US" w:eastAsia="zh-CN" w:bidi="ar-SA"/>
              </w:rPr>
            </w:pPr>
          </w:p>
          <w:p w14:paraId="1C263BCB">
            <w:pPr>
              <w:keepNext w:val="0"/>
              <w:keepLines w:val="0"/>
              <w:widowControl w:val="0"/>
              <w:suppressLineNumbers w:val="0"/>
              <w:spacing w:before="0" w:beforeAutospacing="0" w:after="0" w:afterAutospacing="0" w:line="360" w:lineRule="auto"/>
              <w:ind w:left="0" w:right="0"/>
              <w:jc w:val="center"/>
              <w:rPr>
                <w:rFonts w:hint="default" w:ascii="Times New Roman" w:hAnsi="Times New Roman" w:eastAsia="宋体" w:cs="Times New Roman"/>
                <w:b/>
                <w:bCs/>
                <w:snapToGrid w:val="0"/>
                <w:color w:val="auto"/>
                <w:kern w:val="0"/>
                <w:sz w:val="24"/>
                <w:szCs w:val="21"/>
                <w:lang w:val="en-US" w:eastAsia="zh-CN" w:bidi="ar-SA"/>
              </w:rPr>
            </w:pPr>
          </w:p>
          <w:p w14:paraId="76AA698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表9-1 施工期噪声声源强度表</w:t>
            </w:r>
          </w:p>
          <w:tbl>
            <w:tblPr>
              <w:tblStyle w:val="18"/>
              <w:tblW w:w="95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86"/>
              <w:gridCol w:w="3045"/>
              <w:gridCol w:w="3327"/>
            </w:tblGrid>
            <w:tr w14:paraId="73149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14:paraId="114C72E9">
                  <w:pPr>
                    <w:pStyle w:val="22"/>
                    <w:jc w:val="center"/>
                    <w:rPr>
                      <w:rFonts w:hint="default" w:ascii="Times New Roman" w:hAnsi="Times New Roman" w:cs="Times New Roman"/>
                      <w:b/>
                      <w:bCs/>
                      <w:color w:val="auto"/>
                      <w:sz w:val="21"/>
                      <w:szCs w:val="21"/>
                      <w:vertAlign w:val="baseline"/>
                      <w:lang w:val="en-US" w:eastAsia="zh-CN"/>
                    </w:rPr>
                  </w:pPr>
                  <w:r>
                    <w:rPr>
                      <w:rFonts w:hint="default" w:ascii="Times New Roman" w:hAnsi="Times New Roman" w:cs="Times New Roman"/>
                      <w:b/>
                      <w:bCs/>
                      <w:color w:val="auto"/>
                      <w:sz w:val="21"/>
                      <w:szCs w:val="21"/>
                      <w:vertAlign w:val="baseline"/>
                      <w:lang w:val="en-US" w:eastAsia="zh-CN"/>
                    </w:rPr>
                    <w:t>施工阶段</w:t>
                  </w:r>
                </w:p>
              </w:tc>
              <w:tc>
                <w:tcPr>
                  <w:tcW w:w="3045" w:type="dxa"/>
                  <w:vAlign w:val="center"/>
                </w:tcPr>
                <w:p w14:paraId="0600F3B6">
                  <w:pPr>
                    <w:pStyle w:val="22"/>
                    <w:jc w:val="center"/>
                    <w:rPr>
                      <w:rFonts w:hint="default" w:ascii="Times New Roman" w:hAnsi="Times New Roman" w:cs="Times New Roman"/>
                      <w:b/>
                      <w:bCs/>
                      <w:color w:val="auto"/>
                      <w:sz w:val="21"/>
                      <w:szCs w:val="21"/>
                      <w:vertAlign w:val="baseline"/>
                      <w:lang w:val="en-US" w:eastAsia="zh-CN"/>
                    </w:rPr>
                  </w:pPr>
                  <w:r>
                    <w:rPr>
                      <w:rFonts w:hint="default" w:ascii="Times New Roman" w:hAnsi="Times New Roman" w:cs="Times New Roman"/>
                      <w:b/>
                      <w:bCs/>
                      <w:color w:val="auto"/>
                      <w:sz w:val="21"/>
                      <w:szCs w:val="21"/>
                      <w:vertAlign w:val="baseline"/>
                      <w:lang w:val="en-US" w:eastAsia="zh-CN"/>
                    </w:rPr>
                    <w:t>施工设备</w:t>
                  </w:r>
                </w:p>
              </w:tc>
              <w:tc>
                <w:tcPr>
                  <w:tcW w:w="3327" w:type="dxa"/>
                  <w:vAlign w:val="center"/>
                </w:tcPr>
                <w:p w14:paraId="5A335207">
                  <w:pPr>
                    <w:pStyle w:val="22"/>
                    <w:jc w:val="center"/>
                    <w:rPr>
                      <w:rFonts w:hint="default" w:ascii="Times New Roman" w:hAnsi="Times New Roman" w:cs="Times New Roman"/>
                      <w:b/>
                      <w:bCs/>
                      <w:color w:val="auto"/>
                      <w:sz w:val="21"/>
                      <w:szCs w:val="21"/>
                      <w:vertAlign w:val="baseline"/>
                      <w:lang w:val="en-US" w:eastAsia="zh-CN"/>
                    </w:rPr>
                  </w:pPr>
                  <w:r>
                    <w:rPr>
                      <w:rFonts w:hint="default" w:ascii="Times New Roman" w:hAnsi="Times New Roman" w:cs="Times New Roman"/>
                      <w:b/>
                      <w:bCs/>
                      <w:color w:val="auto"/>
                      <w:sz w:val="21"/>
                      <w:szCs w:val="21"/>
                      <w:vertAlign w:val="baseline"/>
                      <w:lang w:val="en-US" w:eastAsia="zh-CN"/>
                    </w:rPr>
                    <w:t>距声源10m声源强度（dB(A)）</w:t>
                  </w:r>
                </w:p>
              </w:tc>
            </w:tr>
            <w:tr w14:paraId="7B456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Merge w:val="restart"/>
                  <w:vAlign w:val="center"/>
                </w:tcPr>
                <w:p w14:paraId="10E44002">
                  <w:pPr>
                    <w:pStyle w:val="22"/>
                    <w:jc w:val="center"/>
                    <w:rPr>
                      <w:rFonts w:hint="default"/>
                      <w:color w:val="auto"/>
                      <w:sz w:val="21"/>
                      <w:szCs w:val="21"/>
                      <w:vertAlign w:val="baseline"/>
                      <w:lang w:val="en-US" w:eastAsia="zh-CN"/>
                    </w:rPr>
                  </w:pPr>
                </w:p>
              </w:tc>
              <w:tc>
                <w:tcPr>
                  <w:tcW w:w="3045" w:type="dxa"/>
                  <w:vAlign w:val="center"/>
                </w:tcPr>
                <w:p w14:paraId="0F764CBC">
                  <w:pPr>
                    <w:pStyle w:val="22"/>
                    <w:jc w:val="center"/>
                    <w:rPr>
                      <w:rFonts w:hint="default"/>
                      <w:color w:val="auto"/>
                      <w:sz w:val="21"/>
                      <w:szCs w:val="21"/>
                      <w:vertAlign w:val="baseline"/>
                      <w:lang w:val="en-US" w:eastAsia="zh-CN"/>
                    </w:rPr>
                  </w:pPr>
                  <w:r>
                    <w:rPr>
                      <w:rFonts w:hint="eastAsia"/>
                      <w:color w:val="auto"/>
                      <w:sz w:val="21"/>
                      <w:szCs w:val="21"/>
                      <w:vertAlign w:val="baseline"/>
                      <w:lang w:val="en-US" w:eastAsia="zh-CN"/>
                    </w:rPr>
                    <w:t>云石机、角磨机</w:t>
                  </w:r>
                </w:p>
              </w:tc>
              <w:tc>
                <w:tcPr>
                  <w:tcW w:w="3327" w:type="dxa"/>
                  <w:vAlign w:val="center"/>
                </w:tcPr>
                <w:p w14:paraId="5FD151E7">
                  <w:pPr>
                    <w:pStyle w:val="22"/>
                    <w:jc w:val="center"/>
                    <w:rPr>
                      <w:rFonts w:hint="default" w:ascii="Times New Roman" w:hAnsi="Times New Roman" w:cs="Times New Roman"/>
                      <w:color w:val="auto"/>
                      <w:sz w:val="21"/>
                      <w:szCs w:val="21"/>
                      <w:vertAlign w:val="baseline"/>
                      <w:lang w:val="en-US" w:eastAsia="zh-CN"/>
                    </w:rPr>
                  </w:pPr>
                  <w:r>
                    <w:rPr>
                      <w:rFonts w:hint="default" w:ascii="Times New Roman" w:hAnsi="Times New Roman" w:cs="Times New Roman"/>
                      <w:color w:val="auto"/>
                      <w:sz w:val="21"/>
                      <w:szCs w:val="21"/>
                      <w:vertAlign w:val="baseline"/>
                      <w:lang w:val="en-US" w:eastAsia="zh-CN"/>
                    </w:rPr>
                    <w:t>84~90</w:t>
                  </w:r>
                </w:p>
              </w:tc>
            </w:tr>
            <w:tr w14:paraId="64215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Merge w:val="continue"/>
                  <w:vAlign w:val="center"/>
                </w:tcPr>
                <w:p w14:paraId="6135A7C4">
                  <w:pPr>
                    <w:pStyle w:val="22"/>
                    <w:jc w:val="center"/>
                    <w:rPr>
                      <w:rFonts w:hint="default"/>
                      <w:color w:val="auto"/>
                      <w:sz w:val="21"/>
                      <w:szCs w:val="21"/>
                      <w:vertAlign w:val="baseline"/>
                      <w:lang w:val="en-US" w:eastAsia="zh-CN"/>
                    </w:rPr>
                  </w:pPr>
                </w:p>
              </w:tc>
              <w:tc>
                <w:tcPr>
                  <w:tcW w:w="3045" w:type="dxa"/>
                  <w:vAlign w:val="center"/>
                </w:tcPr>
                <w:p w14:paraId="2C20A2A4">
                  <w:pPr>
                    <w:pStyle w:val="22"/>
                    <w:jc w:val="center"/>
                    <w:rPr>
                      <w:rFonts w:hint="default"/>
                      <w:color w:val="auto"/>
                      <w:sz w:val="21"/>
                      <w:szCs w:val="21"/>
                      <w:vertAlign w:val="baseline"/>
                      <w:lang w:val="en-US" w:eastAsia="zh-CN"/>
                    </w:rPr>
                  </w:pPr>
                  <w:r>
                    <w:rPr>
                      <w:rFonts w:hint="eastAsia"/>
                      <w:color w:val="auto"/>
                      <w:sz w:val="21"/>
                      <w:szCs w:val="21"/>
                      <w:vertAlign w:val="baseline"/>
                      <w:lang w:val="en-US" w:eastAsia="zh-CN"/>
                    </w:rPr>
                    <w:t>空压机</w:t>
                  </w:r>
                </w:p>
              </w:tc>
              <w:tc>
                <w:tcPr>
                  <w:tcW w:w="3327" w:type="dxa"/>
                  <w:vAlign w:val="center"/>
                </w:tcPr>
                <w:p w14:paraId="1FCCA7F2">
                  <w:pPr>
                    <w:pStyle w:val="22"/>
                    <w:jc w:val="center"/>
                    <w:rPr>
                      <w:rFonts w:hint="default" w:ascii="Times New Roman" w:hAnsi="Times New Roman" w:cs="Times New Roman"/>
                      <w:color w:val="auto"/>
                      <w:sz w:val="21"/>
                      <w:szCs w:val="21"/>
                      <w:vertAlign w:val="baseline"/>
                      <w:lang w:val="en-US" w:eastAsia="zh-CN"/>
                    </w:rPr>
                  </w:pPr>
                  <w:r>
                    <w:rPr>
                      <w:rFonts w:hint="default" w:ascii="Times New Roman" w:hAnsi="Times New Roman" w:cs="Times New Roman"/>
                      <w:color w:val="auto"/>
                      <w:sz w:val="21"/>
                      <w:szCs w:val="21"/>
                      <w:vertAlign w:val="baseline"/>
                      <w:lang w:val="en-US" w:eastAsia="zh-CN"/>
                    </w:rPr>
                    <w:t>83~88</w:t>
                  </w:r>
                </w:p>
              </w:tc>
            </w:tr>
          </w:tbl>
          <w:p w14:paraId="2721978C">
            <w:pPr>
              <w:keepNext w:val="0"/>
              <w:keepLines w:val="0"/>
              <w:widowControl w:val="0"/>
              <w:suppressLineNumbers w:val="0"/>
              <w:spacing w:before="0" w:beforeAutospacing="0" w:after="0" w:afterAutospacing="0" w:line="360" w:lineRule="auto"/>
              <w:ind w:left="0" w:right="0" w:firstLine="480" w:firstLineChars="200"/>
              <w:jc w:val="both"/>
              <w:rPr>
                <w:rFonts w:hint="default"/>
                <w:color w:val="auto"/>
                <w:lang w:val="en-US" w:eastAsia="zh-CN"/>
              </w:rPr>
            </w:pPr>
            <w:r>
              <w:rPr>
                <w:rFonts w:hint="default" w:ascii="Times New Roman" w:hAnsi="Times New Roman" w:eastAsia="宋体" w:cs="Times New Roman"/>
                <w:snapToGrid w:val="0"/>
                <w:color w:val="auto"/>
                <w:kern w:val="0"/>
                <w:sz w:val="24"/>
                <w:szCs w:val="21"/>
                <w:lang w:val="en-US" w:eastAsia="zh-CN" w:bidi="ar-SA"/>
              </w:rPr>
              <w:t>施工期噪声具有阶段性、临时性和不固定性，将对项目周边环境产生一定的不利影响</w:t>
            </w:r>
            <w:r>
              <w:rPr>
                <w:rFonts w:hint="eastAsia" w:ascii="Times New Roman" w:hAnsi="Times New Roman" w:eastAsia="宋体" w:cs="Times New Roman"/>
                <w:snapToGrid w:val="0"/>
                <w:color w:val="auto"/>
                <w:kern w:val="0"/>
                <w:sz w:val="24"/>
                <w:szCs w:val="21"/>
                <w:lang w:val="en-US" w:eastAsia="zh-CN" w:bidi="ar-SA"/>
              </w:rPr>
              <w:t>，本项目施工</w:t>
            </w:r>
            <w:r>
              <w:rPr>
                <w:rFonts w:hint="default" w:ascii="Times New Roman" w:hAnsi="Times New Roman" w:eastAsia="宋体" w:cs="Times New Roman"/>
                <w:snapToGrid w:val="0"/>
                <w:color w:val="auto"/>
                <w:kern w:val="0"/>
                <w:sz w:val="24"/>
                <w:szCs w:val="21"/>
                <w:lang w:val="en-US" w:eastAsia="zh-CN" w:bidi="ar-SA"/>
              </w:rPr>
              <w:t>过程在建筑</w:t>
            </w:r>
            <w:r>
              <w:rPr>
                <w:rFonts w:hint="eastAsia" w:ascii="Times New Roman" w:hAnsi="Times New Roman" w:eastAsia="宋体" w:cs="Times New Roman"/>
                <w:snapToGrid w:val="0"/>
                <w:color w:val="auto"/>
                <w:kern w:val="0"/>
                <w:sz w:val="24"/>
                <w:szCs w:val="21"/>
                <w:lang w:val="en-US" w:eastAsia="zh-CN" w:bidi="ar-SA"/>
              </w:rPr>
              <w:t>内部</w:t>
            </w:r>
            <w:r>
              <w:rPr>
                <w:rFonts w:hint="default" w:ascii="Times New Roman" w:hAnsi="Times New Roman" w:eastAsia="宋体" w:cs="Times New Roman"/>
                <w:snapToGrid w:val="0"/>
                <w:color w:val="auto"/>
                <w:kern w:val="0"/>
                <w:sz w:val="24"/>
                <w:szCs w:val="21"/>
                <w:lang w:val="en-US" w:eastAsia="zh-CN" w:bidi="ar-SA"/>
              </w:rPr>
              <w:t>施工，施工噪声对周边的环境影响较小。随着</w:t>
            </w:r>
            <w:r>
              <w:rPr>
                <w:rFonts w:hint="eastAsia" w:ascii="Times New Roman" w:hAnsi="Times New Roman" w:eastAsia="宋体" w:cs="Times New Roman"/>
                <w:snapToGrid w:val="0"/>
                <w:color w:val="auto"/>
                <w:kern w:val="0"/>
                <w:sz w:val="24"/>
                <w:szCs w:val="21"/>
                <w:lang w:val="en-US" w:eastAsia="zh-CN" w:bidi="ar-SA"/>
              </w:rPr>
              <w:t>施工期</w:t>
            </w:r>
            <w:r>
              <w:rPr>
                <w:rFonts w:hint="default" w:ascii="Times New Roman" w:hAnsi="Times New Roman" w:eastAsia="宋体" w:cs="Times New Roman"/>
                <w:snapToGrid w:val="0"/>
                <w:color w:val="auto"/>
                <w:kern w:val="0"/>
                <w:sz w:val="24"/>
                <w:szCs w:val="21"/>
                <w:lang w:val="en-US" w:eastAsia="zh-CN" w:bidi="ar-SA"/>
              </w:rPr>
              <w:t>的</w:t>
            </w:r>
            <w:r>
              <w:rPr>
                <w:rFonts w:hint="eastAsia" w:ascii="Times New Roman" w:hAnsi="Times New Roman" w:eastAsia="宋体" w:cs="Times New Roman"/>
                <w:snapToGrid w:val="0"/>
                <w:color w:val="auto"/>
                <w:kern w:val="0"/>
                <w:sz w:val="24"/>
                <w:szCs w:val="21"/>
                <w:lang w:val="en-US" w:eastAsia="zh-CN" w:bidi="ar-SA"/>
              </w:rPr>
              <w:t>结束</w:t>
            </w:r>
            <w:r>
              <w:rPr>
                <w:rFonts w:hint="default" w:ascii="Times New Roman" w:hAnsi="Times New Roman" w:eastAsia="宋体" w:cs="Times New Roman"/>
                <w:snapToGrid w:val="0"/>
                <w:color w:val="auto"/>
                <w:kern w:val="0"/>
                <w:sz w:val="24"/>
                <w:szCs w:val="21"/>
                <w:lang w:val="en-US" w:eastAsia="zh-CN" w:bidi="ar-SA"/>
              </w:rPr>
              <w:t>，施工噪声影响也将结束。</w:t>
            </w:r>
          </w:p>
          <w:p w14:paraId="6B200599">
            <w:pPr>
              <w:keepNext w:val="0"/>
              <w:keepLines w:val="0"/>
              <w:widowControl w:val="0"/>
              <w:numPr>
                <w:ilvl w:val="0"/>
                <w:numId w:val="3"/>
              </w:numPr>
              <w:suppressLineNumbers w:val="0"/>
              <w:spacing w:before="0" w:beforeAutospacing="0" w:after="0" w:afterAutospacing="0" w:line="360" w:lineRule="auto"/>
              <w:ind w:left="0" w:leftChars="0" w:right="0" w:firstLine="480" w:firstLineChars="200"/>
              <w:jc w:val="both"/>
              <w:rPr>
                <w:rFonts w:hint="default"/>
                <w:color w:val="auto"/>
                <w:lang w:val="en-US" w:eastAsia="zh-CN"/>
              </w:rPr>
            </w:pPr>
            <w:r>
              <w:rPr>
                <w:rFonts w:hint="eastAsia" w:ascii="Times New Roman" w:hAnsi="Times New Roman" w:eastAsia="宋体" w:cs="Times New Roman"/>
                <w:snapToGrid w:val="0"/>
                <w:color w:val="auto"/>
                <w:kern w:val="0"/>
                <w:sz w:val="24"/>
                <w:szCs w:val="21"/>
                <w:lang w:val="en-US" w:eastAsia="zh-CN" w:bidi="ar-SA"/>
              </w:rPr>
              <w:t>施工废气</w:t>
            </w:r>
          </w:p>
          <w:p w14:paraId="08A2774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施工期间对大气环境的影响主要表现为施工扬尘和装修过程中的有机气体污染。扬尘主要来源于：施工物料的堆放、装卸过程产生的扬尘；建筑物料的运输造成的道路扬尘；清除固废和清理工作面引起的扬尘。有机废气污染主要来源于装修期的涂料废气，室内装修时采用环保水性涂料，不会对大气环境产生明显影响。施工期的废气污染影响是暂时性的，随着施工作业结束，影响将随之消失。</w:t>
            </w:r>
          </w:p>
          <w:p w14:paraId="21FF4D34">
            <w:pPr>
              <w:keepNext w:val="0"/>
              <w:keepLines w:val="0"/>
              <w:pageBreakBefore w:val="0"/>
              <w:widowControl w:val="0"/>
              <w:numPr>
                <w:ilvl w:val="0"/>
                <w:numId w:val="3"/>
              </w:numPr>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default"/>
                <w:color w:val="auto"/>
                <w:lang w:val="en-US" w:eastAsia="zh-CN"/>
              </w:rPr>
            </w:pPr>
            <w:r>
              <w:rPr>
                <w:rFonts w:hint="eastAsia" w:ascii="Times New Roman" w:hAnsi="Times New Roman" w:eastAsia="宋体" w:cs="Times New Roman"/>
                <w:snapToGrid w:val="0"/>
                <w:color w:val="auto"/>
                <w:kern w:val="0"/>
                <w:sz w:val="24"/>
                <w:szCs w:val="21"/>
                <w:lang w:val="en-US" w:eastAsia="zh-CN" w:bidi="ar-SA"/>
              </w:rPr>
              <w:t>施工废水</w:t>
            </w:r>
          </w:p>
          <w:p w14:paraId="501715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施工期废水主要为施工人员的生活污水。施工人员生活污水的主要污染物指标为</w:t>
            </w:r>
            <w:r>
              <w:rPr>
                <w:rFonts w:hint="default" w:ascii="Times New Roman" w:hAnsi="Times New Roman" w:eastAsia="宋体" w:cs="Times New Roman"/>
                <w:color w:val="auto"/>
                <w:sz w:val="24"/>
                <w:szCs w:val="24"/>
              </w:rPr>
              <w:t>COD、BOD</w:t>
            </w:r>
            <w:r>
              <w:rPr>
                <w:rFonts w:hint="default" w:ascii="Times New Roman" w:hAnsi="Times New Roman" w:eastAsia="宋体" w:cs="Times New Roman"/>
                <w:color w:val="auto"/>
                <w:sz w:val="24"/>
                <w:szCs w:val="24"/>
                <w:vertAlign w:val="subscript"/>
              </w:rPr>
              <w:t>5</w:t>
            </w:r>
            <w:r>
              <w:rPr>
                <w:rFonts w:hint="default" w:ascii="Times New Roman" w:hAnsi="Times New Roman" w:eastAsia="宋体" w:cs="Times New Roman"/>
                <w:color w:val="auto"/>
                <w:sz w:val="24"/>
                <w:szCs w:val="24"/>
              </w:rPr>
              <w:t>、SS和NH</w:t>
            </w:r>
            <w:r>
              <w:rPr>
                <w:rFonts w:hint="default" w:ascii="Times New Roman" w:hAnsi="Times New Roman" w:eastAsia="宋体" w:cs="Times New Roman"/>
                <w:color w:val="auto"/>
                <w:sz w:val="24"/>
                <w:szCs w:val="24"/>
                <w:vertAlign w:val="subscript"/>
              </w:rPr>
              <w:t>3</w:t>
            </w:r>
            <w:r>
              <w:rPr>
                <w:rFonts w:hint="default" w:ascii="Times New Roman" w:hAnsi="Times New Roman" w:eastAsia="宋体" w:cs="Times New Roman"/>
                <w:color w:val="auto"/>
                <w:sz w:val="24"/>
                <w:szCs w:val="24"/>
              </w:rPr>
              <w:t>-N。</w:t>
            </w:r>
            <w:r>
              <w:rPr>
                <w:rFonts w:hint="eastAsia" w:ascii="宋体" w:hAnsi="宋体" w:eastAsia="宋体" w:cs="宋体"/>
                <w:color w:val="auto"/>
                <w:sz w:val="24"/>
                <w:szCs w:val="24"/>
                <w:lang w:val="en-US" w:eastAsia="zh-CN"/>
              </w:rPr>
              <w:t>生活污水经化粪池预处理后与医疗废水合并进入污水处理站（“一级强化处理+二氧化氯消毒”工艺）处理，处理达到接管标准后接入市政污水管网，进入城市污水处理厂，</w:t>
            </w:r>
            <w:r>
              <w:rPr>
                <w:rFonts w:hint="eastAsia" w:ascii="宋体" w:hAnsi="宋体" w:eastAsia="宋体" w:cs="宋体"/>
                <w:color w:val="auto"/>
                <w:sz w:val="24"/>
                <w:szCs w:val="24"/>
              </w:rPr>
              <w:t>因此施工</w:t>
            </w:r>
            <w:r>
              <w:rPr>
                <w:rFonts w:hint="eastAsia" w:ascii="宋体" w:hAnsi="宋体" w:eastAsia="宋体" w:cs="宋体"/>
                <w:color w:val="auto"/>
                <w:sz w:val="24"/>
                <w:szCs w:val="24"/>
                <w:lang w:eastAsia="zh-CN"/>
              </w:rPr>
              <w:t>人员</w:t>
            </w:r>
            <w:r>
              <w:rPr>
                <w:rFonts w:hint="eastAsia" w:ascii="宋体" w:hAnsi="宋体" w:eastAsia="宋体" w:cs="宋体"/>
                <w:color w:val="auto"/>
                <w:sz w:val="24"/>
                <w:szCs w:val="24"/>
              </w:rPr>
              <w:t>的生活污水</w:t>
            </w:r>
            <w:r>
              <w:rPr>
                <w:rFonts w:hint="eastAsia" w:ascii="宋体" w:hAnsi="宋体" w:eastAsia="宋体" w:cs="宋体"/>
                <w:color w:val="auto"/>
                <w:sz w:val="24"/>
                <w:szCs w:val="24"/>
                <w:lang w:eastAsia="zh-CN"/>
              </w:rPr>
              <w:t>对</w:t>
            </w:r>
            <w:r>
              <w:rPr>
                <w:rFonts w:hint="eastAsia" w:ascii="宋体" w:hAnsi="宋体" w:eastAsia="宋体" w:cs="宋体"/>
                <w:color w:val="auto"/>
                <w:sz w:val="24"/>
                <w:szCs w:val="24"/>
              </w:rPr>
              <w:t>地表水环境影响</w:t>
            </w:r>
            <w:r>
              <w:rPr>
                <w:rFonts w:hint="eastAsia" w:ascii="宋体" w:hAnsi="宋体" w:eastAsia="宋体" w:cs="宋体"/>
                <w:color w:val="auto"/>
                <w:sz w:val="24"/>
                <w:szCs w:val="24"/>
                <w:lang w:eastAsia="zh-CN"/>
              </w:rPr>
              <w:t>较小</w:t>
            </w:r>
            <w:r>
              <w:rPr>
                <w:rFonts w:hint="eastAsia" w:ascii="宋体" w:hAnsi="宋体" w:eastAsia="宋体" w:cs="宋体"/>
                <w:color w:val="auto"/>
                <w:sz w:val="24"/>
                <w:szCs w:val="24"/>
              </w:rPr>
              <w:t>。</w:t>
            </w:r>
          </w:p>
          <w:p w14:paraId="7F1FCC53">
            <w:pPr>
              <w:keepNext w:val="0"/>
              <w:keepLines w:val="0"/>
              <w:widowControl w:val="0"/>
              <w:numPr>
                <w:ilvl w:val="0"/>
                <w:numId w:val="3"/>
              </w:numPr>
              <w:suppressLineNumbers w:val="0"/>
              <w:spacing w:before="0" w:beforeAutospacing="0" w:after="0" w:afterAutospacing="0" w:line="360" w:lineRule="auto"/>
              <w:ind w:left="0" w:leftChars="0" w:right="0" w:firstLine="480" w:firstLineChars="200"/>
              <w:jc w:val="both"/>
              <w:rPr>
                <w:rFonts w:hint="default"/>
                <w:color w:val="auto"/>
                <w:lang w:val="en-US" w:eastAsia="zh-CN"/>
              </w:rPr>
            </w:pPr>
            <w:r>
              <w:rPr>
                <w:rFonts w:hint="eastAsia" w:ascii="Times New Roman" w:hAnsi="Times New Roman" w:eastAsia="宋体" w:cs="Times New Roman"/>
                <w:snapToGrid w:val="0"/>
                <w:color w:val="auto"/>
                <w:kern w:val="0"/>
                <w:sz w:val="24"/>
                <w:szCs w:val="21"/>
                <w:lang w:val="en-US" w:eastAsia="zh-CN" w:bidi="ar-SA"/>
              </w:rPr>
              <w:t>固体废弃物</w:t>
            </w:r>
          </w:p>
          <w:p w14:paraId="1AD549A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项目施工期固废主要有建筑施工和装修过程中产生的建筑垃圾、施工人员的生活垃圾。</w:t>
            </w:r>
          </w:p>
          <w:p w14:paraId="27CE5DED">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本项目在建设过程中产生的建筑垃圾主要有建材损耗产生的垃圾、装修产生的建筑垃圾等，可以重复使用的尽量回收利用，弃用建筑垃圾向市容环境卫生主管部门申请，运至指定地点作无害化处置。施工期生活垃圾集中收集后，委托环卫部门进行安全处置。</w:t>
            </w:r>
          </w:p>
          <w:p w14:paraId="54C1B162">
            <w:pPr>
              <w:pStyle w:val="2"/>
              <w:keepNext w:val="0"/>
              <w:keepLines w:val="0"/>
              <w:numPr>
                <w:ilvl w:val="0"/>
                <w:numId w:val="3"/>
              </w:numPr>
              <w:suppressLineNumbers w:val="0"/>
              <w:spacing w:before="0" w:beforeAutospacing="0" w:after="0" w:afterAutospacing="0"/>
              <w:ind w:left="0" w:leftChars="0" w:right="0" w:firstLine="480" w:firstLineChars="200"/>
              <w:rPr>
                <w:rFonts w:hint="eastAsia" w:cs="Times New Roman"/>
                <w:snapToGrid w:val="0"/>
                <w:color w:val="auto"/>
                <w:kern w:val="0"/>
                <w:sz w:val="24"/>
                <w:szCs w:val="21"/>
                <w:lang w:val="en-US" w:eastAsia="zh-CN" w:bidi="ar-SA"/>
              </w:rPr>
            </w:pPr>
            <w:r>
              <w:rPr>
                <w:rFonts w:hint="eastAsia" w:cs="Times New Roman"/>
                <w:snapToGrid w:val="0"/>
                <w:color w:val="auto"/>
                <w:kern w:val="0"/>
                <w:sz w:val="24"/>
                <w:szCs w:val="21"/>
                <w:lang w:val="en-US" w:eastAsia="zh-CN" w:bidi="ar-SA"/>
              </w:rPr>
              <w:t>设备调试过程中的污染物</w:t>
            </w:r>
          </w:p>
          <w:p w14:paraId="6B0C5547">
            <w:pPr>
              <w:pStyle w:val="2"/>
              <w:keepNext w:val="0"/>
              <w:keepLines w:val="0"/>
              <w:numPr>
                <w:ilvl w:val="0"/>
                <w:numId w:val="0"/>
              </w:numPr>
              <w:suppressLineNumbers w:val="0"/>
              <w:spacing w:before="0" w:beforeAutospacing="0" w:after="0" w:afterAutospacing="0"/>
              <w:ind w:left="0" w:right="0" w:firstLine="480" w:firstLineChars="200"/>
              <w:rPr>
                <w:rFonts w:hint="default" w:cs="Times New Roman"/>
                <w:snapToGrid w:val="0"/>
                <w:color w:val="auto"/>
                <w:kern w:val="0"/>
                <w:sz w:val="24"/>
                <w:szCs w:val="21"/>
                <w:lang w:val="en-US" w:eastAsia="zh-CN" w:bidi="ar-SA"/>
              </w:rPr>
            </w:pPr>
            <w:r>
              <w:rPr>
                <w:rFonts w:hint="eastAsia" w:cs="Times New Roman"/>
                <w:snapToGrid w:val="0"/>
                <w:color w:val="auto"/>
                <w:kern w:val="0"/>
                <w:sz w:val="24"/>
                <w:szCs w:val="21"/>
                <w:lang w:val="en-US" w:eastAsia="zh-CN" w:bidi="ar-SA"/>
              </w:rPr>
              <w:t>DSA设备安装后，需要进行设备调试。设备调试在已完成防护施工的机房内进行，调试过程中射线装置会发射出X射线，X射线作用于空气会产生臭氧和氮氧化物。由于设备调试时，机房的防护施工及通风装置等辅助工程已建设完成，调试人员佩戴个人防护物品，严格按照操作规程进行调试，对周围环境影响很小。</w:t>
            </w:r>
          </w:p>
          <w:p w14:paraId="64EDC5FA">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二、运营期工程分析及污染源分析</w:t>
            </w:r>
          </w:p>
          <w:p w14:paraId="5398D3A5">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1、工程设备和工艺分析</w:t>
            </w:r>
          </w:p>
          <w:p w14:paraId="13EEF89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（1）工作原理</w:t>
            </w:r>
          </w:p>
          <w:p w14:paraId="1D542246">
            <w:pPr>
              <w:keepNext w:val="0"/>
              <w:keepLines w:val="0"/>
              <w:widowControl w:val="0"/>
              <w:suppressLineNumbers w:val="0"/>
              <w:spacing w:before="0" w:beforeAutospacing="0" w:after="0" w:afterAutospacing="0" w:line="360" w:lineRule="auto"/>
              <w:ind w:left="0" w:right="0" w:firstLine="480" w:firstLineChars="200"/>
              <w:jc w:val="both"/>
              <w:rPr>
                <w:rFonts w:hint="eastAsia" w:ascii="宋体" w:hAnsi="宋体" w:eastAsia="宋体" w:cs="宋体"/>
                <w:snapToGrid w:val="0"/>
                <w:color w:val="auto"/>
                <w:kern w:val="0"/>
                <w:sz w:val="24"/>
                <w:szCs w:val="21"/>
                <w:lang w:val="en-US" w:eastAsia="zh-CN" w:bidi="ar-SA"/>
              </w:rPr>
            </w:pPr>
            <w:r>
              <w:rPr>
                <w:rFonts w:hint="eastAsia" w:ascii="宋体" w:hAnsi="宋体" w:eastAsia="宋体" w:cs="宋体"/>
                <w:snapToGrid w:val="0"/>
                <w:color w:val="auto"/>
                <w:kern w:val="0"/>
                <w:sz w:val="24"/>
                <w:szCs w:val="21"/>
                <w:lang w:val="en-US" w:eastAsia="zh-CN" w:bidi="ar-SA"/>
              </w:rPr>
              <w:t>数字血管造影（</w:t>
            </w:r>
            <w:r>
              <w:rPr>
                <w:rFonts w:hint="default" w:ascii="Times New Roman" w:hAnsi="Times New Roman" w:eastAsia="宋体" w:cs="Times New Roman"/>
                <w:snapToGrid w:val="0"/>
                <w:color w:val="auto"/>
                <w:kern w:val="0"/>
                <w:sz w:val="24"/>
                <w:szCs w:val="21"/>
                <w:lang w:val="en-US" w:eastAsia="zh-CN" w:bidi="ar-SA"/>
              </w:rPr>
              <w:t>DSA</w:t>
            </w:r>
            <w:r>
              <w:rPr>
                <w:rFonts w:hint="eastAsia" w:ascii="宋体" w:hAnsi="宋体" w:eastAsia="宋体" w:cs="宋体"/>
                <w:snapToGrid w:val="0"/>
                <w:color w:val="auto"/>
                <w:kern w:val="0"/>
                <w:sz w:val="24"/>
                <w:szCs w:val="21"/>
                <w:lang w:val="en-US" w:eastAsia="zh-CN" w:bidi="ar-SA"/>
              </w:rPr>
              <w:t>）是计算机与常规血管造影相结合的一种检查方法，是集电视技术、影像增强、数字电子学、计算机技术、图像处理技术多种科技手段于一体的系统。数字血管造影即血管造影的影像通过数字化处理，</w:t>
            </w:r>
            <w:r>
              <w:rPr>
                <w:rFonts w:hint="eastAsia" w:ascii="宋体" w:hAnsi="宋体" w:eastAsia="宋体" w:cs="宋体"/>
                <w:color w:val="auto"/>
                <w:sz w:val="24"/>
              </w:rPr>
              <w:t>将造影剂未达到欲检部位前摄取的蒙片与造影剂注入后摄取的造影片在计算机中进行数字相减处理，仅显示有造影剂充盈的结构</w:t>
            </w:r>
            <w:r>
              <w:rPr>
                <w:rFonts w:hint="eastAsia" w:ascii="宋体" w:hAnsi="宋体" w:eastAsia="宋体" w:cs="宋体"/>
                <w:snapToGrid w:val="0"/>
                <w:color w:val="auto"/>
                <w:kern w:val="0"/>
                <w:sz w:val="24"/>
                <w:szCs w:val="21"/>
                <w:lang w:val="en-US" w:eastAsia="zh-CN" w:bidi="ar-SA"/>
              </w:rPr>
              <w:t>，这种技术叫做数字减影技术，具有高精密度和灵敏度。</w:t>
            </w:r>
            <w:r>
              <w:rPr>
                <w:rFonts w:hint="default" w:ascii="Times New Roman" w:hAnsi="Times New Roman" w:eastAsia="宋体" w:cs="Times New Roman"/>
                <w:snapToGrid w:val="0"/>
                <w:color w:val="auto"/>
                <w:kern w:val="0"/>
                <w:sz w:val="24"/>
                <w:szCs w:val="21"/>
                <w:lang w:val="en-US" w:eastAsia="zh-CN" w:bidi="ar-SA"/>
              </w:rPr>
              <w:t>DSA主要是利用X</w:t>
            </w:r>
            <w:r>
              <w:rPr>
                <w:rFonts w:hint="eastAsia" w:ascii="宋体" w:hAnsi="宋体" w:eastAsia="宋体" w:cs="宋体"/>
                <w:snapToGrid w:val="0"/>
                <w:color w:val="auto"/>
                <w:kern w:val="0"/>
                <w:sz w:val="24"/>
                <w:szCs w:val="21"/>
                <w:lang w:val="en-US" w:eastAsia="zh-CN" w:bidi="ar-SA"/>
              </w:rPr>
              <w:t>射线进行摄影或透视的设备，该设备基本结构都是由</w:t>
            </w:r>
            <w:r>
              <w:rPr>
                <w:rFonts w:hint="eastAsia" w:ascii="宋体" w:hAnsi="宋体" w:eastAsia="宋体" w:cs="宋体"/>
                <w:color w:val="auto"/>
                <w:sz w:val="24"/>
              </w:rPr>
              <w:t>产生</w:t>
            </w:r>
            <w:r>
              <w:rPr>
                <w:rFonts w:hint="default" w:ascii="Times New Roman" w:hAnsi="Times New Roman" w:eastAsia="宋体" w:cs="Times New Roman"/>
                <w:color w:val="auto"/>
                <w:sz w:val="24"/>
                <w:lang w:val="en-US" w:eastAsia="zh-CN"/>
              </w:rPr>
              <w:t>X</w:t>
            </w:r>
            <w:r>
              <w:rPr>
                <w:rFonts w:hint="default" w:ascii="Times New Roman" w:hAnsi="Times New Roman" w:eastAsia="宋体" w:cs="Times New Roman"/>
                <w:color w:val="auto"/>
                <w:sz w:val="24"/>
              </w:rPr>
              <w:t>射线的X</w:t>
            </w:r>
            <w:r>
              <w:rPr>
                <w:rFonts w:hint="eastAsia" w:ascii="宋体" w:hAnsi="宋体" w:eastAsia="宋体" w:cs="宋体"/>
                <w:color w:val="auto"/>
                <w:sz w:val="24"/>
              </w:rPr>
              <w:t>射线管、供给</w:t>
            </w:r>
            <w:r>
              <w:rPr>
                <w:rFonts w:hint="default" w:ascii="Times New Roman" w:hAnsi="Times New Roman" w:eastAsia="宋体" w:cs="Times New Roman"/>
                <w:color w:val="auto"/>
                <w:sz w:val="24"/>
              </w:rPr>
              <w:t>X</w:t>
            </w:r>
            <w:r>
              <w:rPr>
                <w:rFonts w:hint="eastAsia" w:ascii="宋体" w:hAnsi="宋体" w:eastAsia="宋体" w:cs="宋体"/>
                <w:color w:val="auto"/>
                <w:sz w:val="24"/>
              </w:rPr>
              <w:t>射线管灯丝电压及管电压的高压发生器、控制X射线的“量”和“质”及</w:t>
            </w:r>
            <w:r>
              <w:rPr>
                <w:rFonts w:hint="eastAsia" w:ascii="宋体" w:hAnsi="宋体" w:eastAsia="宋体" w:cs="宋体"/>
                <w:color w:val="auto"/>
                <w:sz w:val="24"/>
                <w:lang w:eastAsia="zh-CN"/>
              </w:rPr>
              <w:t>曝光</w:t>
            </w:r>
            <w:r>
              <w:rPr>
                <w:rFonts w:hint="eastAsia" w:ascii="宋体" w:hAnsi="宋体" w:eastAsia="宋体" w:cs="宋体"/>
                <w:color w:val="auto"/>
                <w:sz w:val="24"/>
              </w:rPr>
              <w:t>时间的控制装置等设备组成</w:t>
            </w:r>
            <w:r>
              <w:rPr>
                <w:rFonts w:hint="eastAsia" w:ascii="宋体" w:hAnsi="宋体" w:eastAsia="宋体" w:cs="宋体"/>
                <w:snapToGrid w:val="0"/>
                <w:color w:val="auto"/>
                <w:kern w:val="0"/>
                <w:sz w:val="24"/>
                <w:szCs w:val="21"/>
                <w:lang w:val="en-US" w:eastAsia="zh-CN" w:bidi="ar-SA"/>
              </w:rPr>
              <w:t>。其中</w:t>
            </w:r>
            <w:r>
              <w:rPr>
                <w:rFonts w:hint="default" w:ascii="Times New Roman" w:hAnsi="Times New Roman" w:eastAsia="宋体" w:cs="Times New Roman"/>
                <w:snapToGrid w:val="0"/>
                <w:color w:val="auto"/>
                <w:kern w:val="0"/>
                <w:sz w:val="24"/>
                <w:szCs w:val="21"/>
                <w:lang w:val="en-US" w:eastAsia="zh-CN" w:bidi="ar-SA"/>
              </w:rPr>
              <w:t>X</w:t>
            </w:r>
            <w:r>
              <w:rPr>
                <w:rFonts w:hint="eastAsia" w:ascii="宋体" w:hAnsi="宋体" w:eastAsia="宋体" w:cs="宋体"/>
                <w:snapToGrid w:val="0"/>
                <w:color w:val="auto"/>
                <w:kern w:val="0"/>
                <w:sz w:val="24"/>
                <w:szCs w:val="21"/>
                <w:lang w:val="en-US" w:eastAsia="zh-CN" w:bidi="ar-SA"/>
              </w:rPr>
              <w:t>射线管是</w:t>
            </w:r>
            <w:r>
              <w:rPr>
                <w:rFonts w:hint="default" w:ascii="Times New Roman" w:hAnsi="Times New Roman" w:eastAsia="宋体" w:cs="Times New Roman"/>
                <w:snapToGrid w:val="0"/>
                <w:color w:val="auto"/>
                <w:kern w:val="0"/>
                <w:sz w:val="24"/>
                <w:szCs w:val="21"/>
                <w:lang w:val="en-US" w:eastAsia="zh-CN" w:bidi="ar-SA"/>
              </w:rPr>
              <w:t>X</w:t>
            </w:r>
            <w:r>
              <w:rPr>
                <w:rFonts w:hint="eastAsia" w:ascii="宋体" w:hAnsi="宋体" w:eastAsia="宋体" w:cs="宋体"/>
                <w:snapToGrid w:val="0"/>
                <w:color w:val="auto"/>
                <w:kern w:val="0"/>
                <w:sz w:val="24"/>
                <w:szCs w:val="21"/>
                <w:lang w:val="en-US" w:eastAsia="zh-CN" w:bidi="ar-SA"/>
              </w:rPr>
              <w:t>射线机的“心脏”。下图为</w:t>
            </w:r>
            <w:r>
              <w:rPr>
                <w:rFonts w:hint="default" w:ascii="Times New Roman" w:hAnsi="Times New Roman" w:eastAsia="宋体" w:cs="Times New Roman"/>
                <w:snapToGrid w:val="0"/>
                <w:color w:val="auto"/>
                <w:kern w:val="0"/>
                <w:sz w:val="24"/>
                <w:szCs w:val="21"/>
                <w:lang w:val="en-US" w:eastAsia="zh-CN" w:bidi="ar-SA"/>
              </w:rPr>
              <w:t>X</w:t>
            </w:r>
            <w:r>
              <w:rPr>
                <w:rFonts w:hint="eastAsia" w:ascii="宋体" w:hAnsi="宋体" w:eastAsia="宋体" w:cs="宋体"/>
                <w:snapToGrid w:val="0"/>
                <w:color w:val="auto"/>
                <w:kern w:val="0"/>
                <w:sz w:val="24"/>
                <w:szCs w:val="21"/>
                <w:lang w:val="en-US" w:eastAsia="zh-CN" w:bidi="ar-SA"/>
              </w:rPr>
              <w:t>射线管的结构示意图。</w:t>
            </w:r>
          </w:p>
          <w:p w14:paraId="0883A57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drawing>
                <wp:inline distT="0" distB="0" distL="0" distR="0">
                  <wp:extent cx="5342890" cy="1863090"/>
                  <wp:effectExtent l="0" t="0" r="10160"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lum bright="-12000" contrast="30000"/>
                          </a:blip>
                          <a:stretch>
                            <a:fillRect/>
                          </a:stretch>
                        </pic:blipFill>
                        <pic:spPr>
                          <a:xfrm>
                            <a:off x="0" y="0"/>
                            <a:ext cx="5342890" cy="1863090"/>
                          </a:xfrm>
                          <a:prstGeom prst="rect">
                            <a:avLst/>
                          </a:prstGeom>
                        </pic:spPr>
                      </pic:pic>
                    </a:graphicData>
                  </a:graphic>
                </wp:inline>
              </w:drawing>
            </w:r>
          </w:p>
          <w:p w14:paraId="79764A27">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snapToGrid w:val="0"/>
                <w:color w:val="auto"/>
                <w:kern w:val="0"/>
                <w:sz w:val="24"/>
                <w:szCs w:val="21"/>
                <w:lang w:val="en-US" w:eastAsia="zh-CN" w:bidi="ar-SA"/>
              </w:rPr>
            </w:pPr>
            <w:r>
              <w:rPr>
                <w:rFonts w:hint="eastAsia" w:ascii="Times New Roman" w:hAnsi="Times New Roman" w:eastAsia="宋体" w:cs="Times New Roman"/>
                <w:b/>
                <w:snapToGrid w:val="0"/>
                <w:color w:val="auto"/>
                <w:kern w:val="0"/>
                <w:sz w:val="24"/>
                <w:szCs w:val="21"/>
                <w:lang w:val="en-US" w:eastAsia="zh-CN" w:bidi="ar-SA"/>
              </w:rPr>
              <w:t>图9</w:t>
            </w:r>
            <w:r>
              <w:rPr>
                <w:rFonts w:hint="default" w:ascii="Times New Roman" w:hAnsi="Times New Roman" w:eastAsia="宋体" w:cs="Times New Roman"/>
                <w:b/>
                <w:snapToGrid w:val="0"/>
                <w:color w:val="auto"/>
                <w:kern w:val="0"/>
                <w:sz w:val="24"/>
                <w:szCs w:val="21"/>
                <w:lang w:val="en-US" w:eastAsia="zh-CN" w:bidi="ar-SA"/>
              </w:rPr>
              <w:t>-</w:t>
            </w:r>
            <w:r>
              <w:rPr>
                <w:rFonts w:hint="eastAsia" w:ascii="Times New Roman" w:hAnsi="Times New Roman" w:eastAsia="宋体" w:cs="Times New Roman"/>
                <w:b/>
                <w:snapToGrid w:val="0"/>
                <w:color w:val="auto"/>
                <w:kern w:val="0"/>
                <w:sz w:val="24"/>
                <w:szCs w:val="21"/>
                <w:lang w:val="en-US" w:eastAsia="zh-CN" w:bidi="ar-SA"/>
              </w:rPr>
              <w:t>2</w:t>
            </w:r>
            <w:r>
              <w:rPr>
                <w:rFonts w:hint="default" w:ascii="Times New Roman" w:hAnsi="Times New Roman" w:eastAsia="宋体" w:cs="Times New Roman"/>
                <w:b/>
                <w:snapToGrid w:val="0"/>
                <w:color w:val="auto"/>
                <w:kern w:val="0"/>
                <w:sz w:val="24"/>
                <w:szCs w:val="21"/>
                <w:lang w:val="en-US" w:eastAsia="zh-CN" w:bidi="ar-SA"/>
              </w:rPr>
              <w:t xml:space="preserve">  </w:t>
            </w:r>
            <w:r>
              <w:rPr>
                <w:rFonts w:hint="eastAsia" w:ascii="Times New Roman" w:hAnsi="Times New Roman" w:eastAsia="宋体" w:cs="Times New Roman"/>
                <w:b/>
                <w:snapToGrid w:val="0"/>
                <w:color w:val="auto"/>
                <w:kern w:val="0"/>
                <w:sz w:val="24"/>
                <w:szCs w:val="21"/>
                <w:lang w:val="en-US" w:eastAsia="zh-CN" w:bidi="ar-SA"/>
              </w:rPr>
              <w:t>典型</w:t>
            </w:r>
            <w:r>
              <w:rPr>
                <w:rFonts w:hint="default" w:ascii="Times New Roman" w:hAnsi="Times New Roman" w:eastAsia="宋体" w:cs="Times New Roman"/>
                <w:b/>
                <w:snapToGrid w:val="0"/>
                <w:color w:val="auto"/>
                <w:kern w:val="0"/>
                <w:sz w:val="24"/>
                <w:szCs w:val="21"/>
                <w:lang w:val="en-US" w:eastAsia="zh-CN" w:bidi="ar-SA"/>
              </w:rPr>
              <w:t>X射线管示意图</w:t>
            </w:r>
          </w:p>
          <w:p w14:paraId="6D7E8A7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color w:val="auto"/>
                <w:sz w:val="24"/>
              </w:rPr>
              <w:t>X</w:t>
            </w:r>
            <w:r>
              <w:rPr>
                <w:rFonts w:hint="eastAsia" w:ascii="宋体" w:hAnsi="宋体" w:eastAsia="宋体" w:cs="宋体"/>
                <w:color w:val="auto"/>
                <w:sz w:val="24"/>
              </w:rPr>
              <w:t>射线管由阴极和阳极组成，阴极通常是装在聚焦杯中的钨灯丝，阳极靶则根据应用的需要，由不同的材料制成各种形状，一般用高原子序数的难熔金属（如钨、铂、金、钽等）制成。当灯丝通电加热时，电子就“蒸发”出来，而聚焦杯使这些电子聚集成束，直接向嵌在金属阳极中的靶体射击。高电压加在X射线管的两极之间，使电子在射到靶体之前被加速到很高的速度，这些高速电子到达靶面被靶突然阻挡从而产生</w:t>
            </w:r>
            <w:r>
              <w:rPr>
                <w:rFonts w:hint="default" w:ascii="Times New Roman" w:hAnsi="Times New Roman" w:eastAsia="宋体" w:cs="Times New Roman"/>
                <w:color w:val="auto"/>
                <w:sz w:val="24"/>
              </w:rPr>
              <w:t>X</w:t>
            </w:r>
            <w:r>
              <w:rPr>
                <w:rFonts w:hint="eastAsia" w:ascii="宋体" w:hAnsi="宋体" w:eastAsia="宋体" w:cs="宋体"/>
                <w:color w:val="auto"/>
                <w:sz w:val="24"/>
              </w:rPr>
              <w:t>射线</w:t>
            </w:r>
            <w:r>
              <w:rPr>
                <w:rFonts w:hint="default" w:ascii="Times New Roman" w:hAnsi="Times New Roman" w:eastAsia="宋体" w:cs="Times New Roman"/>
                <w:snapToGrid w:val="0"/>
                <w:color w:val="auto"/>
                <w:kern w:val="0"/>
                <w:sz w:val="24"/>
                <w:szCs w:val="21"/>
                <w:lang w:val="en-US" w:eastAsia="zh-CN" w:bidi="ar-SA"/>
              </w:rPr>
              <w:t>。</w:t>
            </w:r>
          </w:p>
          <w:p w14:paraId="5771E49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（2）DSA设备组成</w:t>
            </w:r>
          </w:p>
          <w:p w14:paraId="0AFF68B2">
            <w:pPr>
              <w:pStyle w:val="2"/>
              <w:keepNext w:val="0"/>
              <w:keepLines w:val="0"/>
              <w:suppressLineNumbers w:val="0"/>
              <w:spacing w:before="0" w:beforeAutospacing="0" w:after="0" w:afterAutospacing="0"/>
              <w:ind w:left="0" w:right="0" w:firstLine="480" w:firstLineChars="200"/>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DSA</w:t>
            </w:r>
            <w:r>
              <w:rPr>
                <w:rFonts w:hint="default" w:ascii="Times New Roman" w:hAnsi="Times New Roman" w:eastAsia="宋体" w:cs="Times New Roman"/>
                <w:snapToGrid w:val="0"/>
                <w:color w:val="auto"/>
                <w:kern w:val="0"/>
                <w:sz w:val="24"/>
                <w:szCs w:val="21"/>
                <w:lang w:val="en-US" w:eastAsia="zh-CN" w:bidi="ar-SA"/>
              </w:rPr>
              <w:t>是计算机与常规血管造影相结合的一种检查方法，是集电视技术、影像增强、</w:t>
            </w:r>
            <w:r>
              <w:rPr>
                <w:rFonts w:hint="eastAsia" w:ascii="Times New Roman" w:hAnsi="Times New Roman" w:eastAsia="宋体" w:cs="Times New Roman"/>
                <w:snapToGrid w:val="0"/>
                <w:color w:val="auto"/>
                <w:kern w:val="0"/>
                <w:sz w:val="24"/>
                <w:szCs w:val="21"/>
                <w:lang w:val="en-US" w:eastAsia="zh-CN" w:bidi="ar-SA"/>
              </w:rPr>
              <w:t>数字电子学、计算机技术、图像处理技术等多种科技手段于一体的系统。</w:t>
            </w:r>
            <w:r>
              <w:rPr>
                <w:rFonts w:hint="default" w:ascii="Times New Roman" w:hAnsi="Times New Roman" w:eastAsia="宋体" w:cs="Times New Roman"/>
                <w:snapToGrid w:val="0"/>
                <w:color w:val="auto"/>
                <w:kern w:val="0"/>
                <w:sz w:val="24"/>
                <w:szCs w:val="21"/>
                <w:lang w:val="en-US" w:eastAsia="zh-CN" w:bidi="ar-SA"/>
              </w:rPr>
              <w:t>DSA主要组</w:t>
            </w:r>
            <w:r>
              <w:rPr>
                <w:rFonts w:hint="eastAsia" w:ascii="Times New Roman" w:hAnsi="Times New Roman" w:eastAsia="宋体" w:cs="Times New Roman"/>
                <w:snapToGrid w:val="0"/>
                <w:color w:val="auto"/>
                <w:kern w:val="0"/>
                <w:sz w:val="24"/>
                <w:szCs w:val="21"/>
                <w:lang w:val="en-US" w:eastAsia="zh-CN" w:bidi="ar-SA"/>
              </w:rPr>
              <w:t>成部分：</w:t>
            </w:r>
            <w:r>
              <w:rPr>
                <w:rFonts w:hint="default" w:ascii="Times New Roman" w:hAnsi="Times New Roman" w:eastAsia="宋体" w:cs="Times New Roman"/>
                <w:snapToGrid w:val="0"/>
                <w:color w:val="auto"/>
                <w:kern w:val="0"/>
                <w:sz w:val="24"/>
                <w:szCs w:val="21"/>
                <w:lang w:val="en-US" w:eastAsia="zh-CN" w:bidi="ar-SA"/>
              </w:rPr>
              <w:t>C臂机架、治疗床、</w:t>
            </w:r>
            <w:r>
              <w:rPr>
                <w:rFonts w:hint="eastAsia" w:ascii="Times New Roman" w:hAnsi="Times New Roman" w:eastAsia="宋体" w:cs="Times New Roman"/>
                <w:snapToGrid w:val="0"/>
                <w:color w:val="auto"/>
                <w:kern w:val="0"/>
                <w:sz w:val="24"/>
                <w:szCs w:val="21"/>
                <w:lang w:val="en-US" w:eastAsia="zh-CN" w:bidi="ar-SA"/>
              </w:rPr>
              <w:t>完全满足数字化平板采集特点的电子计算机图像处理系统、操作台、防护设备、连接线缆及附属设备。</w:t>
            </w:r>
          </w:p>
          <w:p w14:paraId="52087C2A">
            <w:pPr>
              <w:pStyle w:val="2"/>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lang w:val="en-US" w:eastAsia="zh-CN"/>
              </w:rPr>
            </w:pPr>
            <w:r>
              <w:rPr>
                <w:rFonts w:hint="default" w:ascii="Times New Roman" w:hAnsi="Times New Roman" w:eastAsia="宋体" w:cs="Times New Roman"/>
                <w:snapToGrid w:val="0"/>
                <w:color w:val="auto"/>
                <w:kern w:val="0"/>
                <w:sz w:val="24"/>
                <w:szCs w:val="21"/>
                <w:lang w:val="en-US" w:eastAsia="zh-CN" w:bidi="ar-SA"/>
              </w:rPr>
              <w:t>本项目DSA设备型号为</w:t>
            </w:r>
            <w:r>
              <w:rPr>
                <w:rFonts w:hint="eastAsia" w:ascii="Times New Roman" w:hAnsi="Times New Roman" w:eastAsia="宋体" w:cs="Times New Roman"/>
                <w:snapToGrid w:val="0"/>
                <w:color w:val="auto"/>
                <w:kern w:val="0"/>
                <w:sz w:val="24"/>
                <w:szCs w:val="21"/>
                <w:lang w:val="en-US" w:eastAsia="zh-CN" w:bidi="ar-SA"/>
              </w:rPr>
              <w:t>飞利浦</w:t>
            </w:r>
            <w:r>
              <w:rPr>
                <w:rFonts w:hint="default" w:ascii="Times New Roman" w:hAnsi="Times New Roman" w:eastAsia="宋体" w:cs="Times New Roman"/>
                <w:snapToGrid w:val="0"/>
                <w:color w:val="auto"/>
                <w:kern w:val="0"/>
                <w:sz w:val="24"/>
                <w:szCs w:val="21"/>
                <w:lang w:val="en-US" w:eastAsia="zh-CN" w:bidi="ar-SA"/>
              </w:rPr>
              <w:t xml:space="preserve"> Azurion3 M15，整体外观如下图9-3所示：</w:t>
            </w:r>
          </w:p>
          <w:p w14:paraId="3FD656F1">
            <w:pPr>
              <w:pStyle w:val="2"/>
              <w:keepNext w:val="0"/>
              <w:keepLines w:val="0"/>
              <w:suppressLineNumbers w:val="0"/>
              <w:spacing w:before="0" w:beforeAutospacing="0" w:after="0" w:afterAutospacing="0"/>
              <w:ind w:left="0" w:leftChars="0" w:right="0" w:firstLine="0" w:firstLineChars="0"/>
              <w:jc w:val="center"/>
              <w:rPr>
                <w:rFonts w:hint="default" w:ascii="Times New Roman" w:hAnsi="Times New Roman" w:eastAsia="宋体" w:cs="Times New Roman"/>
                <w:color w:val="auto"/>
                <w:lang w:val="en-US" w:eastAsia="zh-CN"/>
              </w:rPr>
            </w:pPr>
            <w:r>
              <w:rPr>
                <w:rFonts w:hint="default"/>
              </w:rPr>
              <w:drawing>
                <wp:inline distT="0" distB="0" distL="114300" distR="114300">
                  <wp:extent cx="5722620" cy="3146425"/>
                  <wp:effectExtent l="0" t="0" r="11430" b="15875"/>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16"/>
                          <a:srcRect b="2257"/>
                          <a:stretch>
                            <a:fillRect/>
                          </a:stretch>
                        </pic:blipFill>
                        <pic:spPr>
                          <a:xfrm>
                            <a:off x="0" y="0"/>
                            <a:ext cx="5722620" cy="3146425"/>
                          </a:xfrm>
                          <a:prstGeom prst="rect">
                            <a:avLst/>
                          </a:prstGeom>
                          <a:noFill/>
                          <a:ln>
                            <a:noFill/>
                          </a:ln>
                        </pic:spPr>
                      </pic:pic>
                    </a:graphicData>
                  </a:graphic>
                </wp:inline>
              </w:drawing>
            </w:r>
          </w:p>
          <w:p w14:paraId="5ACB7E5A">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b/>
                <w:snapToGrid w:val="0"/>
                <w:color w:val="auto"/>
                <w:kern w:val="0"/>
                <w:sz w:val="24"/>
                <w:szCs w:val="21"/>
                <w:lang w:val="en-US" w:eastAsia="zh-CN" w:bidi="ar-SA"/>
              </w:rPr>
              <w:t>图9-3 本项目DSA设备外观示意图</w:t>
            </w:r>
          </w:p>
          <w:p w14:paraId="067CB51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（3）主要用途</w:t>
            </w:r>
          </w:p>
          <w:p w14:paraId="199F9BC9">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心脏介入是经过穿刺体表血管，在数字减</w:t>
            </w:r>
            <w:r>
              <w:rPr>
                <w:rFonts w:hint="eastAsia" w:ascii="Times New Roman" w:hAnsi="Times New Roman" w:eastAsia="宋体" w:cs="Times New Roman"/>
                <w:snapToGrid w:val="0"/>
                <w:color w:val="auto"/>
                <w:kern w:val="0"/>
                <w:sz w:val="24"/>
                <w:szCs w:val="21"/>
                <w:lang w:val="en-US" w:eastAsia="zh-CN" w:bidi="ar-SA"/>
              </w:rPr>
              <w:t>影的连续投照下，送入心脏导管，通过特定的心脏导管进入主动脉，采取封堵、射频、支架、安装起搏器等手段来修补、修复心脏问题。</w:t>
            </w:r>
          </w:p>
          <w:p w14:paraId="2500B68F">
            <w:pPr>
              <w:pStyle w:val="2"/>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神经介入手术主要是治疗脑与脊髓血管病，在脑肿瘤、脊柱肿瘤等疾病的治疗也有涉及。一般通过股动脉途径进行，除不能配合的儿童、神志或精神障碍的患者外，均可以在局部麻醉下完成。在腹股沟区注射少量麻药后，穿刺股动脉放置血管鞘，然后通过选择性插管技术来完成脑或脊髓血管的对比剂注射，医生便可以在监视器上看到患者血管的动态成像。</w:t>
            </w:r>
          </w:p>
          <w:p w14:paraId="0E9C5ECB">
            <w:pPr>
              <w:pStyle w:val="2"/>
              <w:keepNext w:val="0"/>
              <w:keepLines w:val="0"/>
              <w:suppressLineNumbers w:val="0"/>
              <w:spacing w:before="0" w:beforeAutospacing="0" w:after="0" w:afterAutospacing="0"/>
              <w:ind w:left="0" w:right="0" w:firstLine="480" w:firstLineChars="200"/>
              <w:rPr>
                <w:rFonts w:hint="eastAsia"/>
                <w:color w:val="auto"/>
                <w:lang w:val="en-US" w:eastAsia="zh-CN"/>
              </w:rPr>
            </w:pPr>
            <w:r>
              <w:rPr>
                <w:rFonts w:hint="eastAsia" w:cs="Times New Roman"/>
                <w:snapToGrid w:val="0"/>
                <w:color w:val="auto"/>
                <w:kern w:val="0"/>
                <w:sz w:val="24"/>
                <w:szCs w:val="21"/>
                <w:lang w:val="en-US" w:eastAsia="zh-CN" w:bidi="ar-SA"/>
              </w:rPr>
              <w:t>血管介入技术是在医学影像设备的引导下，利用穿刺针、导丝、导管等器械经血管途径进行诊断和治疗的操作技术。</w:t>
            </w:r>
          </w:p>
          <w:p w14:paraId="5FA2C22D">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（4）操作流程</w:t>
            </w:r>
          </w:p>
          <w:p w14:paraId="75CAFE2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本项目DSA主要开展心血管介入治疗。诊疗时，患者仰卧并进行无菌消毒，局部麻醉后，经皮穿刺静脉，送入引导钢丝及扩张管与外鞘，退出钢丝及扩张管将外鞘保留于静脉内，经鞘插入导管，推送导管，在</w:t>
            </w:r>
            <w:r>
              <w:rPr>
                <w:rFonts w:hint="default" w:ascii="Times New Roman" w:hAnsi="Times New Roman" w:eastAsia="宋体" w:cs="Times New Roman"/>
                <w:snapToGrid w:val="0"/>
                <w:color w:val="auto"/>
                <w:kern w:val="0"/>
                <w:sz w:val="24"/>
                <w:szCs w:val="21"/>
                <w:lang w:val="en-US" w:eastAsia="zh-CN" w:bidi="ar-SA"/>
              </w:rPr>
              <w:t>X</w:t>
            </w:r>
            <w:r>
              <w:rPr>
                <w:rFonts w:hint="eastAsia" w:ascii="Times New Roman" w:hAnsi="Times New Roman" w:eastAsia="宋体" w:cs="Times New Roman"/>
                <w:snapToGrid w:val="0"/>
                <w:color w:val="auto"/>
                <w:kern w:val="0"/>
                <w:sz w:val="24"/>
                <w:szCs w:val="21"/>
                <w:lang w:val="en-US" w:eastAsia="zh-CN" w:bidi="ar-SA"/>
              </w:rPr>
              <w:t>射</w:t>
            </w:r>
            <w:r>
              <w:rPr>
                <w:rFonts w:hint="default" w:ascii="Times New Roman" w:hAnsi="Times New Roman" w:eastAsia="宋体" w:cs="Times New Roman"/>
                <w:snapToGrid w:val="0"/>
                <w:color w:val="auto"/>
                <w:kern w:val="0"/>
                <w:sz w:val="24"/>
                <w:szCs w:val="21"/>
                <w:lang w:val="en-US" w:eastAsia="zh-CN" w:bidi="ar-SA"/>
              </w:rPr>
              <w:t>线透视下将导管送达静脉，顺序取血测定静、动脉，并留X线片记录，探查结</w:t>
            </w:r>
            <w:r>
              <w:rPr>
                <w:rFonts w:hint="eastAsia" w:ascii="Times New Roman" w:hAnsi="Times New Roman" w:eastAsia="宋体" w:cs="Times New Roman"/>
                <w:snapToGrid w:val="0"/>
                <w:color w:val="auto"/>
                <w:kern w:val="0"/>
                <w:sz w:val="24"/>
                <w:szCs w:val="21"/>
                <w:lang w:val="en-US" w:eastAsia="zh-CN" w:bidi="ar-SA"/>
              </w:rPr>
              <w:t>束，撤出导管，穿刺部位止血包扎。</w:t>
            </w:r>
          </w:p>
          <w:p w14:paraId="61A7930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DSA在进行曝光时分为两种情况：</w:t>
            </w:r>
          </w:p>
          <w:p w14:paraId="0806B02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第一种情况（介入治疗透视）：</w:t>
            </w:r>
            <w:r>
              <w:rPr>
                <w:rFonts w:hint="eastAsia" w:ascii="Times New Roman" w:hAnsi="Times New Roman" w:eastAsia="宋体" w:cs="Times New Roman"/>
                <w:snapToGrid w:val="0"/>
                <w:color w:val="auto"/>
                <w:kern w:val="0"/>
                <w:sz w:val="24"/>
                <w:szCs w:val="24"/>
                <w:lang w:val="en-US" w:eastAsia="zh-CN" w:bidi="ar-SA"/>
              </w:rPr>
              <w:t>医护人员</w:t>
            </w:r>
            <w:r>
              <w:rPr>
                <w:rFonts w:hint="eastAsia" w:ascii="Times New Roman" w:hAnsi="Times New Roman" w:eastAsia="宋体" w:cs="Times New Roman"/>
                <w:snapToGrid w:val="0"/>
                <w:color w:val="auto"/>
                <w:kern w:val="0"/>
                <w:sz w:val="24"/>
                <w:szCs w:val="21"/>
                <w:lang w:val="en-US" w:eastAsia="zh-CN" w:bidi="ar-SA"/>
              </w:rPr>
              <w:t>需进行手术治疗时，采用近台同室操作方式，通过控制DSA的X线系统曝光，对患者的部位进行间歇或连续式透视。具体方式是受检者位于机房手术床上，介入手术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eastAsia" w:ascii="Times New Roman" w:hAnsi="Times New Roman" w:eastAsia="宋体" w:cs="Times New Roman"/>
                <w:snapToGrid w:val="0"/>
                <w:color w:val="auto"/>
                <w:kern w:val="0"/>
                <w:sz w:val="24"/>
                <w:szCs w:val="21"/>
                <w:lang w:val="en-US" w:eastAsia="zh-CN" w:bidi="ar-SA"/>
              </w:rPr>
              <w:t>位于手术床旁，距DSA的X线管0.3～1.0m处，在非主射束方向，配备个人防护用品（如铅防护衣、铅橡胶颈套等），同时手术床旁设有屏蔽挂帘，介入治疗中，医师根据操作需求，踩动手术床下的脚踏开关启动DSA的X线系统进行透视（DSA的X线系统连续发射X射线），通过显示屏上显示的连续画面，完成介入操作。该种情况在实际运行中占绝大多数。</w:t>
            </w:r>
          </w:p>
          <w:p w14:paraId="253841D1">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第二种情况（检查减影）：操作技师在控制室内对病人进行曝光，通过控制DSA的X射线系统曝光，采集造影部位图像。具体方式是受检者位于机房检查床上，医护人员调整好X线球管、人体、影像增强器三者之间的距离，医生位于手术室内，操作技师进入控制室，关好防护门。操作技师通过控制室的电子计算机系统控制DSA的X线系统曝光，采集造影部位图像；医生通过对讲系统与技师交流，并根据病人实际情况调整球管出束方向。此种情况实际运行中为个别情况，仅占很小比例。</w:t>
            </w:r>
          </w:p>
          <w:p w14:paraId="1BC526E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（5）产污环节：</w:t>
            </w:r>
          </w:p>
          <w:p w14:paraId="5195A680">
            <w:pPr>
              <w:pStyle w:val="2"/>
              <w:keepNext w:val="0"/>
              <w:keepLines w:val="0"/>
              <w:suppressLineNumbers w:val="0"/>
              <w:bidi w:val="0"/>
              <w:spacing w:before="0" w:beforeAutospacing="0" w:after="0" w:afterAutospacing="0"/>
              <w:ind w:left="0" w:right="0" w:firstLine="480" w:firstLineChars="200"/>
              <w:rPr>
                <w:rFonts w:hint="eastAsia"/>
                <w:color w:val="auto"/>
                <w:lang w:val="en-US" w:eastAsia="zh-CN"/>
              </w:rPr>
            </w:pPr>
            <w:r>
              <w:rPr>
                <w:rFonts w:hint="default" w:ascii="Times New Roman" w:hAnsi="Times New Roman" w:eastAsia="宋体" w:cs="Times New Roman"/>
                <w:color w:val="auto"/>
                <w:lang w:val="en-US" w:eastAsia="zh-CN"/>
              </w:rPr>
              <w:t>DSA的X射线诊断机曝光时，主要污染因子为X射线</w:t>
            </w:r>
            <w:r>
              <w:rPr>
                <w:rFonts w:hint="default" w:ascii="Times New Roman" w:hAnsi="Times New Roman" w:cs="Times New Roman"/>
                <w:color w:val="auto"/>
                <w:lang w:val="en-US" w:eastAsia="zh-CN"/>
              </w:rPr>
              <w:t>，</w:t>
            </w:r>
            <w:r>
              <w:rPr>
                <w:rFonts w:hint="default" w:ascii="Times New Roman" w:hAnsi="Times New Roman" w:eastAsia="宋体" w:cs="Times New Roman"/>
                <w:color w:val="auto"/>
                <w:sz w:val="24"/>
              </w:rPr>
              <w:t>手术过程中DSA在使用时的曝光主要出束方向为由下向上，少数情况下出束方向随球管转动而改变</w:t>
            </w:r>
            <w:r>
              <w:rPr>
                <w:rFonts w:hint="default" w:ascii="Times New Roman" w:hAnsi="Times New Roman" w:eastAsia="宋体" w:cs="Times New Roman"/>
                <w:color w:val="auto"/>
                <w:lang w:val="en-US" w:eastAsia="zh-CN"/>
              </w:rPr>
              <w:t>。注入的造影剂不含放射性，同时射线装置均采用先进的数字显影技术，不会产生废显影液、废定影液和废胶片</w:t>
            </w:r>
            <w:r>
              <w:rPr>
                <w:rFonts w:hint="eastAsia"/>
                <w:color w:val="auto"/>
                <w:lang w:val="en-US" w:eastAsia="zh-CN"/>
              </w:rPr>
              <w:t>。</w:t>
            </w:r>
          </w:p>
          <w:p w14:paraId="6E9E945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DSA</w:t>
            </w:r>
            <w:r>
              <w:rPr>
                <w:rFonts w:hint="eastAsia" w:ascii="Times New Roman" w:hAnsi="Times New Roman" w:eastAsia="宋体" w:cs="Times New Roman"/>
                <w:snapToGrid w:val="0"/>
                <w:color w:val="auto"/>
                <w:kern w:val="0"/>
                <w:sz w:val="24"/>
                <w:szCs w:val="21"/>
                <w:lang w:val="en-US" w:eastAsia="zh-CN" w:bidi="ar-SA"/>
              </w:rPr>
              <w:t>工作</w:t>
            </w:r>
            <w:r>
              <w:rPr>
                <w:rFonts w:hint="default" w:ascii="Times New Roman" w:hAnsi="Times New Roman" w:eastAsia="宋体" w:cs="Times New Roman"/>
                <w:snapToGrid w:val="0"/>
                <w:color w:val="auto"/>
                <w:kern w:val="0"/>
                <w:sz w:val="24"/>
                <w:szCs w:val="21"/>
                <w:lang w:val="en-US" w:eastAsia="zh-CN" w:bidi="ar-SA"/>
              </w:rPr>
              <w:t>流程及产污环节如</w:t>
            </w:r>
            <w:r>
              <w:rPr>
                <w:rFonts w:hint="eastAsia" w:ascii="Times New Roman" w:hAnsi="Times New Roman" w:eastAsia="宋体" w:cs="Times New Roman"/>
                <w:snapToGrid w:val="0"/>
                <w:color w:val="auto"/>
                <w:kern w:val="0"/>
                <w:sz w:val="24"/>
                <w:szCs w:val="21"/>
                <w:lang w:val="en-US" w:eastAsia="zh-CN" w:bidi="ar-SA"/>
              </w:rPr>
              <w:t>下</w:t>
            </w:r>
            <w:r>
              <w:rPr>
                <w:rFonts w:hint="default" w:ascii="Times New Roman" w:hAnsi="Times New Roman" w:eastAsia="宋体" w:cs="Times New Roman"/>
                <w:snapToGrid w:val="0"/>
                <w:color w:val="auto"/>
                <w:kern w:val="0"/>
                <w:sz w:val="24"/>
                <w:szCs w:val="21"/>
                <w:lang w:val="en-US" w:eastAsia="zh-CN" w:bidi="ar-SA"/>
              </w:rPr>
              <w:t>图</w:t>
            </w:r>
            <w:r>
              <w:rPr>
                <w:rFonts w:hint="eastAsia" w:ascii="Times New Roman" w:hAnsi="Times New Roman" w:eastAsia="宋体" w:cs="Times New Roman"/>
                <w:snapToGrid w:val="0"/>
                <w:color w:val="auto"/>
                <w:kern w:val="0"/>
                <w:sz w:val="24"/>
                <w:szCs w:val="21"/>
                <w:lang w:val="en-US" w:eastAsia="zh-CN" w:bidi="ar-SA"/>
              </w:rPr>
              <w:t>9-4</w:t>
            </w:r>
            <w:r>
              <w:rPr>
                <w:rFonts w:hint="default" w:ascii="Times New Roman" w:hAnsi="Times New Roman" w:eastAsia="宋体" w:cs="Times New Roman"/>
                <w:snapToGrid w:val="0"/>
                <w:color w:val="auto"/>
                <w:kern w:val="0"/>
                <w:sz w:val="24"/>
                <w:szCs w:val="21"/>
                <w:lang w:val="en-US" w:eastAsia="zh-CN" w:bidi="ar-SA"/>
              </w:rPr>
              <w:t>所示。</w:t>
            </w:r>
          </w:p>
          <w:p w14:paraId="57EE808F">
            <w:pPr>
              <w:keepNext w:val="0"/>
              <w:keepLines w:val="0"/>
              <w:widowControl w:val="0"/>
              <w:suppressLineNumbers w:val="0"/>
              <w:spacing w:before="0" w:beforeAutospacing="0" w:after="0" w:afterAutospacing="0" w:line="360" w:lineRule="auto"/>
              <w:ind w:left="0" w:right="0"/>
              <w:jc w:val="center"/>
              <w:rPr>
                <w:rFonts w:hint="default" w:ascii="Times New Roman" w:hAnsi="Times New Roman" w:eastAsia="宋体" w:cs="Times New Roman"/>
                <w:snapToGrid w:val="0"/>
                <w:color w:val="auto"/>
                <w:kern w:val="0"/>
                <w:sz w:val="24"/>
                <w:szCs w:val="21"/>
                <w:lang w:val="en-US" w:eastAsia="zh-CN" w:bidi="ar-SA"/>
              </w:rPr>
            </w:pPr>
            <w:r>
              <w:rPr>
                <w:rFonts w:hint="default"/>
                <w:color w:val="auto"/>
              </w:rPr>
              <w:drawing>
                <wp:inline distT="0" distB="0" distL="114300" distR="114300">
                  <wp:extent cx="4711065" cy="4132580"/>
                  <wp:effectExtent l="0" t="0" r="0" b="1270"/>
                  <wp:docPr id="3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
                          <pic:cNvPicPr>
                            <a:picLocks noChangeAspect="1"/>
                          </pic:cNvPicPr>
                        </pic:nvPicPr>
                        <pic:blipFill>
                          <a:blip r:embed="rId17">
                            <a:clrChange>
                              <a:clrFrom>
                                <a:srgbClr val="FFFFFF">
                                  <a:alpha val="100000"/>
                                </a:srgbClr>
                              </a:clrFrom>
                              <a:clrTo>
                                <a:srgbClr val="FFFFFF">
                                  <a:alpha val="100000"/>
                                  <a:alpha val="0"/>
                                </a:srgbClr>
                              </a:clrTo>
                            </a:clrChange>
                            <a:lum contrast="-6000"/>
                          </a:blip>
                          <a:srcRect t="3279" r="3096" b="2411"/>
                          <a:stretch>
                            <a:fillRect/>
                          </a:stretch>
                        </pic:blipFill>
                        <pic:spPr>
                          <a:xfrm>
                            <a:off x="0" y="0"/>
                            <a:ext cx="4711065" cy="4132580"/>
                          </a:xfrm>
                          <a:prstGeom prst="rect">
                            <a:avLst/>
                          </a:prstGeom>
                          <a:noFill/>
                          <a:ln>
                            <a:noFill/>
                          </a:ln>
                        </pic:spPr>
                      </pic:pic>
                    </a:graphicData>
                  </a:graphic>
                </wp:inline>
              </w:drawing>
            </w:r>
          </w:p>
          <w:p w14:paraId="713236E6">
            <w:pPr>
              <w:keepNext w:val="0"/>
              <w:keepLines w:val="0"/>
              <w:widowControl w:val="0"/>
              <w:suppressLineNumbers w:val="0"/>
              <w:spacing w:before="0" w:beforeAutospacing="0" w:after="0" w:afterAutospacing="0" w:line="240" w:lineRule="auto"/>
              <w:ind w:left="0" w:right="0" w:firstLine="482" w:firstLineChars="200"/>
              <w:jc w:val="center"/>
              <w:rPr>
                <w:rFonts w:hint="default"/>
                <w:color w:val="auto"/>
                <w:lang w:val="en-US" w:eastAsia="zh-CN"/>
              </w:rPr>
            </w:pPr>
            <w:r>
              <w:rPr>
                <w:rFonts w:hint="eastAsia" w:ascii="Times New Roman" w:hAnsi="Times New Roman" w:eastAsia="宋体" w:cs="Times New Roman"/>
                <w:b/>
                <w:snapToGrid w:val="0"/>
                <w:color w:val="auto"/>
                <w:kern w:val="0"/>
                <w:sz w:val="24"/>
                <w:szCs w:val="21"/>
                <w:lang w:val="en-US" w:eastAsia="zh-CN" w:bidi="ar-SA"/>
              </w:rPr>
              <w:t>图9</w:t>
            </w:r>
            <w:r>
              <w:rPr>
                <w:rFonts w:hint="default" w:ascii="Times New Roman" w:hAnsi="Times New Roman" w:eastAsia="宋体" w:cs="Times New Roman"/>
                <w:b/>
                <w:snapToGrid w:val="0"/>
                <w:color w:val="auto"/>
                <w:kern w:val="0"/>
                <w:sz w:val="24"/>
                <w:szCs w:val="21"/>
                <w:lang w:val="en-US" w:eastAsia="zh-CN" w:bidi="ar-SA"/>
              </w:rPr>
              <w:t>-</w:t>
            </w:r>
            <w:r>
              <w:rPr>
                <w:rFonts w:hint="eastAsia" w:ascii="Times New Roman" w:hAnsi="Times New Roman" w:eastAsia="宋体" w:cs="Times New Roman"/>
                <w:b/>
                <w:snapToGrid w:val="0"/>
                <w:color w:val="auto"/>
                <w:kern w:val="0"/>
                <w:sz w:val="24"/>
                <w:szCs w:val="21"/>
                <w:lang w:val="en-US" w:eastAsia="zh-CN" w:bidi="ar-SA"/>
              </w:rPr>
              <w:t>4</w:t>
            </w:r>
            <w:r>
              <w:rPr>
                <w:rFonts w:hint="default" w:ascii="Times New Roman" w:hAnsi="Times New Roman" w:eastAsia="宋体" w:cs="Times New Roman"/>
                <w:b/>
                <w:snapToGrid w:val="0"/>
                <w:color w:val="auto"/>
                <w:kern w:val="0"/>
                <w:sz w:val="24"/>
                <w:szCs w:val="21"/>
                <w:lang w:val="en-US" w:eastAsia="zh-CN" w:bidi="ar-SA"/>
              </w:rPr>
              <w:t xml:space="preserve">  DSA工作流程及产污环节示意图</w:t>
            </w:r>
          </w:p>
          <w:p w14:paraId="0AAF0227">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2、污染源项描述</w:t>
            </w:r>
          </w:p>
          <w:p w14:paraId="7EE1ED9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（1）放射性污染</w:t>
            </w:r>
          </w:p>
          <w:p w14:paraId="286B6DF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本项目</w:t>
            </w:r>
            <w:r>
              <w:rPr>
                <w:rFonts w:hint="default" w:ascii="Times New Roman" w:hAnsi="Times New Roman" w:eastAsia="宋体" w:cs="Times New Roman"/>
                <w:snapToGrid w:val="0"/>
                <w:color w:val="auto"/>
                <w:kern w:val="0"/>
                <w:sz w:val="24"/>
                <w:szCs w:val="21"/>
                <w:lang w:val="en-US" w:eastAsia="zh-CN" w:bidi="ar-SA"/>
              </w:rPr>
              <w:t>只有在开机并处于出束状态时才会发出X射线。其主要用于血管造影</w:t>
            </w:r>
            <w:r>
              <w:rPr>
                <w:rFonts w:hint="eastAsia" w:ascii="Times New Roman" w:hAnsi="Times New Roman" w:eastAsia="宋体" w:cs="Times New Roman"/>
                <w:snapToGrid w:val="0"/>
                <w:color w:val="auto"/>
                <w:kern w:val="0"/>
                <w:sz w:val="24"/>
                <w:szCs w:val="21"/>
                <w:lang w:val="en-US" w:eastAsia="zh-CN" w:bidi="ar-SA"/>
              </w:rPr>
              <w:t>检查</w:t>
            </w:r>
            <w:r>
              <w:rPr>
                <w:rFonts w:hint="default" w:ascii="Times New Roman" w:hAnsi="Times New Roman" w:eastAsia="宋体" w:cs="Times New Roman"/>
                <w:snapToGrid w:val="0"/>
                <w:color w:val="auto"/>
                <w:kern w:val="0"/>
                <w:sz w:val="24"/>
                <w:szCs w:val="21"/>
                <w:lang w:val="en-US" w:eastAsia="zh-CN" w:bidi="ar-SA"/>
              </w:rPr>
              <w:t>及</w:t>
            </w:r>
            <w:r>
              <w:rPr>
                <w:rFonts w:hint="eastAsia" w:ascii="Times New Roman" w:hAnsi="Times New Roman" w:eastAsia="宋体" w:cs="Times New Roman"/>
                <w:snapToGrid w:val="0"/>
                <w:color w:val="auto"/>
                <w:kern w:val="0"/>
                <w:sz w:val="24"/>
                <w:szCs w:val="21"/>
                <w:lang w:val="en-US" w:eastAsia="zh-CN" w:bidi="ar-SA"/>
              </w:rPr>
              <w:t>配合介入治疗。一次血管造影检查需要时间很短，因此血管造影检查的辐射影响较小；而介入治疗需要长时间地透视和大量的摄片，对医生和医务人员有一定的附加辐射剂量。单台手术，视手术情况的复杂性，</w:t>
            </w:r>
            <w:r>
              <w:rPr>
                <w:rFonts w:hint="default" w:ascii="Times New Roman" w:hAnsi="Times New Roman" w:eastAsia="宋体" w:cs="Times New Roman"/>
                <w:snapToGrid w:val="0"/>
                <w:color w:val="auto"/>
                <w:kern w:val="0"/>
                <w:sz w:val="24"/>
                <w:szCs w:val="21"/>
                <w:lang w:val="en-US" w:eastAsia="zh-CN" w:bidi="ar-SA"/>
              </w:rPr>
              <w:t>X射线出束时间约在10分钟到</w:t>
            </w:r>
            <w:r>
              <w:rPr>
                <w:rFonts w:hint="eastAsia" w:ascii="Times New Roman" w:hAnsi="Times New Roman" w:eastAsia="宋体" w:cs="Times New Roman"/>
                <w:snapToGrid w:val="0"/>
                <w:color w:val="auto"/>
                <w:kern w:val="0"/>
                <w:sz w:val="24"/>
                <w:szCs w:val="21"/>
                <w:lang w:val="en-US" w:eastAsia="zh-CN" w:bidi="ar-SA"/>
              </w:rPr>
              <w:t>20</w:t>
            </w:r>
            <w:r>
              <w:rPr>
                <w:rFonts w:hint="default" w:ascii="Times New Roman" w:hAnsi="Times New Roman" w:eastAsia="宋体" w:cs="Times New Roman"/>
                <w:snapToGrid w:val="0"/>
                <w:color w:val="auto"/>
                <w:kern w:val="0"/>
                <w:sz w:val="24"/>
                <w:szCs w:val="21"/>
                <w:lang w:val="en-US" w:eastAsia="zh-CN" w:bidi="ar-SA"/>
              </w:rPr>
              <w:t>分钟之间。</w:t>
            </w:r>
            <w:r>
              <w:rPr>
                <w:rFonts w:hint="eastAsia" w:ascii="Times New Roman" w:hAnsi="Times New Roman" w:eastAsia="宋体" w:cs="Times New Roman"/>
                <w:snapToGrid w:val="0"/>
                <w:color w:val="auto"/>
                <w:kern w:val="0"/>
                <w:sz w:val="24"/>
                <w:szCs w:val="21"/>
                <w:lang w:val="en-US" w:eastAsia="zh-CN" w:bidi="ar-SA"/>
              </w:rPr>
              <w:t>关机便不会再有</w:t>
            </w:r>
            <w:r>
              <w:rPr>
                <w:rFonts w:hint="default" w:ascii="Times New Roman" w:hAnsi="Times New Roman" w:eastAsia="宋体" w:cs="Times New Roman"/>
                <w:snapToGrid w:val="0"/>
                <w:color w:val="auto"/>
                <w:kern w:val="0"/>
                <w:sz w:val="24"/>
                <w:szCs w:val="21"/>
                <w:lang w:val="en-US" w:eastAsia="zh-CN" w:bidi="ar-SA"/>
              </w:rPr>
              <w:t>X射线产生。</w:t>
            </w:r>
          </w:p>
          <w:p w14:paraId="73A0198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（2）废气</w:t>
            </w:r>
          </w:p>
          <w:p w14:paraId="6C9B3AB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宋体" w:hAnsi="Times New Roman" w:eastAsia="宋体" w:cs="宋体"/>
                <w:snapToGrid w:val="0"/>
                <w:color w:val="auto"/>
                <w:kern w:val="0"/>
                <w:sz w:val="24"/>
                <w:szCs w:val="24"/>
                <w:lang w:val="en-US" w:eastAsia="zh-CN" w:bidi="ar-SA"/>
              </w:rPr>
              <w:t>在</w:t>
            </w:r>
            <w:r>
              <w:rPr>
                <w:rFonts w:hint="eastAsia" w:ascii="Times New Roman" w:hAnsi="Times New Roman" w:eastAsia="宋体" w:cs="Times New Roman"/>
                <w:snapToGrid w:val="0"/>
                <w:color w:val="auto"/>
                <w:kern w:val="0"/>
                <w:sz w:val="24"/>
                <w:szCs w:val="24"/>
                <w:lang w:val="en-US" w:eastAsia="zh-CN" w:bidi="ar-SA"/>
              </w:rPr>
              <w:t>设备</w:t>
            </w:r>
            <w:r>
              <w:rPr>
                <w:rFonts w:hint="eastAsia" w:ascii="宋体" w:hAnsi="Times New Roman" w:eastAsia="宋体" w:cs="宋体"/>
                <w:snapToGrid w:val="0"/>
                <w:color w:val="auto"/>
                <w:kern w:val="0"/>
                <w:sz w:val="24"/>
                <w:szCs w:val="24"/>
                <w:lang w:val="en-US" w:eastAsia="zh-CN" w:bidi="ar-SA"/>
              </w:rPr>
              <w:t>开机并曝光时，</w:t>
            </w:r>
            <w:r>
              <w:rPr>
                <w:rFonts w:hint="default" w:ascii="Times New Roman" w:hAnsi="Times New Roman" w:eastAsia="宋体" w:cs="Times New Roman"/>
                <w:snapToGrid w:val="0"/>
                <w:color w:val="auto"/>
                <w:kern w:val="0"/>
                <w:sz w:val="24"/>
                <w:szCs w:val="24"/>
                <w:lang w:val="en-US" w:eastAsia="zh-CN" w:bidi="ar-SA"/>
              </w:rPr>
              <w:t>X</w:t>
            </w:r>
            <w:r>
              <w:rPr>
                <w:rFonts w:hint="eastAsia" w:ascii="宋体" w:hAnsi="Times New Roman" w:eastAsia="宋体" w:cs="宋体"/>
                <w:snapToGrid w:val="0"/>
                <w:color w:val="auto"/>
                <w:kern w:val="0"/>
                <w:sz w:val="24"/>
                <w:szCs w:val="24"/>
                <w:lang w:val="en-US" w:eastAsia="zh-CN" w:bidi="ar-SA"/>
              </w:rPr>
              <w:t>射线电离空气，会产生极少量的臭氧和氮氧化物，废气通过排风系统排出机房。</w:t>
            </w:r>
          </w:p>
          <w:p w14:paraId="5DC49E5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3</w:t>
            </w:r>
            <w:r>
              <w:rPr>
                <w:rFonts w:hint="eastAsia" w:ascii="Times New Roman" w:hAnsi="Times New Roman" w:eastAsia="宋体" w:cs="Times New Roman"/>
                <w:snapToGrid w:val="0"/>
                <w:color w:val="auto"/>
                <w:kern w:val="0"/>
                <w:sz w:val="24"/>
                <w:szCs w:val="21"/>
                <w:lang w:val="en-US" w:eastAsia="zh-CN" w:bidi="ar-SA"/>
              </w:rPr>
              <w:t>）固体废物</w:t>
            </w:r>
          </w:p>
          <w:p w14:paraId="596ED8E1">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本项目DSA采用数字成像，医院根据病人的需要打印胶片，打印出来的胶片由病人带走自行处理。本项目主要产生的固体废物为工作人员的办公及生活垃圾、介入手术中产生的医疗废物。本项目运行后医疗废物主要包括病人手术的废物、被血液或人体体液污染的废医疗材料</w:t>
            </w:r>
            <w:r>
              <w:rPr>
                <w:rFonts w:hint="eastAsia" w:cs="Times New Roman"/>
                <w:snapToGrid w:val="0"/>
                <w:color w:val="auto"/>
                <w:kern w:val="0"/>
                <w:sz w:val="24"/>
                <w:szCs w:val="21"/>
                <w:lang w:val="en-US" w:eastAsia="zh-CN" w:bidi="ar-SA"/>
              </w:rPr>
              <w:t>以及其他</w:t>
            </w:r>
            <w:r>
              <w:rPr>
                <w:rFonts w:hint="eastAsia" w:ascii="Times New Roman" w:hAnsi="Times New Roman" w:eastAsia="宋体" w:cs="Times New Roman"/>
                <w:snapToGrid w:val="0"/>
                <w:color w:val="auto"/>
                <w:kern w:val="0"/>
                <w:sz w:val="24"/>
                <w:szCs w:val="21"/>
                <w:lang w:val="en-US" w:eastAsia="zh-CN" w:bidi="ar-SA"/>
              </w:rPr>
              <w:t>废弃锋利物，包括废针头、废皮下注射针等，种类与医院现行产生的医疗废物基本相同。本项目DSA设备共计手术量</w:t>
            </w:r>
            <w:r>
              <w:rPr>
                <w:rFonts w:hint="eastAsia" w:cs="Times New Roman"/>
                <w:snapToGrid w:val="0"/>
                <w:color w:val="auto"/>
                <w:kern w:val="0"/>
                <w:sz w:val="24"/>
                <w:szCs w:val="21"/>
                <w:lang w:val="en-US" w:eastAsia="zh-CN" w:bidi="ar-SA"/>
              </w:rPr>
              <w:t>300</w:t>
            </w:r>
            <w:r>
              <w:rPr>
                <w:rFonts w:hint="eastAsia" w:ascii="Times New Roman" w:hAnsi="Times New Roman" w:eastAsia="宋体" w:cs="Times New Roman"/>
                <w:snapToGrid w:val="0"/>
                <w:color w:val="auto"/>
                <w:kern w:val="0"/>
                <w:sz w:val="24"/>
                <w:szCs w:val="21"/>
                <w:lang w:val="en-US" w:eastAsia="zh-CN" w:bidi="ar-SA"/>
              </w:rPr>
              <w:t>台/年，每人次产生的医疗废物按0.4kg计，则产生的医疗废物量为0.</w:t>
            </w:r>
            <w:r>
              <w:rPr>
                <w:rFonts w:hint="eastAsia" w:cs="Times New Roman"/>
                <w:snapToGrid w:val="0"/>
                <w:color w:val="auto"/>
                <w:kern w:val="0"/>
                <w:sz w:val="24"/>
                <w:szCs w:val="21"/>
                <w:lang w:val="en-US" w:eastAsia="zh-CN" w:bidi="ar-SA"/>
              </w:rPr>
              <w:t>12</w:t>
            </w:r>
            <w:r>
              <w:rPr>
                <w:rFonts w:hint="eastAsia" w:ascii="Times New Roman" w:hAnsi="Times New Roman" w:eastAsia="宋体" w:cs="Times New Roman"/>
                <w:snapToGrid w:val="0"/>
                <w:color w:val="auto"/>
                <w:kern w:val="0"/>
                <w:sz w:val="24"/>
                <w:szCs w:val="21"/>
                <w:lang w:val="en-US" w:eastAsia="zh-CN" w:bidi="ar-SA"/>
              </w:rPr>
              <w:t>t/a；本项目病人来自医院的住院病人，辐射工作人员从现有工作人员中调剂，</w:t>
            </w:r>
            <w:r>
              <w:rPr>
                <w:rFonts w:hint="eastAsia" w:cs="Times New Roman"/>
                <w:snapToGrid w:val="0"/>
                <w:color w:val="auto"/>
                <w:kern w:val="0"/>
                <w:sz w:val="24"/>
                <w:szCs w:val="21"/>
                <w:lang w:val="en-US" w:eastAsia="zh-CN" w:bidi="ar-SA"/>
              </w:rPr>
              <w:t>依托医院现有固废处置措施安全处置，</w:t>
            </w:r>
            <w:r>
              <w:rPr>
                <w:rFonts w:hint="default" w:ascii="Times New Roman" w:hAnsi="Times New Roman" w:eastAsia="宋体" w:cs="Times New Roman"/>
                <w:color w:val="auto"/>
                <w:sz w:val="24"/>
                <w:szCs w:val="24"/>
                <w:lang w:val="en-US" w:eastAsia="zh-CN"/>
              </w:rPr>
              <w:t>因此本项目固体废物对周围环境影响较小。</w:t>
            </w:r>
          </w:p>
          <w:p w14:paraId="416906F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（4）废水</w:t>
            </w:r>
          </w:p>
          <w:p w14:paraId="7FE65E6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本项目设备</w:t>
            </w:r>
            <w:r>
              <w:rPr>
                <w:rFonts w:hint="default" w:ascii="Times New Roman" w:hAnsi="Times New Roman" w:eastAsia="宋体" w:cs="Times New Roman"/>
                <w:snapToGrid w:val="0"/>
                <w:color w:val="auto"/>
                <w:kern w:val="0"/>
                <w:sz w:val="24"/>
                <w:szCs w:val="21"/>
                <w:lang w:val="en-US" w:eastAsia="zh-CN" w:bidi="ar-SA"/>
              </w:rPr>
              <w:t>采用先进的实时成像系统，注入的造影剂不含放射性，无废显</w:t>
            </w:r>
            <w:r>
              <w:rPr>
                <w:rFonts w:hint="eastAsia" w:ascii="Times New Roman" w:hAnsi="Times New Roman" w:eastAsia="宋体" w:cs="Times New Roman"/>
                <w:snapToGrid w:val="0"/>
                <w:color w:val="auto"/>
                <w:kern w:val="0"/>
                <w:sz w:val="24"/>
                <w:szCs w:val="21"/>
                <w:lang w:val="en-US" w:eastAsia="zh-CN" w:bidi="ar-SA"/>
              </w:rPr>
              <w:t>影液和定影液产生；工作人员及病人会产生少量生</w:t>
            </w:r>
            <w:r>
              <w:rPr>
                <w:rFonts w:hint="eastAsia" w:ascii="Times New Roman" w:hAnsi="Times New Roman" w:eastAsia="宋体" w:cs="Times New Roman"/>
                <w:snapToGrid w:val="0"/>
                <w:color w:val="auto"/>
                <w:kern w:val="0"/>
                <w:sz w:val="24"/>
                <w:szCs w:val="24"/>
                <w:lang w:val="en-US" w:eastAsia="zh-CN" w:bidi="ar-SA"/>
              </w:rPr>
              <w:t>活污水和医疗废水。本项目病人来自医院的住院病人，辐射工作人员从现有工作人员中调剂，</w:t>
            </w:r>
            <w:r>
              <w:rPr>
                <w:rFonts w:hint="default" w:ascii="Times New Roman" w:hAnsi="Times New Roman" w:cs="Times New Roman"/>
                <w:color w:val="auto"/>
                <w:sz w:val="24"/>
                <w:szCs w:val="24"/>
                <w:lang w:val="en-US" w:eastAsia="zh-CN"/>
              </w:rPr>
              <w:t>因此本项目废水产生量包含在医院整体废水产生量中</w:t>
            </w:r>
            <w:r>
              <w:rPr>
                <w:rFonts w:hint="eastAsia" w:ascii="Times New Roman" w:hAnsi="Times New Roman" w:eastAsia="宋体" w:cs="Times New Roman"/>
                <w:snapToGrid w:val="0"/>
                <w:color w:val="auto"/>
                <w:kern w:val="0"/>
                <w:sz w:val="24"/>
                <w:szCs w:val="24"/>
                <w:lang w:val="en-US" w:eastAsia="zh-CN" w:bidi="ar-SA"/>
              </w:rPr>
              <w:t>。</w:t>
            </w:r>
          </w:p>
          <w:p w14:paraId="009DF7C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（5）噪声</w:t>
            </w:r>
          </w:p>
          <w:p w14:paraId="292A27DF">
            <w:pPr>
              <w:keepNext w:val="0"/>
              <w:keepLines w:val="0"/>
              <w:widowControl w:val="0"/>
              <w:suppressLineNumbers w:val="0"/>
              <w:spacing w:before="0" w:beforeAutospacing="0" w:after="0" w:afterAutospacing="0" w:line="360" w:lineRule="auto"/>
              <w:ind w:left="0" w:right="0" w:firstLine="480" w:firstLineChars="200"/>
              <w:jc w:val="both"/>
              <w:rPr>
                <w:rFonts w:hint="eastAsia" w:ascii="宋体" w:hAnsi="宋体" w:eastAsia="宋体" w:cs="宋体"/>
                <w:snapToGrid w:val="0"/>
                <w:color w:val="auto"/>
                <w:kern w:val="0"/>
                <w:sz w:val="24"/>
                <w:szCs w:val="21"/>
                <w:lang w:val="en-US" w:eastAsia="zh-CN" w:bidi="ar-SA"/>
              </w:rPr>
            </w:pPr>
            <w:r>
              <w:rPr>
                <w:rFonts w:hint="eastAsia" w:ascii="宋体" w:hAnsi="宋体" w:eastAsia="宋体" w:cs="宋体"/>
                <w:snapToGrid w:val="0"/>
                <w:color w:val="auto"/>
                <w:kern w:val="0"/>
                <w:sz w:val="24"/>
                <w:szCs w:val="21"/>
                <w:lang w:val="en-US" w:eastAsia="zh-CN" w:bidi="ar-SA"/>
              </w:rPr>
              <w:t>本项目噪声源为排风和空调系统的风机，</w:t>
            </w:r>
            <w:r>
              <w:rPr>
                <w:rFonts w:hint="default" w:ascii="Times New Roman" w:hAnsi="Times New Roman" w:eastAsia="宋体" w:cs="Times New Roman"/>
                <w:color w:val="auto"/>
                <w:spacing w:val="-3"/>
                <w:sz w:val="24"/>
                <w:highlight w:val="none"/>
                <w:lang w:val="en-US" w:eastAsia="zh-CN"/>
              </w:rPr>
              <w:t>DSA</w:t>
            </w:r>
            <w:r>
              <w:rPr>
                <w:rFonts w:hint="eastAsia" w:ascii="宋体" w:hAnsi="宋体" w:eastAsia="宋体" w:cs="宋体"/>
                <w:color w:val="auto"/>
                <w:spacing w:val="-3"/>
                <w:sz w:val="24"/>
                <w:highlight w:val="none"/>
                <w:lang w:val="en-US" w:eastAsia="zh-CN"/>
              </w:rPr>
              <w:t>机房设置通风系统，安装低噪声风机</w:t>
            </w:r>
            <w:r>
              <w:rPr>
                <w:rFonts w:hint="eastAsia" w:ascii="宋体" w:hAnsi="宋体" w:eastAsia="宋体" w:cs="宋体"/>
                <w:snapToGrid w:val="0"/>
                <w:color w:val="auto"/>
                <w:kern w:val="0"/>
                <w:sz w:val="24"/>
                <w:szCs w:val="21"/>
                <w:lang w:val="en-US" w:eastAsia="zh-CN" w:bidi="ar-SA"/>
              </w:rPr>
              <w:t>，采用隔声、减振进行降噪处理后，对周围声环境影响较小。</w:t>
            </w:r>
          </w:p>
          <w:p w14:paraId="0C8D53FC">
            <w:pPr>
              <w:pStyle w:val="2"/>
              <w:keepNext w:val="0"/>
              <w:keepLines w:val="0"/>
              <w:numPr>
                <w:ilvl w:val="0"/>
                <w:numId w:val="4"/>
              </w:numPr>
              <w:suppressLineNumbers w:val="0"/>
              <w:spacing w:before="0" w:beforeAutospacing="0" w:after="0" w:afterAutospacing="0"/>
              <w:ind w:left="0" w:right="0" w:firstLine="480" w:firstLineChars="200"/>
              <w:rPr>
                <w:rFonts w:hint="eastAsia" w:ascii="宋体" w:hAnsi="宋体" w:eastAsia="宋体" w:cs="宋体"/>
                <w:snapToGrid w:val="0"/>
                <w:color w:val="auto"/>
                <w:kern w:val="0"/>
                <w:sz w:val="24"/>
                <w:szCs w:val="21"/>
                <w:lang w:val="en-US" w:eastAsia="zh-CN" w:bidi="ar-SA"/>
              </w:rPr>
            </w:pPr>
            <w:r>
              <w:rPr>
                <w:rFonts w:hint="eastAsia" w:ascii="宋体" w:hAnsi="宋体" w:eastAsia="宋体" w:cs="宋体"/>
                <w:snapToGrid w:val="0"/>
                <w:color w:val="auto"/>
                <w:kern w:val="0"/>
                <w:sz w:val="24"/>
                <w:szCs w:val="21"/>
                <w:lang w:val="en-US" w:eastAsia="zh-CN" w:bidi="ar-SA"/>
              </w:rPr>
              <w:t>事故工况</w:t>
            </w:r>
          </w:p>
          <w:p w14:paraId="2CA0B9B3">
            <w:pPr>
              <w:pStyle w:val="2"/>
              <w:keepNext w:val="0"/>
              <w:keepLines w:val="0"/>
              <w:numPr>
                <w:ilvl w:val="0"/>
                <w:numId w:val="0"/>
              </w:numPr>
              <w:suppressLineNumbers w:val="0"/>
              <w:spacing w:before="0" w:beforeAutospacing="0" w:after="0" w:afterAutospacing="0"/>
              <w:ind w:left="0" w:right="0" w:firstLine="480" w:firstLineChars="200"/>
              <w:rPr>
                <w:rFonts w:hint="eastAsia" w:ascii="宋体" w:hAnsi="宋体" w:eastAsia="宋体" w:cs="宋体"/>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DSA在事故工况下的污染因子和污染途径与正常工况下基本相同，主要为X射线对辐射工作人员及周围公众造成意外照射。发生事故的主要原因有</w:t>
            </w:r>
            <w:r>
              <w:rPr>
                <w:rFonts w:hint="eastAsia" w:ascii="宋体" w:hAnsi="宋体" w:eastAsia="宋体" w:cs="宋体"/>
                <w:snapToGrid w:val="0"/>
                <w:color w:val="auto"/>
                <w:kern w:val="0"/>
                <w:sz w:val="24"/>
                <w:szCs w:val="21"/>
                <w:lang w:val="en-US" w:eastAsia="zh-CN" w:bidi="ar-SA"/>
              </w:rPr>
              <w:t>：</w:t>
            </w:r>
          </w:p>
          <w:p w14:paraId="17157DC8">
            <w:pPr>
              <w:pStyle w:val="2"/>
              <w:keepNext w:val="0"/>
              <w:keepLines w:val="0"/>
              <w:numPr>
                <w:ilvl w:val="0"/>
                <w:numId w:val="0"/>
              </w:numPr>
              <w:suppressLineNumbers w:val="0"/>
              <w:spacing w:before="0" w:beforeAutospacing="0" w:after="0" w:afterAutospacing="0"/>
              <w:ind w:left="0" w:right="0" w:firstLine="480" w:firstLineChars="200"/>
              <w:rPr>
                <w:rFonts w:hint="eastAsia" w:ascii="宋体" w:hAnsi="宋体" w:eastAsia="宋体" w:cs="宋体"/>
                <w:snapToGrid w:val="0"/>
                <w:color w:val="auto"/>
                <w:kern w:val="0"/>
                <w:sz w:val="24"/>
                <w:szCs w:val="21"/>
                <w:lang w:val="en-US" w:eastAsia="zh-CN" w:bidi="ar-SA"/>
              </w:rPr>
            </w:pPr>
            <w:r>
              <w:rPr>
                <w:rFonts w:hint="eastAsia" w:ascii="宋体" w:hAnsi="宋体" w:eastAsia="宋体" w:cs="宋体"/>
                <w:snapToGrid w:val="0"/>
                <w:color w:val="auto"/>
                <w:kern w:val="0"/>
                <w:sz w:val="24"/>
                <w:szCs w:val="21"/>
                <w:lang w:val="en-US" w:eastAsia="zh-CN" w:bidi="ar-SA"/>
              </w:rPr>
              <w:t>①门灯关联装置发生故障状态下，人员误入正在运行的</w:t>
            </w:r>
            <w:r>
              <w:rPr>
                <w:rFonts w:hint="default" w:ascii="Times New Roman" w:hAnsi="Times New Roman" w:eastAsia="宋体" w:cs="Times New Roman"/>
                <w:snapToGrid w:val="0"/>
                <w:color w:val="auto"/>
                <w:kern w:val="0"/>
                <w:sz w:val="24"/>
                <w:szCs w:val="21"/>
                <w:lang w:val="en-US" w:eastAsia="zh-CN" w:bidi="ar-SA"/>
              </w:rPr>
              <w:t>DSA</w:t>
            </w:r>
            <w:r>
              <w:rPr>
                <w:rFonts w:hint="eastAsia" w:ascii="宋体" w:hAnsi="宋体" w:eastAsia="宋体" w:cs="宋体"/>
                <w:snapToGrid w:val="0"/>
                <w:color w:val="auto"/>
                <w:kern w:val="0"/>
                <w:sz w:val="24"/>
                <w:szCs w:val="21"/>
                <w:lang w:val="en-US" w:eastAsia="zh-CN" w:bidi="ar-SA"/>
              </w:rPr>
              <w:t>机房；</w:t>
            </w:r>
          </w:p>
          <w:p w14:paraId="3F55497E">
            <w:pPr>
              <w:pStyle w:val="2"/>
              <w:keepNext w:val="0"/>
              <w:keepLines w:val="0"/>
              <w:numPr>
                <w:ilvl w:val="0"/>
                <w:numId w:val="0"/>
              </w:numPr>
              <w:suppressLineNumbers w:val="0"/>
              <w:spacing w:before="0" w:beforeAutospacing="0" w:after="0" w:afterAutospacing="0"/>
              <w:ind w:left="0" w:right="0" w:firstLine="480" w:firstLineChars="200"/>
              <w:rPr>
                <w:rFonts w:hint="eastAsia" w:ascii="宋体" w:hAnsi="宋体" w:eastAsia="宋体" w:cs="宋体"/>
                <w:snapToGrid w:val="0"/>
                <w:color w:val="auto"/>
                <w:kern w:val="0"/>
                <w:sz w:val="24"/>
                <w:szCs w:val="21"/>
                <w:lang w:val="en-US" w:eastAsia="zh-CN" w:bidi="ar-SA"/>
              </w:rPr>
            </w:pPr>
            <w:r>
              <w:rPr>
                <w:rFonts w:hint="eastAsia" w:ascii="宋体" w:hAnsi="宋体" w:eastAsia="宋体" w:cs="宋体"/>
                <w:snapToGrid w:val="0"/>
                <w:color w:val="auto"/>
                <w:kern w:val="0"/>
                <w:sz w:val="24"/>
                <w:szCs w:val="21"/>
                <w:lang w:val="en-US" w:eastAsia="zh-CN" w:bidi="ar-SA"/>
              </w:rPr>
              <w:t>②</w:t>
            </w:r>
            <w:r>
              <w:rPr>
                <w:rFonts w:hint="eastAsia" w:ascii="宋体" w:hAnsi="宋体" w:eastAsia="宋体" w:cs="宋体"/>
                <w:bCs/>
                <w:color w:val="auto"/>
                <w:kern w:val="0"/>
                <w:sz w:val="24"/>
              </w:rPr>
              <w:t>当控制设备故障或工作人员操作失误，装置出束过大，病人可能接受额外照射</w:t>
            </w:r>
            <w:r>
              <w:rPr>
                <w:rFonts w:hint="eastAsia" w:ascii="宋体" w:hAnsi="宋体" w:eastAsia="宋体" w:cs="宋体"/>
                <w:snapToGrid w:val="0"/>
                <w:color w:val="auto"/>
                <w:kern w:val="0"/>
                <w:sz w:val="24"/>
                <w:szCs w:val="21"/>
                <w:lang w:val="en-US" w:eastAsia="zh-CN" w:bidi="ar-SA"/>
              </w:rPr>
              <w:t>。</w:t>
            </w:r>
          </w:p>
          <w:p w14:paraId="330688E0">
            <w:pPr>
              <w:pStyle w:val="2"/>
              <w:keepNext w:val="0"/>
              <w:keepLines w:val="0"/>
              <w:numPr>
                <w:ilvl w:val="0"/>
                <w:numId w:val="0"/>
              </w:numPr>
              <w:suppressLineNumbers w:val="0"/>
              <w:spacing w:before="0" w:beforeAutospacing="0" w:after="0" w:afterAutospacing="0"/>
              <w:ind w:left="0" w:right="0" w:firstLine="480" w:firstLineChars="200"/>
              <w:rPr>
                <w:rFonts w:hint="default" w:cs="Times New Roman"/>
                <w:snapToGrid w:val="0"/>
                <w:color w:val="auto"/>
                <w:kern w:val="0"/>
                <w:sz w:val="24"/>
                <w:szCs w:val="21"/>
                <w:lang w:val="en-US" w:eastAsia="zh-CN" w:bidi="ar-SA"/>
              </w:rPr>
            </w:pPr>
            <w:r>
              <w:rPr>
                <w:rFonts w:hint="eastAsia" w:ascii="宋体" w:hAnsi="宋体" w:cs="宋体"/>
                <w:snapToGrid w:val="0"/>
                <w:color w:val="auto"/>
                <w:kern w:val="0"/>
                <w:sz w:val="24"/>
                <w:szCs w:val="21"/>
                <w:lang w:val="en-US" w:eastAsia="zh-CN" w:bidi="ar-SA"/>
              </w:rPr>
              <w:t>③设备发生故障，厂家对</w:t>
            </w:r>
            <w:r>
              <w:rPr>
                <w:rFonts w:hint="eastAsia" w:ascii="宋体" w:hAnsi="宋体" w:eastAsia="宋体" w:cs="宋体"/>
                <w:bCs/>
                <w:color w:val="auto"/>
                <w:kern w:val="0"/>
                <w:sz w:val="24"/>
              </w:rPr>
              <w:t>设备进行维修时，若发生意外出束，可导致维修人员受到不必要的照射</w:t>
            </w:r>
            <w:r>
              <w:rPr>
                <w:rFonts w:hint="eastAsia" w:ascii="宋体" w:hAnsi="宋体" w:eastAsia="宋体" w:cs="宋体"/>
                <w:bCs/>
                <w:color w:val="auto"/>
                <w:kern w:val="0"/>
                <w:sz w:val="24"/>
                <w:lang w:eastAsia="zh-CN"/>
              </w:rPr>
              <w:t>。</w:t>
            </w:r>
          </w:p>
        </w:tc>
      </w:tr>
    </w:tbl>
    <w:p w14:paraId="5B15A2A7">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6B3269AD">
      <w:pPr>
        <w:pStyle w:val="3"/>
        <w:bidi w:val="0"/>
        <w:rPr>
          <w:rFonts w:hint="default"/>
          <w:color w:val="auto"/>
          <w:lang w:val="en-US" w:eastAsia="zh-CN"/>
        </w:rPr>
      </w:pPr>
      <w:bookmarkStart w:id="61" w:name="_Toc27580"/>
      <w:bookmarkStart w:id="62" w:name="_Toc67739916"/>
      <w:bookmarkStart w:id="63" w:name="_Toc56003439"/>
      <w:bookmarkStart w:id="64" w:name="_Toc56004477"/>
      <w:bookmarkStart w:id="65" w:name="_Toc11952"/>
      <w:bookmarkStart w:id="66" w:name="_Toc22751"/>
      <w:r>
        <w:rPr>
          <w:color w:val="auto"/>
        </w:rPr>
        <w:t xml:space="preserve">表10 </w:t>
      </w:r>
      <w:r>
        <w:rPr>
          <w:rFonts w:hint="eastAsia"/>
          <w:color w:val="auto"/>
        </w:rPr>
        <w:t>辐射安全与防护</w:t>
      </w:r>
      <w:bookmarkEnd w:id="61"/>
      <w:bookmarkEnd w:id="62"/>
      <w:bookmarkEnd w:id="63"/>
      <w:bookmarkEnd w:id="64"/>
      <w:bookmarkEnd w:id="65"/>
      <w:bookmarkEnd w:id="66"/>
    </w:p>
    <w:tbl>
      <w:tblPr>
        <w:tblStyle w:val="18"/>
        <w:tblW w:w="9778" w:type="dxa"/>
        <w:tblInd w:w="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78"/>
      </w:tblGrid>
      <w:tr w14:paraId="70B22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26" w:hRule="atLeast"/>
        </w:trPr>
        <w:tc>
          <w:tcPr>
            <w:tcW w:w="9778" w:type="dxa"/>
          </w:tcPr>
          <w:p w14:paraId="7A49BD3E">
            <w:pPr>
              <w:pStyle w:val="23"/>
              <w:keepNext w:val="0"/>
              <w:keepLines w:val="0"/>
              <w:suppressLineNumbers w:val="0"/>
              <w:spacing w:before="0" w:beforeAutospacing="0" w:after="0" w:afterAutospacing="0"/>
              <w:ind w:left="0" w:leftChars="0" w:right="0" w:firstLine="0" w:firstLineChars="0"/>
              <w:rPr>
                <w:rFonts w:hint="default" w:ascii="Times New Roman" w:hAnsi="Times New Roman" w:cs="Times New Roman"/>
                <w:b/>
                <w:bCs/>
                <w:color w:val="auto"/>
              </w:rPr>
            </w:pPr>
            <w:r>
              <w:rPr>
                <w:rFonts w:hint="default" w:ascii="Times New Roman" w:hAnsi="Times New Roman" w:cs="Times New Roman"/>
                <w:b/>
                <w:bCs/>
                <w:color w:val="auto"/>
              </w:rPr>
              <w:t>项目安全设施：</w:t>
            </w:r>
          </w:p>
          <w:p w14:paraId="1999880D">
            <w:pPr>
              <w:pStyle w:val="1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r>
              <w:rPr>
                <w:rFonts w:hint="default" w:ascii="Times New Roman" w:hAnsi="Times New Roman" w:cs="Times New Roman"/>
                <w:b/>
                <w:bCs/>
                <w:color w:val="auto"/>
              </w:rPr>
              <w:t>1、工作场所布局及分区</w:t>
            </w:r>
          </w:p>
          <w:p w14:paraId="1FBDC8F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b w:val="0"/>
                <w:bCs w:val="0"/>
                <w:snapToGrid w:val="0"/>
                <w:color w:val="auto"/>
                <w:kern w:val="0"/>
                <w:sz w:val="24"/>
                <w:szCs w:val="21"/>
                <w:lang w:val="en-US" w:eastAsia="zh-CN" w:bidi="ar-SA"/>
              </w:rPr>
            </w:pPr>
            <w:r>
              <w:rPr>
                <w:rFonts w:hint="default" w:ascii="Times New Roman" w:hAnsi="Times New Roman" w:cs="Times New Roman"/>
                <w:color w:val="auto"/>
                <w:sz w:val="24"/>
                <w:szCs w:val="24"/>
                <w:highlight w:val="none"/>
                <w:lang w:val="en-US" w:eastAsia="zh-CN"/>
              </w:rPr>
              <w:t>本项目DSA机房位</w:t>
            </w:r>
            <w:r>
              <w:rPr>
                <w:rFonts w:hint="default" w:ascii="Times New Roman" w:hAnsi="Times New Roman" w:eastAsia="宋体" w:cs="Times New Roman"/>
                <w:color w:val="auto"/>
                <w:sz w:val="24"/>
                <w:lang w:val="en-US" w:eastAsia="zh-CN"/>
              </w:rPr>
              <w:t>于</w:t>
            </w:r>
            <w:r>
              <w:rPr>
                <w:rFonts w:hint="eastAsia" w:ascii="Times New Roman" w:hAnsi="Times New Roman" w:eastAsia="宋体" w:cs="Times New Roman"/>
                <w:color w:val="auto"/>
                <w:sz w:val="24"/>
                <w:lang w:val="en-US" w:eastAsia="zh-CN"/>
              </w:rPr>
              <w:t>综合楼1层</w:t>
            </w:r>
            <w:r>
              <w:rPr>
                <w:rFonts w:hint="default" w:ascii="Times New Roman" w:hAnsi="Times New Roman" w:eastAsia="宋体" w:cs="Times New Roman"/>
                <w:color w:val="auto"/>
                <w:sz w:val="24"/>
                <w:lang w:val="en-US" w:eastAsia="zh-CN"/>
              </w:rPr>
              <w:t>，东侧为</w:t>
            </w:r>
            <w:r>
              <w:rPr>
                <w:rFonts w:hint="eastAsia" w:ascii="Times New Roman" w:hAnsi="Times New Roman" w:eastAsia="宋体" w:cs="Times New Roman"/>
                <w:color w:val="auto"/>
                <w:sz w:val="24"/>
                <w:lang w:val="en-US" w:eastAsia="zh-CN"/>
              </w:rPr>
              <w:t>控制室、卫生间及住院大厅，</w:t>
            </w:r>
            <w:r>
              <w:rPr>
                <w:rFonts w:hint="default" w:ascii="Times New Roman" w:hAnsi="Times New Roman" w:eastAsia="宋体" w:cs="Times New Roman"/>
                <w:color w:val="auto"/>
                <w:sz w:val="24"/>
                <w:lang w:val="en-US" w:eastAsia="zh-CN"/>
              </w:rPr>
              <w:t>南侧为</w:t>
            </w:r>
            <w:r>
              <w:rPr>
                <w:rFonts w:hint="eastAsia" w:ascii="Times New Roman" w:hAnsi="Times New Roman" w:eastAsia="宋体" w:cs="Times New Roman"/>
                <w:color w:val="auto"/>
                <w:sz w:val="24"/>
                <w:lang w:val="en-US" w:eastAsia="zh-CN"/>
              </w:rPr>
              <w:t>设备间及走廊</w:t>
            </w:r>
            <w:r>
              <w:rPr>
                <w:rFonts w:hint="default" w:ascii="Times New Roman" w:hAnsi="Times New Roman" w:eastAsia="宋体" w:cs="Times New Roman"/>
                <w:color w:val="auto"/>
                <w:sz w:val="24"/>
                <w:lang w:val="en-US" w:eastAsia="zh-CN"/>
              </w:rPr>
              <w:t>，西侧</w:t>
            </w:r>
            <w:r>
              <w:rPr>
                <w:rFonts w:hint="eastAsia" w:ascii="Times New Roman" w:hAnsi="Times New Roman" w:eastAsia="宋体" w:cs="Times New Roman"/>
                <w:color w:val="auto"/>
                <w:sz w:val="24"/>
                <w:lang w:val="en-US" w:eastAsia="zh-CN"/>
              </w:rPr>
              <w:t>为楼梯间、走廊及消防中控室等</w:t>
            </w:r>
            <w:r>
              <w:rPr>
                <w:rFonts w:hint="default" w:ascii="Times New Roman" w:hAnsi="Times New Roman" w:eastAsia="宋体" w:cs="Times New Roman"/>
                <w:color w:val="auto"/>
                <w:sz w:val="24"/>
                <w:lang w:val="en-US" w:eastAsia="zh-CN"/>
              </w:rPr>
              <w:t>，北侧为医院</w:t>
            </w:r>
            <w:r>
              <w:rPr>
                <w:rFonts w:hint="eastAsia" w:ascii="Times New Roman" w:hAnsi="Times New Roman" w:eastAsia="宋体" w:cs="Times New Roman"/>
                <w:color w:val="auto"/>
                <w:sz w:val="24"/>
                <w:lang w:val="en-US" w:eastAsia="zh-CN"/>
              </w:rPr>
              <w:t>内部道路</w:t>
            </w:r>
            <w:r>
              <w:rPr>
                <w:rFonts w:hint="default" w:ascii="Times New Roman" w:hAnsi="Times New Roman" w:eastAsia="宋体" w:cs="Times New Roman"/>
                <w:color w:val="auto"/>
                <w:sz w:val="24"/>
                <w:lang w:val="en-US" w:eastAsia="zh-CN"/>
              </w:rPr>
              <w:t>。DSA机房正下方为</w:t>
            </w:r>
            <w:r>
              <w:rPr>
                <w:rFonts w:hint="eastAsia" w:ascii="Times New Roman" w:hAnsi="Times New Roman" w:eastAsia="宋体" w:cs="Times New Roman"/>
                <w:color w:val="auto"/>
                <w:sz w:val="24"/>
                <w:lang w:val="en-US" w:eastAsia="zh-CN"/>
              </w:rPr>
              <w:t>土壤层</w:t>
            </w:r>
            <w:r>
              <w:rPr>
                <w:rFonts w:hint="default" w:ascii="Times New Roman" w:hAnsi="Times New Roman" w:eastAsia="宋体" w:cs="Times New Roman"/>
                <w:color w:val="auto"/>
                <w:sz w:val="24"/>
                <w:lang w:val="en-US" w:eastAsia="zh-CN"/>
              </w:rPr>
              <w:t>，正上方为</w:t>
            </w:r>
            <w:r>
              <w:rPr>
                <w:rFonts w:hint="eastAsia" w:ascii="Times New Roman" w:hAnsi="Times New Roman" w:eastAsia="宋体" w:cs="Times New Roman"/>
                <w:color w:val="auto"/>
                <w:sz w:val="24"/>
                <w:lang w:val="en-US" w:eastAsia="zh-CN"/>
              </w:rPr>
              <w:t>口腔科及五官科（</w:t>
            </w:r>
            <w:r>
              <w:rPr>
                <w:rFonts w:hint="eastAsia"/>
                <w:color w:val="auto"/>
                <w:sz w:val="24"/>
                <w:szCs w:val="24"/>
                <w:lang w:val="en-US" w:eastAsia="zh-CN"/>
              </w:rPr>
              <w:t>本次评价要求医院将五官科室和口腔科改设为活动室、库房等不涉及人员长期停留的科室</w:t>
            </w:r>
            <w:r>
              <w:rPr>
                <w:rFonts w:hint="eastAsia" w:ascii="Times New Roman" w:hAnsi="Times New Roman" w:eastAsia="宋体" w:cs="Times New Roman"/>
                <w:color w:val="auto"/>
                <w:sz w:val="24"/>
                <w:lang w:val="en-US" w:eastAsia="zh-CN"/>
              </w:rPr>
              <w:t>）</w:t>
            </w:r>
            <w:r>
              <w:rPr>
                <w:rFonts w:hint="default" w:ascii="Times New Roman" w:hAnsi="Times New Roman" w:eastAsia="宋体" w:cs="Times New Roman"/>
                <w:color w:val="auto"/>
                <w:sz w:val="24"/>
                <w:lang w:val="en-US" w:eastAsia="zh-CN"/>
              </w:rPr>
              <w:t>。上述DSA机房场所设置应合理设置X射线设备、机房的门、窗和管线口位置，应尽量避免有用线束直接照射门、窗、管线口和工作人员操作位。拟采取的防护措施满足《放射诊断放射防护要求》（GBZ130-2020）中</w:t>
            </w:r>
            <w:r>
              <w:rPr>
                <w:rFonts w:hint="eastAsia" w:ascii="宋体" w:hAnsi="宋体" w:eastAsia="宋体" w:cs="宋体"/>
                <w:color w:val="auto"/>
                <w:sz w:val="24"/>
                <w:lang w:eastAsia="zh-CN"/>
              </w:rPr>
              <w:t>“</w:t>
            </w:r>
            <w:r>
              <w:rPr>
                <w:rFonts w:hint="default" w:ascii="Times New Roman" w:hAnsi="Times New Roman" w:eastAsia="宋体" w:cs="Times New Roman"/>
                <w:color w:val="auto"/>
                <w:sz w:val="24"/>
              </w:rPr>
              <w:t>6.1.2X</w:t>
            </w:r>
            <w:r>
              <w:rPr>
                <w:rFonts w:hint="eastAsia" w:ascii="宋体" w:hAnsi="宋体" w:eastAsia="宋体" w:cs="宋体"/>
                <w:color w:val="auto"/>
                <w:sz w:val="24"/>
              </w:rPr>
              <w:t>射线设备机房（照射室）的设置应充分考虑邻室（含楼上和楼下）及周围场所的人员防护与安全</w:t>
            </w:r>
            <w:r>
              <w:rPr>
                <w:rFonts w:hint="eastAsia" w:ascii="宋体" w:hAnsi="宋体" w:eastAsia="宋体" w:cs="宋体"/>
                <w:color w:val="auto"/>
                <w:sz w:val="24"/>
                <w:lang w:eastAsia="zh-CN"/>
              </w:rPr>
              <w:t>”和“</w:t>
            </w:r>
            <w:r>
              <w:rPr>
                <w:rFonts w:hint="default" w:ascii="Times New Roman" w:hAnsi="Times New Roman" w:eastAsia="宋体" w:cs="Times New Roman"/>
                <w:color w:val="auto"/>
                <w:sz w:val="24"/>
              </w:rPr>
              <w:t>6.1.3每</w:t>
            </w:r>
            <w:r>
              <w:rPr>
                <w:rFonts w:hint="eastAsia" w:ascii="宋体" w:hAnsi="宋体" w:eastAsia="宋体" w:cs="宋体"/>
                <w:color w:val="auto"/>
                <w:sz w:val="24"/>
              </w:rPr>
              <w:t>台固定使用的X射线设备应设有单独的机房，机房应满足使用设备的布局要求</w:t>
            </w:r>
            <w:r>
              <w:rPr>
                <w:rFonts w:hint="eastAsia" w:ascii="宋体" w:hAnsi="宋体" w:eastAsia="宋体" w:cs="宋体"/>
                <w:color w:val="auto"/>
                <w:sz w:val="24"/>
                <w:lang w:eastAsia="zh-CN"/>
              </w:rPr>
              <w:t>”</w:t>
            </w:r>
            <w:r>
              <w:rPr>
                <w:rFonts w:hint="default" w:ascii="Times New Roman" w:hAnsi="Times New Roman" w:eastAsia="宋体" w:cs="Times New Roman"/>
                <w:color w:val="auto"/>
                <w:sz w:val="24"/>
                <w:lang w:eastAsia="zh-CN"/>
              </w:rPr>
              <w:t>。</w:t>
            </w:r>
          </w:p>
          <w:p w14:paraId="1AC38922">
            <w:pPr>
              <w:pStyle w:val="15"/>
              <w:keepNext w:val="0"/>
              <w:keepLines w:val="0"/>
              <w:suppressLineNumbers w:val="0"/>
              <w:spacing w:before="0" w:beforeAutospacing="0" w:after="0" w:afterAutospacing="0"/>
              <w:ind w:left="0" w:right="0" w:firstLine="480" w:firstLineChars="200"/>
              <w:jc w:val="left"/>
              <w:rPr>
                <w:rFonts w:hint="eastAsia" w:cs="Times New Roman"/>
                <w:color w:val="auto"/>
                <w:lang w:eastAsia="zh-CN"/>
              </w:rPr>
            </w:pPr>
            <w:r>
              <w:rPr>
                <w:rFonts w:hint="default" w:ascii="Times New Roman" w:hAnsi="Times New Roman" w:eastAsia="宋体" w:cs="Times New Roman"/>
                <w:color w:val="auto"/>
              </w:rPr>
              <w:t>为了便于加强管理，切实做好辐射安全防护工作，按照《电离辐射防护与辐射源安全基</w:t>
            </w:r>
            <w:r>
              <w:rPr>
                <w:rFonts w:hint="eastAsia" w:cs="Times New Roman"/>
                <w:color w:val="auto"/>
                <w:lang w:eastAsia="zh-CN"/>
              </w:rPr>
              <w:t>本</w:t>
            </w:r>
            <w:r>
              <w:rPr>
                <w:rFonts w:hint="default" w:ascii="Times New Roman" w:hAnsi="Times New Roman" w:eastAsia="宋体" w:cs="Times New Roman"/>
                <w:color w:val="auto"/>
              </w:rPr>
              <w:t>标准》（GB18871-2002）中的要求应将辐射工作场所划分控制区和监督区，结合本项目核技术利用的特点</w:t>
            </w:r>
            <w:r>
              <w:rPr>
                <w:rFonts w:hint="default" w:ascii="Times New Roman" w:hAnsi="Times New Roman" w:eastAsia="宋体" w:cs="Times New Roman"/>
                <w:color w:val="auto"/>
                <w:highlight w:val="none"/>
              </w:rPr>
              <w:t>，将</w:t>
            </w:r>
            <w:r>
              <w:rPr>
                <w:rFonts w:hint="default" w:ascii="Times New Roman" w:hAnsi="Times New Roman" w:eastAsia="宋体" w:cs="Times New Roman"/>
                <w:color w:val="auto"/>
                <w:highlight w:val="none"/>
                <w:lang w:val="en-US" w:eastAsia="zh-CN"/>
              </w:rPr>
              <w:t>DSA</w:t>
            </w:r>
            <w:r>
              <w:rPr>
                <w:rFonts w:hint="default" w:ascii="Times New Roman" w:hAnsi="Times New Roman" w:eastAsia="宋体" w:cs="Times New Roman"/>
                <w:color w:val="auto"/>
                <w:highlight w:val="none"/>
              </w:rPr>
              <w:t>机房划为控制区，</w:t>
            </w:r>
            <w:r>
              <w:rPr>
                <w:rFonts w:hint="default" w:ascii="Times New Roman" w:hAnsi="Times New Roman" w:eastAsia="宋体" w:cs="Times New Roman"/>
                <w:color w:val="auto"/>
                <w:highlight w:val="none"/>
                <w:lang w:val="en-US" w:eastAsia="zh-CN"/>
              </w:rPr>
              <w:t>将机房</w:t>
            </w:r>
            <w:r>
              <w:rPr>
                <w:rFonts w:hint="eastAsia" w:cs="Times New Roman"/>
                <w:color w:val="auto"/>
                <w:highlight w:val="none"/>
                <w:lang w:val="en-US" w:eastAsia="zh-CN"/>
              </w:rPr>
              <w:t>东侧控制室</w:t>
            </w:r>
            <w:r>
              <w:rPr>
                <w:rFonts w:hint="eastAsia" w:cs="Times New Roman"/>
                <w:color w:val="auto"/>
                <w:highlight w:val="none"/>
                <w:lang w:val="en-US" w:eastAsia="zh-CN"/>
              </w:rPr>
              <w:t>、卫生间</w:t>
            </w:r>
            <w:r>
              <w:rPr>
                <w:rFonts w:hint="eastAsia"/>
                <w:color w:val="auto"/>
                <w:highlight w:val="none"/>
                <w:lang w:val="en-US" w:eastAsia="zh-CN"/>
              </w:rPr>
              <w:t>，南侧设备间、缓冲间，西侧</w:t>
            </w:r>
            <w:r>
              <w:rPr>
                <w:rFonts w:hint="eastAsia" w:cs="Times New Roman"/>
                <w:color w:val="auto"/>
                <w:highlight w:val="none"/>
                <w:lang w:val="en-US" w:eastAsia="zh-CN"/>
              </w:rPr>
              <w:t>楼梯间、</w:t>
            </w:r>
            <w:r>
              <w:rPr>
                <w:rFonts w:hint="eastAsia" w:ascii="Times New Roman" w:hAnsi="Times New Roman" w:eastAsia="宋体" w:cs="Times New Roman"/>
                <w:color w:val="auto"/>
                <w:sz w:val="24"/>
                <w:lang w:val="en-US" w:eastAsia="zh-CN"/>
              </w:rPr>
              <w:t>走廊</w:t>
            </w:r>
            <w:r>
              <w:rPr>
                <w:rFonts w:hint="eastAsia" w:cs="Times New Roman"/>
                <w:color w:val="auto"/>
                <w:highlight w:val="none"/>
                <w:lang w:val="en-US" w:eastAsia="zh-CN"/>
              </w:rPr>
              <w:t>、消防中控室</w:t>
            </w:r>
            <w:r>
              <w:rPr>
                <w:rFonts w:hint="default" w:ascii="Times New Roman" w:hAnsi="Times New Roman" w:eastAsia="宋体" w:cs="Times New Roman"/>
                <w:color w:val="auto"/>
                <w:highlight w:val="none"/>
                <w:lang w:val="en-US" w:eastAsia="zh-CN"/>
              </w:rPr>
              <w:t>划为监督区</w:t>
            </w:r>
            <w:r>
              <w:rPr>
                <w:rFonts w:hint="default" w:ascii="Times New Roman" w:hAnsi="Times New Roman" w:eastAsia="宋体" w:cs="Times New Roman"/>
                <w:color w:val="auto"/>
                <w:highlight w:val="none"/>
              </w:rPr>
              <w:t>，</w:t>
            </w:r>
            <w:r>
              <w:rPr>
                <w:rFonts w:hint="default" w:ascii="Times New Roman" w:hAnsi="Times New Roman" w:eastAsia="宋体" w:cs="Times New Roman"/>
                <w:color w:val="auto"/>
              </w:rPr>
              <w:t>并在防护门地面以黄色警示色进行标识，提醒无关人员不要靠近。</w:t>
            </w:r>
            <w:r>
              <w:rPr>
                <w:rFonts w:hint="eastAsia" w:cs="Times New Roman"/>
                <w:color w:val="auto"/>
                <w:lang w:eastAsia="zh-CN"/>
              </w:rPr>
              <w:t>项目分区管理情况如下：</w:t>
            </w:r>
          </w:p>
          <w:p w14:paraId="38584B12">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
                <w:bCs/>
                <w:color w:val="auto"/>
                <w:lang w:val="en-US" w:eastAsia="zh-CN"/>
              </w:rPr>
            </w:pPr>
            <w:r>
              <w:drawing>
                <wp:inline distT="0" distB="0" distL="114300" distR="114300">
                  <wp:extent cx="4945380" cy="5267960"/>
                  <wp:effectExtent l="0" t="0" r="7620" b="8890"/>
                  <wp:docPr id="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
                          <pic:cNvPicPr>
                            <a:picLocks noChangeAspect="1"/>
                          </pic:cNvPicPr>
                        </pic:nvPicPr>
                        <pic:blipFill>
                          <a:blip r:embed="rId18"/>
                          <a:stretch>
                            <a:fillRect/>
                          </a:stretch>
                        </pic:blipFill>
                        <pic:spPr>
                          <a:xfrm>
                            <a:off x="0" y="0"/>
                            <a:ext cx="4945380" cy="5267960"/>
                          </a:xfrm>
                          <a:prstGeom prst="rect">
                            <a:avLst/>
                          </a:prstGeom>
                          <a:noFill/>
                          <a:ln>
                            <a:noFill/>
                          </a:ln>
                        </pic:spPr>
                      </pic:pic>
                    </a:graphicData>
                  </a:graphic>
                </wp:inline>
              </w:drawing>
            </w:r>
          </w:p>
          <w:p w14:paraId="39113865">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cs="Times New Roman"/>
                <w:color w:val="auto"/>
                <w:highlight w:val="none"/>
                <w:lang w:val="en-US" w:eastAsia="zh-CN"/>
              </w:rPr>
            </w:pPr>
            <w:r>
              <w:rPr>
                <w:rFonts w:hint="default" w:ascii="Times New Roman" w:hAnsi="Times New Roman" w:cs="Times New Roman"/>
                <w:b/>
                <w:bCs/>
                <w:color w:val="auto"/>
                <w:highlight w:val="none"/>
                <w:lang w:val="en-US" w:eastAsia="zh-CN"/>
              </w:rPr>
              <w:t>图10-1  DSA机房工作场所平面布置图</w:t>
            </w:r>
          </w:p>
          <w:p w14:paraId="7D0CFD4B">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0" w:firstLineChars="0"/>
              <w:jc w:val="center"/>
              <w:textAlignment w:val="auto"/>
              <w:rPr>
                <w:rFonts w:hint="default" w:ascii="Times New Roman" w:hAnsi="Times New Roman" w:eastAsia="宋体" w:cs="Times New Roman"/>
                <w:b/>
                <w:bCs/>
                <w:color w:val="auto"/>
              </w:rPr>
            </w:pPr>
            <w:r>
              <w:rPr>
                <w:rFonts w:hint="default" w:ascii="Times New Roman" w:hAnsi="Times New Roman" w:eastAsia="宋体" w:cs="Times New Roman"/>
                <w:b/>
                <w:bCs/>
                <w:color w:val="auto"/>
              </w:rPr>
              <w:t>表10-</w:t>
            </w:r>
            <w:r>
              <w:rPr>
                <w:rFonts w:hint="default" w:ascii="Times New Roman" w:hAnsi="Times New Roman" w:eastAsia="宋体" w:cs="Times New Roman"/>
                <w:b/>
                <w:bCs/>
                <w:color w:val="auto"/>
                <w:lang w:val="en-US" w:eastAsia="zh-CN"/>
              </w:rPr>
              <w:t>1</w:t>
            </w:r>
            <w:r>
              <w:rPr>
                <w:rFonts w:hint="default" w:ascii="Times New Roman" w:hAnsi="Times New Roman" w:eastAsia="宋体" w:cs="Times New Roman"/>
                <w:b/>
                <w:bCs/>
                <w:color w:val="auto"/>
              </w:rPr>
              <w:t xml:space="preserve">  项目分区</w:t>
            </w:r>
            <w:r>
              <w:rPr>
                <w:rFonts w:hint="default" w:ascii="Times New Roman" w:hAnsi="Times New Roman" w:eastAsia="宋体" w:cs="Times New Roman"/>
                <w:b/>
                <w:bCs/>
                <w:color w:val="auto"/>
                <w:lang w:eastAsia="zh-CN"/>
              </w:rPr>
              <w:t>管理</w:t>
            </w:r>
            <w:r>
              <w:rPr>
                <w:rFonts w:hint="default" w:ascii="Times New Roman" w:hAnsi="Times New Roman" w:eastAsia="宋体" w:cs="Times New Roman"/>
                <w:b/>
                <w:bCs/>
                <w:color w:val="auto"/>
              </w:rPr>
              <w:t>情况一览表</w:t>
            </w:r>
          </w:p>
          <w:tbl>
            <w:tblPr>
              <w:tblStyle w:val="18"/>
              <w:tblW w:w="97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15"/>
              <w:gridCol w:w="2325"/>
              <w:gridCol w:w="3996"/>
            </w:tblGrid>
            <w:tr w14:paraId="0F06AD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trPr>
              <w:tc>
                <w:tcPr>
                  <w:tcW w:w="3415" w:type="dxa"/>
                  <w:vAlign w:val="center"/>
                </w:tcPr>
                <w:p w14:paraId="18E1D71D">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场所及分区</w:t>
                  </w:r>
                </w:p>
              </w:tc>
              <w:tc>
                <w:tcPr>
                  <w:tcW w:w="2325" w:type="dxa"/>
                  <w:vAlign w:val="center"/>
                </w:tcPr>
                <w:p w14:paraId="6D205A80">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控制区</w:t>
                  </w:r>
                </w:p>
              </w:tc>
              <w:tc>
                <w:tcPr>
                  <w:tcW w:w="3996" w:type="dxa"/>
                  <w:vAlign w:val="center"/>
                </w:tcPr>
                <w:p w14:paraId="193AD14A">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监督区</w:t>
                  </w:r>
                </w:p>
              </w:tc>
            </w:tr>
            <w:tr w14:paraId="1BEA1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trPr>
              <w:tc>
                <w:tcPr>
                  <w:tcW w:w="3415" w:type="dxa"/>
                  <w:vAlign w:val="center"/>
                </w:tcPr>
                <w:p w14:paraId="0F5D3D2B">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eastAsia="宋体" w:cs="Times New Roman"/>
                      <w:b w:val="0"/>
                      <w:bCs w:val="0"/>
                      <w:color w:val="auto"/>
                      <w:sz w:val="21"/>
                      <w:szCs w:val="21"/>
                      <w:vertAlign w:val="baseline"/>
                      <w:lang w:eastAsia="zh-CN"/>
                    </w:rPr>
                  </w:pPr>
                  <w:r>
                    <w:rPr>
                      <w:rFonts w:hint="eastAsia" w:ascii="宋体" w:hAnsi="宋体" w:eastAsia="宋体" w:cs="宋体"/>
                      <w:b w:val="0"/>
                      <w:bCs w:val="0"/>
                      <w:color w:val="auto"/>
                      <w:sz w:val="21"/>
                      <w:szCs w:val="21"/>
                      <w:vertAlign w:val="baseline"/>
                      <w:lang w:eastAsia="zh-CN"/>
                    </w:rPr>
                    <w:t>“两区”划</w:t>
                  </w:r>
                  <w:r>
                    <w:rPr>
                      <w:rFonts w:hint="default" w:ascii="Times New Roman" w:hAnsi="Times New Roman" w:eastAsia="宋体" w:cs="Times New Roman"/>
                      <w:b w:val="0"/>
                      <w:bCs w:val="0"/>
                      <w:color w:val="auto"/>
                      <w:sz w:val="21"/>
                      <w:szCs w:val="21"/>
                      <w:vertAlign w:val="baseline"/>
                      <w:lang w:eastAsia="zh-CN"/>
                    </w:rPr>
                    <w:t>分范围</w:t>
                  </w:r>
                </w:p>
              </w:tc>
              <w:tc>
                <w:tcPr>
                  <w:tcW w:w="2325" w:type="dxa"/>
                  <w:vAlign w:val="center"/>
                </w:tcPr>
                <w:p w14:paraId="71578259">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DSA机房</w:t>
                  </w:r>
                </w:p>
              </w:tc>
              <w:tc>
                <w:tcPr>
                  <w:tcW w:w="3996" w:type="dxa"/>
                  <w:vAlign w:val="center"/>
                </w:tcPr>
                <w:p w14:paraId="6AF60FCE">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eastAsia="宋体" w:cs="Times New Roman"/>
                      <w:b w:val="0"/>
                      <w:bCs w:val="0"/>
                      <w:color w:val="0000FF"/>
                      <w:sz w:val="21"/>
                      <w:szCs w:val="21"/>
                      <w:vertAlign w:val="baseline"/>
                      <w:lang w:val="en-US" w:eastAsia="zh-CN"/>
                    </w:rPr>
                  </w:pPr>
                  <w:r>
                    <w:rPr>
                      <w:rFonts w:hint="eastAsia" w:ascii="宋体" w:hAnsi="宋体" w:eastAsia="宋体" w:cs="宋体"/>
                      <w:color w:val="auto"/>
                      <w:sz w:val="21"/>
                      <w:szCs w:val="21"/>
                      <w:lang w:val="en-US" w:eastAsia="zh-CN"/>
                    </w:rPr>
                    <w:t>东侧</w:t>
                  </w:r>
                  <w:r>
                    <w:rPr>
                      <w:rFonts w:hint="eastAsia" w:ascii="宋体" w:hAnsi="宋体" w:cs="宋体"/>
                      <w:color w:val="auto"/>
                      <w:sz w:val="21"/>
                      <w:szCs w:val="21"/>
                      <w:lang w:val="en-US" w:eastAsia="zh-CN"/>
                    </w:rPr>
                    <w:t>控制室</w:t>
                  </w:r>
                  <w:r>
                    <w:rPr>
                      <w:rFonts w:hint="eastAsia" w:ascii="宋体" w:hAnsi="宋体" w:eastAsia="宋体" w:cs="宋体"/>
                      <w:color w:val="auto"/>
                      <w:sz w:val="21"/>
                      <w:szCs w:val="21"/>
                      <w:lang w:val="en-US" w:eastAsia="zh-CN"/>
                    </w:rPr>
                    <w:t>、卫生间，南侧设备间、</w:t>
                  </w:r>
                  <w:r>
                    <w:rPr>
                      <w:rFonts w:hint="eastAsia" w:ascii="宋体" w:hAnsi="宋体" w:cs="宋体"/>
                      <w:color w:val="auto"/>
                      <w:sz w:val="21"/>
                      <w:szCs w:val="21"/>
                      <w:lang w:val="en-US" w:eastAsia="zh-CN"/>
                    </w:rPr>
                    <w:t>缓冲间</w:t>
                  </w:r>
                  <w:r>
                    <w:rPr>
                      <w:rFonts w:hint="eastAsia" w:ascii="宋体" w:hAnsi="宋体" w:eastAsia="宋体" w:cs="宋体"/>
                      <w:color w:val="auto"/>
                      <w:sz w:val="21"/>
                      <w:szCs w:val="21"/>
                      <w:lang w:val="en-US" w:eastAsia="zh-CN"/>
                    </w:rPr>
                    <w:t>，西侧楼梯间、走廊、消防中控室</w:t>
                  </w:r>
                  <w:r>
                    <w:rPr>
                      <w:rFonts w:hint="eastAsia" w:ascii="宋体" w:hAnsi="宋体" w:cs="宋体"/>
                      <w:color w:val="auto"/>
                      <w:sz w:val="21"/>
                      <w:szCs w:val="21"/>
                      <w:lang w:eastAsia="zh-CN"/>
                    </w:rPr>
                    <w:t>等</w:t>
                  </w:r>
                  <w:r>
                    <w:rPr>
                      <w:rFonts w:hint="eastAsia" w:ascii="宋体" w:hAnsi="宋体" w:cs="宋体"/>
                      <w:color w:val="auto"/>
                      <w:sz w:val="21"/>
                      <w:szCs w:val="21"/>
                      <w:lang w:val="en-US" w:eastAsia="zh-CN"/>
                    </w:rPr>
                    <w:t>。</w:t>
                  </w:r>
                </w:p>
              </w:tc>
            </w:tr>
          </w:tbl>
          <w:p w14:paraId="0E3A6CDC">
            <w:pPr>
              <w:pStyle w:val="23"/>
              <w:keepNext w:val="0"/>
              <w:keepLines w:val="0"/>
              <w:suppressLineNumbers w:val="0"/>
              <w:tabs>
                <w:tab w:val="left" w:pos="402"/>
              </w:tabs>
              <w:spacing w:before="0" w:beforeAutospacing="0" w:after="0" w:afterAutospacing="0"/>
              <w:ind w:left="0" w:leftChars="0" w:right="0" w:firstLine="482" w:firstLineChars="200"/>
              <w:rPr>
                <w:rFonts w:hint="default" w:ascii="Times New Roman" w:hAnsi="Times New Roman" w:cs="Times New Roman"/>
                <w:b/>
                <w:bCs/>
                <w:color w:val="auto"/>
              </w:rPr>
            </w:pPr>
            <w:r>
              <w:rPr>
                <w:rFonts w:hint="default" w:ascii="Times New Roman" w:hAnsi="Times New Roman" w:cs="Times New Roman"/>
                <w:b/>
                <w:bCs/>
                <w:color w:val="auto"/>
              </w:rPr>
              <w:t>2、污染防护措施</w:t>
            </w:r>
          </w:p>
          <w:p w14:paraId="61074FEA">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根据医院提供的相关资料，本项目采取的污染防治措施见下表。</w:t>
            </w:r>
          </w:p>
          <w:p w14:paraId="2681F488">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2F28E533">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0BC90FCA">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513222A7">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44A6C0E4">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3EF9B248">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620E61B7">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413DB35C">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135BA263">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p>
          <w:p w14:paraId="676939DE">
            <w:pPr>
              <w:pStyle w:val="25"/>
              <w:keepNext w:val="0"/>
              <w:keepLines w:val="0"/>
              <w:suppressLineNumbers w:val="0"/>
              <w:spacing w:before="0" w:beforeAutospacing="0" w:after="0" w:afterAutospacing="0"/>
              <w:ind w:left="0" w:right="0" w:firstLine="482" w:firstLineChars="200"/>
              <w:rPr>
                <w:rFonts w:hint="default" w:ascii="Times New Roman" w:hAnsi="Times New Roman" w:cs="Times New Roman"/>
                <w:b/>
                <w:bCs/>
                <w:color w:val="auto"/>
              </w:rPr>
            </w:pPr>
            <w:r>
              <w:rPr>
                <w:rFonts w:hint="default" w:ascii="Times New Roman" w:hAnsi="Times New Roman" w:cs="Times New Roman"/>
                <w:b/>
                <w:bCs/>
                <w:color w:val="auto"/>
              </w:rPr>
              <w:t>表10-</w:t>
            </w:r>
            <w:r>
              <w:rPr>
                <w:rFonts w:hint="default" w:ascii="Times New Roman" w:hAnsi="Times New Roman" w:cs="Times New Roman"/>
                <w:b/>
                <w:bCs/>
                <w:color w:val="auto"/>
                <w:lang w:val="en-US" w:eastAsia="zh-CN"/>
              </w:rPr>
              <w:t>2</w:t>
            </w:r>
            <w:r>
              <w:rPr>
                <w:rFonts w:hint="default" w:ascii="Times New Roman" w:hAnsi="Times New Roman" w:cs="Times New Roman"/>
                <w:b/>
                <w:bCs/>
                <w:color w:val="auto"/>
              </w:rPr>
              <w:t xml:space="preserve">  本项目污染防治措施一览表</w:t>
            </w:r>
          </w:p>
          <w:tbl>
            <w:tblPr>
              <w:tblStyle w:val="18"/>
              <w:tblW w:w="956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764"/>
              <w:gridCol w:w="8112"/>
            </w:tblGrid>
            <w:tr w14:paraId="4EE9F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Align w:val="center"/>
                </w:tcPr>
                <w:p w14:paraId="4FE8C928">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项目</w:t>
                  </w:r>
                </w:p>
              </w:tc>
              <w:tc>
                <w:tcPr>
                  <w:tcW w:w="8112" w:type="dxa"/>
                  <w:vAlign w:val="center"/>
                </w:tcPr>
                <w:p w14:paraId="56271B15">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拟（已）采取的污染防治措施</w:t>
                  </w:r>
                </w:p>
              </w:tc>
            </w:tr>
            <w:tr w14:paraId="30E81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Align w:val="center"/>
                </w:tcPr>
                <w:p w14:paraId="4F6B9A00">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highlight w:val="none"/>
                    </w:rPr>
                    <w:t>机房防护措施</w:t>
                  </w:r>
                </w:p>
              </w:tc>
              <w:tc>
                <w:tcPr>
                  <w:tcW w:w="8112" w:type="dxa"/>
                  <w:vAlign w:val="top"/>
                </w:tcPr>
                <w:p w14:paraId="593B357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default" w:ascii="Times New Roman" w:hAnsi="Times New Roman" w:eastAsia="宋体" w:cs="Times New Roman"/>
                      <w:snapToGrid w:val="0"/>
                      <w:color w:val="auto"/>
                      <w:kern w:val="0"/>
                      <w:sz w:val="21"/>
                      <w:szCs w:val="21"/>
                      <w:highlight w:val="none"/>
                      <w:lang w:val="en-US" w:eastAsia="zh-CN" w:bidi="ar-SA"/>
                    </w:rPr>
                    <w:t>机房位于</w:t>
                  </w:r>
                  <w:r>
                    <w:rPr>
                      <w:rFonts w:hint="eastAsia" w:ascii="Times New Roman" w:hAnsi="Times New Roman" w:eastAsia="宋体" w:cs="Times New Roman"/>
                      <w:snapToGrid w:val="0"/>
                      <w:color w:val="auto"/>
                      <w:kern w:val="0"/>
                      <w:sz w:val="21"/>
                      <w:szCs w:val="21"/>
                      <w:highlight w:val="none"/>
                      <w:lang w:val="en-US" w:eastAsia="zh-CN" w:bidi="ar-SA"/>
                    </w:rPr>
                    <w:t>综合楼1楼东北侧闲置房间</w:t>
                  </w:r>
                  <w:r>
                    <w:rPr>
                      <w:rFonts w:hint="default" w:ascii="Times New Roman" w:hAnsi="Times New Roman" w:eastAsia="宋体" w:cs="Times New Roman"/>
                      <w:snapToGrid w:val="0"/>
                      <w:color w:val="auto"/>
                      <w:kern w:val="0"/>
                      <w:sz w:val="21"/>
                      <w:szCs w:val="21"/>
                      <w:highlight w:val="none"/>
                      <w:lang w:val="en-US" w:eastAsia="zh-CN" w:bidi="ar-SA"/>
                    </w:rPr>
                    <w:t>。</w:t>
                  </w:r>
                </w:p>
                <w:p w14:paraId="0582BE6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eastAsia="宋体" w:cs="Times New Roman"/>
                      <w:snapToGrid w:val="0"/>
                      <w:color w:val="auto"/>
                      <w:kern w:val="0"/>
                      <w:sz w:val="21"/>
                      <w:szCs w:val="21"/>
                      <w:highlight w:val="none"/>
                      <w:lang w:val="en-US" w:eastAsia="zh-CN" w:bidi="ar-SA"/>
                    </w:rPr>
                    <w:t>手术室原建筑</w:t>
                  </w:r>
                  <w:r>
                    <w:rPr>
                      <w:rFonts w:hint="eastAsia" w:ascii="Times New Roman" w:hAnsi="Times New Roman" w:eastAsia="宋体" w:cs="Times New Roman"/>
                      <w:snapToGrid w:val="0"/>
                      <w:color w:val="auto"/>
                      <w:kern w:val="0"/>
                      <w:sz w:val="21"/>
                      <w:szCs w:val="21"/>
                      <w:highlight w:val="none"/>
                      <w:lang w:val="en-US" w:eastAsia="zh-CN" w:bidi="ar-SA"/>
                    </w:rPr>
                    <w:t>结构</w:t>
                  </w:r>
                  <w:r>
                    <w:rPr>
                      <w:rFonts w:hint="default" w:ascii="Times New Roman" w:hAnsi="Times New Roman" w:eastAsia="宋体" w:cs="Times New Roman"/>
                      <w:snapToGrid w:val="0"/>
                      <w:color w:val="auto"/>
                      <w:kern w:val="0"/>
                      <w:sz w:val="21"/>
                      <w:szCs w:val="21"/>
                      <w:highlight w:val="none"/>
                      <w:lang w:val="en-US" w:eastAsia="zh-CN" w:bidi="ar-SA"/>
                    </w:rPr>
                    <w:t>：</w:t>
                  </w:r>
                  <w:r>
                    <w:rPr>
                      <w:rFonts w:hint="default" w:ascii="Times New Roman" w:hAnsi="Times New Roman" w:cs="Times New Roman"/>
                      <w:color w:val="auto"/>
                      <w:sz w:val="21"/>
                      <w:szCs w:val="21"/>
                      <w:highlight w:val="none"/>
                      <w:lang w:val="en-US" w:eastAsia="zh-CN"/>
                    </w:rPr>
                    <w:t>四侧墙体为200mm的空心砖墙，顶部为150mm混凝土，地面为混凝土地基加土壤层，无地下工程。</w:t>
                  </w:r>
                </w:p>
                <w:p w14:paraId="043DCD9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default" w:ascii="Times New Roman" w:hAnsi="Times New Roman" w:eastAsia="宋体" w:cs="Times New Roman"/>
                      <w:snapToGrid w:val="0"/>
                      <w:color w:val="auto"/>
                      <w:kern w:val="0"/>
                      <w:sz w:val="21"/>
                      <w:szCs w:val="21"/>
                      <w:highlight w:val="none"/>
                      <w:lang w:val="en-US" w:eastAsia="zh-CN" w:bidi="ar-SA"/>
                    </w:rPr>
                    <w:t>防护改造建设内容：</w:t>
                  </w:r>
                </w:p>
                <w:p w14:paraId="4C078B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①</w:t>
                  </w:r>
                  <w:r>
                    <w:rPr>
                      <w:rFonts w:hint="default" w:ascii="Times New Roman" w:hAnsi="Times New Roman" w:eastAsia="宋体" w:cs="Times New Roman"/>
                      <w:snapToGrid w:val="0"/>
                      <w:color w:val="auto"/>
                      <w:kern w:val="0"/>
                      <w:sz w:val="21"/>
                      <w:szCs w:val="21"/>
                      <w:highlight w:val="none"/>
                      <w:lang w:val="en-US" w:eastAsia="zh-CN" w:bidi="ar-SA"/>
                    </w:rPr>
                    <w:t>机房南侧内部</w:t>
                  </w:r>
                  <w:r>
                    <w:rPr>
                      <w:rFonts w:hint="eastAsia" w:ascii="Times New Roman" w:hAnsi="Times New Roman" w:eastAsia="宋体" w:cs="Times New Roman"/>
                      <w:snapToGrid w:val="0"/>
                      <w:color w:val="auto"/>
                      <w:kern w:val="0"/>
                      <w:sz w:val="21"/>
                      <w:szCs w:val="21"/>
                      <w:highlight w:val="none"/>
                      <w:lang w:val="en-US" w:eastAsia="zh-CN" w:bidi="ar-SA"/>
                    </w:rPr>
                    <w:t>新建</w:t>
                  </w:r>
                  <w:r>
                    <w:rPr>
                      <w:rFonts w:hint="default" w:ascii="Times New Roman" w:hAnsi="Times New Roman" w:eastAsia="宋体" w:cs="Times New Roman"/>
                      <w:snapToGrid w:val="0"/>
                      <w:color w:val="auto"/>
                      <w:kern w:val="0"/>
                      <w:sz w:val="21"/>
                      <w:szCs w:val="21"/>
                      <w:highlight w:val="none"/>
                      <w:lang w:val="en-US" w:eastAsia="zh-CN" w:bidi="ar-SA"/>
                    </w:rPr>
                    <w:t>240mm厚实心砖墙(机房与设备间隔断)+粉刷30mm厚硫酸钡水泥+墙面装饰板；东、西、北三面墙加砌120mm厚实心砖墙+粉刷30mm厚硫酸钡水泥+墙面装饰板；北侧墙面玻璃窗拆除用200mm厚实心砖封堵；</w:t>
                  </w:r>
                </w:p>
                <w:p w14:paraId="2C001A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②</w:t>
                  </w:r>
                  <w:r>
                    <w:rPr>
                      <w:rFonts w:hint="default" w:ascii="Times New Roman" w:hAnsi="Times New Roman" w:eastAsia="宋体" w:cs="Times New Roman"/>
                      <w:snapToGrid w:val="0"/>
                      <w:color w:val="auto"/>
                      <w:kern w:val="0"/>
                      <w:sz w:val="21"/>
                      <w:szCs w:val="21"/>
                      <w:highlight w:val="none"/>
                      <w:lang w:val="en-US" w:eastAsia="zh-CN" w:bidi="ar-SA"/>
                    </w:rPr>
                    <w:t>顶部改为楼板层1</w:t>
                  </w:r>
                  <w:r>
                    <w:rPr>
                      <w:rFonts w:hint="eastAsia" w:ascii="Times New Roman" w:hAnsi="Times New Roman" w:eastAsia="宋体" w:cs="Times New Roman"/>
                      <w:snapToGrid w:val="0"/>
                      <w:color w:val="auto"/>
                      <w:kern w:val="0"/>
                      <w:sz w:val="21"/>
                      <w:szCs w:val="21"/>
                      <w:highlight w:val="none"/>
                      <w:lang w:val="en-US" w:eastAsia="zh-CN" w:bidi="ar-SA"/>
                    </w:rPr>
                    <w:t>5</w:t>
                  </w:r>
                  <w:r>
                    <w:rPr>
                      <w:rFonts w:hint="default" w:ascii="Times New Roman" w:hAnsi="Times New Roman" w:eastAsia="宋体" w:cs="Times New Roman"/>
                      <w:snapToGrid w:val="0"/>
                      <w:color w:val="auto"/>
                      <w:kern w:val="0"/>
                      <w:sz w:val="21"/>
                      <w:szCs w:val="21"/>
                      <w:highlight w:val="none"/>
                      <w:lang w:val="en-US" w:eastAsia="zh-CN" w:bidi="ar-SA"/>
                    </w:rPr>
                    <w:t>cm混凝土</w:t>
                  </w:r>
                  <w:r>
                    <w:rPr>
                      <w:rFonts w:hint="eastAsia" w:ascii="Times New Roman" w:hAnsi="Times New Roman" w:eastAsia="宋体" w:cs="Times New Roman"/>
                      <w:snapToGrid w:val="0"/>
                      <w:color w:val="auto"/>
                      <w:kern w:val="0"/>
                      <w:sz w:val="21"/>
                      <w:szCs w:val="21"/>
                      <w:highlight w:val="none"/>
                      <w:lang w:val="en-US" w:eastAsia="zh-CN" w:bidi="ar-SA"/>
                    </w:rPr>
                    <w:t>（</w:t>
                  </w:r>
                  <w:r>
                    <w:rPr>
                      <w:rFonts w:hint="default" w:ascii="Times New Roman" w:hAnsi="Times New Roman" w:eastAsia="宋体" w:cs="Times New Roman"/>
                      <w:snapToGrid w:val="0"/>
                      <w:color w:val="auto"/>
                      <w:kern w:val="0"/>
                      <w:sz w:val="21"/>
                      <w:szCs w:val="21"/>
                      <w:highlight w:val="none"/>
                      <w:lang w:val="en-US" w:eastAsia="zh-CN" w:bidi="ar-SA"/>
                    </w:rPr>
                    <w:t>密度</w:t>
                  </w:r>
                  <w:r>
                    <w:rPr>
                      <w:rFonts w:hint="eastAsia" w:ascii="Times New Roman" w:hAnsi="Times New Roman" w:eastAsia="宋体" w:cs="Times New Roman"/>
                      <w:snapToGrid w:val="0"/>
                      <w:color w:val="auto"/>
                      <w:kern w:val="0"/>
                      <w:sz w:val="21"/>
                      <w:szCs w:val="21"/>
                      <w:highlight w:val="none"/>
                      <w:lang w:val="en-US" w:eastAsia="zh-CN" w:bidi="ar-SA"/>
                    </w:rPr>
                    <w:t>不小于</w:t>
                  </w:r>
                  <w:r>
                    <w:rPr>
                      <w:rFonts w:hint="default" w:ascii="Times New Roman" w:hAnsi="Times New Roman" w:eastAsia="宋体" w:cs="Times New Roman"/>
                      <w:snapToGrid w:val="0"/>
                      <w:color w:val="auto"/>
                      <w:kern w:val="0"/>
                      <w:sz w:val="21"/>
                      <w:szCs w:val="21"/>
                      <w:highlight w:val="none"/>
                      <w:lang w:val="en-US" w:eastAsia="zh-CN" w:bidi="ar-SA"/>
                    </w:rPr>
                    <w:t>2.35g/cm³</w:t>
                  </w:r>
                  <w:r>
                    <w:rPr>
                      <w:rFonts w:hint="eastAsia" w:ascii="Times New Roman" w:hAnsi="Times New Roman" w:eastAsia="宋体" w:cs="Times New Roman"/>
                      <w:snapToGrid w:val="0"/>
                      <w:color w:val="auto"/>
                      <w:kern w:val="0"/>
                      <w:sz w:val="21"/>
                      <w:szCs w:val="21"/>
                      <w:highlight w:val="none"/>
                      <w:lang w:val="en-US" w:eastAsia="zh-CN" w:bidi="ar-SA"/>
                    </w:rPr>
                    <w:t>）</w:t>
                  </w:r>
                  <w:r>
                    <w:rPr>
                      <w:rFonts w:hint="default" w:ascii="Times New Roman" w:hAnsi="Times New Roman" w:eastAsia="宋体" w:cs="Times New Roman"/>
                      <w:snapToGrid w:val="0"/>
                      <w:color w:val="auto"/>
                      <w:kern w:val="0"/>
                      <w:sz w:val="21"/>
                      <w:szCs w:val="21"/>
                      <w:highlight w:val="none"/>
                      <w:lang w:val="en-US" w:eastAsia="zh-CN" w:bidi="ar-SA"/>
                    </w:rPr>
                    <w:t>+钢架龙骨+</w:t>
                  </w:r>
                  <w:r>
                    <w:rPr>
                      <w:rFonts w:hint="eastAsia" w:ascii="Times New Roman" w:hAnsi="Times New Roman" w:eastAsia="宋体" w:cs="Times New Roman"/>
                      <w:snapToGrid w:val="0"/>
                      <w:color w:val="auto"/>
                      <w:kern w:val="0"/>
                      <w:sz w:val="21"/>
                      <w:szCs w:val="21"/>
                      <w:highlight w:val="none"/>
                      <w:lang w:val="en-US" w:eastAsia="zh-CN" w:bidi="ar-SA"/>
                    </w:rPr>
                    <w:t>15mm厚硫酸钡防辐射板+1mmPb铅板+铝扣板吊顶</w:t>
                  </w:r>
                  <w:r>
                    <w:rPr>
                      <w:rFonts w:hint="default" w:ascii="Times New Roman" w:hAnsi="Times New Roman" w:eastAsia="宋体" w:cs="Times New Roman"/>
                      <w:snapToGrid w:val="0"/>
                      <w:color w:val="auto"/>
                      <w:kern w:val="0"/>
                      <w:sz w:val="21"/>
                      <w:szCs w:val="21"/>
                      <w:highlight w:val="none"/>
                      <w:lang w:val="en-US" w:eastAsia="zh-CN" w:bidi="ar-SA"/>
                    </w:rPr>
                    <w:t>；</w:t>
                  </w:r>
                </w:p>
                <w:p w14:paraId="31F17A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eastAsia="宋体" w:cs="Times New Roman"/>
                      <w:snapToGrid w:val="0"/>
                      <w:color w:val="auto"/>
                      <w:kern w:val="0"/>
                      <w:sz w:val="21"/>
                      <w:szCs w:val="21"/>
                      <w:highlight w:val="none"/>
                      <w:lang w:val="en-US" w:eastAsia="zh-CN" w:bidi="ar-SA"/>
                    </w:rPr>
                  </w:pPr>
                  <w:r>
                    <w:rPr>
                      <w:rFonts w:hint="eastAsia" w:ascii="Times New Roman" w:hAnsi="Times New Roman" w:eastAsia="宋体" w:cs="Times New Roman"/>
                      <w:snapToGrid w:val="0"/>
                      <w:color w:val="auto"/>
                      <w:kern w:val="0"/>
                      <w:sz w:val="21"/>
                      <w:szCs w:val="21"/>
                      <w:highlight w:val="none"/>
                      <w:lang w:val="en-US" w:eastAsia="zh-CN" w:bidi="ar-SA"/>
                    </w:rPr>
                    <w:t>③控制室</w:t>
                  </w:r>
                  <w:r>
                    <w:rPr>
                      <w:rFonts w:hint="default" w:ascii="Times New Roman" w:hAnsi="Times New Roman" w:eastAsia="宋体" w:cs="Times New Roman"/>
                      <w:snapToGrid w:val="0"/>
                      <w:color w:val="auto"/>
                      <w:kern w:val="0"/>
                      <w:sz w:val="21"/>
                      <w:szCs w:val="21"/>
                      <w:highlight w:val="none"/>
                      <w:lang w:val="en-US" w:eastAsia="zh-CN" w:bidi="ar-SA"/>
                    </w:rPr>
                    <w:t>平推铅门、污物通道铅门以及缓冲间电动铅门防护当量均为3mmPb；</w:t>
                  </w:r>
                </w:p>
                <w:p w14:paraId="09D1BB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ascii="Times New Roman" w:hAnsi="Times New Roman" w:cs="Times New Roman"/>
                      <w:b/>
                      <w:bCs/>
                      <w:color w:val="auto"/>
                      <w:vertAlign w:val="baseline"/>
                      <w:lang w:val="en-US" w:eastAsia="zh-CN"/>
                    </w:rPr>
                  </w:pPr>
                  <w:r>
                    <w:rPr>
                      <w:rFonts w:hint="eastAsia" w:ascii="Times New Roman" w:hAnsi="Times New Roman" w:eastAsia="宋体" w:cs="Times New Roman"/>
                      <w:snapToGrid w:val="0"/>
                      <w:color w:val="auto"/>
                      <w:kern w:val="0"/>
                      <w:sz w:val="21"/>
                      <w:szCs w:val="21"/>
                      <w:highlight w:val="none"/>
                      <w:lang w:val="en-US" w:eastAsia="zh-CN" w:bidi="ar-SA"/>
                    </w:rPr>
                    <w:t>④</w:t>
                  </w:r>
                  <w:r>
                    <w:rPr>
                      <w:rFonts w:hint="default" w:ascii="Times New Roman" w:hAnsi="Times New Roman" w:eastAsia="宋体" w:cs="Times New Roman"/>
                      <w:snapToGrid w:val="0"/>
                      <w:color w:val="auto"/>
                      <w:kern w:val="0"/>
                      <w:sz w:val="21"/>
                      <w:szCs w:val="21"/>
                      <w:highlight w:val="none"/>
                      <w:lang w:val="en-US" w:eastAsia="zh-CN" w:bidi="ar-SA"/>
                    </w:rPr>
                    <w:t>观察窗铅玻璃防护当量为4mmPb；</w:t>
                  </w:r>
                </w:p>
              </w:tc>
            </w:tr>
            <w:tr w14:paraId="10235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restart"/>
                  <w:vAlign w:val="center"/>
                </w:tcPr>
                <w:p w14:paraId="286CF21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安全措施</w:t>
                  </w:r>
                </w:p>
              </w:tc>
              <w:tc>
                <w:tcPr>
                  <w:tcW w:w="8112" w:type="dxa"/>
                  <w:vAlign w:val="top"/>
                </w:tcPr>
                <w:p w14:paraId="7AFA4962">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lang w:val="en-US" w:eastAsia="zh-CN"/>
                    </w:rPr>
                    <w:t>合理设置X射线设备、机房的门、窗和管线口位置，应尽量避免有用线束直接照射门、窗、管线口和工作人员操作位</w:t>
                  </w:r>
                  <w:r>
                    <w:rPr>
                      <w:rFonts w:hint="eastAsia" w:cs="Times New Roman"/>
                      <w:color w:val="auto"/>
                      <w:sz w:val="21"/>
                      <w:szCs w:val="21"/>
                      <w:lang w:val="en-US" w:eastAsia="zh-CN"/>
                    </w:rPr>
                    <w:t>；</w:t>
                  </w:r>
                </w:p>
              </w:tc>
            </w:tr>
            <w:tr w14:paraId="66FE7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01C464F0">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rPr>
                  </w:pPr>
                </w:p>
              </w:tc>
              <w:tc>
                <w:tcPr>
                  <w:tcW w:w="8112" w:type="dxa"/>
                  <w:vAlign w:val="top"/>
                </w:tcPr>
                <w:p w14:paraId="08116BBC">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X 射线设备机房（照射室）的设置应充分考虑邻室（含楼上和楼下）及周围场所的人员防护与安全</w:t>
                  </w:r>
                  <w:r>
                    <w:rPr>
                      <w:rFonts w:hint="eastAsia" w:cs="Times New Roman"/>
                      <w:color w:val="auto"/>
                      <w:sz w:val="21"/>
                      <w:szCs w:val="21"/>
                      <w:lang w:val="en-US" w:eastAsia="zh-CN"/>
                    </w:rPr>
                    <w:t>；</w:t>
                  </w:r>
                </w:p>
              </w:tc>
            </w:tr>
            <w:tr w14:paraId="1FAF8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49B3EDB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color w:val="auto"/>
                      <w:sz w:val="21"/>
                      <w:szCs w:val="21"/>
                    </w:rPr>
                  </w:pPr>
                </w:p>
              </w:tc>
              <w:tc>
                <w:tcPr>
                  <w:tcW w:w="8112" w:type="dxa"/>
                  <w:vAlign w:val="top"/>
                </w:tcPr>
                <w:p w14:paraId="711C5744">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机房外张贴电离辐射警告标志；机房门上方应有醒目的工作状态指示灯（</w:t>
                  </w:r>
                  <w:r>
                    <w:rPr>
                      <w:rFonts w:hint="default" w:ascii="Times New Roman" w:hAnsi="Times New Roman" w:eastAsia="宋体" w:cs="Times New Roman"/>
                      <w:color w:val="auto"/>
                      <w:sz w:val="21"/>
                      <w:szCs w:val="21"/>
                      <w:lang w:eastAsia="zh-CN"/>
                    </w:rPr>
                    <w:t>门灯关联</w:t>
                  </w:r>
                  <w:r>
                    <w:rPr>
                      <w:rFonts w:hint="default" w:ascii="Times New Roman" w:hAnsi="Times New Roman" w:eastAsia="宋体" w:cs="Times New Roman"/>
                      <w:color w:val="auto"/>
                      <w:sz w:val="21"/>
                      <w:szCs w:val="21"/>
                    </w:rPr>
                    <w:t>），灯箱上设置如</w:t>
                  </w:r>
                  <w:r>
                    <w:rPr>
                      <w:rFonts w:hint="eastAsia" w:ascii="宋体" w:hAnsi="宋体" w:eastAsia="宋体" w:cs="宋体"/>
                      <w:color w:val="auto"/>
                      <w:sz w:val="21"/>
                      <w:szCs w:val="21"/>
                    </w:rPr>
                    <w:t>“射线有害、灯亮勿入”</w:t>
                  </w:r>
                  <w:r>
                    <w:rPr>
                      <w:rFonts w:hint="default" w:ascii="Times New Roman" w:hAnsi="Times New Roman" w:eastAsia="宋体" w:cs="Times New Roman"/>
                      <w:color w:val="auto"/>
                      <w:sz w:val="21"/>
                      <w:szCs w:val="21"/>
                    </w:rPr>
                    <w:t>的可视警示语句；候诊区应设置放射防护注意事项告知栏。</w:t>
                  </w:r>
                </w:p>
              </w:tc>
            </w:tr>
            <w:tr w14:paraId="547CE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6139C73E">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29E8A177">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cs="Times New Roman"/>
                      <w:color w:val="auto"/>
                      <w:sz w:val="21"/>
                      <w:szCs w:val="21"/>
                      <w:lang w:eastAsia="zh-CN"/>
                    </w:rPr>
                    <w:t>机房拟设观察窗，其设置的位置便于观察到受检者状态及防护门开闭情况</w:t>
                  </w:r>
                  <w:r>
                    <w:rPr>
                      <w:rFonts w:hint="eastAsia" w:cs="Times New Roman"/>
                      <w:color w:val="auto"/>
                      <w:sz w:val="21"/>
                      <w:szCs w:val="21"/>
                      <w:lang w:eastAsia="zh-CN"/>
                    </w:rPr>
                    <w:t>；</w:t>
                  </w:r>
                </w:p>
              </w:tc>
            </w:tr>
            <w:tr w14:paraId="2EB644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7FAC16E7">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44B74610">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eastAsia" w:cs="Times New Roman"/>
                      <w:color w:val="auto"/>
                      <w:sz w:val="21"/>
                      <w:szCs w:val="21"/>
                      <w:lang w:eastAsia="zh-CN"/>
                    </w:rPr>
                    <w:t>依托综合楼</w:t>
                  </w:r>
                  <w:r>
                    <w:rPr>
                      <w:rFonts w:hint="default" w:ascii="Times New Roman" w:hAnsi="Times New Roman" w:cs="Times New Roman"/>
                      <w:color w:val="auto"/>
                      <w:sz w:val="21"/>
                      <w:szCs w:val="21"/>
                      <w:lang w:eastAsia="zh-CN"/>
                    </w:rPr>
                    <w:t>通风系统</w:t>
                  </w:r>
                  <w:r>
                    <w:rPr>
                      <w:rFonts w:hint="eastAsia" w:cs="Times New Roman"/>
                      <w:color w:val="auto"/>
                      <w:sz w:val="21"/>
                      <w:szCs w:val="21"/>
                      <w:lang w:eastAsia="zh-CN"/>
                    </w:rPr>
                    <w:t>，</w:t>
                  </w:r>
                  <w:r>
                    <w:rPr>
                      <w:rFonts w:hint="eastAsia" w:cs="Times New Roman"/>
                      <w:color w:val="auto"/>
                      <w:sz w:val="21"/>
                      <w:szCs w:val="21"/>
                      <w:highlight w:val="none"/>
                      <w:lang w:eastAsia="zh-CN"/>
                    </w:rPr>
                    <w:t>机房</w:t>
                  </w:r>
                  <w:r>
                    <w:rPr>
                      <w:rFonts w:hint="default" w:ascii="Times New Roman" w:hAnsi="Times New Roman" w:cs="Times New Roman"/>
                      <w:color w:val="auto"/>
                      <w:sz w:val="21"/>
                      <w:szCs w:val="21"/>
                      <w:highlight w:val="none"/>
                    </w:rPr>
                    <w:t>内</w:t>
                  </w:r>
                  <w:r>
                    <w:rPr>
                      <w:rFonts w:hint="eastAsia" w:cs="Times New Roman"/>
                      <w:color w:val="auto"/>
                      <w:sz w:val="21"/>
                      <w:szCs w:val="21"/>
                      <w:highlight w:val="none"/>
                      <w:lang w:eastAsia="zh-CN"/>
                    </w:rPr>
                    <w:t>设置通风口，并保持良好的通风；</w:t>
                  </w:r>
                </w:p>
              </w:tc>
            </w:tr>
            <w:tr w14:paraId="47AFE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52912ED9">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4EF88893">
                  <w:pPr>
                    <w:pStyle w:val="26"/>
                    <w:keepNext w:val="0"/>
                    <w:keepLines w:val="0"/>
                    <w:suppressLineNumbers w:val="0"/>
                    <w:spacing w:before="0" w:beforeAutospacing="0" w:after="0" w:afterAutospacing="0"/>
                    <w:ind w:left="0" w:leftChars="0" w:right="0" w:rightChars="0" w:firstLine="0" w:firstLineChars="0"/>
                    <w:jc w:val="left"/>
                    <w:rPr>
                      <w:rFonts w:hint="eastAsia" w:cs="Times New Roman"/>
                      <w:color w:val="auto"/>
                      <w:sz w:val="21"/>
                      <w:szCs w:val="21"/>
                      <w:lang w:eastAsia="zh-CN"/>
                    </w:rPr>
                  </w:pPr>
                  <w:r>
                    <w:rPr>
                      <w:rFonts w:hint="eastAsia" w:cs="Times New Roman"/>
                      <w:color w:val="auto"/>
                      <w:sz w:val="21"/>
                      <w:szCs w:val="21"/>
                      <w:lang w:eastAsia="zh-CN"/>
                    </w:rPr>
                    <w:t>推拉式机房门设有曝光时关闭机房门的管理措施；工作状态指示灯能与机房门有效关联；</w:t>
                  </w:r>
                </w:p>
              </w:tc>
            </w:tr>
            <w:tr w14:paraId="574B6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52C64DF4">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3F6DD5A5">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cs="Times New Roman"/>
                      <w:color w:val="auto"/>
                      <w:sz w:val="21"/>
                      <w:szCs w:val="21"/>
                      <w:lang w:eastAsia="zh-CN"/>
                    </w:rPr>
                    <w:t>电动推拉</w:t>
                  </w:r>
                  <w:r>
                    <w:rPr>
                      <w:rFonts w:hint="default" w:ascii="Times New Roman" w:hAnsi="Times New Roman" w:eastAsia="宋体" w:cs="Times New Roman"/>
                      <w:color w:val="auto"/>
                      <w:sz w:val="21"/>
                      <w:szCs w:val="21"/>
                      <w:lang w:eastAsia="zh-CN"/>
                    </w:rPr>
                    <w:t>大门</w:t>
                  </w:r>
                  <w:r>
                    <w:rPr>
                      <w:rFonts w:hint="default" w:ascii="Times New Roman" w:hAnsi="Times New Roman" w:cs="Times New Roman"/>
                      <w:color w:val="auto"/>
                      <w:sz w:val="21"/>
                      <w:szCs w:val="21"/>
                      <w:lang w:eastAsia="zh-CN"/>
                    </w:rPr>
                    <w:t>设置</w:t>
                  </w:r>
                  <w:r>
                    <w:rPr>
                      <w:rFonts w:hint="default" w:ascii="Times New Roman" w:hAnsi="Times New Roman" w:eastAsia="宋体" w:cs="Times New Roman"/>
                      <w:color w:val="auto"/>
                      <w:sz w:val="21"/>
                      <w:szCs w:val="21"/>
                      <w:lang w:eastAsia="zh-CN"/>
                    </w:rPr>
                    <w:t>防夹装置</w:t>
                  </w:r>
                  <w:r>
                    <w:rPr>
                      <w:rFonts w:hint="eastAsia" w:cs="Times New Roman"/>
                      <w:color w:val="auto"/>
                      <w:sz w:val="21"/>
                      <w:szCs w:val="21"/>
                      <w:lang w:eastAsia="zh-CN"/>
                    </w:rPr>
                    <w:t>；</w:t>
                  </w:r>
                </w:p>
              </w:tc>
            </w:tr>
            <w:tr w14:paraId="29736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0D6836B3">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1D858BB5">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受检者不应在机房内候诊；非特殊情况，检查过程中陪检者不应滞留在机房内</w:t>
                  </w:r>
                  <w:r>
                    <w:rPr>
                      <w:rFonts w:hint="eastAsia" w:cs="Times New Roman"/>
                      <w:color w:val="auto"/>
                      <w:sz w:val="21"/>
                      <w:szCs w:val="21"/>
                      <w:lang w:eastAsia="zh-CN"/>
                    </w:rPr>
                    <w:t>；</w:t>
                  </w:r>
                </w:p>
              </w:tc>
            </w:tr>
            <w:tr w14:paraId="14706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20CDF4FB">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7FA00A57">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cs="Times New Roman"/>
                      <w:color w:val="auto"/>
                      <w:sz w:val="21"/>
                      <w:szCs w:val="21"/>
                      <w:lang w:val="en-US" w:eastAsia="zh-CN"/>
                    </w:rPr>
                    <w:t>机房出入门宜处于散射辐射相对低的位置</w:t>
                  </w:r>
                </w:p>
              </w:tc>
            </w:tr>
            <w:tr w14:paraId="4A168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top"/>
                </w:tcPr>
                <w:p w14:paraId="746C2A6B">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top"/>
                </w:tcPr>
                <w:p w14:paraId="347ABE05">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岗位职责、操作规程和管理制度等张贴上墙。</w:t>
                  </w:r>
                </w:p>
              </w:tc>
            </w:tr>
            <w:tr w14:paraId="4C1A8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restart"/>
                  <w:vAlign w:val="center"/>
                </w:tcPr>
                <w:p w14:paraId="7B025C61">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个人防护</w:t>
                  </w:r>
                </w:p>
              </w:tc>
              <w:tc>
                <w:tcPr>
                  <w:tcW w:w="8112" w:type="dxa"/>
                  <w:vAlign w:val="center"/>
                </w:tcPr>
                <w:p w14:paraId="5B1047EF">
                  <w:pPr>
                    <w:pStyle w:val="26"/>
                    <w:keepNext w:val="0"/>
                    <w:keepLines w:val="0"/>
                    <w:suppressLineNumbers w:val="0"/>
                    <w:spacing w:before="0" w:beforeAutospacing="0" w:after="0" w:afterAutospacing="0"/>
                    <w:ind w:left="0" w:leftChars="0" w:right="0" w:rightChars="0" w:firstLine="0" w:firstLineChars="0"/>
                    <w:jc w:val="both"/>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辐射工作人员在参与辐射工作前必须报名参加核技术利用辐射安全与防护考核，并取得考核合格证书。</w:t>
                  </w:r>
                </w:p>
              </w:tc>
            </w:tr>
            <w:tr w14:paraId="6925D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3A2CE5C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center"/>
                </w:tcPr>
                <w:p w14:paraId="6E147482">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辐射工作人员</w:t>
                  </w:r>
                  <w:r>
                    <w:rPr>
                      <w:rFonts w:hint="default" w:ascii="Times New Roman" w:hAnsi="Times New Roman" w:eastAsia="宋体" w:cs="Times New Roman"/>
                      <w:color w:val="auto"/>
                      <w:sz w:val="21"/>
                      <w:szCs w:val="21"/>
                      <w:lang w:eastAsia="zh-CN"/>
                    </w:rPr>
                    <w:t>应</w:t>
                  </w:r>
                  <w:r>
                    <w:rPr>
                      <w:rFonts w:hint="default" w:ascii="Times New Roman" w:hAnsi="Times New Roman" w:eastAsia="宋体" w:cs="Times New Roman"/>
                      <w:color w:val="auto"/>
                      <w:sz w:val="21"/>
                      <w:szCs w:val="21"/>
                    </w:rPr>
                    <w:t>佩戴个人剂量计（介入手术医师应佩戴不同颜色外壳的内外个人剂量片），开展个人剂量监测。</w:t>
                  </w:r>
                </w:p>
              </w:tc>
            </w:tr>
            <w:tr w14:paraId="4BE26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3EF97012">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center"/>
                </w:tcPr>
                <w:p w14:paraId="28D95D94">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辐射工作人员均需参加职业健康体检，体检合格方能上岗。</w:t>
                  </w:r>
                </w:p>
              </w:tc>
            </w:tr>
            <w:tr w14:paraId="69A94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0" w:type="dxa"/>
                  <w:gridSpan w:val="2"/>
                  <w:vMerge w:val="continue"/>
                  <w:vAlign w:val="center"/>
                </w:tcPr>
                <w:p w14:paraId="5890E49B">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8112" w:type="dxa"/>
                  <w:vAlign w:val="center"/>
                </w:tcPr>
                <w:p w14:paraId="4D4BBC98">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配置铅悬挂防护屏、铅防护吊帘、床侧防护帘、床侧防护屏等辅助防护设施及铅橡胶围裙、铅橡胶颈套、铅防护眼镜等个人防护用品。</w:t>
                  </w:r>
                </w:p>
              </w:tc>
            </w:tr>
            <w:tr w14:paraId="44C58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6" w:type="dxa"/>
                  <w:vMerge w:val="restart"/>
                  <w:vAlign w:val="center"/>
                </w:tcPr>
                <w:p w14:paraId="706211E3">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管理措施</w:t>
                  </w:r>
                </w:p>
              </w:tc>
              <w:tc>
                <w:tcPr>
                  <w:tcW w:w="764" w:type="dxa"/>
                  <w:vAlign w:val="center"/>
                </w:tcPr>
                <w:p w14:paraId="650F1E17">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管理机构</w:t>
                  </w:r>
                </w:p>
              </w:tc>
              <w:tc>
                <w:tcPr>
                  <w:tcW w:w="8112" w:type="dxa"/>
                  <w:vAlign w:val="top"/>
                </w:tcPr>
                <w:p w14:paraId="60C0DE24">
                  <w:pPr>
                    <w:pStyle w:val="26"/>
                    <w:keepNext w:val="0"/>
                    <w:keepLines w:val="0"/>
                    <w:suppressLineNumbers w:val="0"/>
                    <w:spacing w:before="0" w:beforeAutospacing="0" w:after="0" w:afterAutospacing="0"/>
                    <w:ind w:left="0" w:leftChars="0" w:right="0" w:rightChars="0" w:firstLine="0" w:firstLineChars="0"/>
                    <w:jc w:val="both"/>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已成立</w:t>
                  </w:r>
                  <w:r>
                    <w:rPr>
                      <w:rFonts w:hint="default" w:ascii="Times New Roman" w:hAnsi="Times New Roman" w:eastAsia="宋体" w:cs="Times New Roman"/>
                      <w:color w:val="auto"/>
                      <w:sz w:val="21"/>
                      <w:szCs w:val="21"/>
                      <w:lang w:eastAsia="zh-CN"/>
                    </w:rPr>
                    <w:t>辐射安全防护领导小组</w:t>
                  </w:r>
                  <w:r>
                    <w:rPr>
                      <w:rFonts w:hint="default" w:ascii="Times New Roman" w:hAnsi="Times New Roman" w:eastAsia="宋体" w:cs="Times New Roman"/>
                      <w:color w:val="auto"/>
                      <w:sz w:val="21"/>
                      <w:szCs w:val="21"/>
                    </w:rPr>
                    <w:t>，全面负责医院的辐射安全与环境保护管理工作，在组成上涵盖了现有核技术应用所涉及的相关部门和科室，可以满足医院辐射安全与环境保护管理工作的需要，后期根据医院核技术利用项目的变化情况及时调整。</w:t>
                  </w:r>
                </w:p>
              </w:tc>
            </w:tr>
            <w:tr w14:paraId="21E7E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6" w:type="dxa"/>
                  <w:vMerge w:val="continue"/>
                  <w:vAlign w:val="top"/>
                </w:tcPr>
                <w:p w14:paraId="1EEA436F">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p>
              </w:tc>
              <w:tc>
                <w:tcPr>
                  <w:tcW w:w="764" w:type="dxa"/>
                  <w:vAlign w:val="center"/>
                </w:tcPr>
                <w:p w14:paraId="683C44F3">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管理制度</w:t>
                  </w:r>
                </w:p>
              </w:tc>
              <w:tc>
                <w:tcPr>
                  <w:tcW w:w="8112" w:type="dxa"/>
                  <w:vAlign w:val="top"/>
                </w:tcPr>
                <w:p w14:paraId="796C7018">
                  <w:pPr>
                    <w:pStyle w:val="26"/>
                    <w:keepNext w:val="0"/>
                    <w:keepLines w:val="0"/>
                    <w:suppressLineNumbers w:val="0"/>
                    <w:spacing w:before="0" w:beforeAutospacing="0" w:after="0" w:afterAutospacing="0"/>
                    <w:ind w:left="0" w:right="0" w:firstLine="420" w:firstLineChars="20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已建立</w:t>
                  </w:r>
                  <w:r>
                    <w:rPr>
                      <w:rFonts w:hint="eastAsia" w:cs="Times New Roman"/>
                      <w:color w:val="auto"/>
                      <w:kern w:val="2"/>
                      <w:sz w:val="21"/>
                      <w:szCs w:val="21"/>
                      <w:lang w:val="en-US" w:eastAsia="zh-CN" w:bidi="ar-SA"/>
                    </w:rPr>
                    <w:t>《放射工作人员从业和防护培训制度》《放射防护管理制度》《放射工作人员职业健康管理制度》《放射工作人员个人剂量监测制度》《放射科档案管理制度》《放射科工作人员岗位职责》《放射科工作制度》《影像质量保证方案》《辐射安全监测方案》《辐射事故应急预案》</w:t>
                  </w:r>
                  <w:r>
                    <w:rPr>
                      <w:rFonts w:hint="default" w:ascii="Times New Roman" w:hAnsi="Times New Roman" w:eastAsia="宋体" w:cs="Times New Roman"/>
                      <w:color w:val="auto"/>
                      <w:sz w:val="21"/>
                      <w:szCs w:val="21"/>
                    </w:rPr>
                    <w:t>。</w:t>
                  </w:r>
                </w:p>
                <w:p w14:paraId="78310F78">
                  <w:pPr>
                    <w:pStyle w:val="26"/>
                    <w:keepNext w:val="0"/>
                    <w:keepLines w:val="0"/>
                    <w:suppressLineNumbers w:val="0"/>
                    <w:spacing w:before="0" w:beforeAutospacing="0" w:after="0" w:afterAutospacing="0"/>
                    <w:ind w:left="0" w:leftChars="0" w:right="0" w:rightChars="0" w:firstLine="420" w:firstLineChars="200"/>
                    <w:jc w:val="both"/>
                    <w:rPr>
                      <w:rFonts w:hint="default" w:ascii="Times New Roman" w:hAnsi="Times New Roman" w:cs="Times New Roman"/>
                      <w:b/>
                      <w:bCs/>
                      <w:color w:val="auto"/>
                      <w:vertAlign w:val="baseline"/>
                      <w:lang w:val="en-US" w:eastAsia="zh-CN"/>
                    </w:rPr>
                  </w:pPr>
                  <w:r>
                    <w:rPr>
                      <w:rFonts w:hint="default" w:ascii="Times New Roman" w:hAnsi="Times New Roman" w:eastAsia="宋体" w:cs="Times New Roman"/>
                      <w:color w:val="auto"/>
                      <w:sz w:val="21"/>
                      <w:szCs w:val="21"/>
                    </w:rPr>
                    <w:t>可以满足医院辐射安全与环境保护管理工作的需要，后期根据医院核技术利用项目的变化情况及时调整。</w:t>
                  </w:r>
                </w:p>
              </w:tc>
            </w:tr>
          </w:tbl>
          <w:p w14:paraId="165FC965">
            <w:pPr>
              <w:pStyle w:val="23"/>
              <w:keepNext w:val="0"/>
              <w:keepLines w:val="0"/>
              <w:numPr>
                <w:ilvl w:val="0"/>
                <w:numId w:val="0"/>
              </w:numPr>
              <w:suppressLineNumbers w:val="0"/>
              <w:spacing w:before="0" w:beforeAutospacing="0" w:after="0" w:afterAutospacing="0"/>
              <w:ind w:left="0" w:right="0" w:rightChars="0" w:firstLine="482" w:firstLineChars="200"/>
              <w:rPr>
                <w:rFonts w:hint="default" w:ascii="Times New Roman" w:hAnsi="Times New Roman" w:cs="Times New Roman"/>
                <w:b/>
                <w:bCs/>
                <w:color w:val="auto"/>
                <w:lang w:eastAsia="zh-CN"/>
              </w:rPr>
            </w:pPr>
            <w:r>
              <w:rPr>
                <w:rFonts w:hint="default" w:ascii="Times New Roman" w:hAnsi="Times New Roman" w:cs="Times New Roman"/>
                <w:b/>
                <w:bCs/>
                <w:color w:val="auto"/>
                <w:lang w:val="en-US" w:eastAsia="zh-CN"/>
              </w:rPr>
              <w:t>3、</w:t>
            </w:r>
            <w:r>
              <w:rPr>
                <w:rFonts w:hint="default" w:ascii="Times New Roman" w:hAnsi="Times New Roman" w:cs="Times New Roman"/>
                <w:b/>
                <w:bCs/>
                <w:color w:val="auto"/>
                <w:lang w:eastAsia="zh-CN"/>
              </w:rPr>
              <w:t>三废的治理措施</w:t>
            </w:r>
          </w:p>
          <w:p w14:paraId="44E76D54">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（1）废气</w:t>
            </w:r>
          </w:p>
          <w:p w14:paraId="760C68FF">
            <w:pPr>
              <w:pStyle w:val="23"/>
              <w:keepNext w:val="0"/>
              <w:keepLines w:val="0"/>
              <w:suppressLineNumbers w:val="0"/>
              <w:spacing w:before="0" w:beforeAutospacing="0" w:after="0" w:afterAutospacing="0"/>
              <w:ind w:left="0" w:leftChars="0" w:right="0" w:firstLine="480" w:firstLineChars="200"/>
              <w:rPr>
                <w:rFonts w:hint="default" w:ascii="Times New Roman" w:hAnsi="Times New Roman" w:eastAsia="宋体" w:cs="Times New Roman"/>
                <w:color w:val="auto"/>
                <w:lang w:val="en-US" w:eastAsia="zh-CN"/>
              </w:rPr>
            </w:pPr>
            <w:r>
              <w:rPr>
                <w:rFonts w:hint="default" w:ascii="Times New Roman" w:hAnsi="Times New Roman" w:cs="Times New Roman"/>
                <w:color w:val="auto"/>
              </w:rPr>
              <w:t>在</w:t>
            </w:r>
            <w:r>
              <w:rPr>
                <w:rFonts w:hint="default" w:ascii="Times New Roman" w:hAnsi="Times New Roman" w:cs="Times New Roman"/>
                <w:color w:val="auto"/>
                <w:lang w:val="en-US" w:eastAsia="zh-CN"/>
              </w:rPr>
              <w:t>设备</w:t>
            </w:r>
            <w:r>
              <w:rPr>
                <w:rFonts w:hint="default" w:ascii="Times New Roman" w:hAnsi="Times New Roman" w:cs="Times New Roman"/>
                <w:color w:val="auto"/>
              </w:rPr>
              <w:t>开机并曝光时，X射线电离空气，会产生极少量的臭氧和氮氧化物。本项目</w:t>
            </w:r>
            <w:r>
              <w:rPr>
                <w:rFonts w:hint="default" w:ascii="Times New Roman" w:hAnsi="Times New Roman" w:cs="Times New Roman"/>
                <w:color w:val="auto"/>
                <w:lang w:val="en-US" w:eastAsia="zh-CN"/>
              </w:rPr>
              <w:t>DSA</w:t>
            </w:r>
            <w:r>
              <w:rPr>
                <w:rFonts w:hint="eastAsia" w:cs="Times New Roman"/>
                <w:i w:val="0"/>
                <w:iCs w:val="0"/>
                <w:color w:val="auto"/>
                <w:highlight w:val="none"/>
                <w:lang w:eastAsia="zh-CN"/>
              </w:rPr>
              <w:t>机房设置动力通风系统，安装低噪音进、排风机(700m</w:t>
            </w:r>
            <w:r>
              <w:rPr>
                <w:rFonts w:hint="eastAsia" w:cs="Times New Roman"/>
                <w:i w:val="0"/>
                <w:iCs w:val="0"/>
                <w:color w:val="auto"/>
                <w:highlight w:val="none"/>
                <w:vertAlign w:val="superscript"/>
                <w:lang w:eastAsia="zh-CN"/>
              </w:rPr>
              <w:t>3</w:t>
            </w:r>
            <w:r>
              <w:rPr>
                <w:rFonts w:hint="eastAsia" w:cs="Times New Roman"/>
                <w:i w:val="0"/>
                <w:iCs w:val="0"/>
                <w:color w:val="auto"/>
                <w:highlight w:val="none"/>
                <w:lang w:eastAsia="zh-CN"/>
              </w:rPr>
              <w:t>/h)各一套，</w:t>
            </w:r>
            <w:r>
              <w:rPr>
                <w:rFonts w:hint="eastAsia" w:cs="Times New Roman"/>
                <w:color w:val="auto"/>
                <w:lang w:eastAsia="zh-CN"/>
              </w:rPr>
              <w:t>在机房</w:t>
            </w:r>
            <w:r>
              <w:rPr>
                <w:rFonts w:hint="default" w:ascii="Times New Roman" w:hAnsi="Times New Roman" w:cs="Times New Roman"/>
                <w:color w:val="auto"/>
              </w:rPr>
              <w:t>内</w:t>
            </w:r>
            <w:r>
              <w:rPr>
                <w:rFonts w:hint="eastAsia" w:cs="Times New Roman"/>
                <w:color w:val="auto"/>
                <w:lang w:eastAsia="zh-CN"/>
              </w:rPr>
              <w:t>设置送风、排风口</w:t>
            </w:r>
            <w:r>
              <w:rPr>
                <w:rFonts w:hint="default" w:ascii="Times New Roman" w:hAnsi="Times New Roman" w:cs="Times New Roman"/>
                <w:color w:val="auto"/>
              </w:rPr>
              <w:t>。</w:t>
            </w:r>
            <w:r>
              <w:rPr>
                <w:rFonts w:hint="eastAsia" w:cs="Times New Roman"/>
                <w:color w:val="auto"/>
                <w:lang w:eastAsia="zh-CN"/>
              </w:rPr>
              <w:t>，</w:t>
            </w:r>
            <w:r>
              <w:rPr>
                <w:rFonts w:hint="default" w:ascii="Times New Roman" w:hAnsi="Times New Roman" w:cs="Times New Roman"/>
                <w:color w:val="auto"/>
                <w:lang w:val="en-US" w:eastAsia="zh-CN"/>
              </w:rPr>
              <w:t>设备</w:t>
            </w:r>
            <w:r>
              <w:rPr>
                <w:rFonts w:hint="default" w:ascii="Times New Roman" w:hAnsi="Times New Roman" w:cs="Times New Roman"/>
                <w:color w:val="auto"/>
              </w:rPr>
              <w:t>运行时产生的</w:t>
            </w:r>
            <w:r>
              <w:rPr>
                <w:rFonts w:hint="eastAsia" w:cs="Times New Roman"/>
                <w:color w:val="auto"/>
                <w:lang w:eastAsia="zh-CN"/>
              </w:rPr>
              <w:t>废气</w:t>
            </w:r>
            <w:r>
              <w:rPr>
                <w:rFonts w:hint="default" w:ascii="Times New Roman" w:hAnsi="Times New Roman" w:cs="Times New Roman"/>
                <w:color w:val="auto"/>
              </w:rPr>
              <w:t>通过</w:t>
            </w:r>
            <w:r>
              <w:rPr>
                <w:rFonts w:hint="default" w:ascii="Times New Roman" w:hAnsi="Times New Roman" w:cs="Times New Roman"/>
                <w:color w:val="auto"/>
                <w:lang w:eastAsia="zh-CN"/>
              </w:rPr>
              <w:t>排风系统</w:t>
            </w:r>
            <w:r>
              <w:rPr>
                <w:rFonts w:hint="default" w:ascii="Times New Roman" w:hAnsi="Times New Roman" w:cs="Times New Roman"/>
                <w:color w:val="auto"/>
              </w:rPr>
              <w:t>排出机房，符合《放</w:t>
            </w:r>
            <w:r>
              <w:rPr>
                <w:rFonts w:hint="default" w:ascii="Times New Roman" w:hAnsi="Times New Roman" w:cs="Times New Roman"/>
                <w:color w:val="auto"/>
                <w:lang w:eastAsia="zh-CN"/>
              </w:rPr>
              <w:t>射诊断</w:t>
            </w:r>
            <w:r>
              <w:rPr>
                <w:rFonts w:hint="default" w:ascii="Times New Roman" w:hAnsi="Times New Roman" w:cs="Times New Roman"/>
                <w:color w:val="auto"/>
              </w:rPr>
              <w:t>放射防护要求》（GBZ130-2020）</w:t>
            </w:r>
            <w:r>
              <w:rPr>
                <w:rFonts w:hint="default" w:ascii="Times New Roman" w:hAnsi="Times New Roman" w:cs="Times New Roman"/>
                <w:color w:val="auto"/>
                <w:lang w:eastAsia="zh-CN"/>
              </w:rPr>
              <w:t>规定</w:t>
            </w:r>
            <w:r>
              <w:rPr>
                <w:rFonts w:hint="eastAsia" w:ascii="宋体" w:hAnsi="宋体" w:eastAsia="宋体" w:cs="宋体"/>
                <w:color w:val="auto"/>
              </w:rPr>
              <w:t>的</w:t>
            </w:r>
            <w:r>
              <w:rPr>
                <w:rFonts w:hint="eastAsia" w:ascii="宋体" w:hAnsi="宋体" w:eastAsia="宋体" w:cs="宋体"/>
                <w:color w:val="auto"/>
                <w:spacing w:val="-2"/>
                <w:kern w:val="0"/>
                <w:sz w:val="24"/>
                <w:lang w:val="en-US" w:eastAsia="zh-CN"/>
              </w:rPr>
              <w:t>“机房应设置动力通风装置，并保持良好通风”</w:t>
            </w:r>
            <w:r>
              <w:rPr>
                <w:rFonts w:hint="eastAsia" w:ascii="宋体" w:hAnsi="宋体" w:eastAsia="宋体" w:cs="宋体"/>
                <w:color w:val="auto"/>
              </w:rPr>
              <w:t>要求。</w:t>
            </w:r>
          </w:p>
          <w:p w14:paraId="778C78DA">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（2）废水</w:t>
            </w:r>
          </w:p>
          <w:p w14:paraId="01D55BA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z w:val="24"/>
                <w:szCs w:val="24"/>
                <w:highlight w:val="none"/>
                <w:lang w:eastAsia="zh-CN"/>
              </w:rPr>
            </w:pPr>
            <w:r>
              <w:rPr>
                <w:rFonts w:hint="default" w:ascii="Times New Roman" w:hAnsi="Times New Roman" w:cs="Times New Roman"/>
                <w:b w:val="0"/>
                <w:bCs/>
                <w:color w:val="auto"/>
                <w:sz w:val="24"/>
                <w:szCs w:val="24"/>
                <w:lang w:eastAsia="zh-CN"/>
              </w:rPr>
              <w:t>本项目DSA采用先进的实时成像系统，注入的造影剂不含放射性，无废显影液和定影液产生</w:t>
            </w:r>
            <w:r>
              <w:rPr>
                <w:rFonts w:hint="default" w:ascii="Times New Roman" w:hAnsi="Times New Roman" w:cs="Times New Roman"/>
                <w:b w:val="0"/>
                <w:bCs/>
                <w:color w:val="auto"/>
                <w:sz w:val="24"/>
                <w:szCs w:val="24"/>
                <w:lang w:val="en-US" w:eastAsia="zh-CN"/>
              </w:rPr>
              <w:t>。</w:t>
            </w:r>
            <w:r>
              <w:rPr>
                <w:rFonts w:hint="default" w:ascii="Times New Roman" w:hAnsi="Times New Roman" w:cs="Times New Roman"/>
                <w:color w:val="auto"/>
                <w:sz w:val="24"/>
                <w:szCs w:val="24"/>
                <w:lang w:val="en-US" w:eastAsia="zh-CN"/>
              </w:rPr>
              <w:t>本项目病人</w:t>
            </w:r>
            <w:r>
              <w:rPr>
                <w:rFonts w:hint="eastAsia" w:ascii="Times New Roman" w:hAnsi="Times New Roman" w:cs="Times New Roman"/>
                <w:color w:val="auto"/>
                <w:sz w:val="24"/>
                <w:szCs w:val="24"/>
                <w:lang w:val="en-US" w:eastAsia="zh-CN"/>
              </w:rPr>
              <w:t>来自</w:t>
            </w:r>
            <w:r>
              <w:rPr>
                <w:rFonts w:hint="default" w:ascii="Times New Roman" w:hAnsi="Times New Roman" w:cs="Times New Roman"/>
                <w:color w:val="auto"/>
                <w:sz w:val="24"/>
                <w:szCs w:val="24"/>
                <w:lang w:val="en-US" w:eastAsia="zh-CN"/>
              </w:rPr>
              <w:t>医院的住院病人，辐射工作人员从现有工作人员中调剂，因此本项目废</w:t>
            </w:r>
            <w:r>
              <w:rPr>
                <w:rFonts w:hint="default" w:ascii="Times New Roman" w:hAnsi="Times New Roman" w:cs="Times New Roman"/>
                <w:color w:val="auto"/>
                <w:sz w:val="24"/>
                <w:szCs w:val="24"/>
                <w:highlight w:val="none"/>
                <w:lang w:val="en-US" w:eastAsia="zh-CN"/>
              </w:rPr>
              <w:t>水产生量包含在医院整体废水产生量中</w:t>
            </w:r>
            <w:r>
              <w:rPr>
                <w:rFonts w:hint="default" w:ascii="Times New Roman" w:hAnsi="Times New Roman"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生活污水经化粪池预处理后与医疗废水合并</w:t>
            </w:r>
            <w:r>
              <w:rPr>
                <w:rFonts w:hint="default" w:ascii="Times New Roman" w:hAnsi="Times New Roman" w:cs="Times New Roman"/>
                <w:color w:val="auto"/>
                <w:sz w:val="24"/>
                <w:szCs w:val="24"/>
                <w:highlight w:val="none"/>
                <w:lang w:val="en-US" w:eastAsia="zh-CN"/>
              </w:rPr>
              <w:t>排</w:t>
            </w:r>
            <w:r>
              <w:rPr>
                <w:rFonts w:hint="default" w:ascii="Times New Roman" w:hAnsi="Times New Roman" w:eastAsia="宋体" w:cs="Times New Roman"/>
                <w:color w:val="auto"/>
                <w:sz w:val="24"/>
                <w:szCs w:val="24"/>
                <w:highlight w:val="none"/>
                <w:lang w:val="en-US" w:eastAsia="zh-CN"/>
              </w:rPr>
              <w:t>入</w:t>
            </w:r>
            <w:r>
              <w:rPr>
                <w:rFonts w:hint="eastAsia" w:ascii="Times New Roman" w:hAnsi="Times New Roman" w:eastAsia="宋体" w:cs="Times New Roman"/>
                <w:color w:val="auto"/>
                <w:sz w:val="24"/>
                <w:szCs w:val="24"/>
                <w:highlight w:val="none"/>
                <w:lang w:val="en-US" w:eastAsia="zh-CN"/>
              </w:rPr>
              <w:t>医院</w:t>
            </w:r>
            <w:r>
              <w:rPr>
                <w:rFonts w:hint="default" w:ascii="Times New Roman" w:hAnsi="Times New Roman" w:eastAsia="宋体" w:cs="Times New Roman"/>
                <w:color w:val="auto"/>
                <w:sz w:val="24"/>
                <w:szCs w:val="24"/>
                <w:highlight w:val="none"/>
                <w:lang w:val="en-US" w:eastAsia="zh-CN"/>
              </w:rPr>
              <w:t>污水处理站处理，处理达到接管标准后</w:t>
            </w:r>
            <w:r>
              <w:rPr>
                <w:rFonts w:hint="eastAsia" w:ascii="宋体" w:hAnsi="宋体" w:eastAsia="宋体" w:cs="宋体"/>
                <w:color w:val="auto"/>
                <w:sz w:val="24"/>
                <w:szCs w:val="24"/>
                <w:highlight w:val="none"/>
                <w:lang w:val="en-US" w:eastAsia="zh-CN"/>
              </w:rPr>
              <w:t>接入市政污水管网，进入寿县安丰镇污水处理厂</w:t>
            </w:r>
            <w:r>
              <w:rPr>
                <w:rFonts w:hint="default" w:ascii="Times New Roman" w:hAnsi="Times New Roman" w:cs="Times New Roman"/>
                <w:color w:val="auto"/>
                <w:sz w:val="24"/>
                <w:szCs w:val="24"/>
                <w:highlight w:val="none"/>
                <w:lang w:eastAsia="zh-CN"/>
              </w:rPr>
              <w:t>。</w:t>
            </w:r>
            <w:r>
              <w:rPr>
                <w:rFonts w:hint="eastAsia" w:ascii="宋体" w:hAnsi="宋体" w:eastAsia="宋体" w:cs="宋体"/>
                <w:color w:val="auto"/>
                <w:kern w:val="0"/>
                <w:sz w:val="24"/>
                <w:szCs w:val="24"/>
                <w:highlight w:val="none"/>
                <w:lang w:val="en-US" w:eastAsia="zh-CN" w:bidi="ar"/>
              </w:rPr>
              <w:t>医院污水处理站污水处理能力满足需求，因此本项目产生的污水可依托医院现有的污水处理站处理是可行的</w:t>
            </w:r>
            <w:r>
              <w:rPr>
                <w:rFonts w:hint="default" w:ascii="Times New Roman" w:hAnsi="Times New Roman" w:cs="Times New Roman"/>
                <w:color w:val="auto"/>
                <w:sz w:val="24"/>
                <w:szCs w:val="24"/>
                <w:highlight w:val="none"/>
                <w:lang w:eastAsia="zh-CN"/>
              </w:rPr>
              <w:t>，对周围环境影响较小。</w:t>
            </w:r>
          </w:p>
          <w:p w14:paraId="2387ED13">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rPr>
            </w:pPr>
            <w:r>
              <w:rPr>
                <w:rFonts w:hint="default" w:ascii="Times New Roman" w:hAnsi="Times New Roman" w:cs="Times New Roman"/>
                <w:color w:val="auto"/>
                <w:highlight w:val="none"/>
              </w:rPr>
              <w:t>（3）噪声</w:t>
            </w:r>
          </w:p>
          <w:p w14:paraId="58EBFF9C">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rPr>
            </w:pPr>
            <w:r>
              <w:rPr>
                <w:rFonts w:hint="default" w:ascii="Times New Roman" w:hAnsi="Times New Roman" w:cs="Times New Roman"/>
                <w:color w:val="auto"/>
              </w:rPr>
              <w:t>本项目</w:t>
            </w:r>
            <w:r>
              <w:rPr>
                <w:rFonts w:hint="default" w:ascii="Times New Roman" w:hAnsi="Times New Roman" w:cs="Times New Roman"/>
                <w:color w:val="auto"/>
                <w:lang w:val="en-US" w:eastAsia="zh-CN"/>
              </w:rPr>
              <w:t>DSA</w:t>
            </w:r>
            <w:r>
              <w:rPr>
                <w:rFonts w:hint="default" w:ascii="Times New Roman" w:hAnsi="Times New Roman" w:cs="Times New Roman"/>
                <w:color w:val="auto"/>
              </w:rPr>
              <w:t>机房</w:t>
            </w:r>
            <w:r>
              <w:rPr>
                <w:rFonts w:hint="default" w:ascii="Times New Roman" w:hAnsi="Times New Roman" w:cs="Times New Roman"/>
                <w:color w:val="auto"/>
                <w:lang w:val="en-US" w:eastAsia="zh-CN"/>
              </w:rPr>
              <w:t>室</w:t>
            </w:r>
            <w:r>
              <w:rPr>
                <w:rFonts w:hint="default" w:ascii="Times New Roman" w:hAnsi="Times New Roman" w:cs="Times New Roman"/>
                <w:color w:val="auto"/>
              </w:rPr>
              <w:t>内的</w:t>
            </w:r>
            <w:r>
              <w:rPr>
                <w:rFonts w:hint="eastAsia" w:cs="Times New Roman"/>
                <w:color w:val="auto"/>
                <w:lang w:eastAsia="zh-CN"/>
              </w:rPr>
              <w:t>通风系统拟安装低噪声风机，</w:t>
            </w:r>
            <w:r>
              <w:rPr>
                <w:rFonts w:hint="default" w:ascii="Times New Roman" w:hAnsi="Times New Roman" w:cs="Times New Roman"/>
                <w:color w:val="auto"/>
                <w:highlight w:val="none"/>
                <w:lang w:eastAsia="zh-CN"/>
              </w:rPr>
              <w:t>排风和空调机组</w:t>
            </w:r>
            <w:r>
              <w:rPr>
                <w:rFonts w:hint="default" w:ascii="Times New Roman" w:hAnsi="Times New Roman" w:cs="Times New Roman"/>
                <w:color w:val="auto"/>
                <w:highlight w:val="none"/>
              </w:rPr>
              <w:t>运行过程会产生机械噪声排放</w:t>
            </w:r>
            <w:r>
              <w:rPr>
                <w:rFonts w:hint="eastAsia" w:cs="Times New Roman"/>
                <w:color w:val="auto"/>
                <w:highlight w:val="none"/>
                <w:lang w:eastAsia="zh-CN"/>
              </w:rPr>
              <w:t>，采取隔声、减震等降噪措施后</w:t>
            </w:r>
            <w:r>
              <w:rPr>
                <w:rFonts w:hint="eastAsia"/>
                <w:color w:val="auto"/>
                <w:lang w:val="en-US" w:eastAsia="zh-CN"/>
              </w:rPr>
              <w:t>，</w:t>
            </w:r>
            <w:r>
              <w:rPr>
                <w:rFonts w:hint="default" w:ascii="Times New Roman" w:hAnsi="Times New Roman" w:cs="Times New Roman"/>
                <w:color w:val="auto"/>
              </w:rPr>
              <w:t>对周围</w:t>
            </w:r>
            <w:r>
              <w:rPr>
                <w:rFonts w:hint="default" w:ascii="Times New Roman" w:hAnsi="Times New Roman" w:cs="Times New Roman"/>
                <w:color w:val="auto"/>
                <w:lang w:eastAsia="zh-CN"/>
              </w:rPr>
              <w:t>声</w:t>
            </w:r>
            <w:r>
              <w:rPr>
                <w:rFonts w:hint="default" w:ascii="Times New Roman" w:hAnsi="Times New Roman" w:cs="Times New Roman"/>
                <w:color w:val="auto"/>
              </w:rPr>
              <w:t>环境影响较小</w:t>
            </w:r>
            <w:r>
              <w:rPr>
                <w:rFonts w:hint="eastAsia"/>
                <w:color w:val="auto"/>
                <w:highlight w:val="none"/>
                <w:lang w:val="en-US" w:eastAsia="zh-CN"/>
              </w:rPr>
              <w:t>。</w:t>
            </w:r>
          </w:p>
          <w:p w14:paraId="7D1E6B1C">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rPr>
            </w:pPr>
            <w:r>
              <w:rPr>
                <w:rFonts w:hint="default" w:ascii="Times New Roman" w:hAnsi="Times New Roman" w:cs="Times New Roman"/>
                <w:color w:val="auto"/>
                <w:highlight w:val="none"/>
              </w:rPr>
              <w:t>（4）固废</w:t>
            </w:r>
          </w:p>
          <w:p w14:paraId="11FCF6D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cs="Times New Roman"/>
                <w:color w:val="auto"/>
                <w:sz w:val="24"/>
                <w:szCs w:val="24"/>
                <w:highlight w:val="none"/>
                <w:lang w:eastAsia="zh-CN"/>
              </w:rPr>
              <w:t>本项目</w:t>
            </w:r>
            <w:r>
              <w:rPr>
                <w:rFonts w:hint="default" w:ascii="Times New Roman" w:hAnsi="Times New Roman" w:cs="Times New Roman"/>
                <w:color w:val="auto"/>
                <w:sz w:val="24"/>
                <w:szCs w:val="24"/>
                <w:highlight w:val="none"/>
                <w:lang w:val="en-US" w:eastAsia="zh-CN"/>
              </w:rPr>
              <w:t>DSA运营期间，产生的固体废物主要包括医疗废物和生活垃圾，</w:t>
            </w:r>
            <w:r>
              <w:rPr>
                <w:rFonts w:hint="eastAsia" w:ascii="宋体" w:hAnsi="宋体" w:eastAsia="宋体" w:cs="宋体"/>
                <w:color w:val="auto"/>
                <w:kern w:val="0"/>
                <w:sz w:val="24"/>
                <w:szCs w:val="24"/>
                <w:highlight w:val="none"/>
                <w:lang w:val="en-US" w:eastAsia="zh-CN" w:bidi="ar"/>
              </w:rPr>
              <w:t>医疗废物集中收集于医疗废物暂存房（医院东侧，面积为</w:t>
            </w:r>
            <w:r>
              <w:rPr>
                <w:rFonts w:hint="eastAsia" w:ascii="Times New Roman" w:hAnsi="Times New Roman" w:eastAsia="宋体" w:cs="Times New Roman"/>
                <w:color w:val="auto"/>
                <w:kern w:val="0"/>
                <w:sz w:val="24"/>
                <w:szCs w:val="24"/>
                <w:highlight w:val="none"/>
                <w:lang w:val="en-US" w:eastAsia="zh-CN" w:bidi="ar"/>
              </w:rPr>
              <w:t>3</w:t>
            </w:r>
            <w:r>
              <w:rPr>
                <w:rFonts w:hint="default" w:ascii="Times New Roman" w:hAnsi="Times New Roman" w:eastAsia="宋体" w:cs="Times New Roman"/>
                <w:color w:val="auto"/>
                <w:kern w:val="0"/>
                <w:sz w:val="24"/>
                <w:szCs w:val="24"/>
                <w:highlight w:val="none"/>
                <w:lang w:val="en-US" w:eastAsia="zh-CN" w:bidi="ar"/>
              </w:rPr>
              <w:t>0m</w:t>
            </w:r>
            <w:r>
              <w:rPr>
                <w:rFonts w:hint="default" w:ascii="Times New Roman" w:hAnsi="Times New Roman" w:eastAsia="宋体" w:cs="Times New Roman"/>
                <w:color w:val="auto"/>
                <w:kern w:val="0"/>
                <w:sz w:val="24"/>
                <w:szCs w:val="24"/>
                <w:highlight w:val="none"/>
                <w:vertAlign w:val="superscript"/>
                <w:lang w:val="en-US" w:eastAsia="zh-CN" w:bidi="ar"/>
              </w:rPr>
              <w:t>2</w:t>
            </w:r>
            <w:r>
              <w:rPr>
                <w:rFonts w:hint="eastAsia" w:ascii="宋体" w:hAnsi="宋体" w:eastAsia="宋体" w:cs="宋体"/>
                <w:color w:val="auto"/>
                <w:kern w:val="0"/>
                <w:sz w:val="24"/>
                <w:szCs w:val="24"/>
                <w:highlight w:val="none"/>
                <w:lang w:val="en-US" w:eastAsia="zh-CN" w:bidi="ar"/>
              </w:rPr>
              <w:t>），明确专人负责医疗废物的收集、转运、暂存的工作，严格按照要求对医疗废物进行处理。本项目运营期间固废增加量较少，可完全依托医院现有固体废物处理措施处理。</w:t>
            </w:r>
            <w:r>
              <w:rPr>
                <w:rFonts w:hint="default" w:ascii="Times New Roman" w:hAnsi="Times New Roman" w:cs="Times New Roman"/>
                <w:color w:val="auto"/>
                <w:sz w:val="24"/>
                <w:szCs w:val="24"/>
                <w:highlight w:val="none"/>
                <w:lang w:val="en-US" w:eastAsia="zh-CN"/>
              </w:rPr>
              <w:t>医疗废物分类收集暂存于</w:t>
            </w:r>
            <w:r>
              <w:rPr>
                <w:rFonts w:hint="eastAsia" w:cs="Times New Roman"/>
                <w:color w:val="auto"/>
                <w:sz w:val="24"/>
                <w:szCs w:val="24"/>
                <w:highlight w:val="none"/>
                <w:lang w:eastAsia="zh-CN"/>
              </w:rPr>
              <w:t>医疗废物暂存间</w:t>
            </w:r>
            <w:r>
              <w:rPr>
                <w:rFonts w:hint="default" w:ascii="Times New Roman" w:hAnsi="Times New Roman" w:cs="Times New Roman"/>
                <w:color w:val="auto"/>
                <w:sz w:val="24"/>
                <w:szCs w:val="24"/>
                <w:highlight w:val="none"/>
                <w:lang w:val="en-US" w:eastAsia="zh-CN"/>
              </w:rPr>
              <w:t>后交</w:t>
            </w:r>
            <w:r>
              <w:rPr>
                <w:rFonts w:hint="eastAsia" w:cs="Times New Roman"/>
                <w:color w:val="auto"/>
                <w:sz w:val="24"/>
                <w:szCs w:val="24"/>
                <w:highlight w:val="none"/>
                <w:lang w:val="en-US" w:eastAsia="zh-CN"/>
              </w:rPr>
              <w:t>委托</w:t>
            </w:r>
            <w:r>
              <w:rPr>
                <w:rFonts w:hint="default" w:ascii="Times New Roman" w:hAnsi="Times New Roman" w:eastAsia="宋体" w:cs="Times New Roman"/>
                <w:color w:val="auto"/>
                <w:sz w:val="24"/>
                <w:szCs w:val="24"/>
                <w:highlight w:val="none"/>
              </w:rPr>
              <w:t>有资质单位</w:t>
            </w:r>
            <w:r>
              <w:rPr>
                <w:rFonts w:hint="default" w:ascii="Times New Roman" w:hAnsi="Times New Roman" w:cs="Times New Roman"/>
                <w:color w:val="auto"/>
                <w:sz w:val="24"/>
                <w:szCs w:val="24"/>
                <w:highlight w:val="none"/>
                <w:lang w:val="en-US" w:eastAsia="zh-CN"/>
              </w:rPr>
              <w:t>安全处置，</w:t>
            </w:r>
            <w:r>
              <w:rPr>
                <w:rFonts w:hint="default" w:ascii="Times New Roman" w:hAnsi="Times New Roman" w:cs="Times New Roman"/>
                <w:color w:val="auto"/>
                <w:sz w:val="24"/>
                <w:szCs w:val="24"/>
                <w:highlight w:val="none"/>
              </w:rPr>
              <w:t>生活垃圾由环卫部门</w:t>
            </w:r>
            <w:r>
              <w:rPr>
                <w:rFonts w:hint="default" w:ascii="Times New Roman" w:hAnsi="Times New Roman" w:cs="Times New Roman"/>
                <w:color w:val="auto"/>
                <w:sz w:val="24"/>
                <w:szCs w:val="24"/>
                <w:highlight w:val="none"/>
                <w:lang w:val="en-US" w:eastAsia="zh-CN"/>
              </w:rPr>
              <w:t>每天</w:t>
            </w:r>
            <w:r>
              <w:rPr>
                <w:rFonts w:hint="default" w:ascii="Times New Roman" w:hAnsi="Times New Roman" w:cs="Times New Roman"/>
                <w:color w:val="auto"/>
                <w:sz w:val="24"/>
                <w:szCs w:val="24"/>
                <w:highlight w:val="none"/>
              </w:rPr>
              <w:t>统一清运处置。</w:t>
            </w:r>
            <w:r>
              <w:rPr>
                <w:rFonts w:hint="default" w:ascii="Times New Roman" w:hAnsi="Times New Roman" w:cs="Times New Roman"/>
                <w:color w:val="auto"/>
                <w:sz w:val="24"/>
                <w:szCs w:val="24"/>
                <w:highlight w:val="none"/>
                <w:lang w:val="en-US" w:eastAsia="zh-CN"/>
              </w:rPr>
              <w:t>因此本项目固</w:t>
            </w:r>
            <w:r>
              <w:rPr>
                <w:rFonts w:hint="default" w:ascii="Times New Roman" w:hAnsi="Times New Roman" w:cs="Times New Roman"/>
                <w:color w:val="auto"/>
                <w:sz w:val="24"/>
                <w:szCs w:val="24"/>
                <w:lang w:val="en-US" w:eastAsia="zh-CN"/>
              </w:rPr>
              <w:t>体废物对周围环境影响较小。</w:t>
            </w:r>
          </w:p>
          <w:p w14:paraId="0A96DA3D">
            <w:pPr>
              <w:pStyle w:val="23"/>
              <w:keepNext w:val="0"/>
              <w:keepLines w:val="0"/>
              <w:suppressLineNumbers w:val="0"/>
              <w:spacing w:before="0" w:beforeAutospacing="0" w:after="0" w:afterAutospacing="0"/>
              <w:ind w:left="0" w:right="0" w:firstLine="482" w:firstLineChars="200"/>
              <w:rPr>
                <w:rFonts w:hint="default" w:ascii="Times New Roman" w:hAnsi="Times New Roman" w:cs="Times New Roman"/>
                <w:color w:val="auto"/>
              </w:rPr>
            </w:pPr>
            <w:r>
              <w:rPr>
                <w:rFonts w:hint="default" w:ascii="Times New Roman" w:hAnsi="Times New Roman" w:cs="Times New Roman"/>
                <w:b/>
                <w:bCs/>
                <w:color w:val="auto"/>
                <w:lang w:val="en-US" w:eastAsia="zh-CN"/>
              </w:rPr>
              <w:t>4</w:t>
            </w:r>
            <w:r>
              <w:rPr>
                <w:rFonts w:hint="default" w:ascii="Times New Roman" w:hAnsi="Times New Roman" w:cs="Times New Roman"/>
                <w:b/>
                <w:bCs/>
                <w:color w:val="auto"/>
              </w:rPr>
              <w:t>、事故预防措施</w:t>
            </w:r>
          </w:p>
          <w:p w14:paraId="2D3F879E">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default" w:ascii="Times New Roman" w:hAnsi="Times New Roman" w:cs="Times New Roman"/>
                <w:color w:val="auto"/>
              </w:rPr>
              <w:t>医务人员必须严格按照操作程序进行，防止事故照射的发生，避免工作人员和公众接受不必要的辐射照射，工作人员每次上班时首先要检查防护措施是否正常，若存在安全隐患，应立即修理，恢复正常。</w:t>
            </w:r>
          </w:p>
          <w:p w14:paraId="255BF1DE">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rPr>
            </w:pPr>
            <w:r>
              <w:rPr>
                <w:rFonts w:hint="eastAsia" w:cs="Times New Roman"/>
                <w:color w:val="auto"/>
                <w:lang w:eastAsia="zh-CN"/>
              </w:rPr>
              <w:t>寿县安康医院</w:t>
            </w:r>
            <w:r>
              <w:rPr>
                <w:rFonts w:hint="default" w:ascii="Times New Roman" w:hAnsi="Times New Roman" w:cs="Times New Roman"/>
                <w:color w:val="auto"/>
              </w:rPr>
              <w:t>已制</w:t>
            </w:r>
            <w:r>
              <w:rPr>
                <w:rFonts w:hint="default" w:ascii="Times New Roman" w:hAnsi="Times New Roman" w:cs="Times New Roman"/>
                <w:color w:val="auto"/>
                <w:highlight w:val="none"/>
              </w:rPr>
              <w:t>定《</w:t>
            </w:r>
            <w:r>
              <w:rPr>
                <w:rFonts w:hint="eastAsia" w:cs="Times New Roman"/>
                <w:color w:val="auto"/>
                <w:highlight w:val="none"/>
                <w:lang w:eastAsia="zh-CN"/>
              </w:rPr>
              <w:t>辐射事故应急预案</w:t>
            </w:r>
            <w:r>
              <w:rPr>
                <w:rFonts w:hint="default" w:ascii="Times New Roman" w:hAnsi="Times New Roman" w:cs="Times New Roman"/>
                <w:color w:val="auto"/>
                <w:highlight w:val="none"/>
              </w:rPr>
              <w:t>》</w:t>
            </w:r>
            <w:r>
              <w:rPr>
                <w:rFonts w:hint="default" w:ascii="Times New Roman" w:hAnsi="Times New Roman" w:cs="Times New Roman"/>
                <w:color w:val="auto"/>
              </w:rPr>
              <w:t>，应急预案中成立了辐射事故应急处理领导小组，明确了辐射事故应急处理领导小组工作职责，明确了放射事故应急救援应遵循的工作原则和放射事故应急处理程序。</w:t>
            </w:r>
          </w:p>
          <w:p w14:paraId="38300ED5">
            <w:pPr>
              <w:pStyle w:val="15"/>
              <w:keepNext w:val="0"/>
              <w:keepLines w:val="0"/>
              <w:suppressLineNumbers w:val="0"/>
              <w:spacing w:before="0" w:beforeAutospacing="0" w:after="0" w:afterAutospacing="0"/>
              <w:ind w:left="0" w:leftChars="0" w:right="0" w:firstLine="480" w:firstLineChars="200"/>
              <w:jc w:val="both"/>
              <w:rPr>
                <w:rFonts w:hint="default" w:ascii="Times New Roman" w:hAnsi="Times New Roman" w:cs="Times New Roman"/>
                <w:color w:val="auto"/>
                <w:lang w:val="en-US" w:eastAsia="zh-CN"/>
              </w:rPr>
            </w:pPr>
            <w:r>
              <w:rPr>
                <w:rFonts w:hint="default" w:ascii="Times New Roman" w:hAnsi="Times New Roman" w:cs="Times New Roman"/>
                <w:color w:val="auto"/>
              </w:rPr>
              <w:t>按照《放射性同位素与射线装置安全和防护条例》第四十二条和原国家环境保护总局环发</w:t>
            </w:r>
            <w:r>
              <w:rPr>
                <w:rFonts w:hint="eastAsia" w:cs="Times New Roman"/>
                <w:color w:val="auto"/>
                <w:lang w:eastAsia="zh-CN"/>
              </w:rPr>
              <w:t>〔</w:t>
            </w:r>
            <w:r>
              <w:rPr>
                <w:rFonts w:hint="default" w:ascii="Times New Roman" w:hAnsi="Times New Roman" w:cs="Times New Roman"/>
                <w:color w:val="auto"/>
              </w:rPr>
              <w:t>2006</w:t>
            </w:r>
            <w:r>
              <w:rPr>
                <w:rFonts w:hint="eastAsia" w:cs="Times New Roman"/>
                <w:color w:val="auto"/>
                <w:lang w:eastAsia="zh-CN"/>
              </w:rPr>
              <w:t>〕</w:t>
            </w:r>
            <w:r>
              <w:rPr>
                <w:rFonts w:hint="default" w:ascii="Times New Roman" w:hAnsi="Times New Roman" w:cs="Times New Roman"/>
                <w:color w:val="auto"/>
              </w:rPr>
              <w:t>145号文件的规定，发生辐射事故时，事故单位应当立即启动本单位的辐射事故应急方案，采取必要防范措施，并在2小时内填写《辐射事故初始报告表》，向当地生态环境部门报告，涉及人为故意破坏的还应向公安部门报告，造成或可能造成人员超剂量照射的，还应同</w:t>
            </w:r>
            <w:r>
              <w:rPr>
                <w:rFonts w:hint="default" w:ascii="Times New Roman" w:hAnsi="Times New Roman" w:cs="Times New Roman"/>
                <w:color w:val="auto"/>
                <w:lang w:eastAsia="zh-CN"/>
              </w:rPr>
              <w:t>时</w:t>
            </w:r>
            <w:r>
              <w:rPr>
                <w:rFonts w:hint="default" w:ascii="Times New Roman" w:hAnsi="Times New Roman" w:cs="Times New Roman"/>
                <w:color w:val="auto"/>
              </w:rPr>
              <w:t>向当地卫生行政部门报告</w:t>
            </w:r>
            <w:r>
              <w:rPr>
                <w:rFonts w:hint="default" w:ascii="Times New Roman" w:hAnsi="Times New Roman" w:cs="Times New Roman"/>
                <w:color w:val="auto"/>
                <w:lang w:eastAsia="zh-CN"/>
              </w:rPr>
              <w:t>。</w:t>
            </w:r>
          </w:p>
        </w:tc>
      </w:tr>
    </w:tbl>
    <w:p w14:paraId="747F6FD8">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37687A8D">
      <w:pPr>
        <w:pStyle w:val="3"/>
        <w:bidi w:val="0"/>
        <w:rPr>
          <w:color w:val="auto"/>
        </w:rPr>
      </w:pPr>
      <w:bookmarkStart w:id="67" w:name="_Toc67739917"/>
      <w:bookmarkStart w:id="68" w:name="_Toc28431"/>
      <w:bookmarkStart w:id="69" w:name="_Toc24867"/>
      <w:r>
        <w:rPr>
          <w:color w:val="auto"/>
        </w:rPr>
        <w:t xml:space="preserve">表11 </w:t>
      </w:r>
      <w:r>
        <w:rPr>
          <w:rFonts w:hint="eastAsia"/>
          <w:color w:val="auto"/>
        </w:rPr>
        <w:t>环境影响分析</w:t>
      </w:r>
      <w:bookmarkEnd w:id="67"/>
      <w:bookmarkEnd w:id="68"/>
      <w:bookmarkEnd w:id="69"/>
    </w:p>
    <w:tbl>
      <w:tblPr>
        <w:tblStyle w:val="18"/>
        <w:tblW w:w="9775"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75"/>
      </w:tblGrid>
      <w:tr w14:paraId="25EF3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14" w:hRule="atLeast"/>
        </w:trPr>
        <w:tc>
          <w:tcPr>
            <w:tcW w:w="9775" w:type="dxa"/>
          </w:tcPr>
          <w:p w14:paraId="750155A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b/>
                <w:bCs/>
                <w:color w:val="auto"/>
                <w:sz w:val="24"/>
                <w:szCs w:val="24"/>
                <w:vertAlign w:val="baseline"/>
                <w:lang w:eastAsia="zh-CN"/>
              </w:rPr>
            </w:pPr>
            <w:r>
              <w:rPr>
                <w:rFonts w:hint="eastAsia" w:ascii="Times New Roman" w:hAnsi="Times New Roman" w:eastAsia="宋体" w:cs="Times New Roman"/>
                <w:b/>
                <w:bCs/>
                <w:color w:val="auto"/>
                <w:sz w:val="24"/>
                <w:szCs w:val="24"/>
                <w:vertAlign w:val="baseline"/>
                <w:lang w:val="en-US" w:eastAsia="zh-CN"/>
              </w:rPr>
              <w:t>一、</w:t>
            </w:r>
            <w:r>
              <w:rPr>
                <w:rFonts w:hint="default" w:ascii="Times New Roman" w:hAnsi="Times New Roman" w:eastAsia="宋体" w:cs="Times New Roman"/>
                <w:b/>
                <w:bCs/>
                <w:color w:val="auto"/>
                <w:sz w:val="24"/>
                <w:szCs w:val="24"/>
                <w:vertAlign w:val="baseline"/>
                <w:lang w:eastAsia="zh-CN"/>
              </w:rPr>
              <w:t>建设阶段对环境的影响：</w:t>
            </w:r>
          </w:p>
          <w:p w14:paraId="439111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本项目施工期主要工程为机房防护施工、机房内部</w:t>
            </w:r>
            <w:r>
              <w:rPr>
                <w:rFonts w:hint="eastAsia" w:ascii="Times New Roman" w:hAnsi="Times New Roman" w:eastAsia="宋体" w:cs="Times New Roman"/>
                <w:color w:val="auto"/>
                <w:sz w:val="24"/>
                <w:szCs w:val="24"/>
                <w:lang w:eastAsia="zh-CN"/>
              </w:rPr>
              <w:t>改造建设</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eastAsia="zh-CN"/>
              </w:rPr>
              <w:t>施工过程会产生施工废气、施工废水、施工噪声和建筑垃圾。</w:t>
            </w:r>
          </w:p>
          <w:p w14:paraId="7BBE7118">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1.1 环境空气污染影响分析</w:t>
            </w:r>
          </w:p>
          <w:p w14:paraId="2C3E163B">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本项目施工过程中，对大气环境影响的程度及范围有限。为尽量减轻其污染程度建设单位和施工单位应落实以下措施：</w:t>
            </w:r>
          </w:p>
          <w:p w14:paraId="5B93EB2B">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1）因施工场所所在位置为</w:t>
            </w:r>
            <w:r>
              <w:rPr>
                <w:rFonts w:hint="eastAsia" w:cs="Times New Roman"/>
                <w:color w:val="auto"/>
                <w:sz w:val="24"/>
                <w:szCs w:val="24"/>
                <w:lang w:val="en-US" w:eastAsia="zh-CN"/>
              </w:rPr>
              <w:t>住院部</w:t>
            </w:r>
            <w:r>
              <w:rPr>
                <w:rFonts w:hint="default" w:ascii="Times New Roman" w:hAnsi="Times New Roman" w:eastAsia="宋体" w:cs="Times New Roman"/>
                <w:color w:val="auto"/>
                <w:sz w:val="24"/>
                <w:szCs w:val="24"/>
                <w:lang w:val="en-US" w:eastAsia="zh-CN"/>
              </w:rPr>
              <w:t>楼内，施工作业应设置围挡，加强施工现场的管理，硫酸钡砂、水泥等粉料在非手术室区域拆包拌合后尽量采取遮盖、密闭措施运至施工现场，并及时清扫散落在地面的建筑材料。</w:t>
            </w:r>
          </w:p>
          <w:p w14:paraId="612C5695">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highlight w:val="yellow"/>
                <w:lang w:val="en-US" w:eastAsia="zh-CN"/>
              </w:rPr>
            </w:pPr>
            <w:r>
              <w:rPr>
                <w:rFonts w:hint="default" w:ascii="Times New Roman" w:hAnsi="Times New Roman" w:eastAsia="宋体" w:cs="Times New Roman"/>
                <w:color w:val="auto"/>
                <w:sz w:val="24"/>
                <w:szCs w:val="24"/>
                <w:lang w:val="en-US" w:eastAsia="zh-CN"/>
              </w:rPr>
              <w:t>2）</w:t>
            </w:r>
            <w:r>
              <w:rPr>
                <w:rFonts w:hint="eastAsia" w:cs="Times New Roman"/>
                <w:color w:val="auto"/>
                <w:sz w:val="24"/>
                <w:szCs w:val="24"/>
                <w:highlight w:val="none"/>
                <w:lang w:val="en-US" w:eastAsia="zh-CN"/>
              </w:rPr>
              <w:t>改造建设</w:t>
            </w:r>
            <w:r>
              <w:rPr>
                <w:rFonts w:hint="default" w:ascii="Times New Roman" w:hAnsi="Times New Roman" w:eastAsia="宋体" w:cs="Times New Roman"/>
                <w:color w:val="auto"/>
                <w:sz w:val="24"/>
                <w:szCs w:val="24"/>
                <w:highlight w:val="none"/>
                <w:lang w:val="en-US" w:eastAsia="zh-CN"/>
              </w:rPr>
              <w:t>采用环保材料。</w:t>
            </w:r>
          </w:p>
          <w:p w14:paraId="7F89CEAC">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在采取上述措施后，对大气环境的影响可以得到较好的控制，同时施工期的影响是暂时性的，随着施工作业结束，影响将随之消失。</w:t>
            </w:r>
          </w:p>
          <w:p w14:paraId="52686295">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1.2 环境噪声污染影响分析</w:t>
            </w:r>
          </w:p>
          <w:p w14:paraId="37C9FA08">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施工噪声影响是短期的、暂时的，且具有局部地段特性。在考虑本项目施工噪声源对周围声环境影响时，仅考虑点声源到不同距离处，经过距离衰减后的噪声，计算出声源对附近敏感点的贡献值，并对声源的贡献值进行分析。</w:t>
            </w:r>
          </w:p>
          <w:p w14:paraId="5FA49D2F">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噪声贡献值计算模式为：</w:t>
            </w:r>
          </w:p>
          <w:p w14:paraId="47A0C65F">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   </w:t>
            </w:r>
            <w:r>
              <w:rPr>
                <w:rFonts w:hint="default"/>
                <w:color w:val="auto"/>
              </w:rPr>
              <w:drawing>
                <wp:inline distT="0" distB="0" distL="114300" distR="114300">
                  <wp:extent cx="1472565" cy="263525"/>
                  <wp:effectExtent l="0" t="0" r="13335"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clrChange>
                              <a:clrFrom>
                                <a:srgbClr val="FFFFFF">
                                  <a:alpha val="100000"/>
                                </a:srgbClr>
                              </a:clrFrom>
                              <a:clrTo>
                                <a:srgbClr val="FFFFFF">
                                  <a:alpha val="100000"/>
                                  <a:alpha val="0"/>
                                </a:srgbClr>
                              </a:clrTo>
                            </a:clrChange>
                            <a:lum bright="-18000" contrast="12000"/>
                          </a:blip>
                          <a:srcRect b="22841"/>
                          <a:stretch>
                            <a:fillRect/>
                          </a:stretch>
                        </pic:blipFill>
                        <pic:spPr>
                          <a:xfrm>
                            <a:off x="0" y="0"/>
                            <a:ext cx="1472565" cy="263525"/>
                          </a:xfrm>
                          <a:prstGeom prst="rect">
                            <a:avLst/>
                          </a:prstGeom>
                          <a:noFill/>
                          <a:ln>
                            <a:noFill/>
                          </a:ln>
                        </pic:spPr>
                      </pic:pic>
                    </a:graphicData>
                  </a:graphic>
                </wp:inline>
              </w:drawing>
            </w:r>
            <w:r>
              <w:rPr>
                <w:rFonts w:hint="default" w:ascii="Times New Roman" w:hAnsi="Times New Roman" w:eastAsia="宋体" w:cs="Times New Roman"/>
                <w:color w:val="auto"/>
                <w:sz w:val="24"/>
                <w:szCs w:val="24"/>
                <w:lang w:val="en-US" w:eastAsia="zh-CN"/>
              </w:rPr>
              <w:t xml:space="preserve"> </w:t>
            </w:r>
            <w:r>
              <w:rPr>
                <w:rFonts w:hint="eastAsia"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（1）</w:t>
            </w:r>
          </w:p>
          <w:p w14:paraId="545B3E3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color w:val="auto"/>
                <w:sz w:val="24"/>
                <w:szCs w:val="24"/>
                <w:lang w:val="en-US" w:eastAsia="zh-CN"/>
              </w:rPr>
              <w:t>式中：</w:t>
            </w:r>
            <w:r>
              <w:rPr>
                <w:rFonts w:hint="default" w:ascii="Times New Roman" w:hAnsi="Times New Roman" w:eastAsia="宋体" w:cs="Times New Roman"/>
                <w:snapToGrid w:val="0"/>
                <w:color w:val="auto"/>
                <w:kern w:val="0"/>
                <w:sz w:val="24"/>
                <w:szCs w:val="21"/>
                <w:lang w:val="en-US" w:eastAsia="zh-CN" w:bidi="ar-SA"/>
              </w:rPr>
              <w:t>L</w:t>
            </w:r>
            <w:r>
              <w:rPr>
                <w:rFonts w:hint="eastAsia" w:ascii="Times New Roman" w:hAnsi="Times New Roman" w:eastAsia="宋体" w:cs="Times New Roman"/>
                <w:snapToGrid w:val="0"/>
                <w:color w:val="auto"/>
                <w:kern w:val="0"/>
                <w:sz w:val="24"/>
                <w:szCs w:val="21"/>
                <w:vertAlign w:val="subscript"/>
                <w:lang w:val="en-US" w:eastAsia="zh-CN" w:bidi="ar-SA"/>
              </w:rPr>
              <w:t>A</w:t>
            </w:r>
            <w:r>
              <w:rPr>
                <w:rFonts w:hint="default" w:ascii="Times New Roman" w:hAnsi="Times New Roman" w:eastAsia="宋体" w:cs="Times New Roman"/>
                <w:snapToGrid w:val="0"/>
                <w:color w:val="auto"/>
                <w:kern w:val="0"/>
                <w:sz w:val="24"/>
                <w:szCs w:val="21"/>
                <w:lang w:val="en-US" w:eastAsia="zh-CN" w:bidi="ar-SA"/>
              </w:rPr>
              <w:t>(r)——距</w:t>
            </w:r>
            <w:r>
              <w:rPr>
                <w:rFonts w:hint="eastAsia" w:ascii="Times New Roman" w:hAnsi="Times New Roman" w:eastAsia="宋体" w:cs="Times New Roman"/>
                <w:snapToGrid w:val="0"/>
                <w:color w:val="auto"/>
                <w:kern w:val="0"/>
                <w:sz w:val="24"/>
                <w:szCs w:val="21"/>
                <w:lang w:val="en-US" w:eastAsia="zh-CN" w:bidi="ar-SA"/>
              </w:rPr>
              <w:t>离</w:t>
            </w:r>
            <w:r>
              <w:rPr>
                <w:rFonts w:hint="default" w:ascii="Times New Roman" w:hAnsi="Times New Roman" w:eastAsia="宋体" w:cs="Times New Roman"/>
                <w:snapToGrid w:val="0"/>
                <w:color w:val="auto"/>
                <w:kern w:val="0"/>
                <w:sz w:val="24"/>
                <w:szCs w:val="21"/>
                <w:lang w:val="en-US" w:eastAsia="zh-CN" w:bidi="ar-SA"/>
              </w:rPr>
              <w:t>声源r处的声级dB(A)；</w:t>
            </w:r>
          </w:p>
          <w:p w14:paraId="36121A64">
            <w:pPr>
              <w:keepNext w:val="0"/>
              <w:keepLines w:val="0"/>
              <w:widowControl w:val="0"/>
              <w:suppressLineNumbers w:val="0"/>
              <w:spacing w:before="0" w:beforeAutospacing="0" w:after="0" w:afterAutospacing="0" w:line="360" w:lineRule="auto"/>
              <w:ind w:left="0" w:right="0" w:firstLine="1132" w:firstLineChars="472"/>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L</w:t>
            </w:r>
            <w:r>
              <w:rPr>
                <w:rFonts w:hint="eastAsia" w:ascii="Times New Roman" w:hAnsi="Times New Roman" w:eastAsia="宋体" w:cs="Times New Roman"/>
                <w:snapToGrid w:val="0"/>
                <w:color w:val="auto"/>
                <w:kern w:val="0"/>
                <w:sz w:val="24"/>
                <w:szCs w:val="21"/>
                <w:vertAlign w:val="subscript"/>
                <w:lang w:val="en-US" w:eastAsia="zh-CN" w:bidi="ar-SA"/>
              </w:rPr>
              <w:t>A</w:t>
            </w:r>
            <w:r>
              <w:rPr>
                <w:rFonts w:hint="default" w:ascii="Times New Roman" w:hAnsi="Times New Roman" w:eastAsia="宋体" w:cs="Times New Roman"/>
                <w:snapToGrid w:val="0"/>
                <w:color w:val="auto"/>
                <w:kern w:val="0"/>
                <w:sz w:val="24"/>
                <w:szCs w:val="21"/>
                <w:lang w:val="en-US" w:eastAsia="zh-CN" w:bidi="ar-SA"/>
              </w:rPr>
              <w:t>(r</w:t>
            </w:r>
            <w:r>
              <w:rPr>
                <w:rFonts w:hint="default" w:ascii="Times New Roman" w:hAnsi="Times New Roman" w:eastAsia="宋体" w:cs="Times New Roman"/>
                <w:snapToGrid w:val="0"/>
                <w:color w:val="auto"/>
                <w:kern w:val="0"/>
                <w:sz w:val="24"/>
                <w:szCs w:val="21"/>
                <w:vertAlign w:val="subscript"/>
                <w:lang w:val="en-US" w:eastAsia="zh-CN" w:bidi="ar-SA"/>
              </w:rPr>
              <w:t>0</w:t>
            </w:r>
            <w:r>
              <w:rPr>
                <w:rFonts w:hint="default" w:ascii="Times New Roman" w:hAnsi="Times New Roman" w:eastAsia="宋体" w:cs="Times New Roman"/>
                <w:snapToGrid w:val="0"/>
                <w:color w:val="auto"/>
                <w:kern w:val="0"/>
                <w:sz w:val="24"/>
                <w:szCs w:val="21"/>
                <w:lang w:val="en-US" w:eastAsia="zh-CN" w:bidi="ar-SA"/>
              </w:rPr>
              <w:t>)——距</w:t>
            </w:r>
            <w:r>
              <w:rPr>
                <w:rFonts w:hint="eastAsia" w:ascii="Times New Roman" w:hAnsi="Times New Roman" w:eastAsia="宋体" w:cs="Times New Roman"/>
                <w:snapToGrid w:val="0"/>
                <w:color w:val="auto"/>
                <w:kern w:val="0"/>
                <w:sz w:val="24"/>
                <w:szCs w:val="21"/>
                <w:lang w:val="en-US" w:eastAsia="zh-CN" w:bidi="ar-SA"/>
              </w:rPr>
              <w:t>离</w:t>
            </w:r>
            <w:r>
              <w:rPr>
                <w:rFonts w:hint="default" w:ascii="Times New Roman" w:hAnsi="Times New Roman" w:eastAsia="宋体" w:cs="Times New Roman"/>
                <w:snapToGrid w:val="0"/>
                <w:color w:val="auto"/>
                <w:kern w:val="0"/>
                <w:sz w:val="24"/>
                <w:szCs w:val="21"/>
                <w:lang w:val="en-US" w:eastAsia="zh-CN" w:bidi="ar-SA"/>
              </w:rPr>
              <w:t>声源r</w:t>
            </w:r>
            <w:r>
              <w:rPr>
                <w:rFonts w:hint="default" w:ascii="Times New Roman" w:hAnsi="Times New Roman" w:eastAsia="宋体" w:cs="Times New Roman"/>
                <w:snapToGrid w:val="0"/>
                <w:color w:val="auto"/>
                <w:kern w:val="0"/>
                <w:sz w:val="24"/>
                <w:szCs w:val="21"/>
                <w:vertAlign w:val="subscript"/>
                <w:lang w:val="en-US" w:eastAsia="zh-CN" w:bidi="ar-SA"/>
              </w:rPr>
              <w:t>0</w:t>
            </w:r>
            <w:r>
              <w:rPr>
                <w:rFonts w:hint="default" w:ascii="Times New Roman" w:hAnsi="Times New Roman" w:eastAsia="宋体" w:cs="Times New Roman"/>
                <w:snapToGrid w:val="0"/>
                <w:color w:val="auto"/>
                <w:kern w:val="0"/>
                <w:sz w:val="24"/>
                <w:szCs w:val="21"/>
                <w:lang w:val="en-US" w:eastAsia="zh-CN" w:bidi="ar-SA"/>
              </w:rPr>
              <w:t>处的声级dB(A)；</w:t>
            </w:r>
          </w:p>
          <w:p w14:paraId="66C3E6C8">
            <w:pPr>
              <w:keepNext w:val="0"/>
              <w:keepLines w:val="0"/>
              <w:widowControl w:val="0"/>
              <w:suppressLineNumbers w:val="0"/>
              <w:spacing w:before="0" w:beforeAutospacing="0" w:after="0" w:afterAutospacing="0" w:line="360" w:lineRule="auto"/>
              <w:ind w:left="0" w:right="0" w:firstLine="1132" w:firstLineChars="472"/>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r——预测点与声源之间的距离（m）；</w:t>
            </w:r>
          </w:p>
          <w:p w14:paraId="66852CB7">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1080" w:firstLineChars="450"/>
              <w:jc w:val="left"/>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snapToGrid w:val="0"/>
                <w:color w:val="auto"/>
                <w:kern w:val="0"/>
                <w:sz w:val="24"/>
                <w:szCs w:val="21"/>
                <w:lang w:val="en-US" w:eastAsia="zh-CN" w:bidi="ar-SA"/>
              </w:rPr>
              <w:t>r</w:t>
            </w:r>
            <w:r>
              <w:rPr>
                <w:rFonts w:hint="default" w:ascii="Times New Roman" w:hAnsi="Times New Roman" w:eastAsia="宋体" w:cs="Times New Roman"/>
                <w:snapToGrid w:val="0"/>
                <w:color w:val="auto"/>
                <w:kern w:val="0"/>
                <w:sz w:val="24"/>
                <w:szCs w:val="21"/>
                <w:vertAlign w:val="subscript"/>
                <w:lang w:val="en-US" w:eastAsia="zh-CN" w:bidi="ar-SA"/>
              </w:rPr>
              <w:t>0</w:t>
            </w:r>
            <w:r>
              <w:rPr>
                <w:rFonts w:hint="default" w:ascii="Times New Roman" w:hAnsi="Times New Roman" w:eastAsia="宋体" w:cs="Times New Roman"/>
                <w:snapToGrid w:val="0"/>
                <w:color w:val="auto"/>
                <w:kern w:val="0"/>
                <w:sz w:val="24"/>
                <w:szCs w:val="21"/>
                <w:lang w:val="en-US" w:eastAsia="zh-CN" w:bidi="ar-SA"/>
              </w:rPr>
              <w:t>——参考处与声源之间的距离（m）</w:t>
            </w: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color w:val="auto"/>
                <w:sz w:val="24"/>
                <w:szCs w:val="24"/>
                <w:lang w:val="en-US" w:eastAsia="zh-CN"/>
              </w:rPr>
              <w:t xml:space="preserve"> </w:t>
            </w:r>
          </w:p>
          <w:p w14:paraId="27C177AE">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施工场地噪声预测结果见表11-1。</w:t>
            </w:r>
          </w:p>
          <w:p w14:paraId="1E517E3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firstLine="0" w:firstLineChars="0"/>
              <w:jc w:val="center"/>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表11-1 距声源不同距离处的噪声值（单位：dB（A））</w:t>
            </w:r>
          </w:p>
          <w:tbl>
            <w:tblPr>
              <w:tblStyle w:val="1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8"/>
              <w:gridCol w:w="1612"/>
              <w:gridCol w:w="867"/>
              <w:gridCol w:w="625"/>
              <w:gridCol w:w="775"/>
              <w:gridCol w:w="758"/>
              <w:gridCol w:w="858"/>
              <w:gridCol w:w="867"/>
              <w:gridCol w:w="791"/>
              <w:gridCol w:w="869"/>
              <w:gridCol w:w="869"/>
            </w:tblGrid>
            <w:tr w14:paraId="4C2DD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vAlign w:val="center"/>
                </w:tcPr>
                <w:p w14:paraId="752BD2C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施工阶段</w:t>
                  </w:r>
                </w:p>
              </w:tc>
              <w:tc>
                <w:tcPr>
                  <w:tcW w:w="1612" w:type="dxa"/>
                  <w:vMerge w:val="restart"/>
                  <w:vAlign w:val="center"/>
                </w:tcPr>
                <w:p w14:paraId="268FB47A">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机械设备</w:t>
                  </w:r>
                </w:p>
              </w:tc>
              <w:tc>
                <w:tcPr>
                  <w:tcW w:w="867" w:type="dxa"/>
                  <w:vMerge w:val="restart"/>
                  <w:vAlign w:val="center"/>
                </w:tcPr>
                <w:p w14:paraId="3869338B">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源强10m处</w:t>
                  </w:r>
                </w:p>
              </w:tc>
              <w:tc>
                <w:tcPr>
                  <w:tcW w:w="6412" w:type="dxa"/>
                  <w:gridSpan w:val="8"/>
                  <w:vAlign w:val="center"/>
                </w:tcPr>
                <w:p w14:paraId="13A6EBFE">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噪声预测值</w:t>
                  </w:r>
                  <w:r>
                    <w:rPr>
                      <w:rFonts w:hint="default" w:ascii="Times New Roman" w:hAnsi="Times New Roman" w:eastAsia="宋体" w:cs="Times New Roman"/>
                      <w:color w:val="auto"/>
                      <w:sz w:val="21"/>
                      <w:szCs w:val="21"/>
                      <w:vertAlign w:val="baseline"/>
                      <w:lang w:val="en-US" w:eastAsia="zh-CN"/>
                    </w:rPr>
                    <w:t>dB（A）</w:t>
                  </w:r>
                </w:p>
              </w:tc>
            </w:tr>
            <w:tr w14:paraId="7205F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vAlign w:val="center"/>
                </w:tcPr>
                <w:p w14:paraId="7D8D7456">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p>
              </w:tc>
              <w:tc>
                <w:tcPr>
                  <w:tcW w:w="1612" w:type="dxa"/>
                  <w:vMerge w:val="continue"/>
                  <w:vAlign w:val="center"/>
                </w:tcPr>
                <w:p w14:paraId="3D8E2FB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p>
              </w:tc>
              <w:tc>
                <w:tcPr>
                  <w:tcW w:w="867" w:type="dxa"/>
                  <w:vMerge w:val="continue"/>
                  <w:vAlign w:val="center"/>
                </w:tcPr>
                <w:p w14:paraId="48218294">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p>
              </w:tc>
              <w:tc>
                <w:tcPr>
                  <w:tcW w:w="625" w:type="dxa"/>
                  <w:vAlign w:val="center"/>
                </w:tcPr>
                <w:p w14:paraId="504E1C9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20m</w:t>
                  </w:r>
                </w:p>
              </w:tc>
              <w:tc>
                <w:tcPr>
                  <w:tcW w:w="775" w:type="dxa"/>
                  <w:vAlign w:val="center"/>
                </w:tcPr>
                <w:p w14:paraId="5259798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40m</w:t>
                  </w:r>
                </w:p>
              </w:tc>
              <w:tc>
                <w:tcPr>
                  <w:tcW w:w="758" w:type="dxa"/>
                  <w:vAlign w:val="center"/>
                </w:tcPr>
                <w:p w14:paraId="587C22A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60m</w:t>
                  </w:r>
                </w:p>
              </w:tc>
              <w:tc>
                <w:tcPr>
                  <w:tcW w:w="858" w:type="dxa"/>
                  <w:vAlign w:val="center"/>
                </w:tcPr>
                <w:p w14:paraId="7EA7DE71">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80m</w:t>
                  </w:r>
                </w:p>
              </w:tc>
              <w:tc>
                <w:tcPr>
                  <w:tcW w:w="867" w:type="dxa"/>
                  <w:vAlign w:val="center"/>
                </w:tcPr>
                <w:p w14:paraId="1E40C251">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100m</w:t>
                  </w:r>
                </w:p>
              </w:tc>
              <w:tc>
                <w:tcPr>
                  <w:tcW w:w="791" w:type="dxa"/>
                  <w:vAlign w:val="center"/>
                </w:tcPr>
                <w:p w14:paraId="06FAF8C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120m</w:t>
                  </w:r>
                </w:p>
              </w:tc>
              <w:tc>
                <w:tcPr>
                  <w:tcW w:w="869" w:type="dxa"/>
                  <w:vAlign w:val="center"/>
                </w:tcPr>
                <w:p w14:paraId="7B1DA1E0">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140m</w:t>
                  </w:r>
                </w:p>
              </w:tc>
              <w:tc>
                <w:tcPr>
                  <w:tcW w:w="869" w:type="dxa"/>
                  <w:vAlign w:val="center"/>
                </w:tcPr>
                <w:p w14:paraId="7622AEE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200m</w:t>
                  </w:r>
                </w:p>
              </w:tc>
            </w:tr>
            <w:tr w14:paraId="105A7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47" w:type="dxa"/>
                  <w:gridSpan w:val="3"/>
                  <w:vAlign w:val="center"/>
                </w:tcPr>
                <w:p w14:paraId="3D93C4D0">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衰减值</w:t>
                  </w:r>
                </w:p>
              </w:tc>
              <w:tc>
                <w:tcPr>
                  <w:tcW w:w="625" w:type="dxa"/>
                  <w:vAlign w:val="center"/>
                </w:tcPr>
                <w:p w14:paraId="4ACA14AF">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w:t>
                  </w:r>
                </w:p>
              </w:tc>
              <w:tc>
                <w:tcPr>
                  <w:tcW w:w="775" w:type="dxa"/>
                  <w:vAlign w:val="center"/>
                </w:tcPr>
                <w:p w14:paraId="6382847F">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-12</w:t>
                  </w:r>
                </w:p>
              </w:tc>
              <w:tc>
                <w:tcPr>
                  <w:tcW w:w="758" w:type="dxa"/>
                  <w:vAlign w:val="center"/>
                </w:tcPr>
                <w:p w14:paraId="4B33FB7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-15.6</w:t>
                  </w:r>
                </w:p>
              </w:tc>
              <w:tc>
                <w:tcPr>
                  <w:tcW w:w="858" w:type="dxa"/>
                  <w:vAlign w:val="center"/>
                </w:tcPr>
                <w:p w14:paraId="5E1C5419">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-18.1</w:t>
                  </w:r>
                </w:p>
              </w:tc>
              <w:tc>
                <w:tcPr>
                  <w:tcW w:w="867" w:type="dxa"/>
                  <w:vAlign w:val="center"/>
                </w:tcPr>
                <w:p w14:paraId="11A3C832">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-20</w:t>
                  </w:r>
                </w:p>
              </w:tc>
              <w:tc>
                <w:tcPr>
                  <w:tcW w:w="791" w:type="dxa"/>
                  <w:vAlign w:val="center"/>
                </w:tcPr>
                <w:p w14:paraId="5B3BC9A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-21.6</w:t>
                  </w:r>
                </w:p>
              </w:tc>
              <w:tc>
                <w:tcPr>
                  <w:tcW w:w="869" w:type="dxa"/>
                  <w:vAlign w:val="center"/>
                </w:tcPr>
                <w:p w14:paraId="4FA036C1">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-22.9</w:t>
                  </w:r>
                </w:p>
              </w:tc>
              <w:tc>
                <w:tcPr>
                  <w:tcW w:w="869" w:type="dxa"/>
                  <w:vAlign w:val="center"/>
                </w:tcPr>
                <w:p w14:paraId="76ACCA1A">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-26</w:t>
                  </w:r>
                </w:p>
              </w:tc>
            </w:tr>
            <w:tr w14:paraId="363C1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vAlign w:val="center"/>
                </w:tcPr>
                <w:p w14:paraId="10631806">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装修工程</w:t>
                  </w:r>
                </w:p>
              </w:tc>
              <w:tc>
                <w:tcPr>
                  <w:tcW w:w="1612" w:type="dxa"/>
                  <w:vAlign w:val="center"/>
                </w:tcPr>
                <w:p w14:paraId="3632B877">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云石机、角磨机</w:t>
                  </w:r>
                </w:p>
              </w:tc>
              <w:tc>
                <w:tcPr>
                  <w:tcW w:w="867" w:type="dxa"/>
                  <w:vAlign w:val="center"/>
                </w:tcPr>
                <w:p w14:paraId="4149D3C6">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90</w:t>
                  </w:r>
                </w:p>
              </w:tc>
              <w:tc>
                <w:tcPr>
                  <w:tcW w:w="625" w:type="dxa"/>
                  <w:vAlign w:val="center"/>
                </w:tcPr>
                <w:p w14:paraId="402B95A2">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84</w:t>
                  </w:r>
                </w:p>
              </w:tc>
              <w:tc>
                <w:tcPr>
                  <w:tcW w:w="775" w:type="dxa"/>
                  <w:vAlign w:val="center"/>
                </w:tcPr>
                <w:p w14:paraId="51BADBA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78</w:t>
                  </w:r>
                </w:p>
              </w:tc>
              <w:tc>
                <w:tcPr>
                  <w:tcW w:w="758" w:type="dxa"/>
                  <w:vAlign w:val="center"/>
                </w:tcPr>
                <w:p w14:paraId="41B3E3DE">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74.4</w:t>
                  </w:r>
                </w:p>
              </w:tc>
              <w:tc>
                <w:tcPr>
                  <w:tcW w:w="858" w:type="dxa"/>
                  <w:vAlign w:val="center"/>
                </w:tcPr>
                <w:p w14:paraId="72EE5B3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71.9</w:t>
                  </w:r>
                </w:p>
              </w:tc>
              <w:tc>
                <w:tcPr>
                  <w:tcW w:w="867" w:type="dxa"/>
                  <w:vAlign w:val="center"/>
                </w:tcPr>
                <w:p w14:paraId="1223B36E">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70</w:t>
                  </w:r>
                </w:p>
              </w:tc>
              <w:tc>
                <w:tcPr>
                  <w:tcW w:w="791" w:type="dxa"/>
                  <w:vAlign w:val="center"/>
                </w:tcPr>
                <w:p w14:paraId="4174CC4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68.4</w:t>
                  </w:r>
                </w:p>
              </w:tc>
              <w:tc>
                <w:tcPr>
                  <w:tcW w:w="869" w:type="dxa"/>
                  <w:vAlign w:val="center"/>
                </w:tcPr>
                <w:p w14:paraId="2FD22772">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67.1</w:t>
                  </w:r>
                </w:p>
              </w:tc>
              <w:tc>
                <w:tcPr>
                  <w:tcW w:w="869" w:type="dxa"/>
                  <w:vAlign w:val="center"/>
                </w:tcPr>
                <w:p w14:paraId="6910FE94">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64</w:t>
                  </w:r>
                </w:p>
              </w:tc>
            </w:tr>
            <w:tr w14:paraId="0FC5D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vAlign w:val="center"/>
                </w:tcPr>
                <w:p w14:paraId="5EC0132E">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p>
              </w:tc>
              <w:tc>
                <w:tcPr>
                  <w:tcW w:w="1612" w:type="dxa"/>
                  <w:vAlign w:val="center"/>
                </w:tcPr>
                <w:p w14:paraId="6A4F8DD4">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空压机</w:t>
                  </w:r>
                </w:p>
              </w:tc>
              <w:tc>
                <w:tcPr>
                  <w:tcW w:w="867" w:type="dxa"/>
                  <w:vAlign w:val="center"/>
                </w:tcPr>
                <w:p w14:paraId="0811EE66">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88</w:t>
                  </w:r>
                </w:p>
              </w:tc>
              <w:tc>
                <w:tcPr>
                  <w:tcW w:w="625" w:type="dxa"/>
                  <w:vAlign w:val="center"/>
                </w:tcPr>
                <w:p w14:paraId="23F82D17">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82</w:t>
                  </w:r>
                </w:p>
              </w:tc>
              <w:tc>
                <w:tcPr>
                  <w:tcW w:w="775" w:type="dxa"/>
                  <w:vAlign w:val="center"/>
                </w:tcPr>
                <w:p w14:paraId="27C663BA">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76</w:t>
                  </w:r>
                </w:p>
              </w:tc>
              <w:tc>
                <w:tcPr>
                  <w:tcW w:w="758" w:type="dxa"/>
                  <w:vAlign w:val="center"/>
                </w:tcPr>
                <w:p w14:paraId="70BA611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72.4</w:t>
                  </w:r>
                </w:p>
              </w:tc>
              <w:tc>
                <w:tcPr>
                  <w:tcW w:w="858" w:type="dxa"/>
                  <w:vAlign w:val="center"/>
                </w:tcPr>
                <w:p w14:paraId="7B0BCBA5">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69.9</w:t>
                  </w:r>
                </w:p>
              </w:tc>
              <w:tc>
                <w:tcPr>
                  <w:tcW w:w="867" w:type="dxa"/>
                  <w:vAlign w:val="center"/>
                </w:tcPr>
                <w:p w14:paraId="4DBEC162">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68</w:t>
                  </w:r>
                </w:p>
              </w:tc>
              <w:tc>
                <w:tcPr>
                  <w:tcW w:w="791" w:type="dxa"/>
                  <w:vAlign w:val="center"/>
                </w:tcPr>
                <w:p w14:paraId="56D1B84C">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66.4</w:t>
                  </w:r>
                </w:p>
              </w:tc>
              <w:tc>
                <w:tcPr>
                  <w:tcW w:w="869" w:type="dxa"/>
                  <w:vAlign w:val="center"/>
                </w:tcPr>
                <w:p w14:paraId="2024AD49">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65.1</w:t>
                  </w:r>
                </w:p>
              </w:tc>
              <w:tc>
                <w:tcPr>
                  <w:tcW w:w="869" w:type="dxa"/>
                  <w:vAlign w:val="center"/>
                </w:tcPr>
                <w:p w14:paraId="42E9DF6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62</w:t>
                  </w:r>
                </w:p>
              </w:tc>
            </w:tr>
          </w:tbl>
          <w:p w14:paraId="48A220D0">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由表11-1可知，</w:t>
            </w:r>
            <w:r>
              <w:rPr>
                <w:rFonts w:hint="eastAsia" w:cs="Times New Roman"/>
                <w:color w:val="auto"/>
                <w:sz w:val="24"/>
                <w:szCs w:val="24"/>
                <w:highlight w:val="none"/>
                <w:lang w:val="en-US" w:eastAsia="zh-CN"/>
              </w:rPr>
              <w:t>施工</w:t>
            </w:r>
            <w:r>
              <w:rPr>
                <w:rFonts w:hint="default" w:ascii="Times New Roman" w:hAnsi="Times New Roman" w:eastAsia="宋体" w:cs="Times New Roman"/>
                <w:color w:val="auto"/>
                <w:sz w:val="24"/>
                <w:szCs w:val="24"/>
                <w:highlight w:val="none"/>
                <w:lang w:val="en-US" w:eastAsia="zh-CN"/>
              </w:rPr>
              <w:t>阶段施</w:t>
            </w:r>
            <w:r>
              <w:rPr>
                <w:rFonts w:hint="default" w:ascii="Times New Roman" w:hAnsi="Times New Roman" w:eastAsia="宋体" w:cs="Times New Roman"/>
                <w:color w:val="auto"/>
                <w:sz w:val="24"/>
                <w:szCs w:val="24"/>
                <w:lang w:val="en-US" w:eastAsia="zh-CN"/>
              </w:rPr>
              <w:t>工机械单独作业时在距离100m处昼间噪声能够达到《建筑施工场界环境噪声排放标准》（GB12523-2011）的限值要求（昼间不超过70dB（A））。在实际施工过程中，还会存在多种施工机械同时使用的情况，所产生的噪声影响将会更大。</w:t>
            </w:r>
          </w:p>
          <w:p w14:paraId="46600E9A">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但考虑到本项目施工工程量小，主要在室内进行，施工周期短，因此，对周围影响很小。为最大限度减轻施工期对周围环境影响，结合实际，建设单位和施工单位须采取的具体措施如下：</w:t>
            </w:r>
          </w:p>
          <w:p w14:paraId="669AB851">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1）考虑医疗场所的特殊性，施工作业应合理安排时间，禁止夜间施工。作业区应采取必要的隔档措施，尽量减少对周围环境的影响。</w:t>
            </w:r>
          </w:p>
          <w:p w14:paraId="2F230C4F">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2）在不影响施工质量的前提下，尽量选用低噪声、低振动的施工机械与施工方式。</w:t>
            </w:r>
          </w:p>
          <w:p w14:paraId="52210594">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3）加强对运输车辆、装卸过程的管理。</w:t>
            </w:r>
          </w:p>
          <w:p w14:paraId="76ECF0D1">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只要严格落实上述措施并加以科学管理，施工期噪声对声环境的影响是可以得到控制的，同时施工期的影响是暂时性的，随着施工作业结束，影响随之消失。</w:t>
            </w:r>
          </w:p>
          <w:p w14:paraId="12585D35">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1.3 废水污染影响分析</w:t>
            </w:r>
          </w:p>
          <w:p w14:paraId="7B9E9CA9">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w:t>
            </w:r>
            <w:r>
              <w:rPr>
                <w:rFonts w:hint="eastAsia" w:cs="Times New Roman"/>
                <w:color w:val="auto"/>
                <w:sz w:val="24"/>
                <w:szCs w:val="24"/>
                <w:lang w:val="en-US" w:eastAsia="zh-CN"/>
              </w:rPr>
              <w:t>生活污水</w:t>
            </w:r>
          </w:p>
          <w:p w14:paraId="160D1F3C">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施工期工作人员产生的</w:t>
            </w:r>
            <w:r>
              <w:rPr>
                <w:rFonts w:hint="eastAsia" w:cs="Times New Roman"/>
                <w:color w:val="auto"/>
                <w:sz w:val="24"/>
                <w:szCs w:val="24"/>
                <w:lang w:val="en-US" w:eastAsia="zh-CN"/>
              </w:rPr>
              <w:t>生活污水</w:t>
            </w:r>
            <w:r>
              <w:rPr>
                <w:rFonts w:hint="default" w:ascii="Times New Roman" w:hAnsi="Times New Roman" w:eastAsia="宋体" w:cs="Times New Roman"/>
                <w:color w:val="auto"/>
                <w:sz w:val="24"/>
                <w:szCs w:val="24"/>
                <w:lang w:val="en-US" w:eastAsia="zh-CN"/>
              </w:rPr>
              <w:t>可以依托医院污水处理系统进行处理。</w:t>
            </w:r>
          </w:p>
          <w:p w14:paraId="73014DE0">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（2）施工废水</w:t>
            </w:r>
          </w:p>
          <w:p w14:paraId="3CA12D22">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本项目DSA项目涉及的</w:t>
            </w:r>
            <w:r>
              <w:rPr>
                <w:rFonts w:hint="eastAsia" w:cs="Times New Roman"/>
                <w:color w:val="auto"/>
                <w:sz w:val="24"/>
                <w:szCs w:val="24"/>
                <w:lang w:val="en-US" w:eastAsia="zh-CN"/>
              </w:rPr>
              <w:t>机房施工</w:t>
            </w:r>
            <w:r>
              <w:rPr>
                <w:rFonts w:hint="default" w:ascii="Times New Roman" w:hAnsi="Times New Roman" w:eastAsia="宋体" w:cs="Times New Roman"/>
                <w:color w:val="auto"/>
                <w:sz w:val="24"/>
                <w:szCs w:val="24"/>
                <w:lang w:val="en-US" w:eastAsia="zh-CN"/>
              </w:rPr>
              <w:t>面积很小，基本上不产生及排放施工废水。</w:t>
            </w:r>
          </w:p>
          <w:p w14:paraId="278E3CA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1.4 固体废物影响分析</w:t>
            </w:r>
          </w:p>
          <w:p w14:paraId="462C90E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施工期所产生的固体废弃物主要是生活垃圾、建筑垃圾、装饰装修材料包装物及边角料。</w:t>
            </w:r>
          </w:p>
          <w:p w14:paraId="5F96B6E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DSA</w:t>
            </w:r>
            <w:r>
              <w:rPr>
                <w:rFonts w:hint="eastAsia" w:ascii="Times New Roman" w:hAnsi="Times New Roman" w:eastAsia="宋体" w:cs="Times New Roman"/>
                <w:color w:val="auto"/>
                <w:sz w:val="24"/>
                <w:szCs w:val="24"/>
                <w:lang w:val="en-US" w:eastAsia="zh-CN"/>
              </w:rPr>
              <w:t>机房改建</w:t>
            </w:r>
            <w:r>
              <w:rPr>
                <w:rFonts w:hint="default" w:ascii="Times New Roman" w:hAnsi="Times New Roman" w:eastAsia="宋体" w:cs="Times New Roman"/>
                <w:color w:val="auto"/>
                <w:sz w:val="24"/>
                <w:szCs w:val="24"/>
                <w:lang w:val="en-US" w:eastAsia="zh-CN"/>
              </w:rPr>
              <w:t>会产生少量建筑垃圾，施工人员也会产生少量生活垃圾，应分别堆放，建筑垃圾由建设单位负责运送至管理单位指定位置，不得随意倾倒，施工期产生的生活垃圾集中收集后由市政环卫部门统一清运。</w:t>
            </w:r>
          </w:p>
          <w:p w14:paraId="79BD8B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cs="Times New Roman"/>
                <w:color w:val="auto"/>
              </w:rPr>
            </w:pPr>
            <w:r>
              <w:rPr>
                <w:rFonts w:hint="default" w:ascii="Times New Roman" w:hAnsi="Times New Roman" w:eastAsia="宋体" w:cs="Times New Roman"/>
                <w:color w:val="auto"/>
                <w:sz w:val="24"/>
                <w:szCs w:val="24"/>
                <w:lang w:val="en-US" w:eastAsia="zh-CN"/>
              </w:rPr>
              <w:t>综上所述：施工期间将对区域环境会造成一定影响，建设单位和施工单位在施工过程中应严格落实对施工产生的噪声、扬尘、废水、固体废物的管理和控制措施，将这类影响降到最低程度。同时由于施工期对环境产生的影响均为暂时的、可逆的，随着施工期的结束，影响即自行消除。</w:t>
            </w:r>
          </w:p>
          <w:p w14:paraId="27E086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textAlignment w:val="auto"/>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二</w:t>
            </w:r>
            <w:r>
              <w:rPr>
                <w:rFonts w:hint="default" w:ascii="Times New Roman" w:hAnsi="Times New Roman" w:eastAsia="宋体" w:cs="Times New Roman"/>
                <w:b/>
                <w:bCs/>
                <w:color w:val="auto"/>
                <w:sz w:val="24"/>
                <w:szCs w:val="24"/>
                <w:lang w:val="en-US" w:eastAsia="zh-CN"/>
              </w:rPr>
              <w:t>、运营期对环境的影响</w:t>
            </w:r>
          </w:p>
          <w:p w14:paraId="0577B14E">
            <w:pPr>
              <w:pStyle w:val="23"/>
              <w:keepNext w:val="0"/>
              <w:keepLines w:val="0"/>
              <w:suppressLineNumbers w:val="0"/>
              <w:spacing w:before="0" w:beforeAutospacing="0" w:after="0" w:afterAutospacing="0"/>
              <w:ind w:left="0" w:right="0" w:firstLine="482" w:firstLineChars="200"/>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1、非辐射环境影响分析</w:t>
            </w:r>
          </w:p>
          <w:p w14:paraId="53CE947E">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根据医院提供的资料，本项目</w:t>
            </w:r>
            <w:r>
              <w:rPr>
                <w:rFonts w:hint="default" w:ascii="Times New Roman" w:hAnsi="Times New Roman" w:eastAsia="宋体" w:cs="Times New Roman"/>
                <w:color w:val="auto"/>
                <w:sz w:val="24"/>
                <w:szCs w:val="24"/>
                <w:highlight w:val="none"/>
                <w:lang w:val="en-US" w:eastAsia="zh-CN"/>
              </w:rPr>
              <w:t>DSA设备主要用于</w:t>
            </w:r>
            <w:r>
              <w:rPr>
                <w:rFonts w:hint="default" w:ascii="Times New Roman" w:hAnsi="Times New Roman" w:cs="Times New Roman"/>
                <w:color w:val="auto"/>
                <w:highlight w:val="none"/>
                <w:lang w:val="en-US" w:eastAsia="zh-CN"/>
              </w:rPr>
              <w:t>开展心血管介入手术</w:t>
            </w:r>
            <w:r>
              <w:rPr>
                <w:rFonts w:hint="default"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eastAsia="zh-CN"/>
              </w:rPr>
              <w:t>预计手术量</w:t>
            </w:r>
            <w:r>
              <w:rPr>
                <w:rFonts w:hint="eastAsia"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lang w:val="en-US" w:eastAsia="zh-CN"/>
              </w:rPr>
              <w:t>00台/年，年工作时间</w:t>
            </w:r>
            <w:r>
              <w:rPr>
                <w:rFonts w:hint="eastAsia" w:cs="Times New Roman"/>
                <w:color w:val="auto"/>
                <w:sz w:val="24"/>
                <w:szCs w:val="24"/>
                <w:highlight w:val="none"/>
                <w:lang w:val="en-US" w:eastAsia="zh-CN"/>
              </w:rPr>
              <w:t>250</w:t>
            </w:r>
            <w:r>
              <w:rPr>
                <w:rFonts w:hint="default" w:ascii="Times New Roman" w:hAnsi="Times New Roman" w:eastAsia="宋体" w:cs="Times New Roman"/>
                <w:color w:val="auto"/>
                <w:sz w:val="24"/>
                <w:szCs w:val="24"/>
                <w:highlight w:val="none"/>
                <w:lang w:val="en-US" w:eastAsia="zh-CN"/>
              </w:rPr>
              <w:t>天，</w:t>
            </w:r>
            <w:r>
              <w:rPr>
                <w:rFonts w:hint="eastAsia" w:cs="Times New Roman"/>
                <w:color w:val="auto"/>
                <w:sz w:val="24"/>
                <w:szCs w:val="24"/>
                <w:highlight w:val="none"/>
                <w:lang w:val="en-US" w:eastAsia="zh-CN"/>
              </w:rPr>
              <w:t>拟</w:t>
            </w:r>
            <w:r>
              <w:rPr>
                <w:rFonts w:hint="default" w:ascii="Times New Roman" w:hAnsi="Times New Roman" w:eastAsia="宋体" w:cs="Times New Roman"/>
                <w:color w:val="auto"/>
                <w:sz w:val="24"/>
                <w:szCs w:val="24"/>
                <w:highlight w:val="none"/>
                <w:lang w:val="en-US" w:eastAsia="zh-CN"/>
              </w:rPr>
              <w:t>配备辐射工作人员5名，本项目拟配备的辐射工作人员从医院现有</w:t>
            </w:r>
            <w:r>
              <w:rPr>
                <w:rFonts w:hint="eastAsia" w:cs="Times New Roman"/>
                <w:color w:val="auto"/>
                <w:sz w:val="24"/>
                <w:szCs w:val="24"/>
                <w:highlight w:val="none"/>
                <w:lang w:val="en-US" w:eastAsia="zh-CN"/>
              </w:rPr>
              <w:t>医务人员</w:t>
            </w:r>
            <w:r>
              <w:rPr>
                <w:rFonts w:hint="default" w:ascii="Times New Roman" w:hAnsi="Times New Roman" w:eastAsia="宋体" w:cs="Times New Roman"/>
                <w:color w:val="auto"/>
                <w:sz w:val="24"/>
                <w:szCs w:val="24"/>
                <w:highlight w:val="none"/>
                <w:lang w:val="en-US" w:eastAsia="zh-CN"/>
              </w:rPr>
              <w:t>之中调剂。</w:t>
            </w:r>
          </w:p>
          <w:p w14:paraId="782F796D">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（1）一般固体废物和医疗废物</w:t>
            </w:r>
          </w:p>
          <w:p w14:paraId="075F34DE">
            <w:pPr>
              <w:pStyle w:val="23"/>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ind w:left="0" w:right="0" w:firstLine="480" w:firstLineChars="200"/>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本项目运行后医疗废物主要包括病人手术的废物、被血液或人体体液污染的废医疗材料</w:t>
            </w:r>
            <w:r>
              <w:rPr>
                <w:rFonts w:hint="eastAsia" w:cs="Times New Roman"/>
                <w:color w:val="auto"/>
                <w:sz w:val="24"/>
                <w:szCs w:val="24"/>
                <w:highlight w:val="none"/>
                <w:lang w:eastAsia="zh-CN"/>
              </w:rPr>
              <w:t>以及其他</w:t>
            </w:r>
            <w:r>
              <w:rPr>
                <w:rFonts w:hint="default" w:ascii="Times New Roman" w:hAnsi="Times New Roman" w:eastAsia="宋体" w:cs="Times New Roman"/>
                <w:color w:val="auto"/>
                <w:sz w:val="24"/>
                <w:szCs w:val="24"/>
                <w:highlight w:val="none"/>
              </w:rPr>
              <w:t>废弃锋利物，包括废针头、废皮下注射针等，种类与医院现行产生的医疗废物基本相同。</w:t>
            </w:r>
            <w:r>
              <w:rPr>
                <w:rFonts w:hint="default" w:ascii="Times New Roman" w:hAnsi="Times New Roman" w:cs="Times New Roman"/>
                <w:color w:val="auto"/>
                <w:sz w:val="24"/>
                <w:szCs w:val="24"/>
                <w:lang w:val="en-US" w:eastAsia="zh-CN"/>
              </w:rPr>
              <w:t>本项目病人</w:t>
            </w:r>
            <w:r>
              <w:rPr>
                <w:rFonts w:hint="eastAsia" w:cs="Times New Roman"/>
                <w:color w:val="auto"/>
                <w:sz w:val="24"/>
                <w:szCs w:val="24"/>
                <w:lang w:val="en-US" w:eastAsia="zh-CN"/>
              </w:rPr>
              <w:t>来自</w:t>
            </w:r>
            <w:r>
              <w:rPr>
                <w:rFonts w:hint="default" w:ascii="Times New Roman" w:hAnsi="Times New Roman" w:cs="Times New Roman"/>
                <w:color w:val="auto"/>
                <w:sz w:val="24"/>
                <w:szCs w:val="24"/>
                <w:lang w:val="en-US" w:eastAsia="zh-CN"/>
              </w:rPr>
              <w:t>医院的住院病人，辐射工作人员从现有工作人员中调剂，</w:t>
            </w:r>
            <w:r>
              <w:rPr>
                <w:rFonts w:hint="eastAsia" w:cs="Times New Roman"/>
                <w:color w:val="auto"/>
                <w:sz w:val="24"/>
                <w:szCs w:val="24"/>
                <w:highlight w:val="none"/>
                <w:vertAlign w:val="baseline"/>
                <w:lang w:val="en-US" w:eastAsia="zh-CN"/>
              </w:rPr>
              <w:t>故本项目不新增医疗废物和生活垃圾产生量</w:t>
            </w:r>
            <w:r>
              <w:rPr>
                <w:rFonts w:hint="default" w:ascii="Times New Roman" w:hAnsi="Times New Roman" w:eastAsia="宋体" w:cs="Times New Roman"/>
                <w:color w:val="auto"/>
                <w:sz w:val="24"/>
                <w:szCs w:val="24"/>
                <w:highlight w:val="none"/>
                <w:lang w:eastAsia="zh-CN"/>
              </w:rPr>
              <w:t>。</w:t>
            </w:r>
          </w:p>
          <w:p w14:paraId="2BAA9785">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eastAsia="zh-CN"/>
              </w:rPr>
              <w:t>医院按照有关规定对产生的医疗废物分类收集，分置于防渗漏、防锐器穿透的专用包装物或密闭容器内，每日由专人将各科室产生的医疗废物</w:t>
            </w:r>
            <w:r>
              <w:rPr>
                <w:rFonts w:hint="eastAsia" w:cs="Times New Roman"/>
                <w:color w:val="auto"/>
                <w:sz w:val="24"/>
                <w:szCs w:val="24"/>
                <w:lang w:eastAsia="zh-CN"/>
              </w:rPr>
              <w:t>通过医疗废物暂存间专用电梯集中暂存于综合楼地下一层医疗废物暂存间，委托</w:t>
            </w:r>
            <w:r>
              <w:rPr>
                <w:rFonts w:hint="default" w:ascii="Times New Roman" w:hAnsi="Times New Roman" w:eastAsia="宋体" w:cs="Times New Roman"/>
                <w:color w:val="auto"/>
                <w:sz w:val="24"/>
                <w:szCs w:val="24"/>
                <w:highlight w:val="none"/>
              </w:rPr>
              <w:t>有资质单位</w:t>
            </w:r>
            <w:r>
              <w:rPr>
                <w:rFonts w:hint="default" w:ascii="Times New Roman" w:hAnsi="Times New Roman" w:eastAsia="宋体" w:cs="Times New Roman"/>
                <w:color w:val="auto"/>
                <w:sz w:val="24"/>
                <w:szCs w:val="24"/>
                <w:lang w:eastAsia="zh-CN"/>
              </w:rPr>
              <w:t>按照</w:t>
            </w:r>
            <w:r>
              <w:rPr>
                <w:rFonts w:hint="default" w:ascii="Times New Roman" w:hAnsi="Times New Roman" w:eastAsia="宋体" w:cs="Times New Roman"/>
                <w:color w:val="auto"/>
                <w:sz w:val="24"/>
                <w:szCs w:val="24"/>
                <w:lang w:val="en-US" w:eastAsia="zh-CN"/>
              </w:rPr>
              <w:t>医院确定的内部医疗废物运送时间、路线每日收运并进行无害化处置。医院内部各处设置</w:t>
            </w:r>
            <w:r>
              <w:rPr>
                <w:rFonts w:hint="default" w:ascii="Times New Roman" w:hAnsi="Times New Roman" w:eastAsia="宋体" w:cs="Times New Roman"/>
                <w:color w:val="auto"/>
                <w:sz w:val="24"/>
                <w:szCs w:val="24"/>
              </w:rPr>
              <w:t>生活垃圾</w:t>
            </w:r>
            <w:r>
              <w:rPr>
                <w:rFonts w:hint="default" w:ascii="Times New Roman" w:hAnsi="Times New Roman" w:eastAsia="宋体" w:cs="Times New Roman"/>
                <w:color w:val="auto"/>
                <w:sz w:val="24"/>
                <w:szCs w:val="24"/>
                <w:lang w:eastAsia="zh-CN"/>
              </w:rPr>
              <w:t>分类收集桶，每日收集后</w:t>
            </w:r>
            <w:r>
              <w:rPr>
                <w:rFonts w:hint="default" w:ascii="Times New Roman" w:hAnsi="Times New Roman" w:eastAsia="宋体" w:cs="Times New Roman"/>
                <w:color w:val="auto"/>
                <w:sz w:val="24"/>
                <w:szCs w:val="24"/>
              </w:rPr>
              <w:t>由环卫部门统一清运处置。</w:t>
            </w:r>
            <w:r>
              <w:rPr>
                <w:rFonts w:hint="default" w:ascii="Times New Roman" w:hAnsi="Times New Roman" w:eastAsia="宋体" w:cs="Times New Roman"/>
                <w:color w:val="auto"/>
                <w:sz w:val="24"/>
                <w:szCs w:val="24"/>
                <w:lang w:val="en-US" w:eastAsia="zh-CN"/>
              </w:rPr>
              <w:t>因此本项目固体废物对周围环境影响较小。</w:t>
            </w:r>
          </w:p>
          <w:p w14:paraId="58FF9944">
            <w:pPr>
              <w:pStyle w:val="23"/>
              <w:keepNext w:val="0"/>
              <w:keepLines w:val="0"/>
              <w:numPr>
                <w:ilvl w:val="0"/>
                <w:numId w:val="5"/>
              </w:numPr>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废水</w:t>
            </w:r>
          </w:p>
          <w:p w14:paraId="78913059">
            <w:pPr>
              <w:pStyle w:val="23"/>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ind w:left="0" w:right="0" w:firstLine="480" w:firstLineChars="200"/>
              <w:textAlignment w:val="auto"/>
              <w:rPr>
                <w:rFonts w:hint="default" w:ascii="Times New Roman" w:hAnsi="Times New Roman" w:eastAsia="宋体" w:cs="Times New Roman"/>
                <w:color w:val="auto"/>
                <w:sz w:val="24"/>
                <w:szCs w:val="24"/>
                <w:highlight w:val="none"/>
                <w:vertAlign w:val="baseline"/>
                <w:lang w:val="en-US" w:eastAsia="zh-CN"/>
              </w:rPr>
            </w:pPr>
            <w:r>
              <w:rPr>
                <w:rFonts w:hint="eastAsia" w:cs="Times New Roman"/>
                <w:color w:val="auto"/>
                <w:sz w:val="24"/>
                <w:szCs w:val="24"/>
                <w:lang w:val="en-US" w:eastAsia="zh-CN"/>
              </w:rPr>
              <w:t>本项目产生的废水主要来自病人的医疗废水和医务人员的生活污水。</w:t>
            </w:r>
            <w:r>
              <w:rPr>
                <w:rFonts w:hint="default" w:ascii="Times New Roman" w:hAnsi="Times New Roman" w:cs="Times New Roman"/>
                <w:color w:val="auto"/>
                <w:sz w:val="24"/>
                <w:szCs w:val="24"/>
                <w:lang w:val="en-US" w:eastAsia="zh-CN"/>
              </w:rPr>
              <w:t>本项目病人</w:t>
            </w:r>
            <w:r>
              <w:rPr>
                <w:rFonts w:hint="eastAsia" w:cs="Times New Roman"/>
                <w:color w:val="auto"/>
                <w:sz w:val="24"/>
                <w:szCs w:val="24"/>
                <w:lang w:val="en-US" w:eastAsia="zh-CN"/>
              </w:rPr>
              <w:t>来自</w:t>
            </w:r>
            <w:r>
              <w:rPr>
                <w:rFonts w:hint="default" w:ascii="Times New Roman" w:hAnsi="Times New Roman" w:cs="Times New Roman"/>
                <w:color w:val="auto"/>
                <w:sz w:val="24"/>
                <w:szCs w:val="24"/>
                <w:lang w:val="en-US" w:eastAsia="zh-CN"/>
              </w:rPr>
              <w:t>医院的住院病人，辐射工作人员从现有工作人员中调剂，</w:t>
            </w:r>
            <w:r>
              <w:rPr>
                <w:rFonts w:hint="eastAsia" w:cs="Times New Roman"/>
                <w:color w:val="auto"/>
                <w:sz w:val="24"/>
                <w:szCs w:val="24"/>
                <w:highlight w:val="none"/>
                <w:vertAlign w:val="baseline"/>
                <w:lang w:val="en-US" w:eastAsia="zh-CN"/>
              </w:rPr>
              <w:t>故本项目不新增医疗废水和生活污水产生量。</w:t>
            </w:r>
          </w:p>
          <w:p w14:paraId="5127F110">
            <w:pPr>
              <w:pStyle w:val="23"/>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ind w:left="0" w:right="0" w:firstLine="480" w:firstLineChars="200"/>
              <w:textAlignment w:val="auto"/>
              <w:rPr>
                <w:rFonts w:hint="default" w:ascii="Times New Roman" w:hAnsi="Times New Roman" w:eastAsia="宋体" w:cs="Times New Roman"/>
                <w:color w:val="auto"/>
                <w:sz w:val="24"/>
                <w:szCs w:val="24"/>
                <w:lang w:eastAsia="zh-CN"/>
              </w:rPr>
            </w:pPr>
            <w:r>
              <w:rPr>
                <w:rFonts w:hint="eastAsia" w:ascii="宋体" w:hAnsi="宋体" w:eastAsia="宋体" w:cs="宋体"/>
                <w:color w:val="auto"/>
                <w:kern w:val="0"/>
                <w:sz w:val="24"/>
                <w:szCs w:val="24"/>
                <w:highlight w:val="none"/>
                <w:lang w:val="en-US" w:eastAsia="zh-CN" w:bidi="ar"/>
              </w:rPr>
              <w:t>医院自建的污水处理站（位于院区东南侧，地埋式，处理工艺为 “一级强化处理（即格栅+调节池+混凝沉淀）+二氧化氯消毒”工艺，设计规模</w:t>
            </w:r>
            <w:r>
              <w:rPr>
                <w:rFonts w:hint="eastAsia" w:cs="Times New Roman"/>
                <w:color w:val="auto"/>
                <w:kern w:val="0"/>
                <w:sz w:val="24"/>
                <w:szCs w:val="24"/>
                <w:highlight w:val="none"/>
                <w:lang w:val="en-US" w:eastAsia="zh-CN" w:bidi="ar"/>
              </w:rPr>
              <w:t>20</w:t>
            </w:r>
            <w:r>
              <w:rPr>
                <w:rFonts w:hint="default" w:ascii="Times New Roman" w:hAnsi="Times New Roman" w:eastAsia="宋体" w:cs="Times New Roman"/>
                <w:color w:val="auto"/>
                <w:kern w:val="0"/>
                <w:sz w:val="24"/>
                <w:szCs w:val="24"/>
                <w:highlight w:val="none"/>
                <w:lang w:val="en-US" w:eastAsia="zh-CN" w:bidi="ar"/>
              </w:rPr>
              <w:t>0t/d</w:t>
            </w:r>
            <w:r>
              <w:rPr>
                <w:rFonts w:hint="eastAsia" w:ascii="宋体" w:hAnsi="宋体" w:eastAsia="宋体" w:cs="宋体"/>
                <w:color w:val="auto"/>
                <w:kern w:val="0"/>
                <w:sz w:val="24"/>
                <w:szCs w:val="24"/>
                <w:highlight w:val="none"/>
                <w:lang w:val="en-US" w:eastAsia="zh-CN" w:bidi="ar"/>
              </w:rPr>
              <w:t>）处理达标后，经院区总排污口排入市政污水管网，进入</w:t>
            </w:r>
            <w:r>
              <w:rPr>
                <w:rFonts w:hint="eastAsia" w:ascii="宋体" w:hAnsi="宋体" w:cs="宋体"/>
                <w:color w:val="auto"/>
                <w:kern w:val="0"/>
                <w:sz w:val="24"/>
                <w:szCs w:val="24"/>
                <w:highlight w:val="none"/>
                <w:lang w:val="en-US" w:eastAsia="zh-CN" w:bidi="ar"/>
              </w:rPr>
              <w:t>寿县安丰镇污水处理厂</w:t>
            </w:r>
            <w:r>
              <w:rPr>
                <w:rFonts w:hint="default" w:ascii="Times New Roman" w:hAnsi="Times New Roman" w:eastAsia="宋体" w:cs="Times New Roman"/>
                <w:color w:val="auto"/>
                <w:sz w:val="24"/>
                <w:szCs w:val="24"/>
                <w:highlight w:val="none"/>
                <w:lang w:eastAsia="zh-CN"/>
              </w:rPr>
              <w:t>。医院污水处理站具备处理整体废水的能力。故本项目废水依托</w:t>
            </w:r>
            <w:r>
              <w:rPr>
                <w:rFonts w:hint="default" w:ascii="Times New Roman" w:hAnsi="Times New Roman" w:eastAsia="宋体" w:cs="Times New Roman"/>
                <w:color w:val="auto"/>
                <w:sz w:val="24"/>
                <w:szCs w:val="24"/>
                <w:lang w:eastAsia="zh-CN"/>
              </w:rPr>
              <w:t>医院当前污水处理站处理可行，对周围环境影响较小。</w:t>
            </w:r>
          </w:p>
          <w:p w14:paraId="471EE192">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（3）废气</w:t>
            </w:r>
          </w:p>
          <w:p w14:paraId="021FB121">
            <w:pPr>
              <w:pStyle w:val="23"/>
              <w:keepNext w:val="0"/>
              <w:keepLines w:val="0"/>
              <w:suppressLineNumbers w:val="0"/>
              <w:spacing w:before="0" w:beforeAutospacing="0" w:after="0" w:afterAutospacing="0"/>
              <w:ind w:left="0" w:right="0" w:firstLine="480" w:firstLineChars="200"/>
              <w:rPr>
                <w:rFonts w:hint="default" w:ascii="Times New Roman" w:hAnsi="Times New Roman" w:cs="Times New Roman"/>
                <w:color w:val="auto"/>
                <w:highlight w:val="none"/>
              </w:rPr>
            </w:pPr>
            <w:r>
              <w:rPr>
                <w:rFonts w:hint="default" w:ascii="Times New Roman" w:hAnsi="Times New Roman" w:eastAsia="宋体" w:cs="Times New Roman"/>
                <w:color w:val="auto"/>
                <w:sz w:val="24"/>
                <w:szCs w:val="24"/>
                <w:lang w:val="en-US" w:eastAsia="zh-CN"/>
              </w:rPr>
              <w:t>本项目设备</w:t>
            </w:r>
            <w:r>
              <w:rPr>
                <w:rFonts w:hint="default" w:ascii="Times New Roman" w:hAnsi="Times New Roman" w:eastAsia="宋体" w:cs="Times New Roman"/>
                <w:color w:val="auto"/>
                <w:sz w:val="24"/>
                <w:szCs w:val="24"/>
              </w:rPr>
              <w:t>在开机时发出的X射线电离空气会产生</w:t>
            </w:r>
            <w:r>
              <w:rPr>
                <w:rFonts w:hint="default" w:ascii="Times New Roman" w:hAnsi="Times New Roman" w:eastAsia="宋体" w:cs="Times New Roman"/>
                <w:color w:val="auto"/>
                <w:sz w:val="24"/>
                <w:szCs w:val="24"/>
                <w:lang w:eastAsia="zh-CN"/>
              </w:rPr>
              <w:t>极</w:t>
            </w:r>
            <w:r>
              <w:rPr>
                <w:rFonts w:hint="default" w:ascii="Times New Roman" w:hAnsi="Times New Roman" w:eastAsia="宋体" w:cs="Times New Roman"/>
                <w:color w:val="auto"/>
                <w:sz w:val="24"/>
                <w:szCs w:val="24"/>
              </w:rPr>
              <w:t>少量</w:t>
            </w:r>
            <w:r>
              <w:rPr>
                <w:rFonts w:hint="default" w:ascii="Times New Roman" w:hAnsi="Times New Roman" w:eastAsia="宋体" w:cs="Times New Roman"/>
                <w:color w:val="auto"/>
                <w:sz w:val="24"/>
                <w:szCs w:val="24"/>
                <w:lang w:eastAsia="zh-CN"/>
              </w:rPr>
              <w:t>的</w:t>
            </w:r>
            <w:r>
              <w:rPr>
                <w:rFonts w:hint="default" w:ascii="Times New Roman" w:hAnsi="Times New Roman" w:eastAsia="宋体" w:cs="Times New Roman"/>
                <w:color w:val="auto"/>
                <w:sz w:val="24"/>
                <w:szCs w:val="24"/>
              </w:rPr>
              <w:t>臭氧和氮氧化物，</w:t>
            </w:r>
            <w:r>
              <w:rPr>
                <w:rFonts w:hint="eastAsia" w:cs="Times New Roman"/>
                <w:color w:val="auto"/>
                <w:sz w:val="24"/>
                <w:szCs w:val="24"/>
                <w:lang w:eastAsia="zh-CN"/>
              </w:rPr>
              <w:t>机房依托综合楼通风系统，在机</w:t>
            </w:r>
            <w:r>
              <w:rPr>
                <w:rFonts w:hint="eastAsia" w:cs="Times New Roman"/>
                <w:color w:val="auto"/>
                <w:sz w:val="24"/>
                <w:szCs w:val="24"/>
                <w:highlight w:val="none"/>
                <w:lang w:eastAsia="zh-CN"/>
              </w:rPr>
              <w:t>房内设置送风、排风口</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rPr>
              <w:t>废气通过排</w:t>
            </w:r>
            <w:r>
              <w:rPr>
                <w:rFonts w:hint="default" w:ascii="Times New Roman" w:hAnsi="Times New Roman" w:eastAsia="宋体" w:cs="Times New Roman"/>
                <w:color w:val="auto"/>
                <w:sz w:val="24"/>
                <w:szCs w:val="24"/>
                <w:highlight w:val="none"/>
                <w:lang w:eastAsia="zh-CN"/>
              </w:rPr>
              <w:t>风</w:t>
            </w:r>
            <w:r>
              <w:rPr>
                <w:rFonts w:hint="default" w:ascii="Times New Roman" w:hAnsi="Times New Roman" w:eastAsia="宋体" w:cs="Times New Roman"/>
                <w:color w:val="auto"/>
                <w:sz w:val="24"/>
                <w:szCs w:val="24"/>
                <w:highlight w:val="none"/>
              </w:rPr>
              <w:t>系统排出房间，在空气中易于扩散，所以产生的废气对环境几乎没有影响，上述措施符合《放射诊断放射防护要求》（GBZ130-2020）</w:t>
            </w:r>
            <w:r>
              <w:rPr>
                <w:rFonts w:hint="eastAsia" w:cs="Times New Roman"/>
                <w:color w:val="auto"/>
                <w:sz w:val="24"/>
                <w:szCs w:val="24"/>
                <w:highlight w:val="none"/>
                <w:lang w:eastAsia="zh-CN"/>
              </w:rPr>
              <w:t>中</w:t>
            </w:r>
            <w:r>
              <w:rPr>
                <w:rFonts w:hint="default" w:ascii="Times New Roman" w:hAnsi="Times New Roman" w:cs="Times New Roman"/>
                <w:color w:val="auto"/>
                <w:highlight w:val="none"/>
                <w:lang w:eastAsia="zh-CN"/>
              </w:rPr>
              <w:t>规定</w:t>
            </w:r>
            <w:r>
              <w:rPr>
                <w:rFonts w:hint="default" w:ascii="Times New Roman" w:hAnsi="Times New Roman" w:cs="Times New Roman"/>
                <w:color w:val="auto"/>
                <w:highlight w:val="none"/>
              </w:rPr>
              <w:t>的</w:t>
            </w:r>
            <w:r>
              <w:rPr>
                <w:rFonts w:hint="eastAsia" w:ascii="宋体" w:hAnsi="宋体" w:eastAsia="宋体" w:cs="宋体"/>
                <w:color w:val="auto"/>
                <w:spacing w:val="-2"/>
                <w:kern w:val="0"/>
                <w:sz w:val="24"/>
                <w:highlight w:val="none"/>
                <w:lang w:val="en-US" w:eastAsia="zh-CN"/>
              </w:rPr>
              <w:t>“机房应设置动力通风装置，并保持良好通风”</w:t>
            </w:r>
            <w:r>
              <w:rPr>
                <w:rFonts w:hint="eastAsia" w:cs="Times New Roman"/>
                <w:color w:val="auto"/>
                <w:spacing w:val="-2"/>
                <w:kern w:val="0"/>
                <w:sz w:val="24"/>
                <w:highlight w:val="none"/>
                <w:lang w:val="en-US" w:eastAsia="zh-CN"/>
              </w:rPr>
              <w:t>的</w:t>
            </w:r>
            <w:r>
              <w:rPr>
                <w:rFonts w:hint="default" w:ascii="Times New Roman" w:hAnsi="Times New Roman" w:cs="Times New Roman"/>
                <w:color w:val="auto"/>
                <w:highlight w:val="none"/>
              </w:rPr>
              <w:t>要求。</w:t>
            </w:r>
          </w:p>
          <w:p w14:paraId="02D4CFFD">
            <w:pPr>
              <w:pStyle w:val="23"/>
              <w:keepNext w:val="0"/>
              <w:keepLines w:val="0"/>
              <w:suppressLineNumbers w:val="0"/>
              <w:spacing w:before="0" w:beforeAutospacing="0" w:after="0" w:afterAutospacing="0"/>
              <w:ind w:left="0" w:right="0"/>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color w:val="auto"/>
                <w:sz w:val="24"/>
                <w:szCs w:val="24"/>
                <w:highlight w:val="none"/>
              </w:rPr>
              <w:t>（</w:t>
            </w:r>
            <w:r>
              <w:rPr>
                <w:rFonts w:hint="eastAsia"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rPr>
              <w:t>）噪声</w:t>
            </w:r>
          </w:p>
          <w:p w14:paraId="045509DB">
            <w:pPr>
              <w:keepNext w:val="0"/>
              <w:keepLines w:val="0"/>
              <w:numPr>
                <w:ilvl w:val="0"/>
                <w:numId w:val="0"/>
              </w:numPr>
              <w:suppressLineNumbers w:val="0"/>
              <w:spacing w:before="0" w:beforeAutospacing="0" w:after="0" w:afterAutospacing="0" w:line="360" w:lineRule="auto"/>
              <w:ind w:left="0" w:right="0" w:rightChars="0" w:firstLine="480" w:firstLineChars="200"/>
              <w:rPr>
                <w:rFonts w:hint="default" w:ascii="Times New Roman" w:hAnsi="Times New Roman" w:cs="Times New Roman"/>
                <w:color w:val="auto"/>
                <w:sz w:val="24"/>
                <w:lang w:val="en-US"/>
              </w:rPr>
            </w:pPr>
            <w:r>
              <w:rPr>
                <w:rFonts w:hint="eastAsia" w:ascii="Times New Roman" w:hAnsi="Times New Roman" w:eastAsia="宋体" w:cs="Times New Roman"/>
                <w:snapToGrid w:val="0"/>
                <w:color w:val="auto"/>
                <w:kern w:val="0"/>
                <w:sz w:val="24"/>
                <w:szCs w:val="21"/>
                <w:lang w:val="en-US" w:eastAsia="zh-CN" w:bidi="ar-SA"/>
              </w:rPr>
              <w:t>由前文分析可知，本项目主要噪声源为通风系统风机，本项目拟安装低噪音进、排风机(700m</w:t>
            </w:r>
            <w:r>
              <w:rPr>
                <w:rFonts w:hint="eastAsia" w:ascii="Times New Roman" w:hAnsi="Times New Roman" w:eastAsia="宋体" w:cs="Times New Roman"/>
                <w:snapToGrid w:val="0"/>
                <w:color w:val="auto"/>
                <w:kern w:val="0"/>
                <w:sz w:val="24"/>
                <w:szCs w:val="21"/>
                <w:vertAlign w:val="superscript"/>
                <w:lang w:val="en-US" w:eastAsia="zh-CN" w:bidi="ar-SA"/>
              </w:rPr>
              <w:t>3</w:t>
            </w:r>
            <w:r>
              <w:rPr>
                <w:rFonts w:hint="eastAsia" w:ascii="Times New Roman" w:hAnsi="Times New Roman" w:eastAsia="宋体" w:cs="Times New Roman"/>
                <w:snapToGrid w:val="0"/>
                <w:color w:val="auto"/>
                <w:kern w:val="0"/>
                <w:sz w:val="24"/>
                <w:szCs w:val="21"/>
                <w:lang w:val="en-US" w:eastAsia="zh-CN" w:bidi="ar-SA"/>
              </w:rPr>
              <w:t>/h)一套，风机的源强参数</w:t>
            </w:r>
            <w:r>
              <w:rPr>
                <w:rFonts w:hint="eastAsia" w:ascii="Times New Roman" w:hAnsi="Times New Roman" w:cs="Times New Roman"/>
                <w:color w:val="auto"/>
                <w:sz w:val="24"/>
                <w:lang w:val="en-US" w:eastAsia="zh-CN"/>
              </w:rPr>
              <w:t>如下表所列。</w:t>
            </w:r>
          </w:p>
          <w:p w14:paraId="1014DF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jc w:val="center"/>
              <w:textAlignment w:val="auto"/>
              <w:rPr>
                <w:rFonts w:hint="eastAsia" w:ascii="Times New Roman" w:hAnsi="Times New Roman" w:cs="Times New Roman"/>
                <w:b/>
                <w:bCs/>
                <w:color w:val="auto"/>
                <w:sz w:val="24"/>
                <w:lang w:val="en-US" w:eastAsia="zh-CN"/>
              </w:rPr>
            </w:pPr>
          </w:p>
          <w:p w14:paraId="08D91D6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jc w:val="center"/>
              <w:textAlignment w:val="auto"/>
              <w:rPr>
                <w:rFonts w:hint="eastAsia" w:ascii="Times New Roman" w:hAnsi="Times New Roman" w:cs="Times New Roman"/>
                <w:b/>
                <w:bCs/>
                <w:color w:val="auto"/>
                <w:sz w:val="24"/>
                <w:lang w:val="en-US" w:eastAsia="zh-CN"/>
              </w:rPr>
            </w:pPr>
            <w:r>
              <w:rPr>
                <w:rFonts w:hint="eastAsia" w:ascii="Times New Roman" w:hAnsi="Times New Roman" w:cs="Times New Roman"/>
                <w:b/>
                <w:bCs/>
                <w:color w:val="auto"/>
                <w:sz w:val="24"/>
                <w:lang w:val="en-US" w:eastAsia="zh-CN"/>
              </w:rPr>
              <w:t>表11-2 噪声源强调查清单（室内声源）</w:t>
            </w:r>
          </w:p>
          <w:tbl>
            <w:tblPr>
              <w:tblStyle w:val="17"/>
              <w:tblW w:w="98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5"/>
              <w:gridCol w:w="584"/>
              <w:gridCol w:w="540"/>
              <w:gridCol w:w="1182"/>
              <w:gridCol w:w="679"/>
              <w:gridCol w:w="574"/>
              <w:gridCol w:w="509"/>
              <w:gridCol w:w="496"/>
              <w:gridCol w:w="965"/>
              <w:gridCol w:w="939"/>
              <w:gridCol w:w="613"/>
              <w:gridCol w:w="822"/>
              <w:gridCol w:w="769"/>
              <w:gridCol w:w="802"/>
            </w:tblGrid>
            <w:tr w14:paraId="636EE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170" w:type="pct"/>
                  <w:vMerge w:val="restart"/>
                  <w:shd w:val="clear" w:color="auto" w:fill="auto"/>
                  <w:vAlign w:val="center"/>
                </w:tcPr>
                <w:p w14:paraId="1B6B7857">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lang w:eastAsia="zh-CN"/>
                    </w:rPr>
                  </w:pPr>
                  <w:r>
                    <w:rPr>
                      <w:rFonts w:hint="default" w:ascii="Times New Roman" w:hAnsi="Times New Roman" w:eastAsia="宋体" w:cs="Times New Roman"/>
                      <w:b/>
                      <w:bCs/>
                      <w:color w:val="auto"/>
                      <w:sz w:val="18"/>
                      <w:szCs w:val="18"/>
                      <w:lang w:eastAsia="zh-CN"/>
                    </w:rPr>
                    <w:t>序号</w:t>
                  </w:r>
                </w:p>
              </w:tc>
              <w:tc>
                <w:tcPr>
                  <w:tcW w:w="297" w:type="pct"/>
                  <w:vMerge w:val="restart"/>
                  <w:shd w:val="clear" w:color="auto" w:fill="auto"/>
                  <w:vAlign w:val="center"/>
                </w:tcPr>
                <w:p w14:paraId="652A6AB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声源名称</w:t>
                  </w:r>
                </w:p>
              </w:tc>
              <w:tc>
                <w:tcPr>
                  <w:tcW w:w="275" w:type="pct"/>
                  <w:vMerge w:val="restart"/>
                  <w:shd w:val="clear" w:color="auto" w:fill="auto"/>
                  <w:vAlign w:val="center"/>
                </w:tcPr>
                <w:p w14:paraId="6714B98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型号</w:t>
                  </w:r>
                </w:p>
              </w:tc>
              <w:tc>
                <w:tcPr>
                  <w:tcW w:w="602" w:type="pct"/>
                  <w:vMerge w:val="restart"/>
                  <w:shd w:val="clear" w:color="auto" w:fill="auto"/>
                  <w:vAlign w:val="center"/>
                </w:tcPr>
                <w:p w14:paraId="7604590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声源源强（声压级/距声源距离）/（dB(A)/m）</w:t>
                  </w:r>
                </w:p>
              </w:tc>
              <w:tc>
                <w:tcPr>
                  <w:tcW w:w="346" w:type="pct"/>
                  <w:vMerge w:val="restart"/>
                  <w:shd w:val="clear" w:color="auto" w:fill="auto"/>
                  <w:vAlign w:val="center"/>
                </w:tcPr>
                <w:p w14:paraId="30D95D7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声源控制措施</w:t>
                  </w:r>
                </w:p>
              </w:tc>
              <w:tc>
                <w:tcPr>
                  <w:tcW w:w="804" w:type="pct"/>
                  <w:gridSpan w:val="3"/>
                  <w:shd w:val="clear" w:color="auto" w:fill="auto"/>
                  <w:vAlign w:val="center"/>
                </w:tcPr>
                <w:p w14:paraId="5335FDE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空间相对位置/m</w:t>
                  </w:r>
                </w:p>
              </w:tc>
              <w:tc>
                <w:tcPr>
                  <w:tcW w:w="491" w:type="pct"/>
                  <w:vMerge w:val="restart"/>
                  <w:shd w:val="clear" w:color="auto" w:fill="auto"/>
                  <w:vAlign w:val="center"/>
                </w:tcPr>
                <w:p w14:paraId="327DF2A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距室内边界</w:t>
                  </w:r>
                  <w:r>
                    <w:rPr>
                      <w:rFonts w:hint="eastAsia" w:ascii="Times New Roman" w:hAnsi="Times New Roman" w:eastAsia="宋体" w:cs="Times New Roman"/>
                      <w:b/>
                      <w:bCs/>
                      <w:color w:val="auto"/>
                      <w:sz w:val="18"/>
                      <w:szCs w:val="18"/>
                      <w:lang w:eastAsia="zh-CN"/>
                    </w:rPr>
                    <w:t>最近</w:t>
                  </w:r>
                  <w:r>
                    <w:rPr>
                      <w:rFonts w:hint="default" w:ascii="Times New Roman" w:hAnsi="Times New Roman" w:eastAsia="宋体" w:cs="Times New Roman"/>
                      <w:b/>
                      <w:bCs/>
                      <w:color w:val="auto"/>
                      <w:sz w:val="18"/>
                      <w:szCs w:val="18"/>
                    </w:rPr>
                    <w:t>距离/m</w:t>
                  </w:r>
                </w:p>
              </w:tc>
              <w:tc>
                <w:tcPr>
                  <w:tcW w:w="478" w:type="pct"/>
                  <w:vMerge w:val="restart"/>
                  <w:shd w:val="clear" w:color="auto" w:fill="auto"/>
                  <w:vAlign w:val="center"/>
                </w:tcPr>
                <w:p w14:paraId="21E442C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室内边界声级/dB(A)</w:t>
                  </w:r>
                </w:p>
              </w:tc>
              <w:tc>
                <w:tcPr>
                  <w:tcW w:w="312" w:type="pct"/>
                  <w:vMerge w:val="restart"/>
                  <w:shd w:val="clear" w:color="auto" w:fill="auto"/>
                  <w:vAlign w:val="center"/>
                </w:tcPr>
                <w:p w14:paraId="689FD1B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运行时段（h）</w:t>
                  </w:r>
                </w:p>
              </w:tc>
              <w:tc>
                <w:tcPr>
                  <w:tcW w:w="419" w:type="pct"/>
                  <w:vMerge w:val="restart"/>
                  <w:shd w:val="clear" w:color="auto" w:fill="auto"/>
                  <w:vAlign w:val="center"/>
                </w:tcPr>
                <w:p w14:paraId="3255309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建筑物插入损失/dB(A)</w:t>
                  </w:r>
                </w:p>
              </w:tc>
              <w:tc>
                <w:tcPr>
                  <w:tcW w:w="800" w:type="pct"/>
                  <w:gridSpan w:val="2"/>
                  <w:shd w:val="clear" w:color="auto" w:fill="auto"/>
                  <w:vAlign w:val="center"/>
                </w:tcPr>
                <w:p w14:paraId="3A51D8F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建筑物外噪声</w:t>
                  </w:r>
                </w:p>
              </w:tc>
            </w:tr>
            <w:tr w14:paraId="5DEDF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8" w:hRule="atLeast"/>
                <w:jc w:val="center"/>
              </w:trPr>
              <w:tc>
                <w:tcPr>
                  <w:tcW w:w="170" w:type="pct"/>
                  <w:vMerge w:val="continue"/>
                  <w:vAlign w:val="center"/>
                </w:tcPr>
                <w:p w14:paraId="0F73081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297" w:type="pct"/>
                  <w:vMerge w:val="continue"/>
                  <w:vAlign w:val="center"/>
                </w:tcPr>
                <w:p w14:paraId="55AB431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275" w:type="pct"/>
                  <w:vMerge w:val="continue"/>
                  <w:vAlign w:val="center"/>
                </w:tcPr>
                <w:p w14:paraId="605D070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602" w:type="pct"/>
                  <w:vMerge w:val="continue"/>
                  <w:shd w:val="clear" w:color="auto" w:fill="auto"/>
                  <w:vAlign w:val="center"/>
                </w:tcPr>
                <w:p w14:paraId="189AE5F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346" w:type="pct"/>
                  <w:vMerge w:val="continue"/>
                  <w:shd w:val="clear" w:color="auto" w:fill="auto"/>
                  <w:vAlign w:val="center"/>
                </w:tcPr>
                <w:p w14:paraId="04C9E07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292" w:type="pct"/>
                  <w:shd w:val="clear" w:color="auto" w:fill="auto"/>
                  <w:vAlign w:val="center"/>
                </w:tcPr>
                <w:p w14:paraId="135E5307">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X</w:t>
                  </w:r>
                </w:p>
              </w:tc>
              <w:tc>
                <w:tcPr>
                  <w:tcW w:w="259" w:type="pct"/>
                  <w:shd w:val="clear" w:color="auto" w:fill="auto"/>
                  <w:vAlign w:val="center"/>
                </w:tcPr>
                <w:p w14:paraId="38EDE1D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Y</w:t>
                  </w:r>
                </w:p>
              </w:tc>
              <w:tc>
                <w:tcPr>
                  <w:tcW w:w="252" w:type="pct"/>
                  <w:shd w:val="clear" w:color="auto" w:fill="auto"/>
                  <w:vAlign w:val="center"/>
                </w:tcPr>
                <w:p w14:paraId="3671AE8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Z</w:t>
                  </w:r>
                </w:p>
              </w:tc>
              <w:tc>
                <w:tcPr>
                  <w:tcW w:w="491" w:type="pct"/>
                  <w:vMerge w:val="continue"/>
                  <w:vAlign w:val="center"/>
                </w:tcPr>
                <w:p w14:paraId="55ED316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478" w:type="pct"/>
                  <w:vMerge w:val="continue"/>
                  <w:shd w:val="clear" w:color="auto" w:fill="auto"/>
                  <w:vAlign w:val="center"/>
                </w:tcPr>
                <w:p w14:paraId="2BE27E2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312" w:type="pct"/>
                  <w:vMerge w:val="continue"/>
                  <w:shd w:val="clear" w:color="auto" w:fill="auto"/>
                  <w:vAlign w:val="center"/>
                </w:tcPr>
                <w:p w14:paraId="4275C7A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419" w:type="pct"/>
                  <w:vMerge w:val="continue"/>
                  <w:vAlign w:val="center"/>
                </w:tcPr>
                <w:p w14:paraId="75C1406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p>
              </w:tc>
              <w:tc>
                <w:tcPr>
                  <w:tcW w:w="391" w:type="pct"/>
                  <w:shd w:val="clear" w:color="auto" w:fill="auto"/>
                  <w:vAlign w:val="center"/>
                </w:tcPr>
                <w:p w14:paraId="4BC4ECD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声压级/dB(A)</w:t>
                  </w:r>
                </w:p>
              </w:tc>
              <w:tc>
                <w:tcPr>
                  <w:tcW w:w="408" w:type="pct"/>
                  <w:shd w:val="clear" w:color="auto" w:fill="auto"/>
                  <w:vAlign w:val="center"/>
                </w:tcPr>
                <w:p w14:paraId="5AD8B45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b/>
                      <w:bCs/>
                      <w:color w:val="auto"/>
                      <w:sz w:val="18"/>
                      <w:szCs w:val="18"/>
                    </w:rPr>
                  </w:pPr>
                  <w:r>
                    <w:rPr>
                      <w:rFonts w:hint="default" w:ascii="Times New Roman" w:hAnsi="Times New Roman" w:eastAsia="宋体" w:cs="Times New Roman"/>
                      <w:b/>
                      <w:bCs/>
                      <w:color w:val="auto"/>
                      <w:sz w:val="18"/>
                      <w:szCs w:val="18"/>
                    </w:rPr>
                    <w:t>建筑物外距离m</w:t>
                  </w:r>
                </w:p>
              </w:tc>
            </w:tr>
            <w:tr w14:paraId="06363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atLeast"/>
                <w:jc w:val="center"/>
              </w:trPr>
              <w:tc>
                <w:tcPr>
                  <w:tcW w:w="170" w:type="pct"/>
                  <w:shd w:val="clear" w:color="auto" w:fill="auto"/>
                  <w:vAlign w:val="center"/>
                </w:tcPr>
                <w:p w14:paraId="0E3176E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1</w:t>
                  </w:r>
                </w:p>
              </w:tc>
              <w:tc>
                <w:tcPr>
                  <w:tcW w:w="297" w:type="pct"/>
                  <w:shd w:val="clear" w:color="auto" w:fill="auto"/>
                  <w:vAlign w:val="center"/>
                </w:tcPr>
                <w:p w14:paraId="4E461AF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低噪声风机</w:t>
                  </w:r>
                </w:p>
              </w:tc>
              <w:tc>
                <w:tcPr>
                  <w:tcW w:w="275" w:type="pct"/>
                  <w:shd w:val="clear" w:color="auto" w:fill="auto"/>
                  <w:vAlign w:val="center"/>
                </w:tcPr>
                <w:p w14:paraId="522595D4">
                  <w:pPr>
                    <w:keepNext w:val="0"/>
                    <w:keepLines w:val="0"/>
                    <w:widowControl/>
                    <w:suppressLineNumbers w:val="0"/>
                    <w:spacing w:before="0" w:beforeAutospacing="0" w:after="0" w:afterAutospacing="0"/>
                    <w:ind w:left="0" w:right="0"/>
                    <w:jc w:val="center"/>
                    <w:rPr>
                      <w:rFonts w:hint="eastAsia" w:ascii="Times New Roman" w:hAnsi="Times New Roman" w:eastAsia="宋体" w:cs="Times New Roman"/>
                      <w:color w:val="auto"/>
                      <w:sz w:val="18"/>
                      <w:szCs w:val="18"/>
                      <w:lang w:eastAsia="zh-CN"/>
                    </w:rPr>
                  </w:pPr>
                  <w:r>
                    <w:rPr>
                      <w:rFonts w:hint="eastAsia" w:ascii="Times New Roman" w:hAnsi="Times New Roman" w:eastAsia="宋体" w:cs="Times New Roman"/>
                      <w:color w:val="auto"/>
                      <w:sz w:val="18"/>
                      <w:szCs w:val="18"/>
                      <w:lang w:val="en-US" w:eastAsia="zh-CN"/>
                    </w:rPr>
                    <w:t>/</w:t>
                  </w:r>
                </w:p>
              </w:tc>
              <w:tc>
                <w:tcPr>
                  <w:tcW w:w="602" w:type="pct"/>
                  <w:shd w:val="clear" w:color="auto" w:fill="auto"/>
                  <w:vAlign w:val="center"/>
                </w:tcPr>
                <w:p w14:paraId="77ABA9C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lang w:val="en-US" w:eastAsia="zh-CN"/>
                    </w:rPr>
                    <w:t>65</w:t>
                  </w:r>
                  <w:r>
                    <w:rPr>
                      <w:rFonts w:hint="default" w:ascii="Times New Roman" w:hAnsi="Times New Roman" w:eastAsia="宋体" w:cs="Times New Roman"/>
                      <w:color w:val="auto"/>
                      <w:sz w:val="18"/>
                      <w:szCs w:val="18"/>
                    </w:rPr>
                    <w:t>/1</w:t>
                  </w:r>
                </w:p>
              </w:tc>
              <w:tc>
                <w:tcPr>
                  <w:tcW w:w="346" w:type="pct"/>
                  <w:vMerge w:val="restart"/>
                  <w:shd w:val="clear" w:color="auto" w:fill="auto"/>
                  <w:vAlign w:val="center"/>
                </w:tcPr>
                <w:p w14:paraId="1EBC332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①</w:t>
                  </w:r>
                </w:p>
              </w:tc>
              <w:tc>
                <w:tcPr>
                  <w:tcW w:w="292" w:type="pct"/>
                  <w:shd w:val="clear" w:color="auto" w:fill="auto"/>
                  <w:vAlign w:val="center"/>
                </w:tcPr>
                <w:p w14:paraId="1044F7F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52</w:t>
                  </w:r>
                </w:p>
              </w:tc>
              <w:tc>
                <w:tcPr>
                  <w:tcW w:w="259" w:type="pct"/>
                  <w:shd w:val="clear" w:color="auto" w:fill="auto"/>
                  <w:vAlign w:val="center"/>
                </w:tcPr>
                <w:p w14:paraId="50AE69E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25</w:t>
                  </w:r>
                </w:p>
              </w:tc>
              <w:tc>
                <w:tcPr>
                  <w:tcW w:w="252" w:type="pct"/>
                  <w:shd w:val="clear" w:color="auto" w:fill="auto"/>
                  <w:vAlign w:val="center"/>
                </w:tcPr>
                <w:p w14:paraId="67C4342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3.5</w:t>
                  </w:r>
                </w:p>
              </w:tc>
              <w:tc>
                <w:tcPr>
                  <w:tcW w:w="491" w:type="pct"/>
                  <w:shd w:val="clear" w:color="auto" w:fill="auto"/>
                  <w:vAlign w:val="center"/>
                </w:tcPr>
                <w:p w14:paraId="24D6C7A9">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w:t>
                  </w:r>
                </w:p>
              </w:tc>
              <w:tc>
                <w:tcPr>
                  <w:tcW w:w="478" w:type="pct"/>
                  <w:shd w:val="clear" w:color="auto" w:fill="auto"/>
                  <w:vAlign w:val="center"/>
                </w:tcPr>
                <w:p w14:paraId="53A1383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59</w:t>
                  </w:r>
                </w:p>
              </w:tc>
              <w:tc>
                <w:tcPr>
                  <w:tcW w:w="312" w:type="pct"/>
                  <w:shd w:val="clear" w:color="auto" w:fill="auto"/>
                  <w:vAlign w:val="center"/>
                </w:tcPr>
                <w:p w14:paraId="2BE99B3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20</w:t>
                  </w:r>
                  <w:r>
                    <w:rPr>
                      <w:rFonts w:hint="default" w:ascii="Times New Roman" w:hAnsi="Times New Roman" w:eastAsia="宋体" w:cs="Times New Roman"/>
                      <w:color w:val="auto"/>
                      <w:sz w:val="18"/>
                      <w:szCs w:val="18"/>
                      <w:lang w:val="en-US" w:eastAsia="zh-CN"/>
                    </w:rPr>
                    <w:t>00</w:t>
                  </w:r>
                </w:p>
              </w:tc>
              <w:tc>
                <w:tcPr>
                  <w:tcW w:w="419" w:type="pct"/>
                  <w:shd w:val="clear" w:color="auto" w:fill="auto"/>
                  <w:vAlign w:val="center"/>
                </w:tcPr>
                <w:p w14:paraId="6D98F19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5</w:t>
                  </w:r>
                </w:p>
              </w:tc>
              <w:tc>
                <w:tcPr>
                  <w:tcW w:w="391" w:type="pct"/>
                  <w:shd w:val="clear" w:color="auto" w:fill="auto"/>
                  <w:vAlign w:val="center"/>
                </w:tcPr>
                <w:p w14:paraId="41E658E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54</w:t>
                  </w:r>
                </w:p>
              </w:tc>
              <w:tc>
                <w:tcPr>
                  <w:tcW w:w="408" w:type="pct"/>
                  <w:shd w:val="clear" w:color="auto" w:fill="auto"/>
                  <w:vAlign w:val="center"/>
                </w:tcPr>
                <w:p w14:paraId="748CF1E7">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1</w:t>
                  </w:r>
                </w:p>
              </w:tc>
            </w:tr>
            <w:tr w14:paraId="39F96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2" w:hRule="atLeast"/>
                <w:jc w:val="center"/>
              </w:trPr>
              <w:tc>
                <w:tcPr>
                  <w:tcW w:w="170" w:type="pct"/>
                  <w:vAlign w:val="center"/>
                </w:tcPr>
                <w:p w14:paraId="2BF04D8C">
                  <w:pPr>
                    <w:keepNext w:val="0"/>
                    <w:keepLines w:val="0"/>
                    <w:widowControl/>
                    <w:suppressLineNumbers w:val="0"/>
                    <w:spacing w:before="0" w:beforeAutospacing="0" w:after="0" w:afterAutospacing="0"/>
                    <w:ind w:left="0" w:right="0"/>
                    <w:jc w:val="center"/>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w:t>
                  </w:r>
                </w:p>
              </w:tc>
              <w:tc>
                <w:tcPr>
                  <w:tcW w:w="297" w:type="pct"/>
                  <w:vAlign w:val="center"/>
                </w:tcPr>
                <w:p w14:paraId="485646C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低噪声风机</w:t>
                  </w:r>
                </w:p>
              </w:tc>
              <w:tc>
                <w:tcPr>
                  <w:tcW w:w="275" w:type="pct"/>
                  <w:vAlign w:val="center"/>
                </w:tcPr>
                <w:p w14:paraId="5794FE0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lang w:val="en-US" w:eastAsia="zh-CN"/>
                    </w:rPr>
                    <w:t>/</w:t>
                  </w:r>
                </w:p>
              </w:tc>
              <w:tc>
                <w:tcPr>
                  <w:tcW w:w="602" w:type="pct"/>
                  <w:shd w:val="clear" w:color="auto" w:fill="auto"/>
                  <w:vAlign w:val="center"/>
                </w:tcPr>
                <w:p w14:paraId="2D2261F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lang w:val="en-US" w:eastAsia="zh-CN"/>
                    </w:rPr>
                    <w:t>65</w:t>
                  </w:r>
                  <w:r>
                    <w:rPr>
                      <w:rFonts w:hint="default" w:ascii="Times New Roman" w:hAnsi="Times New Roman" w:eastAsia="宋体" w:cs="Times New Roman"/>
                      <w:color w:val="auto"/>
                      <w:sz w:val="18"/>
                      <w:szCs w:val="18"/>
                    </w:rPr>
                    <w:t>/1</w:t>
                  </w:r>
                </w:p>
              </w:tc>
              <w:tc>
                <w:tcPr>
                  <w:tcW w:w="346" w:type="pct"/>
                  <w:vMerge w:val="continue"/>
                  <w:vAlign w:val="center"/>
                </w:tcPr>
                <w:p w14:paraId="528056C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p>
              </w:tc>
              <w:tc>
                <w:tcPr>
                  <w:tcW w:w="292" w:type="pct"/>
                  <w:vAlign w:val="center"/>
                </w:tcPr>
                <w:p w14:paraId="248C4F0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53</w:t>
                  </w:r>
                </w:p>
              </w:tc>
              <w:tc>
                <w:tcPr>
                  <w:tcW w:w="509" w:type="dxa"/>
                  <w:vAlign w:val="center"/>
                </w:tcPr>
                <w:p w14:paraId="18BD4ADA">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25</w:t>
                  </w:r>
                </w:p>
              </w:tc>
              <w:tc>
                <w:tcPr>
                  <w:tcW w:w="496" w:type="dxa"/>
                  <w:vAlign w:val="center"/>
                </w:tcPr>
                <w:p w14:paraId="26A1A284">
                  <w:pPr>
                    <w:keepNext w:val="0"/>
                    <w:keepLines w:val="0"/>
                    <w:widowControl/>
                    <w:suppressLineNumbers w:val="0"/>
                    <w:spacing w:before="0" w:beforeAutospacing="0" w:after="0" w:afterAutospacing="0"/>
                    <w:ind w:left="0" w:leftChars="0" w:right="0" w:rightChars="0"/>
                    <w:jc w:val="center"/>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3.5</w:t>
                  </w:r>
                </w:p>
              </w:tc>
              <w:tc>
                <w:tcPr>
                  <w:tcW w:w="491" w:type="pct"/>
                  <w:shd w:val="clear" w:color="auto" w:fill="auto"/>
                  <w:vAlign w:val="center"/>
                </w:tcPr>
                <w:p w14:paraId="03EF950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w:t>
                  </w:r>
                </w:p>
              </w:tc>
              <w:tc>
                <w:tcPr>
                  <w:tcW w:w="478" w:type="pct"/>
                  <w:shd w:val="clear" w:color="auto" w:fill="auto"/>
                  <w:vAlign w:val="center"/>
                </w:tcPr>
                <w:p w14:paraId="33762EB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59</w:t>
                  </w:r>
                </w:p>
              </w:tc>
              <w:tc>
                <w:tcPr>
                  <w:tcW w:w="312" w:type="pct"/>
                  <w:shd w:val="clear" w:color="auto" w:fill="auto"/>
                  <w:vAlign w:val="center"/>
                </w:tcPr>
                <w:p w14:paraId="2AB3151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20</w:t>
                  </w:r>
                  <w:r>
                    <w:rPr>
                      <w:rFonts w:hint="default" w:ascii="Times New Roman" w:hAnsi="Times New Roman" w:eastAsia="宋体" w:cs="Times New Roman"/>
                      <w:color w:val="auto"/>
                      <w:sz w:val="18"/>
                      <w:szCs w:val="18"/>
                      <w:lang w:val="en-US" w:eastAsia="zh-CN"/>
                    </w:rPr>
                    <w:t>00</w:t>
                  </w:r>
                </w:p>
              </w:tc>
              <w:tc>
                <w:tcPr>
                  <w:tcW w:w="419" w:type="pct"/>
                  <w:vAlign w:val="center"/>
                </w:tcPr>
                <w:p w14:paraId="4CD7BD8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5</w:t>
                  </w:r>
                </w:p>
              </w:tc>
              <w:tc>
                <w:tcPr>
                  <w:tcW w:w="391" w:type="pct"/>
                  <w:shd w:val="clear" w:color="auto" w:fill="auto"/>
                  <w:vAlign w:val="center"/>
                </w:tcPr>
                <w:p w14:paraId="541710B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54</w:t>
                  </w:r>
                </w:p>
              </w:tc>
              <w:tc>
                <w:tcPr>
                  <w:tcW w:w="408" w:type="pct"/>
                  <w:vAlign w:val="center"/>
                </w:tcPr>
                <w:p w14:paraId="6F2BD38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rPr>
                    <w:t>1</w:t>
                  </w:r>
                </w:p>
              </w:tc>
            </w:tr>
            <w:tr w14:paraId="11E75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5000" w:type="pct"/>
                  <w:gridSpan w:val="14"/>
                  <w:vAlign w:val="center"/>
                </w:tcPr>
                <w:p w14:paraId="012C02E9">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color w:val="auto"/>
                      <w:sz w:val="18"/>
                      <w:szCs w:val="18"/>
                    </w:rPr>
                  </w:pPr>
                  <w:r>
                    <w:rPr>
                      <w:rFonts w:hint="default" w:ascii="Times New Roman" w:hAnsi="Times New Roman" w:eastAsia="宋体" w:cs="Times New Roman"/>
                      <w:b w:val="0"/>
                      <w:bCs w:val="0"/>
                      <w:color w:val="auto"/>
                      <w:sz w:val="18"/>
                      <w:szCs w:val="18"/>
                      <w:vertAlign w:val="baseline"/>
                      <w:lang w:val="en-US" w:eastAsia="zh-CN"/>
                    </w:rPr>
                    <w:t>注：</w:t>
                  </w:r>
                  <w:r>
                    <w:rPr>
                      <w:rFonts w:hint="default" w:ascii="Times New Roman" w:hAnsi="Times New Roman" w:eastAsia="宋体" w:cs="Times New Roman"/>
                      <w:b w:val="0"/>
                      <w:bCs w:val="0"/>
                      <w:color w:val="auto"/>
                      <w:sz w:val="18"/>
                      <w:szCs w:val="18"/>
                      <w:lang w:val="en-US" w:eastAsia="zh-CN"/>
                    </w:rPr>
                    <w:t>以</w:t>
                  </w:r>
                  <w:r>
                    <w:rPr>
                      <w:rFonts w:hint="eastAsia" w:ascii="Times New Roman" w:hAnsi="Times New Roman" w:eastAsia="宋体" w:cs="Times New Roman"/>
                      <w:b w:val="0"/>
                      <w:bCs w:val="0"/>
                      <w:color w:val="auto"/>
                      <w:sz w:val="18"/>
                      <w:szCs w:val="18"/>
                      <w:lang w:val="en-US" w:eastAsia="zh-CN"/>
                    </w:rPr>
                    <w:t>综合</w:t>
                  </w:r>
                  <w:r>
                    <w:rPr>
                      <w:rFonts w:hint="default" w:ascii="Times New Roman" w:hAnsi="Times New Roman" w:eastAsia="宋体" w:cs="Times New Roman"/>
                      <w:b w:val="0"/>
                      <w:bCs w:val="0"/>
                      <w:color w:val="auto"/>
                      <w:sz w:val="18"/>
                      <w:szCs w:val="18"/>
                      <w:lang w:val="en-US" w:eastAsia="zh-CN"/>
                    </w:rPr>
                    <w:t>楼西南角点为坐标原点（0,0）</w:t>
                  </w:r>
                  <w:r>
                    <w:rPr>
                      <w:rFonts w:hint="eastAsia" w:ascii="Times New Roman" w:hAnsi="Times New Roman" w:eastAsia="宋体" w:cs="Times New Roman"/>
                      <w:b w:val="0"/>
                      <w:bCs w:val="0"/>
                      <w:color w:val="auto"/>
                      <w:sz w:val="18"/>
                      <w:szCs w:val="18"/>
                      <w:lang w:val="en-US" w:eastAsia="zh-CN"/>
                    </w:rPr>
                    <w:t>，①主要降噪措施为选择低噪声风机、安装减振基座、橡胶减震垫及加装消音器等，合理布局。</w:t>
                  </w:r>
                </w:p>
              </w:tc>
            </w:tr>
          </w:tbl>
          <w:p w14:paraId="5B420A1B">
            <w:pPr>
              <w:pStyle w:val="15"/>
              <w:keepNext w:val="0"/>
              <w:keepLines w:val="0"/>
              <w:suppressLineNumbers w:val="0"/>
              <w:bidi w:val="0"/>
              <w:spacing w:before="0" w:beforeAutospacing="0" w:after="0" w:afterAutospacing="0"/>
              <w:ind w:left="0" w:right="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根据点源预测模式对厂界噪声进行计算分析。本次仅</w:t>
            </w:r>
            <w:r>
              <w:rPr>
                <w:rFonts w:hint="eastAsia" w:eastAsia="宋体" w:cs="Times New Roman"/>
                <w:color w:val="auto"/>
                <w:kern w:val="2"/>
                <w:sz w:val="24"/>
                <w:szCs w:val="24"/>
                <w:lang w:val="en-US" w:eastAsia="zh-CN" w:bidi="ar-SA"/>
              </w:rPr>
              <w:t>考虑</w:t>
            </w:r>
            <w:r>
              <w:rPr>
                <w:rFonts w:hint="default" w:ascii="Times New Roman" w:hAnsi="Times New Roman" w:eastAsia="宋体" w:cs="Times New Roman"/>
                <w:color w:val="auto"/>
                <w:kern w:val="2"/>
                <w:sz w:val="24"/>
                <w:szCs w:val="24"/>
                <w:lang w:val="en-US" w:eastAsia="zh-CN" w:bidi="ar-SA"/>
              </w:rPr>
              <w:t>风机对</w:t>
            </w:r>
            <w:r>
              <w:rPr>
                <w:rFonts w:hint="eastAsia" w:eastAsia="宋体" w:cs="Times New Roman"/>
                <w:color w:val="auto"/>
                <w:kern w:val="2"/>
                <w:sz w:val="24"/>
                <w:szCs w:val="24"/>
                <w:lang w:val="en-US" w:eastAsia="zh-CN" w:bidi="ar-SA"/>
              </w:rPr>
              <w:t>医院</w:t>
            </w:r>
            <w:r>
              <w:rPr>
                <w:rFonts w:hint="default" w:ascii="Times New Roman" w:hAnsi="Times New Roman" w:eastAsia="宋体" w:cs="Times New Roman"/>
                <w:color w:val="auto"/>
                <w:kern w:val="2"/>
                <w:sz w:val="24"/>
                <w:szCs w:val="24"/>
                <w:lang w:val="en-US" w:eastAsia="zh-CN" w:bidi="ar-SA"/>
              </w:rPr>
              <w:t>四周院界处的噪声影响进行预测，采用《环境影响评价技术导则 声环境》（HJ2.4-2021）中室外</w:t>
            </w:r>
            <w:r>
              <w:rPr>
                <w:rFonts w:hint="eastAsia" w:cs="Times New Roman"/>
                <w:color w:val="auto"/>
                <w:kern w:val="2"/>
                <w:sz w:val="24"/>
                <w:szCs w:val="24"/>
                <w:lang w:val="en-US" w:eastAsia="zh-CN" w:bidi="ar-SA"/>
              </w:rPr>
              <w:t>点</w:t>
            </w:r>
            <w:r>
              <w:rPr>
                <w:rFonts w:hint="default" w:ascii="Times New Roman" w:hAnsi="Times New Roman" w:eastAsia="宋体" w:cs="Times New Roman"/>
                <w:color w:val="auto"/>
                <w:kern w:val="2"/>
                <w:sz w:val="24"/>
                <w:szCs w:val="24"/>
                <w:lang w:val="en-US" w:eastAsia="zh-CN" w:bidi="ar-SA"/>
              </w:rPr>
              <w:t>声源模式进行预测</w:t>
            </w:r>
            <w:r>
              <w:rPr>
                <w:rFonts w:hint="eastAsia" w:cs="Times New Roman"/>
                <w:color w:val="auto"/>
                <w:kern w:val="2"/>
                <w:sz w:val="24"/>
                <w:szCs w:val="24"/>
                <w:lang w:val="en-US" w:eastAsia="zh-CN" w:bidi="ar-SA"/>
              </w:rPr>
              <w:t>。</w:t>
            </w:r>
          </w:p>
          <w:p w14:paraId="2C22BC63">
            <w:pPr>
              <w:pStyle w:val="2"/>
              <w:keepNext w:val="0"/>
              <w:keepLines w:val="0"/>
              <w:suppressLineNumbers w:val="0"/>
              <w:bidi w:val="0"/>
              <w:spacing w:before="0" w:beforeAutospacing="0" w:after="0" w:afterAutospacing="0"/>
              <w:ind w:left="0" w:right="0"/>
              <w:rPr>
                <w:rFonts w:hint="default"/>
                <w:color w:val="auto"/>
                <w:lang w:val="en-US" w:eastAsia="zh-CN"/>
              </w:rPr>
            </w:pPr>
            <w:r>
              <w:rPr>
                <w:rFonts w:hint="eastAsia"/>
                <w:color w:val="auto"/>
                <w:lang w:val="en-US" w:eastAsia="zh-CN"/>
              </w:rPr>
              <w:t>①点声源几何发散衰减模式</w:t>
            </w:r>
          </w:p>
          <w:p w14:paraId="0A890235">
            <w:pPr>
              <w:pStyle w:val="2"/>
              <w:keepNext w:val="0"/>
              <w:keepLines w:val="0"/>
              <w:suppressLineNumbers w:val="0"/>
              <w:bidi w:val="0"/>
              <w:spacing w:before="0" w:beforeAutospacing="0" w:after="0" w:afterAutospacing="0"/>
              <w:ind w:left="0" w:right="0"/>
              <w:rPr>
                <w:rFonts w:hint="default"/>
                <w:color w:val="auto"/>
                <w:lang w:val="en-US" w:eastAsia="zh-CN"/>
              </w:rPr>
            </w:pPr>
            <w:r>
              <w:rPr>
                <w:rFonts w:hint="eastAsia"/>
                <w:color w:val="auto"/>
                <w:lang w:val="en-US" w:eastAsia="zh-CN"/>
              </w:rPr>
              <w:t>鉴于空气吸收引起的衰减很小，且频率、空气相对湿度等因素具有较大的不确定性，所以不考虑空气吸收引起的衰减。在本次预测中，主要考虑几何发散衰减。每个点源对预测点的声级L</w:t>
            </w:r>
            <w:r>
              <w:rPr>
                <w:rFonts w:hint="eastAsia"/>
                <w:color w:val="auto"/>
                <w:vertAlign w:val="subscript"/>
                <w:lang w:val="en-US" w:eastAsia="zh-CN"/>
              </w:rPr>
              <w:t>P</w:t>
            </w:r>
            <w:r>
              <w:rPr>
                <w:rFonts w:hint="eastAsia"/>
                <w:color w:val="auto"/>
                <w:lang w:val="en-US" w:eastAsia="zh-CN"/>
              </w:rPr>
              <w:t>按下式计算：</w:t>
            </w:r>
          </w:p>
          <w:p w14:paraId="469E4CB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rPr>
                <w:rFonts w:hint="default" w:ascii="Times New Roman" w:hAnsi="Times New Roman" w:eastAsia="宋体" w:cs="Times New Roman"/>
                <w:snapToGrid w:val="0"/>
                <w:color w:val="auto"/>
                <w:kern w:val="0"/>
                <w:sz w:val="24"/>
                <w:szCs w:val="28"/>
                <w:lang w:val="en-US" w:eastAsia="zh-CN" w:bidi="ar-SA"/>
              </w:rPr>
            </w:pPr>
            <w:r>
              <w:rPr>
                <w:rFonts w:hint="default" w:ascii="Times New Roman" w:hAnsi="Times New Roman" w:eastAsia="宋体" w:cs="Times New Roman"/>
                <w:snapToGrid w:val="0"/>
                <w:color w:val="auto"/>
                <w:kern w:val="0"/>
                <w:sz w:val="24"/>
                <w:szCs w:val="28"/>
                <w:lang w:val="en-US" w:eastAsia="zh-CN" w:bidi="ar-SA"/>
              </w:rPr>
              <w:t>L</w:t>
            </w:r>
            <w:r>
              <w:rPr>
                <w:rFonts w:hint="default" w:ascii="Times New Roman" w:hAnsi="Times New Roman" w:eastAsia="宋体" w:cs="Times New Roman"/>
                <w:snapToGrid w:val="0"/>
                <w:color w:val="auto"/>
                <w:kern w:val="0"/>
                <w:sz w:val="24"/>
                <w:szCs w:val="28"/>
                <w:vertAlign w:val="subscript"/>
                <w:lang w:val="en-US" w:eastAsia="zh-CN" w:bidi="ar-SA"/>
              </w:rPr>
              <w:t>p</w:t>
            </w:r>
            <w:r>
              <w:rPr>
                <w:rFonts w:hint="default" w:ascii="Times New Roman" w:hAnsi="Times New Roman" w:eastAsia="宋体" w:cs="Times New Roman"/>
                <w:snapToGrid w:val="0"/>
                <w:color w:val="auto"/>
                <w:kern w:val="0"/>
                <w:sz w:val="24"/>
                <w:szCs w:val="28"/>
                <w:lang w:val="en-US" w:eastAsia="zh-CN" w:bidi="ar-SA"/>
              </w:rPr>
              <w:t>(r)=L</w:t>
            </w:r>
            <w:r>
              <w:rPr>
                <w:rFonts w:hint="default" w:ascii="Times New Roman" w:hAnsi="Times New Roman" w:eastAsia="宋体" w:cs="Times New Roman"/>
                <w:snapToGrid w:val="0"/>
                <w:color w:val="auto"/>
                <w:kern w:val="0"/>
                <w:sz w:val="24"/>
                <w:szCs w:val="28"/>
                <w:vertAlign w:val="subscript"/>
                <w:lang w:val="en-US" w:eastAsia="zh-CN" w:bidi="ar-SA"/>
              </w:rPr>
              <w:t>p</w:t>
            </w:r>
            <w:r>
              <w:rPr>
                <w:rFonts w:hint="default" w:ascii="Times New Roman" w:hAnsi="Times New Roman" w:eastAsia="宋体" w:cs="Times New Roman"/>
                <w:snapToGrid w:val="0"/>
                <w:color w:val="auto"/>
                <w:kern w:val="0"/>
                <w:sz w:val="24"/>
                <w:szCs w:val="28"/>
                <w:lang w:val="en-US" w:eastAsia="zh-CN" w:bidi="ar-SA"/>
              </w:rPr>
              <w:t>(r</w:t>
            </w:r>
            <w:r>
              <w:rPr>
                <w:rFonts w:hint="default" w:ascii="Times New Roman" w:hAnsi="Times New Roman" w:eastAsia="宋体" w:cs="Times New Roman"/>
                <w:snapToGrid w:val="0"/>
                <w:color w:val="auto"/>
                <w:kern w:val="0"/>
                <w:sz w:val="24"/>
                <w:szCs w:val="28"/>
                <w:vertAlign w:val="subscript"/>
                <w:lang w:val="en-US" w:eastAsia="zh-CN" w:bidi="ar-SA"/>
              </w:rPr>
              <w:t>0</w:t>
            </w:r>
            <w:r>
              <w:rPr>
                <w:rFonts w:hint="default" w:ascii="Times New Roman" w:hAnsi="Times New Roman" w:eastAsia="宋体" w:cs="Times New Roman"/>
                <w:snapToGrid w:val="0"/>
                <w:color w:val="auto"/>
                <w:kern w:val="0"/>
                <w:sz w:val="24"/>
                <w:szCs w:val="28"/>
                <w:lang w:val="en-US" w:eastAsia="zh-CN" w:bidi="ar-SA"/>
              </w:rPr>
              <w:t>)–20lg(r/r</w:t>
            </w:r>
            <w:r>
              <w:rPr>
                <w:rFonts w:hint="default" w:ascii="Times New Roman" w:hAnsi="Times New Roman" w:eastAsia="宋体" w:cs="Times New Roman"/>
                <w:snapToGrid w:val="0"/>
                <w:color w:val="auto"/>
                <w:kern w:val="0"/>
                <w:sz w:val="24"/>
                <w:szCs w:val="28"/>
                <w:vertAlign w:val="subscript"/>
                <w:lang w:val="en-US" w:eastAsia="zh-CN" w:bidi="ar-SA"/>
              </w:rPr>
              <w:t>0</w:t>
            </w:r>
            <w:r>
              <w:rPr>
                <w:rFonts w:hint="default" w:ascii="Times New Roman" w:hAnsi="Times New Roman" w:eastAsia="宋体" w:cs="Times New Roman"/>
                <w:snapToGrid w:val="0"/>
                <w:color w:val="auto"/>
                <w:kern w:val="0"/>
                <w:sz w:val="24"/>
                <w:szCs w:val="28"/>
                <w:lang w:val="en-US" w:eastAsia="zh-CN" w:bidi="ar-SA"/>
              </w:rPr>
              <w:t>)</w:t>
            </w:r>
          </w:p>
          <w:p w14:paraId="3957368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式中：L</w:t>
            </w:r>
            <w:r>
              <w:rPr>
                <w:rFonts w:hint="default" w:ascii="Times New Roman" w:hAnsi="Times New Roman" w:eastAsia="宋体" w:cs="Times New Roman"/>
                <w:snapToGrid w:val="0"/>
                <w:color w:val="auto"/>
                <w:kern w:val="0"/>
                <w:sz w:val="24"/>
                <w:szCs w:val="21"/>
                <w:vertAlign w:val="subscript"/>
                <w:lang w:val="en-US" w:eastAsia="zh-CN" w:bidi="ar-SA"/>
              </w:rPr>
              <w:t>p</w:t>
            </w:r>
            <w:r>
              <w:rPr>
                <w:rFonts w:hint="default" w:ascii="Times New Roman" w:hAnsi="Times New Roman" w:eastAsia="宋体" w:cs="Times New Roman"/>
                <w:snapToGrid w:val="0"/>
                <w:color w:val="auto"/>
                <w:kern w:val="0"/>
                <w:sz w:val="24"/>
                <w:szCs w:val="21"/>
                <w:lang w:val="en-US" w:eastAsia="zh-CN" w:bidi="ar-SA"/>
              </w:rPr>
              <w:t>(r)——距</w:t>
            </w:r>
            <w:r>
              <w:rPr>
                <w:rFonts w:hint="eastAsia" w:ascii="Times New Roman" w:hAnsi="Times New Roman" w:eastAsia="宋体" w:cs="Times New Roman"/>
                <w:snapToGrid w:val="0"/>
                <w:color w:val="auto"/>
                <w:kern w:val="0"/>
                <w:sz w:val="24"/>
                <w:szCs w:val="21"/>
                <w:lang w:val="en-US" w:eastAsia="zh-CN" w:bidi="ar-SA"/>
              </w:rPr>
              <w:t>离</w:t>
            </w:r>
            <w:r>
              <w:rPr>
                <w:rFonts w:hint="default" w:ascii="Times New Roman" w:hAnsi="Times New Roman" w:eastAsia="宋体" w:cs="Times New Roman"/>
                <w:snapToGrid w:val="0"/>
                <w:color w:val="auto"/>
                <w:kern w:val="0"/>
                <w:sz w:val="24"/>
                <w:szCs w:val="21"/>
                <w:lang w:val="en-US" w:eastAsia="zh-CN" w:bidi="ar-SA"/>
              </w:rPr>
              <w:t>声源r处的声级dB(A)；</w:t>
            </w:r>
          </w:p>
          <w:p w14:paraId="3A4E52AB">
            <w:pPr>
              <w:keepNext w:val="0"/>
              <w:keepLines w:val="0"/>
              <w:widowControl w:val="0"/>
              <w:suppressLineNumbers w:val="0"/>
              <w:spacing w:before="0" w:beforeAutospacing="0" w:after="0" w:afterAutospacing="0" w:line="360" w:lineRule="auto"/>
              <w:ind w:left="0" w:right="0" w:firstLine="1132" w:firstLineChars="472"/>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L</w:t>
            </w:r>
            <w:r>
              <w:rPr>
                <w:rFonts w:hint="default" w:ascii="Times New Roman" w:hAnsi="Times New Roman" w:eastAsia="宋体" w:cs="Times New Roman"/>
                <w:snapToGrid w:val="0"/>
                <w:color w:val="auto"/>
                <w:kern w:val="0"/>
                <w:sz w:val="24"/>
                <w:szCs w:val="21"/>
                <w:vertAlign w:val="subscript"/>
                <w:lang w:val="en-US" w:eastAsia="zh-CN" w:bidi="ar-SA"/>
              </w:rPr>
              <w:t>p</w:t>
            </w:r>
            <w:r>
              <w:rPr>
                <w:rFonts w:hint="default" w:ascii="Times New Roman" w:hAnsi="Times New Roman" w:eastAsia="宋体" w:cs="Times New Roman"/>
                <w:snapToGrid w:val="0"/>
                <w:color w:val="auto"/>
                <w:kern w:val="0"/>
                <w:sz w:val="24"/>
                <w:szCs w:val="21"/>
                <w:lang w:val="en-US" w:eastAsia="zh-CN" w:bidi="ar-SA"/>
              </w:rPr>
              <w:t>(r</w:t>
            </w:r>
            <w:r>
              <w:rPr>
                <w:rFonts w:hint="default" w:ascii="Times New Roman" w:hAnsi="Times New Roman" w:eastAsia="宋体" w:cs="Times New Roman"/>
                <w:snapToGrid w:val="0"/>
                <w:color w:val="auto"/>
                <w:kern w:val="0"/>
                <w:sz w:val="24"/>
                <w:szCs w:val="21"/>
                <w:vertAlign w:val="subscript"/>
                <w:lang w:val="en-US" w:eastAsia="zh-CN" w:bidi="ar-SA"/>
              </w:rPr>
              <w:t>0</w:t>
            </w:r>
            <w:r>
              <w:rPr>
                <w:rFonts w:hint="default" w:ascii="Times New Roman" w:hAnsi="Times New Roman" w:eastAsia="宋体" w:cs="Times New Roman"/>
                <w:snapToGrid w:val="0"/>
                <w:color w:val="auto"/>
                <w:kern w:val="0"/>
                <w:sz w:val="24"/>
                <w:szCs w:val="21"/>
                <w:lang w:val="en-US" w:eastAsia="zh-CN" w:bidi="ar-SA"/>
              </w:rPr>
              <w:t>)——距</w:t>
            </w:r>
            <w:r>
              <w:rPr>
                <w:rFonts w:hint="eastAsia" w:ascii="Times New Roman" w:hAnsi="Times New Roman" w:eastAsia="宋体" w:cs="Times New Roman"/>
                <w:snapToGrid w:val="0"/>
                <w:color w:val="auto"/>
                <w:kern w:val="0"/>
                <w:sz w:val="24"/>
                <w:szCs w:val="21"/>
                <w:lang w:val="en-US" w:eastAsia="zh-CN" w:bidi="ar-SA"/>
              </w:rPr>
              <w:t>离</w:t>
            </w:r>
            <w:r>
              <w:rPr>
                <w:rFonts w:hint="default" w:ascii="Times New Roman" w:hAnsi="Times New Roman" w:eastAsia="宋体" w:cs="Times New Roman"/>
                <w:snapToGrid w:val="0"/>
                <w:color w:val="auto"/>
                <w:kern w:val="0"/>
                <w:sz w:val="24"/>
                <w:szCs w:val="21"/>
                <w:lang w:val="en-US" w:eastAsia="zh-CN" w:bidi="ar-SA"/>
              </w:rPr>
              <w:t>声源r</w:t>
            </w:r>
            <w:r>
              <w:rPr>
                <w:rFonts w:hint="default" w:ascii="Times New Roman" w:hAnsi="Times New Roman" w:eastAsia="宋体" w:cs="Times New Roman"/>
                <w:snapToGrid w:val="0"/>
                <w:color w:val="auto"/>
                <w:kern w:val="0"/>
                <w:sz w:val="24"/>
                <w:szCs w:val="21"/>
                <w:vertAlign w:val="subscript"/>
                <w:lang w:val="en-US" w:eastAsia="zh-CN" w:bidi="ar-SA"/>
              </w:rPr>
              <w:t>0</w:t>
            </w:r>
            <w:r>
              <w:rPr>
                <w:rFonts w:hint="default" w:ascii="Times New Roman" w:hAnsi="Times New Roman" w:eastAsia="宋体" w:cs="Times New Roman"/>
                <w:snapToGrid w:val="0"/>
                <w:color w:val="auto"/>
                <w:kern w:val="0"/>
                <w:sz w:val="24"/>
                <w:szCs w:val="21"/>
                <w:lang w:val="en-US" w:eastAsia="zh-CN" w:bidi="ar-SA"/>
              </w:rPr>
              <w:t>处的声级dB(A)；</w:t>
            </w:r>
          </w:p>
          <w:p w14:paraId="0584974D">
            <w:pPr>
              <w:keepNext w:val="0"/>
              <w:keepLines w:val="0"/>
              <w:widowControl w:val="0"/>
              <w:suppressLineNumbers w:val="0"/>
              <w:spacing w:before="0" w:beforeAutospacing="0" w:after="0" w:afterAutospacing="0" w:line="360" w:lineRule="auto"/>
              <w:ind w:left="0" w:right="0" w:firstLine="1132" w:firstLineChars="472"/>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r——预测点与声源之间的距离（m）；</w:t>
            </w:r>
          </w:p>
          <w:p w14:paraId="34A002E1">
            <w:pPr>
              <w:keepNext w:val="0"/>
              <w:keepLines w:val="0"/>
              <w:widowControl w:val="0"/>
              <w:suppressLineNumbers w:val="0"/>
              <w:spacing w:before="0" w:beforeAutospacing="0" w:after="0" w:afterAutospacing="0" w:line="360" w:lineRule="auto"/>
              <w:ind w:left="0" w:right="0" w:firstLine="1132" w:firstLineChars="472"/>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r</w:t>
            </w:r>
            <w:r>
              <w:rPr>
                <w:rFonts w:hint="default" w:ascii="Times New Roman" w:hAnsi="Times New Roman" w:eastAsia="宋体" w:cs="Times New Roman"/>
                <w:snapToGrid w:val="0"/>
                <w:color w:val="auto"/>
                <w:kern w:val="0"/>
                <w:sz w:val="24"/>
                <w:szCs w:val="21"/>
                <w:vertAlign w:val="subscript"/>
                <w:lang w:val="en-US" w:eastAsia="zh-CN" w:bidi="ar-SA"/>
              </w:rPr>
              <w:t>0</w:t>
            </w:r>
            <w:r>
              <w:rPr>
                <w:rFonts w:hint="default" w:ascii="Times New Roman" w:hAnsi="Times New Roman" w:eastAsia="宋体" w:cs="Times New Roman"/>
                <w:snapToGrid w:val="0"/>
                <w:color w:val="auto"/>
                <w:kern w:val="0"/>
                <w:sz w:val="24"/>
                <w:szCs w:val="21"/>
                <w:lang w:val="en-US" w:eastAsia="zh-CN" w:bidi="ar-SA"/>
              </w:rPr>
              <w:t>——参考处与声源之间的距离（m）</w:t>
            </w:r>
            <w:r>
              <w:rPr>
                <w:rFonts w:hint="eastAsia" w:ascii="Times New Roman" w:hAnsi="Times New Roman" w:eastAsia="宋体" w:cs="Times New Roman"/>
                <w:snapToGrid w:val="0"/>
                <w:color w:val="auto"/>
                <w:kern w:val="0"/>
                <w:sz w:val="24"/>
                <w:szCs w:val="21"/>
                <w:lang w:val="en-US" w:eastAsia="zh-CN" w:bidi="ar-SA"/>
              </w:rPr>
              <w:t>，取1m。</w:t>
            </w:r>
          </w:p>
          <w:p w14:paraId="2A26C55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②多点源声级叠加模式</w:t>
            </w:r>
          </w:p>
          <w:p w14:paraId="4835B9B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多个点源在预测点产生的总等效声级[Leq（总）]采用以下计算公式：</w:t>
            </w:r>
          </w:p>
          <w:p w14:paraId="12716EE9">
            <w:pPr>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color w:val="auto"/>
                <w:sz w:val="21"/>
                <w:szCs w:val="21"/>
                <w:lang w:eastAsia="zh-CN"/>
              </w:rPr>
              <w:object>
                <v:shape id="_x0000_i1025" o:spt="75" type="#_x0000_t75" style="height:34.45pt;width:145.3pt;" o:ole="t" filled="f" o:preferrelative="t" stroked="f" coordsize="21600,21600">
                  <v:path/>
                  <v:fill on="f" focussize="0,0"/>
                  <v:stroke on="f"/>
                  <v:imagedata r:id="rId21" o:title=""/>
                  <o:lock v:ext="edit" aspectratio="t"/>
                  <w10:wrap type="none"/>
                  <w10:anchorlock/>
                </v:shape>
                <o:OLEObject Type="Embed" ProgID="Equations" ShapeID="_x0000_i1025" DrawAspect="Content" ObjectID="_1468075725" r:id="rId20">
                  <o:LockedField>false</o:LockedField>
                </o:OLEObject>
              </w:object>
            </w:r>
          </w:p>
          <w:p w14:paraId="4FF6AD4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t>式中：</w:t>
            </w:r>
          </w:p>
          <w:p w14:paraId="3C74BCEF">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L</w:t>
            </w:r>
            <w:r>
              <w:rPr>
                <w:rFonts w:hint="eastAsia" w:ascii="Times New Roman" w:hAnsi="Times New Roman" w:eastAsia="宋体" w:cs="Times New Roman"/>
                <w:snapToGrid w:val="0"/>
                <w:color w:val="auto"/>
                <w:kern w:val="0"/>
                <w:sz w:val="24"/>
                <w:szCs w:val="21"/>
                <w:vertAlign w:val="subscript"/>
                <w:lang w:val="en-US" w:eastAsia="zh-CN" w:bidi="ar-SA"/>
              </w:rPr>
              <w:t>0</w:t>
            </w:r>
            <w:r>
              <w:rPr>
                <w:rFonts w:hint="eastAsia" w:ascii="Times New Roman" w:hAnsi="Times New Roman" w:eastAsia="宋体" w:cs="Times New Roman"/>
                <w:snapToGrid w:val="0"/>
                <w:color w:val="auto"/>
                <w:kern w:val="0"/>
                <w:sz w:val="24"/>
                <w:szCs w:val="21"/>
                <w:lang w:val="en-US" w:eastAsia="zh-CN" w:bidi="ar-SA"/>
              </w:rPr>
              <w:t>——叠加后总声压级，dB(A)；</w:t>
            </w:r>
          </w:p>
          <w:p w14:paraId="523D30FC">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n——声源个数；</w:t>
            </w:r>
          </w:p>
          <w:p w14:paraId="035DC2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left"/>
              <w:textAlignment w:val="auto"/>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Li——各声源对某点的声压级，dB(A)。</w:t>
            </w:r>
          </w:p>
          <w:p w14:paraId="06CD288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left"/>
              <w:textAlignment w:val="auto"/>
              <w:rPr>
                <w:rFonts w:hint="default"/>
                <w:color w:val="auto"/>
                <w:sz w:val="24"/>
              </w:rPr>
            </w:pPr>
            <w:r>
              <w:rPr>
                <w:rFonts w:hint="eastAsia" w:ascii="Times New Roman" w:hAnsi="Times New Roman" w:eastAsia="宋体" w:cs="Times New Roman"/>
                <w:snapToGrid w:val="0"/>
                <w:color w:val="auto"/>
                <w:kern w:val="0"/>
                <w:sz w:val="24"/>
                <w:szCs w:val="21"/>
                <w:lang w:val="en-US" w:eastAsia="zh-CN" w:bidi="ar-SA"/>
              </w:rPr>
              <w:t>③</w:t>
            </w:r>
            <w:r>
              <w:rPr>
                <w:rFonts w:hint="default"/>
                <w:color w:val="auto"/>
                <w:kern w:val="0"/>
                <w:sz w:val="24"/>
                <w:lang w:bidi="ar"/>
              </w:rPr>
              <w:t xml:space="preserve">室内声源等效室外声源声功率级计算方法 </w:t>
            </w:r>
          </w:p>
          <w:p w14:paraId="094F43E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left"/>
              <w:textAlignment w:val="auto"/>
              <w:rPr>
                <w:rFonts w:hint="default"/>
                <w:color w:val="auto"/>
                <w:sz w:val="24"/>
              </w:rPr>
            </w:pPr>
            <w:r>
              <w:rPr>
                <w:rFonts w:hint="default"/>
                <w:color w:val="auto"/>
                <w:kern w:val="0"/>
                <w:sz w:val="24"/>
                <w:lang w:bidi="ar"/>
              </w:rPr>
              <w:t>声源位于室内，室内声源可采用等效室外声源声功率级法进行计算。设靠近开口处（或窗户）室内、室外某倍频带的声压级分别为Lp</w:t>
            </w:r>
            <w:r>
              <w:rPr>
                <w:rFonts w:hint="default"/>
                <w:color w:val="auto"/>
                <w:kern w:val="0"/>
                <w:sz w:val="24"/>
                <w:vertAlign w:val="subscript"/>
                <w:lang w:bidi="ar"/>
              </w:rPr>
              <w:t>1</w:t>
            </w:r>
            <w:r>
              <w:rPr>
                <w:rFonts w:hint="default"/>
                <w:color w:val="auto"/>
                <w:kern w:val="0"/>
                <w:sz w:val="24"/>
                <w:lang w:bidi="ar"/>
              </w:rPr>
              <w:t>和Lp</w:t>
            </w:r>
            <w:r>
              <w:rPr>
                <w:rFonts w:hint="default"/>
                <w:color w:val="auto"/>
                <w:kern w:val="0"/>
                <w:sz w:val="24"/>
                <w:vertAlign w:val="subscript"/>
                <w:lang w:bidi="ar"/>
              </w:rPr>
              <w:t>2</w:t>
            </w:r>
            <w:r>
              <w:rPr>
                <w:rFonts w:hint="default"/>
                <w:color w:val="auto"/>
                <w:kern w:val="0"/>
                <w:sz w:val="24"/>
                <w:lang w:bidi="ar"/>
              </w:rPr>
              <w:t>。若声源所在室内声场为近似扩散声场，按下列公式计算出靠近室外围护结构处的声压级：</w:t>
            </w:r>
          </w:p>
          <w:p w14:paraId="08465F5A">
            <w:pPr>
              <w:keepNext w:val="0"/>
              <w:keepLines w:val="0"/>
              <w:widowControl/>
              <w:suppressLineNumbers w:val="0"/>
              <w:spacing w:before="0" w:beforeAutospacing="0" w:after="0" w:afterAutospacing="0"/>
              <w:ind w:left="0" w:right="0"/>
              <w:jc w:val="center"/>
              <w:rPr>
                <w:rFonts w:hint="default"/>
                <w:color w:val="auto"/>
                <w:kern w:val="0"/>
                <w:sz w:val="24"/>
                <w:lang w:bidi="ar"/>
              </w:rPr>
            </w:pPr>
            <w:r>
              <w:rPr>
                <w:rFonts w:hint="default"/>
                <w:color w:val="auto"/>
                <w:kern w:val="0"/>
                <w:sz w:val="24"/>
                <w:lang w:bidi="ar"/>
              </w:rPr>
              <w:t>Lp</w:t>
            </w:r>
            <w:r>
              <w:rPr>
                <w:rFonts w:hint="default"/>
                <w:color w:val="auto"/>
                <w:kern w:val="0"/>
                <w:sz w:val="24"/>
                <w:vertAlign w:val="subscript"/>
                <w:lang w:bidi="ar"/>
              </w:rPr>
              <w:t>2</w:t>
            </w:r>
            <w:r>
              <w:rPr>
                <w:rFonts w:hint="default" w:ascii="Times New Roman" w:hAnsi="Times New Roman" w:eastAsia="宋体" w:cs="Times New Roman"/>
                <w:color w:val="auto"/>
                <w:kern w:val="0"/>
                <w:sz w:val="24"/>
                <w:szCs w:val="24"/>
                <w:lang w:val="en-US" w:eastAsia="zh-CN" w:bidi="ar"/>
              </w:rPr>
              <w:t>=</w:t>
            </w:r>
            <w:r>
              <w:rPr>
                <w:rFonts w:hint="default"/>
                <w:color w:val="auto"/>
                <w:kern w:val="0"/>
                <w:sz w:val="24"/>
                <w:lang w:bidi="ar"/>
              </w:rPr>
              <w:t>Lp</w:t>
            </w:r>
            <w:r>
              <w:rPr>
                <w:rFonts w:hint="default"/>
                <w:color w:val="auto"/>
                <w:kern w:val="0"/>
                <w:sz w:val="24"/>
                <w:vertAlign w:val="subscript"/>
                <w:lang w:bidi="ar"/>
              </w:rPr>
              <w:t>1</w:t>
            </w:r>
            <w:r>
              <w:rPr>
                <w:rFonts w:hint="eastAsia"/>
                <w:color w:val="auto"/>
                <w:kern w:val="0"/>
                <w:sz w:val="24"/>
                <w:vertAlign w:val="baseline"/>
                <w:lang w:eastAsia="zh-CN" w:bidi="ar"/>
              </w:rPr>
              <w:t>—</w:t>
            </w:r>
            <w:r>
              <w:rPr>
                <w:rFonts w:hint="eastAsia" w:ascii="宋体" w:hAnsi="宋体" w:eastAsia="宋体" w:cs="宋体"/>
                <w:color w:val="auto"/>
                <w:kern w:val="0"/>
                <w:sz w:val="24"/>
                <w:szCs w:val="24"/>
                <w:lang w:val="en-US" w:eastAsia="zh-CN" w:bidi="ar"/>
              </w:rPr>
              <w:t>（</w:t>
            </w:r>
            <w:r>
              <w:rPr>
                <w:rFonts w:hint="default" w:ascii="Times New Roman" w:hAnsi="Times New Roman" w:eastAsia="宋体" w:cs="Times New Roman"/>
                <w:color w:val="auto"/>
                <w:kern w:val="0"/>
                <w:sz w:val="24"/>
                <w:szCs w:val="24"/>
                <w:lang w:val="en-US" w:eastAsia="zh-CN" w:bidi="ar"/>
              </w:rPr>
              <w:t>TL+6</w:t>
            </w:r>
            <w:r>
              <w:rPr>
                <w:rFonts w:hint="eastAsia" w:ascii="宋体" w:hAnsi="宋体" w:eastAsia="宋体" w:cs="宋体"/>
                <w:color w:val="auto"/>
                <w:kern w:val="0"/>
                <w:sz w:val="24"/>
                <w:szCs w:val="24"/>
                <w:lang w:val="en-US" w:eastAsia="zh-CN" w:bidi="ar"/>
              </w:rPr>
              <w:t>）</w:t>
            </w:r>
          </w:p>
          <w:p w14:paraId="1310803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jc w:val="left"/>
              <w:textAlignment w:val="auto"/>
              <w:rPr>
                <w:rFonts w:hint="default"/>
                <w:color w:val="auto"/>
                <w:kern w:val="0"/>
                <w:sz w:val="24"/>
                <w:lang w:bidi="ar"/>
              </w:rPr>
            </w:pPr>
            <w:r>
              <w:rPr>
                <w:rFonts w:hint="default"/>
                <w:color w:val="auto"/>
                <w:kern w:val="0"/>
                <w:sz w:val="24"/>
                <w:lang w:bidi="ar"/>
              </w:rPr>
              <w:t>式中：</w:t>
            </w:r>
          </w:p>
          <w:p w14:paraId="4906ECD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left"/>
              <w:textAlignment w:val="auto"/>
              <w:rPr>
                <w:rFonts w:hint="default"/>
                <w:color w:val="auto"/>
                <w:sz w:val="24"/>
              </w:rPr>
            </w:pPr>
            <w:r>
              <w:rPr>
                <w:rFonts w:hint="default"/>
                <w:color w:val="auto"/>
                <w:kern w:val="0"/>
                <w:sz w:val="24"/>
                <w:lang w:bidi="ar"/>
              </w:rPr>
              <w:t>L</w:t>
            </w:r>
            <w:r>
              <w:rPr>
                <w:rFonts w:hint="default"/>
                <w:color w:val="auto"/>
                <w:kern w:val="0"/>
                <w:sz w:val="24"/>
                <w:vertAlign w:val="subscript"/>
                <w:lang w:bidi="ar"/>
              </w:rPr>
              <w:t>P</w:t>
            </w:r>
            <w:r>
              <w:rPr>
                <w:rFonts w:hint="eastAsia"/>
                <w:color w:val="auto"/>
                <w:kern w:val="0"/>
                <w:sz w:val="24"/>
                <w:vertAlign w:val="subscript"/>
                <w:lang w:bidi="ar"/>
              </w:rPr>
              <w:t>1</w:t>
            </w:r>
            <w:r>
              <w:rPr>
                <w:rFonts w:hint="default"/>
                <w:color w:val="auto"/>
                <w:kern w:val="0"/>
                <w:sz w:val="24"/>
                <w:lang w:bidi="ar"/>
              </w:rPr>
              <w:t>—</w:t>
            </w:r>
            <w:r>
              <w:rPr>
                <w:rFonts w:hint="eastAsia"/>
                <w:color w:val="auto"/>
                <w:kern w:val="0"/>
                <w:sz w:val="24"/>
                <w:lang w:eastAsia="zh-CN" w:bidi="ar"/>
              </w:rPr>
              <w:t>靠近</w:t>
            </w:r>
            <w:r>
              <w:rPr>
                <w:rFonts w:hint="eastAsia"/>
                <w:color w:val="auto"/>
                <w:kern w:val="0"/>
                <w:sz w:val="24"/>
                <w:lang w:bidi="ar"/>
              </w:rPr>
              <w:t>开口处（或窗户）室内某倍频带的声压级</w:t>
            </w:r>
            <w:r>
              <w:rPr>
                <w:rFonts w:hint="default"/>
                <w:color w:val="auto"/>
                <w:kern w:val="0"/>
                <w:sz w:val="24"/>
                <w:lang w:bidi="ar"/>
              </w:rPr>
              <w:t>，dB</w:t>
            </w:r>
            <w:r>
              <w:rPr>
                <w:rFonts w:hint="eastAsia"/>
                <w:color w:val="auto"/>
                <w:kern w:val="0"/>
                <w:sz w:val="24"/>
                <w:lang w:bidi="ar"/>
              </w:rPr>
              <w:t>；</w:t>
            </w:r>
          </w:p>
          <w:p w14:paraId="6EAA8D4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left"/>
              <w:textAlignment w:val="auto"/>
              <w:rPr>
                <w:rFonts w:hint="default"/>
                <w:color w:val="auto"/>
                <w:sz w:val="24"/>
              </w:rPr>
            </w:pPr>
            <w:r>
              <w:rPr>
                <w:rFonts w:hint="default"/>
                <w:color w:val="auto"/>
                <w:kern w:val="0"/>
                <w:sz w:val="24"/>
                <w:lang w:bidi="ar"/>
              </w:rPr>
              <w:t>L</w:t>
            </w:r>
            <w:r>
              <w:rPr>
                <w:rFonts w:hint="default"/>
                <w:color w:val="auto"/>
                <w:kern w:val="0"/>
                <w:sz w:val="24"/>
                <w:vertAlign w:val="subscript"/>
                <w:lang w:bidi="ar"/>
              </w:rPr>
              <w:t>P2</w:t>
            </w:r>
            <w:r>
              <w:rPr>
                <w:rFonts w:hint="default"/>
                <w:color w:val="auto"/>
                <w:kern w:val="0"/>
                <w:sz w:val="24"/>
                <w:lang w:bidi="ar"/>
              </w:rPr>
              <w:t>—</w:t>
            </w:r>
            <w:r>
              <w:rPr>
                <w:rFonts w:hint="eastAsia"/>
                <w:color w:val="auto"/>
                <w:kern w:val="0"/>
                <w:sz w:val="24"/>
                <w:lang w:eastAsia="zh-CN" w:bidi="ar"/>
              </w:rPr>
              <w:t>靠近</w:t>
            </w:r>
            <w:r>
              <w:rPr>
                <w:rFonts w:hint="eastAsia"/>
                <w:color w:val="auto"/>
                <w:kern w:val="0"/>
                <w:sz w:val="24"/>
                <w:lang w:bidi="ar"/>
              </w:rPr>
              <w:t>开口处（或窗户）室</w:t>
            </w:r>
            <w:r>
              <w:rPr>
                <w:rFonts w:hint="eastAsia"/>
                <w:color w:val="auto"/>
                <w:kern w:val="0"/>
                <w:sz w:val="24"/>
                <w:lang w:eastAsia="zh-CN" w:bidi="ar"/>
              </w:rPr>
              <w:t>外</w:t>
            </w:r>
            <w:r>
              <w:rPr>
                <w:rFonts w:hint="eastAsia"/>
                <w:color w:val="auto"/>
                <w:kern w:val="0"/>
                <w:sz w:val="24"/>
                <w:lang w:bidi="ar"/>
              </w:rPr>
              <w:t>某倍频带的声压级</w:t>
            </w:r>
            <w:r>
              <w:rPr>
                <w:rFonts w:hint="default"/>
                <w:color w:val="auto"/>
                <w:kern w:val="0"/>
                <w:sz w:val="24"/>
                <w:lang w:bidi="ar"/>
              </w:rPr>
              <w:t xml:space="preserve">，dB； </w:t>
            </w:r>
          </w:p>
          <w:p w14:paraId="3D173A1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left"/>
              <w:textAlignment w:val="auto"/>
              <w:rPr>
                <w:rFonts w:hint="default"/>
                <w:color w:val="auto"/>
                <w:sz w:val="24"/>
              </w:rPr>
            </w:pPr>
            <w:r>
              <w:rPr>
                <w:rFonts w:hint="default"/>
                <w:color w:val="auto"/>
                <w:kern w:val="0"/>
                <w:sz w:val="24"/>
                <w:lang w:bidi="ar"/>
              </w:rPr>
              <w:t>TL—</w:t>
            </w:r>
            <w:r>
              <w:rPr>
                <w:rFonts w:hint="eastAsia"/>
                <w:color w:val="auto"/>
                <w:kern w:val="0"/>
                <w:sz w:val="24"/>
                <w:lang w:eastAsia="zh-CN" w:bidi="ar"/>
              </w:rPr>
              <w:t>隔墙（或窗户）</w:t>
            </w:r>
            <w:r>
              <w:rPr>
                <w:rFonts w:hint="default"/>
                <w:color w:val="auto"/>
                <w:kern w:val="0"/>
                <w:sz w:val="24"/>
                <w:lang w:bidi="ar"/>
              </w:rPr>
              <w:t>倍频带的隔声量，dB。</w:t>
            </w:r>
          </w:p>
          <w:p w14:paraId="324929D5">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val="en-US" w:eastAsia="zh-CN"/>
              </w:rPr>
              <w:t>④</w:t>
            </w:r>
            <w:r>
              <w:rPr>
                <w:rFonts w:hint="default" w:ascii="Times New Roman" w:hAnsi="Times New Roman" w:eastAsia="宋体" w:cs="Times New Roman"/>
                <w:color w:val="auto"/>
                <w:sz w:val="24"/>
                <w:szCs w:val="24"/>
              </w:rPr>
              <w:t>预测结果</w:t>
            </w:r>
          </w:p>
          <w:p w14:paraId="3B37A244">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sz w:val="24"/>
                <w:szCs w:val="24"/>
              </w:rPr>
            </w:pPr>
            <w:r>
              <w:rPr>
                <w:rFonts w:hint="eastAsia" w:ascii="Times New Roman" w:hAnsi="Times New Roman" w:cs="Times New Roman"/>
                <w:color w:val="auto"/>
                <w:sz w:val="24"/>
                <w:lang w:val="en-US" w:eastAsia="zh-CN"/>
              </w:rPr>
              <w:t>由于本项目夜间不运行，不会改变院区厂界夜间声环境现状水平。因此，对照上述公式，预测</w:t>
            </w:r>
            <w:r>
              <w:rPr>
                <w:rFonts w:hint="eastAsia" w:ascii="Times New Roman" w:hAnsi="Times New Roman" w:cs="Times New Roman"/>
                <w:b w:val="0"/>
                <w:bCs w:val="0"/>
                <w:color w:val="auto"/>
                <w:sz w:val="24"/>
                <w:lang w:val="en-US" w:eastAsia="zh-CN"/>
              </w:rPr>
              <w:t>本项目院区四周厂界处昼间噪声值，</w:t>
            </w:r>
            <w:r>
              <w:rPr>
                <w:rFonts w:hint="default" w:ascii="Times New Roman" w:hAnsi="Times New Roman" w:eastAsia="宋体" w:cs="Times New Roman"/>
                <w:color w:val="auto"/>
                <w:sz w:val="24"/>
                <w:szCs w:val="24"/>
              </w:rPr>
              <w:t>预测项目噪声源对各向厂界的影响。依据预测模式，项目厂界噪声影响预测结果见下表。</w:t>
            </w:r>
          </w:p>
          <w:p w14:paraId="1217C9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jc w:val="center"/>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b/>
                <w:color w:val="auto"/>
                <w:sz w:val="24"/>
                <w:szCs w:val="24"/>
              </w:rPr>
              <w:t>表</w:t>
            </w:r>
            <w:r>
              <w:rPr>
                <w:rFonts w:hint="eastAsia" w:ascii="Times New Roman" w:hAnsi="Times New Roman" w:eastAsia="宋体" w:cs="Times New Roman"/>
                <w:b/>
                <w:color w:val="auto"/>
                <w:sz w:val="24"/>
                <w:szCs w:val="24"/>
                <w:lang w:val="en-US" w:eastAsia="zh-CN"/>
              </w:rPr>
              <w:t>11-3</w:t>
            </w:r>
            <w:r>
              <w:rPr>
                <w:rFonts w:hint="default" w:ascii="Times New Roman" w:hAnsi="Times New Roman" w:eastAsia="宋体" w:cs="Times New Roman"/>
                <w:b/>
                <w:color w:val="auto"/>
                <w:sz w:val="24"/>
                <w:szCs w:val="24"/>
              </w:rPr>
              <w:t xml:space="preserve">  项目厂界噪声预测结果一览表    单位：dB（A）</w:t>
            </w:r>
          </w:p>
          <w:tbl>
            <w:tblPr>
              <w:tblStyle w:val="18"/>
              <w:tblW w:w="7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3"/>
              <w:gridCol w:w="1451"/>
              <w:gridCol w:w="1147"/>
              <w:gridCol w:w="2326"/>
              <w:gridCol w:w="1453"/>
            </w:tblGrid>
            <w:tr w14:paraId="05C2A6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 w:hRule="atLeast"/>
                <w:jc w:val="center"/>
              </w:trPr>
              <w:tc>
                <w:tcPr>
                  <w:tcW w:w="1343" w:type="dxa"/>
                  <w:vAlign w:val="center"/>
                </w:tcPr>
                <w:p w14:paraId="595DC700">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院区</w:t>
                  </w:r>
                </w:p>
              </w:tc>
              <w:tc>
                <w:tcPr>
                  <w:tcW w:w="1451" w:type="dxa"/>
                  <w:vAlign w:val="center"/>
                </w:tcPr>
                <w:p w14:paraId="5D42C2EE">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位点</w:t>
                  </w:r>
                </w:p>
              </w:tc>
              <w:tc>
                <w:tcPr>
                  <w:tcW w:w="1147" w:type="dxa"/>
                  <w:vAlign w:val="center"/>
                </w:tcPr>
                <w:p w14:paraId="4005DE80">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贡献值</w:t>
                  </w:r>
                </w:p>
              </w:tc>
              <w:tc>
                <w:tcPr>
                  <w:tcW w:w="2326" w:type="dxa"/>
                  <w:vAlign w:val="center"/>
                </w:tcPr>
                <w:p w14:paraId="11C97581">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标准值（昼间）</w:t>
                  </w:r>
                </w:p>
              </w:tc>
              <w:tc>
                <w:tcPr>
                  <w:tcW w:w="1453" w:type="dxa"/>
                  <w:vAlign w:val="center"/>
                </w:tcPr>
                <w:p w14:paraId="3230D3AB">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评价结果</w:t>
                  </w:r>
                </w:p>
              </w:tc>
            </w:tr>
            <w:tr w14:paraId="7FAD4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343" w:type="dxa"/>
                  <w:vMerge w:val="restart"/>
                  <w:vAlign w:val="center"/>
                </w:tcPr>
                <w:p w14:paraId="3ED7BBA4">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安康医院院区</w:t>
                  </w:r>
                </w:p>
              </w:tc>
              <w:tc>
                <w:tcPr>
                  <w:tcW w:w="1451" w:type="dxa"/>
                  <w:vAlign w:val="center"/>
                </w:tcPr>
                <w:p w14:paraId="5A1537F5">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东厂界</w:t>
                  </w:r>
                </w:p>
              </w:tc>
              <w:tc>
                <w:tcPr>
                  <w:tcW w:w="1147" w:type="dxa"/>
                  <w:vAlign w:val="center"/>
                </w:tcPr>
                <w:p w14:paraId="30D201E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eastAsia" w:eastAsia="宋体" w:cs="Times New Roman"/>
                      <w:color w:val="auto"/>
                      <w:sz w:val="21"/>
                      <w:szCs w:val="21"/>
                      <w:highlight w:val="none"/>
                      <w:vertAlign w:val="baseline"/>
                      <w:lang w:val="en-US" w:eastAsia="zh-CN"/>
                    </w:rPr>
                    <w:t>13</w:t>
                  </w:r>
                </w:p>
              </w:tc>
              <w:tc>
                <w:tcPr>
                  <w:tcW w:w="2326" w:type="dxa"/>
                  <w:vAlign w:val="center"/>
                </w:tcPr>
                <w:p w14:paraId="299AC04A">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60</w:t>
                  </w:r>
                </w:p>
              </w:tc>
              <w:tc>
                <w:tcPr>
                  <w:tcW w:w="1453" w:type="dxa"/>
                  <w:vAlign w:val="center"/>
                </w:tcPr>
                <w:p w14:paraId="554B5054">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达标</w:t>
                  </w:r>
                </w:p>
              </w:tc>
            </w:tr>
            <w:tr w14:paraId="6AA00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343" w:type="dxa"/>
                  <w:vMerge w:val="continue"/>
                  <w:vAlign w:val="center"/>
                </w:tcPr>
                <w:p w14:paraId="281301C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eastAsia" w:cs="Times New Roman"/>
                      <w:color w:val="auto"/>
                      <w:sz w:val="21"/>
                      <w:szCs w:val="21"/>
                      <w:vertAlign w:val="baseline"/>
                      <w:lang w:val="en-US" w:eastAsia="zh-CN"/>
                    </w:rPr>
                  </w:pPr>
                </w:p>
              </w:tc>
              <w:tc>
                <w:tcPr>
                  <w:tcW w:w="1451" w:type="dxa"/>
                  <w:vAlign w:val="center"/>
                </w:tcPr>
                <w:p w14:paraId="78D749F3">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南厂界</w:t>
                  </w:r>
                </w:p>
              </w:tc>
              <w:tc>
                <w:tcPr>
                  <w:tcW w:w="1147" w:type="dxa"/>
                  <w:vAlign w:val="center"/>
                </w:tcPr>
                <w:p w14:paraId="74CE0D9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eastAsia" w:eastAsia="宋体" w:cs="Times New Roman"/>
                      <w:color w:val="auto"/>
                      <w:sz w:val="21"/>
                      <w:szCs w:val="21"/>
                      <w:highlight w:val="none"/>
                      <w:vertAlign w:val="baseline"/>
                      <w:lang w:val="en-US" w:eastAsia="zh-CN"/>
                    </w:rPr>
                    <w:t>15</w:t>
                  </w:r>
                </w:p>
              </w:tc>
              <w:tc>
                <w:tcPr>
                  <w:tcW w:w="2326" w:type="dxa"/>
                  <w:vAlign w:val="center"/>
                </w:tcPr>
                <w:p w14:paraId="03C961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60</w:t>
                  </w:r>
                </w:p>
              </w:tc>
              <w:tc>
                <w:tcPr>
                  <w:tcW w:w="1453" w:type="dxa"/>
                  <w:vAlign w:val="center"/>
                </w:tcPr>
                <w:p w14:paraId="6262972F">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达标</w:t>
                  </w:r>
                </w:p>
              </w:tc>
            </w:tr>
            <w:tr w14:paraId="22C97E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343" w:type="dxa"/>
                  <w:vMerge w:val="continue"/>
                  <w:vAlign w:val="center"/>
                </w:tcPr>
                <w:p w14:paraId="073DDB39">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eastAsia" w:cs="Times New Roman"/>
                      <w:color w:val="auto"/>
                      <w:sz w:val="21"/>
                      <w:szCs w:val="21"/>
                      <w:vertAlign w:val="baseline"/>
                      <w:lang w:val="en-US" w:eastAsia="zh-CN"/>
                    </w:rPr>
                  </w:pPr>
                </w:p>
              </w:tc>
              <w:tc>
                <w:tcPr>
                  <w:tcW w:w="1451" w:type="dxa"/>
                  <w:vAlign w:val="center"/>
                </w:tcPr>
                <w:p w14:paraId="7774CD2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西厂界</w:t>
                  </w:r>
                </w:p>
              </w:tc>
              <w:tc>
                <w:tcPr>
                  <w:tcW w:w="1147" w:type="dxa"/>
                  <w:vAlign w:val="center"/>
                </w:tcPr>
                <w:p w14:paraId="3D63E0E2">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eastAsia" w:eastAsia="宋体" w:cs="Times New Roman"/>
                      <w:color w:val="auto"/>
                      <w:sz w:val="21"/>
                      <w:szCs w:val="21"/>
                      <w:highlight w:val="none"/>
                      <w:vertAlign w:val="baseline"/>
                      <w:lang w:val="en-US" w:eastAsia="zh-CN"/>
                    </w:rPr>
                    <w:t>14</w:t>
                  </w:r>
                </w:p>
              </w:tc>
              <w:tc>
                <w:tcPr>
                  <w:tcW w:w="2326" w:type="dxa"/>
                  <w:vAlign w:val="center"/>
                </w:tcPr>
                <w:p w14:paraId="242271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60</w:t>
                  </w:r>
                </w:p>
              </w:tc>
              <w:tc>
                <w:tcPr>
                  <w:tcW w:w="1453" w:type="dxa"/>
                  <w:vAlign w:val="center"/>
                </w:tcPr>
                <w:p w14:paraId="159542D5">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达标</w:t>
                  </w:r>
                </w:p>
              </w:tc>
            </w:tr>
            <w:tr w14:paraId="1EAB4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2" w:hRule="atLeast"/>
                <w:jc w:val="center"/>
              </w:trPr>
              <w:tc>
                <w:tcPr>
                  <w:tcW w:w="1343" w:type="dxa"/>
                  <w:vMerge w:val="continue"/>
                  <w:vAlign w:val="center"/>
                </w:tcPr>
                <w:p w14:paraId="53BD9D87">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eastAsia" w:cs="Times New Roman"/>
                      <w:color w:val="auto"/>
                      <w:sz w:val="21"/>
                      <w:szCs w:val="21"/>
                      <w:vertAlign w:val="baseline"/>
                      <w:lang w:val="en-US" w:eastAsia="zh-CN"/>
                    </w:rPr>
                  </w:pPr>
                </w:p>
              </w:tc>
              <w:tc>
                <w:tcPr>
                  <w:tcW w:w="1451" w:type="dxa"/>
                  <w:vAlign w:val="center"/>
                </w:tcPr>
                <w:p w14:paraId="5FFAC11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北厂界</w:t>
                  </w:r>
                </w:p>
              </w:tc>
              <w:tc>
                <w:tcPr>
                  <w:tcW w:w="1147" w:type="dxa"/>
                  <w:vAlign w:val="center"/>
                </w:tcPr>
                <w:p w14:paraId="44941698">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eastAsia" w:eastAsia="宋体" w:cs="Times New Roman"/>
                      <w:color w:val="auto"/>
                      <w:sz w:val="21"/>
                      <w:szCs w:val="21"/>
                      <w:highlight w:val="none"/>
                      <w:vertAlign w:val="baseline"/>
                      <w:lang w:val="en-US" w:eastAsia="zh-CN"/>
                    </w:rPr>
                    <w:t>29</w:t>
                  </w:r>
                </w:p>
              </w:tc>
              <w:tc>
                <w:tcPr>
                  <w:tcW w:w="2326" w:type="dxa"/>
                  <w:vAlign w:val="center"/>
                </w:tcPr>
                <w:p w14:paraId="459C661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60</w:t>
                  </w:r>
                </w:p>
              </w:tc>
              <w:tc>
                <w:tcPr>
                  <w:tcW w:w="1453" w:type="dxa"/>
                  <w:vAlign w:val="center"/>
                </w:tcPr>
                <w:p w14:paraId="12FEF92A">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center"/>
                    <w:textAlignment w:val="auto"/>
                    <w:rPr>
                      <w:rFonts w:hint="default" w:ascii="Times New Roman" w:hAnsi="Times New Roman" w:eastAsia="宋体" w:cs="Times New Roman"/>
                      <w:color w:val="auto"/>
                      <w:sz w:val="21"/>
                      <w:szCs w:val="21"/>
                      <w:vertAlign w:val="baseline"/>
                    </w:rPr>
                  </w:pPr>
                  <w:r>
                    <w:rPr>
                      <w:rFonts w:hint="eastAsia" w:cs="Times New Roman"/>
                      <w:color w:val="auto"/>
                      <w:sz w:val="21"/>
                      <w:szCs w:val="21"/>
                      <w:vertAlign w:val="baseline"/>
                      <w:lang w:val="en-US" w:eastAsia="zh-CN"/>
                    </w:rPr>
                    <w:t>达标</w:t>
                  </w:r>
                </w:p>
              </w:tc>
            </w:tr>
          </w:tbl>
          <w:p w14:paraId="6D200E9D">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20" w:lineRule="exact"/>
              <w:ind w:left="0" w:right="0"/>
              <w:textAlignment w:val="auto"/>
              <w:rPr>
                <w:rFonts w:hint="eastAsia"/>
                <w:color w:val="auto"/>
                <w:highlight w:val="none"/>
                <w:lang w:val="en-US" w:eastAsia="zh-CN"/>
              </w:rPr>
            </w:pPr>
            <w:r>
              <w:rPr>
                <w:rFonts w:hint="default" w:ascii="Times New Roman" w:hAnsi="Times New Roman" w:eastAsia="宋体" w:cs="Times New Roman"/>
                <w:color w:val="auto"/>
                <w:sz w:val="24"/>
                <w:szCs w:val="24"/>
              </w:rPr>
              <w:t>由上表可见，经选取低噪声设备、减振、隔声等防治措施后，</w:t>
            </w:r>
            <w:r>
              <w:rPr>
                <w:rFonts w:hint="eastAsia"/>
                <w:color w:val="auto"/>
                <w:lang w:val="en-US" w:eastAsia="zh-CN"/>
              </w:rPr>
              <w:t>四周</w:t>
            </w:r>
            <w:r>
              <w:rPr>
                <w:rFonts w:hint="default" w:ascii="Times New Roman" w:hAnsi="Times New Roman" w:eastAsia="宋体" w:cs="Times New Roman"/>
                <w:color w:val="auto"/>
                <w:sz w:val="24"/>
                <w:szCs w:val="24"/>
              </w:rPr>
              <w:t>厂界均可达到</w:t>
            </w:r>
            <w:r>
              <w:rPr>
                <w:rFonts w:hint="eastAsia" w:cs="Times New Roman"/>
                <w:color w:val="auto"/>
                <w:sz w:val="24"/>
                <w:szCs w:val="24"/>
                <w:lang w:eastAsia="zh-CN"/>
              </w:rPr>
              <w:t>《</w:t>
            </w:r>
            <w:r>
              <w:rPr>
                <w:rFonts w:hint="eastAsia" w:cs="Times New Roman"/>
                <w:color w:val="auto"/>
                <w:sz w:val="24"/>
                <w:szCs w:val="24"/>
                <w:lang w:val="en-US" w:eastAsia="zh-CN"/>
              </w:rPr>
              <w:t>工业企业厂界环境噪声排放标准</w:t>
            </w:r>
            <w:r>
              <w:rPr>
                <w:rFonts w:hint="eastAsia" w:cs="Times New Roman"/>
                <w:color w:val="auto"/>
                <w:sz w:val="24"/>
                <w:szCs w:val="24"/>
                <w:lang w:eastAsia="zh-CN"/>
              </w:rPr>
              <w:t>》（</w:t>
            </w:r>
            <w:r>
              <w:rPr>
                <w:rFonts w:hint="eastAsia" w:cs="Times New Roman"/>
                <w:color w:val="auto"/>
                <w:sz w:val="24"/>
                <w:szCs w:val="24"/>
                <w:lang w:val="en-US" w:eastAsia="zh-CN"/>
              </w:rPr>
              <w:t>GB12348-2008</w:t>
            </w:r>
            <w:r>
              <w:rPr>
                <w:rFonts w:hint="eastAsia" w:cs="Times New Roman"/>
                <w:color w:val="auto"/>
                <w:sz w:val="24"/>
                <w:szCs w:val="24"/>
                <w:lang w:eastAsia="zh-CN"/>
              </w:rPr>
              <w:t>）</w:t>
            </w:r>
            <w:r>
              <w:rPr>
                <w:rFonts w:hint="eastAsia" w:cs="Times New Roman"/>
                <w:color w:val="auto"/>
                <w:sz w:val="24"/>
                <w:szCs w:val="24"/>
                <w:lang w:val="en-US" w:eastAsia="zh-CN"/>
              </w:rPr>
              <w:t>中的2类标准准</w:t>
            </w:r>
            <w:r>
              <w:rPr>
                <w:rFonts w:hint="eastAsia"/>
                <w:color w:val="auto"/>
                <w:lang w:val="en-US" w:eastAsia="zh-CN"/>
              </w:rPr>
              <w:t>，</w:t>
            </w:r>
            <w:r>
              <w:rPr>
                <w:rFonts w:hint="default" w:ascii="Times New Roman" w:hAnsi="Times New Roman" w:cs="Times New Roman"/>
                <w:color w:val="auto"/>
              </w:rPr>
              <w:t>对周围</w:t>
            </w:r>
            <w:r>
              <w:rPr>
                <w:rFonts w:hint="default" w:ascii="Times New Roman" w:hAnsi="Times New Roman" w:cs="Times New Roman"/>
                <w:color w:val="auto"/>
                <w:lang w:eastAsia="zh-CN"/>
              </w:rPr>
              <w:t>声</w:t>
            </w:r>
            <w:r>
              <w:rPr>
                <w:rFonts w:hint="default" w:ascii="Times New Roman" w:hAnsi="Times New Roman" w:cs="Times New Roman"/>
                <w:color w:val="auto"/>
              </w:rPr>
              <w:t>环境影响较小</w:t>
            </w:r>
            <w:r>
              <w:rPr>
                <w:rFonts w:hint="eastAsia"/>
                <w:color w:val="auto"/>
                <w:highlight w:val="none"/>
                <w:lang w:val="en-US" w:eastAsia="zh-CN"/>
              </w:rPr>
              <w:t>。</w:t>
            </w:r>
          </w:p>
          <w:p w14:paraId="3A8EC203">
            <w:pPr>
              <w:pStyle w:val="23"/>
              <w:keepNext w:val="0"/>
              <w:keepLines w:val="0"/>
              <w:suppressLineNumbers w:val="0"/>
              <w:spacing w:before="0" w:beforeAutospacing="0" w:after="0" w:afterAutospacing="0"/>
              <w:ind w:left="0" w:right="0" w:firstLine="482" w:firstLineChars="200"/>
              <w:rPr>
                <w:rFonts w:hint="default" w:ascii="Times New Roman" w:hAnsi="Times New Roman" w:eastAsia="宋体" w:cs="Times New Roman"/>
                <w:b/>
                <w:bCs/>
                <w:color w:val="auto"/>
                <w:sz w:val="24"/>
                <w:szCs w:val="24"/>
              </w:rPr>
            </w:pPr>
            <w:r>
              <w:rPr>
                <w:rFonts w:hint="eastAsia" w:cs="Times New Roman"/>
                <w:b/>
                <w:bCs/>
                <w:color w:val="auto"/>
                <w:sz w:val="24"/>
                <w:szCs w:val="24"/>
                <w:lang w:val="en-US" w:eastAsia="zh-CN"/>
              </w:rPr>
              <w:t>2</w:t>
            </w:r>
            <w:r>
              <w:rPr>
                <w:rFonts w:hint="default" w:ascii="Times New Roman" w:hAnsi="Times New Roman" w:eastAsia="宋体" w:cs="Times New Roman"/>
                <w:b/>
                <w:bCs/>
                <w:color w:val="auto"/>
                <w:sz w:val="24"/>
                <w:szCs w:val="24"/>
              </w:rPr>
              <w:t>、辐射环境影响分析</w:t>
            </w:r>
          </w:p>
          <w:p w14:paraId="4DAD9C3B">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2.1</w:t>
            </w:r>
            <w:r>
              <w:rPr>
                <w:rFonts w:hint="default" w:ascii="Times New Roman" w:hAnsi="Times New Roman" w:eastAsia="宋体" w:cs="Times New Roman"/>
                <w:color w:val="auto"/>
                <w:sz w:val="24"/>
                <w:szCs w:val="24"/>
              </w:rPr>
              <w:t>机房屏蔽措施评价</w:t>
            </w:r>
          </w:p>
          <w:p w14:paraId="08324E29">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lang w:val="en-US" w:eastAsia="zh-CN"/>
              </w:rPr>
              <w:t>根据医院</w:t>
            </w:r>
            <w:r>
              <w:rPr>
                <w:rFonts w:hint="default" w:ascii="Times New Roman" w:hAnsi="Times New Roman" w:cs="Times New Roman"/>
                <w:color w:val="auto"/>
                <w:sz w:val="24"/>
                <w:szCs w:val="24"/>
                <w:lang w:val="en-US" w:eastAsia="zh-CN"/>
              </w:rPr>
              <w:t>和设计单</w:t>
            </w:r>
            <w:r>
              <w:rPr>
                <w:rFonts w:hint="default" w:ascii="Times New Roman" w:hAnsi="Times New Roman" w:cs="Times New Roman"/>
                <w:color w:val="auto"/>
                <w:sz w:val="24"/>
                <w:szCs w:val="24"/>
                <w:shd w:val="clear" w:color="auto" w:fill="auto"/>
                <w:lang w:val="en-US" w:eastAsia="zh-CN"/>
              </w:rPr>
              <w:t>位</w:t>
            </w:r>
            <w:r>
              <w:rPr>
                <w:rFonts w:hint="default" w:ascii="Times New Roman" w:hAnsi="Times New Roman" w:eastAsia="宋体" w:cs="Times New Roman"/>
                <w:color w:val="auto"/>
                <w:sz w:val="24"/>
                <w:szCs w:val="24"/>
                <w:shd w:val="clear" w:color="auto" w:fill="auto"/>
                <w:lang w:val="en-US" w:eastAsia="zh-CN"/>
              </w:rPr>
              <w:t>提</w:t>
            </w:r>
            <w:r>
              <w:rPr>
                <w:rFonts w:hint="default" w:ascii="Times New Roman" w:hAnsi="Times New Roman" w:eastAsia="宋体" w:cs="Times New Roman"/>
                <w:color w:val="auto"/>
                <w:sz w:val="24"/>
                <w:szCs w:val="24"/>
                <w:lang w:val="en-US" w:eastAsia="zh-CN"/>
              </w:rPr>
              <w:t>供的资料，</w:t>
            </w:r>
            <w:r>
              <w:rPr>
                <w:rFonts w:hint="default" w:ascii="Times New Roman" w:hAnsi="Times New Roman" w:eastAsia="宋体" w:cs="Times New Roman"/>
                <w:snapToGrid/>
                <w:color w:val="auto"/>
                <w:kern w:val="2"/>
                <w:sz w:val="24"/>
                <w:szCs w:val="24"/>
                <w:highlight w:val="none"/>
                <w:lang w:val="en-US" w:eastAsia="zh-CN" w:bidi="ar-SA"/>
              </w:rPr>
              <w:t>DSA机房现状：四侧墙体为200mm的空心砖墙，顶部为150mm混凝土，地面为混凝土地基加土壤层，无地下工程。</w:t>
            </w:r>
          </w:p>
          <w:p w14:paraId="12BA9F88">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highlight w:val="none"/>
                <w:shd w:val="clear" w:color="auto" w:fill="auto"/>
                <w:lang w:val="en-US" w:eastAsia="zh-CN"/>
              </w:rPr>
            </w:pPr>
            <w:r>
              <w:rPr>
                <w:rFonts w:hint="default" w:ascii="Times New Roman" w:hAnsi="Times New Roman" w:eastAsia="宋体" w:cs="Times New Roman"/>
                <w:color w:val="auto"/>
                <w:sz w:val="24"/>
                <w:szCs w:val="24"/>
                <w:highlight w:val="none"/>
                <w:shd w:val="clear" w:color="auto" w:fill="auto"/>
              </w:rPr>
              <w:t>本项目机房拟采取的机房屏蔽措施如下：</w:t>
            </w:r>
            <w:r>
              <w:rPr>
                <w:rFonts w:hint="default" w:ascii="Times New Roman" w:hAnsi="Times New Roman" w:eastAsia="宋体" w:cs="Times New Roman"/>
                <w:snapToGrid/>
                <w:color w:val="auto"/>
                <w:kern w:val="2"/>
                <w:sz w:val="24"/>
                <w:szCs w:val="24"/>
                <w:highlight w:val="none"/>
                <w:lang w:val="en-US" w:eastAsia="zh-CN" w:bidi="ar-SA"/>
              </w:rPr>
              <w:t>机房南侧内部新建240mm厚实心砖墙(机房与设备间隔断)+粉刷30mm厚硫酸钡水泥+墙面装饰板；东、西、北三面墙加砌120mm厚实心砖墙+粉刷30mm厚硫酸钡水泥+墙面装饰板；北侧墙面玻璃窗拆除用200mm厚实心砖封堵；顶部改为楼板层15cm混凝土（密度不小于2.35g/cm³）+钢架龙骨+15mm厚硫酸钡防辐射板+1mmPb铅板+铝扣板吊顶；</w:t>
            </w:r>
            <w:r>
              <w:rPr>
                <w:rFonts w:hint="eastAsia" w:cs="Times New Roman"/>
                <w:snapToGrid/>
                <w:color w:val="auto"/>
                <w:kern w:val="2"/>
                <w:sz w:val="24"/>
                <w:szCs w:val="24"/>
                <w:highlight w:val="none"/>
                <w:lang w:val="en-US" w:eastAsia="zh-CN" w:bidi="ar-SA"/>
              </w:rPr>
              <w:t>控制室</w:t>
            </w:r>
            <w:r>
              <w:rPr>
                <w:rFonts w:hint="default" w:ascii="Times New Roman" w:hAnsi="Times New Roman" w:eastAsia="宋体" w:cs="Times New Roman"/>
                <w:snapToGrid/>
                <w:color w:val="auto"/>
                <w:kern w:val="2"/>
                <w:sz w:val="24"/>
                <w:szCs w:val="24"/>
                <w:highlight w:val="none"/>
                <w:lang w:val="en-US" w:eastAsia="zh-CN" w:bidi="ar-SA"/>
              </w:rPr>
              <w:t>平推铅门、污物通道铅门以及缓冲间电动铅门防护当量均为3mmPb；观察窗铅玻璃防护当量为4mmPb</w:t>
            </w:r>
            <w:r>
              <w:rPr>
                <w:rFonts w:hint="default" w:ascii="Times New Roman" w:hAnsi="Times New Roman" w:eastAsia="宋体" w:cs="Times New Roman"/>
                <w:color w:val="auto"/>
                <w:sz w:val="24"/>
                <w:szCs w:val="24"/>
                <w:highlight w:val="none"/>
                <w:shd w:val="clear" w:color="auto" w:fill="auto"/>
                <w:lang w:val="en-US" w:eastAsia="zh-CN"/>
              </w:rPr>
              <w:t>。</w:t>
            </w:r>
          </w:p>
          <w:p w14:paraId="3EED4325">
            <w:pPr>
              <w:keepNext w:val="0"/>
              <w:keepLines w:val="0"/>
              <w:widowControl w:val="0"/>
              <w:suppressLineNumbers w:val="0"/>
              <w:spacing w:before="0" w:beforeAutospacing="0" w:after="0" w:afterAutospacing="0" w:line="360" w:lineRule="auto"/>
              <w:ind w:left="0" w:right="0"/>
              <w:jc w:val="both"/>
              <w:rPr>
                <w:rFonts w:hint="eastAsia" w:ascii="Times New Roman" w:hAnsi="Times New Roman" w:cs="Times New Roman" w:eastAsiaTheme="minorEastAsia"/>
                <w:snapToGrid w:val="0"/>
                <w:color w:val="auto"/>
                <w:kern w:val="0"/>
                <w:sz w:val="24"/>
                <w:szCs w:val="24"/>
                <w:highlight w:val="none"/>
                <w:shd w:val="clear" w:color="auto" w:fill="auto"/>
                <w:lang w:val="en-US" w:eastAsia="zh-CN" w:bidi="ar-SA"/>
              </w:rPr>
            </w:pPr>
            <w:r>
              <w:rPr>
                <w:rFonts w:hint="eastAsia" w:ascii="Times New Roman" w:hAnsi="Times New Roman" w:cs="Times New Roman" w:eastAsiaTheme="minorEastAsia"/>
                <w:snapToGrid w:val="0"/>
                <w:color w:val="auto"/>
                <w:kern w:val="0"/>
                <w:sz w:val="24"/>
                <w:szCs w:val="24"/>
                <w:highlight w:val="none"/>
                <w:shd w:val="clear" w:color="auto" w:fill="auto"/>
                <w:lang w:val="en-US" w:eastAsia="zh-CN" w:bidi="ar-SA"/>
              </w:rPr>
              <w:drawing>
                <wp:anchor distT="0" distB="0" distL="114300" distR="114300" simplePos="0" relativeHeight="251665408" behindDoc="0" locked="0" layoutInCell="1" allowOverlap="1">
                  <wp:simplePos x="0" y="0"/>
                  <wp:positionH relativeFrom="column">
                    <wp:posOffset>5466715</wp:posOffset>
                  </wp:positionH>
                  <wp:positionV relativeFrom="paragraph">
                    <wp:posOffset>197485</wp:posOffset>
                  </wp:positionV>
                  <wp:extent cx="396875" cy="606425"/>
                  <wp:effectExtent l="0" t="0" r="3175" b="3175"/>
                  <wp:wrapNone/>
                  <wp:docPr id="9" name="图片 9" descr="指北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指北针"/>
                          <pic:cNvPicPr>
                            <a:picLocks noChangeAspect="1"/>
                          </pic:cNvPicPr>
                        </pic:nvPicPr>
                        <pic:blipFill>
                          <a:blip r:embed="rId22"/>
                          <a:stretch>
                            <a:fillRect/>
                          </a:stretch>
                        </pic:blipFill>
                        <pic:spPr>
                          <a:xfrm rot="5400000">
                            <a:off x="0" y="0"/>
                            <a:ext cx="396875" cy="606425"/>
                          </a:xfrm>
                          <a:prstGeom prst="rect">
                            <a:avLst/>
                          </a:prstGeom>
                        </pic:spPr>
                      </pic:pic>
                    </a:graphicData>
                  </a:graphic>
                </wp:anchor>
              </w:drawing>
            </w:r>
            <w:r>
              <w:rPr>
                <w:rFonts w:hint="default"/>
                <w:sz w:val="21"/>
              </w:rPr>
              <mc:AlternateContent>
                <mc:Choice Requires="wps">
                  <w:drawing>
                    <wp:anchor distT="0" distB="0" distL="114300" distR="114300" simplePos="0" relativeHeight="251663360" behindDoc="0" locked="0" layoutInCell="1" allowOverlap="1">
                      <wp:simplePos x="0" y="0"/>
                      <wp:positionH relativeFrom="column">
                        <wp:posOffset>662305</wp:posOffset>
                      </wp:positionH>
                      <wp:positionV relativeFrom="paragraph">
                        <wp:posOffset>3659505</wp:posOffset>
                      </wp:positionV>
                      <wp:extent cx="678815" cy="596265"/>
                      <wp:effectExtent l="0" t="0" r="0" b="0"/>
                      <wp:wrapNone/>
                      <wp:docPr id="6" name="文本框 6"/>
                      <wp:cNvGraphicFramePr/>
                      <a:graphic xmlns:a="http://schemas.openxmlformats.org/drawingml/2006/main">
                        <a:graphicData uri="http://schemas.microsoft.com/office/word/2010/wordprocessingShape">
                          <wps:wsp>
                            <wps:cNvSpPr txBox="1"/>
                            <wps:spPr>
                              <a:xfrm>
                                <a:off x="1415415" y="4580255"/>
                                <a:ext cx="678815" cy="59626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38802A">
                                  <w:pPr>
                                    <w:rPr>
                                      <w:rFonts w:hint="eastAsia" w:eastAsiaTheme="minorEastAsia"/>
                                      <w:lang w:eastAsia="zh-CN"/>
                                    </w:rPr>
                                  </w:pPr>
                                  <w:r>
                                    <w:rPr>
                                      <w:rFonts w:hint="eastAsia"/>
                                      <w:lang w:eastAsia="zh-CN"/>
                                    </w:rPr>
                                    <w:t>卫生间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2.15pt;margin-top:288.15pt;height:46.95pt;width:53.45pt;z-index:251663360;mso-width-relative:page;mso-height-relative:page;" filled="f" stroked="f" coordsize="21600,21600" o:gfxdata="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Us0KetsAAAALAQAADwAAAAAAAAAB&#10;ACAAAAAiAAAAZHJzL2Rvd25yZXYueG1sUEsBAhQAFAAAAAgAh07iQABPp/JGAgAAcQQAAA4AAAAA&#10;AAAAAQAgAAAAKgEAAGRycy9lMm9Eb2MueG1sUEsFBgAAAAAGAAYAWQEAAOIFAAAAAA==&#10;">
                      <v:fill on="f" focussize="0,0"/>
                      <v:stroke on="f" weight="0.5pt"/>
                      <v:imagedata o:title=""/>
                      <o:lock v:ext="edit" aspectratio="f"/>
                      <v:textbox>
                        <w:txbxContent>
                          <w:p w14:paraId="7B38802A">
                            <w:pPr>
                              <w:rPr>
                                <w:rFonts w:hint="eastAsia" w:eastAsiaTheme="minorEastAsia"/>
                                <w:lang w:eastAsia="zh-CN"/>
                              </w:rPr>
                            </w:pPr>
                            <w:r>
                              <w:rPr>
                                <w:rFonts w:hint="eastAsia"/>
                                <w:lang w:eastAsia="zh-CN"/>
                              </w:rPr>
                              <w:t>卫生间</w:t>
                            </w:r>
                          </w:p>
                        </w:txbxContent>
                      </v:textbox>
                    </v:shape>
                  </w:pict>
                </mc:Fallback>
              </mc:AlternateContent>
            </w:r>
            <w:r>
              <w:rPr>
                <w:rFonts w:hint="default"/>
              </w:rPr>
              <w:drawing>
                <wp:inline distT="0" distB="0" distL="114300" distR="114300">
                  <wp:extent cx="5630545" cy="4541520"/>
                  <wp:effectExtent l="0" t="0" r="8255" b="1143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23"/>
                          <a:stretch>
                            <a:fillRect/>
                          </a:stretch>
                        </pic:blipFill>
                        <pic:spPr>
                          <a:xfrm>
                            <a:off x="0" y="0"/>
                            <a:ext cx="5630545" cy="4541520"/>
                          </a:xfrm>
                          <a:prstGeom prst="rect">
                            <a:avLst/>
                          </a:prstGeom>
                          <a:noFill/>
                          <a:ln>
                            <a:noFill/>
                          </a:ln>
                        </pic:spPr>
                      </pic:pic>
                    </a:graphicData>
                  </a:graphic>
                </wp:inline>
              </w:drawing>
            </w:r>
          </w:p>
          <w:p w14:paraId="255DB69F">
            <w:pPr>
              <w:keepNext w:val="0"/>
              <w:keepLines w:val="0"/>
              <w:widowControl w:val="0"/>
              <w:suppressLineNumbers w:val="0"/>
              <w:spacing w:before="0" w:beforeAutospacing="0" w:after="0" w:afterAutospacing="0" w:line="360" w:lineRule="auto"/>
              <w:ind w:left="0" w:right="0"/>
              <w:jc w:val="center"/>
              <w:rPr>
                <w:rFonts w:hint="default" w:ascii="Times New Roman" w:hAnsi="Times New Roman" w:eastAsia="宋体" w:cs="Times New Roman"/>
                <w:b/>
                <w:bCs/>
                <w:snapToGrid w:val="0"/>
                <w:color w:val="auto"/>
                <w:kern w:val="0"/>
                <w:sz w:val="24"/>
                <w:szCs w:val="24"/>
                <w:highlight w:val="none"/>
                <w:shd w:val="clear" w:color="auto" w:fill="auto"/>
                <w:lang w:val="en-US" w:eastAsia="zh-CN" w:bidi="ar-SA"/>
              </w:rPr>
            </w:pPr>
            <w:r>
              <w:rPr>
                <w:rFonts w:hint="eastAsia" w:ascii="Times New Roman" w:hAnsi="Times New Roman" w:eastAsia="宋体" w:cs="Times New Roman"/>
                <w:b/>
                <w:bCs/>
                <w:snapToGrid w:val="0"/>
                <w:color w:val="auto"/>
                <w:kern w:val="0"/>
                <w:sz w:val="24"/>
                <w:szCs w:val="24"/>
                <w:highlight w:val="none"/>
                <w:shd w:val="clear" w:color="auto" w:fill="auto"/>
                <w:lang w:val="en-US" w:eastAsia="zh-CN" w:bidi="ar-SA"/>
              </w:rPr>
              <w:t>图11-1 机房平面布置图</w:t>
            </w:r>
          </w:p>
          <w:p w14:paraId="3C52BB7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highlight w:val="none"/>
                <w:shd w:val="clear" w:color="auto" w:fill="auto"/>
                <w:lang w:val="en-US" w:eastAsia="zh-CN" w:bidi="ar-SA"/>
              </w:rPr>
              <w:t>参考《放射诊断放射防护要求》（GBZ130-2020）附录C 医用诊断</w:t>
            </w:r>
            <w:r>
              <w:rPr>
                <w:rFonts w:hint="default" w:ascii="Times New Roman" w:hAnsi="Times New Roman" w:eastAsia="宋体" w:cs="Times New Roman"/>
                <w:snapToGrid w:val="0"/>
                <w:color w:val="auto"/>
                <w:kern w:val="0"/>
                <w:sz w:val="24"/>
                <w:szCs w:val="24"/>
                <w:lang w:val="en-US" w:eastAsia="zh-CN" w:bidi="ar-SA"/>
              </w:rPr>
              <w:t>X射线防护中不同屏蔽物质的铅当量中的计算公式对本项目的四周墙体、顶面和地面结构防护的等效铅当量厚度进行计算。</w:t>
            </w:r>
          </w:p>
          <w:p w14:paraId="00A62E9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公式如下。</w:t>
            </w:r>
          </w:p>
          <w:p w14:paraId="6BA4A83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a）对给定的屏蔽物质厚度，依据NCRP147号报告中给出的不同管电压X射线辐射在屏蔽物质中衰减的α、β、γ拟合值（见11-2）按下式计算屏蔽透射因子B：</w:t>
            </w:r>
          </w:p>
          <w:p w14:paraId="7965EC17">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4"/>
                <w:highlight w:val="none"/>
                <w:lang w:val="en-US" w:eastAsia="zh-CN" w:bidi="ar-SA"/>
              </w:rPr>
            </w:pPr>
            <m:oMath>
              <m:r>
                <m:rPr/>
                <w:rPr>
                  <w:rFonts w:hint="default" w:ascii="Cambria Math" w:hAnsi="Cambria Math" w:eastAsia="宋体" w:cs="Times New Roman"/>
                  <w:color w:val="auto"/>
                  <w:sz w:val="24"/>
                  <w:szCs w:val="24"/>
                  <w:highlight w:val="none"/>
                </w:rPr>
                <m:t>B</m:t>
              </m:r>
              <m:r>
                <m:rPr>
                  <m:sty m:val="p"/>
                </m:rPr>
                <w:rPr>
                  <w:rFonts w:hint="default" w:ascii="Cambria Math" w:hAnsi="Cambria Math" w:eastAsia="宋体" w:cs="Times New Roman"/>
                  <w:color w:val="auto"/>
                  <w:sz w:val="24"/>
                  <w:szCs w:val="24"/>
                  <w:highlight w:val="none"/>
                </w:rPr>
                <m:t>=</m:t>
              </m:r>
              <m:sSup>
                <m:sSupPr>
                  <m:ctrlPr>
                    <w:rPr>
                      <w:rFonts w:hint="default" w:ascii="Cambria Math" w:hAnsi="Cambria Math" w:eastAsia="宋体" w:cs="Times New Roman"/>
                      <w:i/>
                      <w:color w:val="auto"/>
                      <w:sz w:val="24"/>
                      <w:szCs w:val="24"/>
                      <w:highlight w:val="none"/>
                    </w:rPr>
                  </m:ctrlPr>
                </m:sSupPr>
                <m:e>
                  <m:d>
                    <m:dPr>
                      <m:begChr m:val="["/>
                      <m:endChr m:val="]"/>
                      <m:ctrlPr>
                        <w:rPr>
                          <w:rFonts w:hint="default" w:ascii="Cambria Math" w:hAnsi="Cambria Math" w:eastAsia="宋体" w:cs="Times New Roman"/>
                          <w:color w:val="auto"/>
                          <w:sz w:val="24"/>
                          <w:szCs w:val="24"/>
                          <w:highlight w:val="none"/>
                        </w:rPr>
                      </m:ctrlPr>
                    </m:dPr>
                    <m:e>
                      <m:d>
                        <m:dPr>
                          <m:begChr m:val="（"/>
                          <m:endChr m:val="）"/>
                          <m:ctrlPr>
                            <w:rPr>
                              <w:rFonts w:hint="default" w:ascii="Cambria Math" w:hAnsi="Cambria Math" w:eastAsia="宋体" w:cs="Times New Roman"/>
                              <w:color w:val="auto"/>
                              <w:sz w:val="24"/>
                              <w:szCs w:val="24"/>
                              <w:highlight w:val="none"/>
                            </w:rPr>
                          </m:ctrlPr>
                        </m:dPr>
                        <m:e>
                          <m:r>
                            <m:rPr>
                              <m:sty m:val="p"/>
                            </m:rPr>
                            <w:rPr>
                              <w:rFonts w:hint="default" w:ascii="Cambria Math" w:hAnsi="Cambria Math" w:eastAsia="宋体" w:cs="Times New Roman"/>
                              <w:color w:val="auto"/>
                              <w:sz w:val="24"/>
                              <w:szCs w:val="24"/>
                              <w:highlight w:val="none"/>
                            </w:rPr>
                            <m:t>1+</m:t>
                          </m:r>
                          <m:f>
                            <m:fPr>
                              <m:ctrlPr>
                                <w:rPr>
                                  <w:rFonts w:hint="default" w:ascii="Cambria Math" w:hAnsi="Cambria Math" w:eastAsia="宋体" w:cs="Times New Roman"/>
                                  <w:color w:val="auto"/>
                                  <w:sz w:val="24"/>
                                  <w:szCs w:val="24"/>
                                  <w:highlight w:val="none"/>
                                </w:rPr>
                              </m:ctrlPr>
                            </m:fPr>
                            <m:num>
                              <m:r>
                                <m:rPr>
                                  <m:sty m:val="p"/>
                                </m:rPr>
                                <w:rPr>
                                  <w:rFonts w:hint="default" w:ascii="Cambria Math" w:hAnsi="Cambria Math" w:eastAsia="宋体" w:cs="Times New Roman"/>
                                  <w:color w:val="auto"/>
                                  <w:sz w:val="24"/>
                                  <w:szCs w:val="24"/>
                                  <w:highlight w:val="none"/>
                                </w:rPr>
                                <m:t>β</m:t>
                              </m:r>
                              <m:ctrlPr>
                                <w:rPr>
                                  <w:rFonts w:hint="default" w:ascii="Cambria Math" w:hAnsi="Cambria Math" w:eastAsia="宋体" w:cs="Times New Roman"/>
                                  <w:color w:val="auto"/>
                                  <w:sz w:val="24"/>
                                  <w:szCs w:val="24"/>
                                  <w:highlight w:val="none"/>
                                </w:rPr>
                              </m:ctrlPr>
                            </m:num>
                            <m:den>
                              <m:r>
                                <m:rPr>
                                  <m:sty m:val="p"/>
                                </m:rPr>
                                <w:rPr>
                                  <w:rFonts w:hint="default" w:ascii="Cambria Math" w:hAnsi="Cambria Math" w:eastAsia="宋体" w:cs="Times New Roman"/>
                                  <w:color w:val="auto"/>
                                  <w:sz w:val="24"/>
                                  <w:szCs w:val="24"/>
                                  <w:highlight w:val="none"/>
                                </w:rPr>
                                <m:t>α</m:t>
                              </m:r>
                              <m:ctrlPr>
                                <w:rPr>
                                  <w:rFonts w:hint="default" w:ascii="Cambria Math" w:hAnsi="Cambria Math" w:eastAsia="宋体" w:cs="Times New Roman"/>
                                  <w:color w:val="auto"/>
                                  <w:sz w:val="24"/>
                                  <w:szCs w:val="24"/>
                                  <w:highlight w:val="none"/>
                                </w:rPr>
                              </m:ctrlPr>
                            </m:den>
                          </m:f>
                          <m:ctrlPr>
                            <w:rPr>
                              <w:rFonts w:hint="default" w:ascii="Cambria Math" w:hAnsi="Cambria Math" w:eastAsia="宋体" w:cs="Times New Roman"/>
                              <w:color w:val="auto"/>
                              <w:sz w:val="24"/>
                              <w:szCs w:val="24"/>
                              <w:highlight w:val="none"/>
                            </w:rPr>
                          </m:ctrlPr>
                        </m:e>
                      </m:d>
                      <m:sSup>
                        <m:sSupPr>
                          <m:ctrlPr>
                            <w:rPr>
                              <w:rFonts w:hint="default" w:ascii="Cambria Math" w:hAnsi="Cambria Math" w:eastAsia="宋体" w:cs="Times New Roman"/>
                              <w:color w:val="auto"/>
                              <w:sz w:val="24"/>
                              <w:szCs w:val="24"/>
                              <w:highlight w:val="none"/>
                            </w:rPr>
                          </m:ctrlPr>
                        </m:sSupPr>
                        <m:e>
                          <m:r>
                            <m:rPr/>
                            <w:rPr>
                              <w:rFonts w:hint="default" w:ascii="Cambria Math" w:hAnsi="Cambria Math" w:eastAsia="宋体" w:cs="Times New Roman"/>
                              <w:color w:val="auto"/>
                              <w:sz w:val="24"/>
                              <w:szCs w:val="24"/>
                              <w:highlight w:val="none"/>
                            </w:rPr>
                            <m:t>e</m:t>
                          </m:r>
                          <m:ctrlPr>
                            <w:rPr>
                              <w:rFonts w:hint="default" w:ascii="Cambria Math" w:hAnsi="Cambria Math" w:eastAsia="宋体" w:cs="Times New Roman"/>
                              <w:color w:val="auto"/>
                              <w:sz w:val="24"/>
                              <w:szCs w:val="24"/>
                              <w:highlight w:val="none"/>
                            </w:rPr>
                          </m:ctrlPr>
                        </m:e>
                        <m:sup>
                          <m:r>
                            <m:rPr/>
                            <w:rPr>
                              <w:rFonts w:hint="default" w:ascii="Cambria Math" w:hAnsi="Cambria Math" w:eastAsia="宋体" w:cs="Times New Roman"/>
                              <w:color w:val="auto"/>
                              <w:sz w:val="24"/>
                              <w:szCs w:val="24"/>
                              <w:highlight w:val="none"/>
                            </w:rPr>
                            <m:t>αγX</m:t>
                          </m:r>
                          <m:ctrlPr>
                            <w:rPr>
                              <w:rFonts w:hint="default" w:ascii="Cambria Math" w:hAnsi="Cambria Math" w:eastAsia="宋体" w:cs="Times New Roman"/>
                              <w:color w:val="auto"/>
                              <w:sz w:val="24"/>
                              <w:szCs w:val="24"/>
                              <w:highlight w:val="none"/>
                            </w:rPr>
                          </m:ctrlPr>
                        </m:sup>
                      </m:sSup>
                      <m:r>
                        <m:rPr/>
                        <w:rPr>
                          <w:rFonts w:hint="default" w:ascii="Cambria Math" w:hAnsi="Cambria Math" w:eastAsia="宋体" w:cs="Times New Roman"/>
                          <w:color w:val="auto"/>
                          <w:sz w:val="24"/>
                          <w:szCs w:val="24"/>
                          <w:highlight w:val="none"/>
                        </w:rPr>
                        <m:t>−</m:t>
                      </m:r>
                      <m:f>
                        <m:fPr>
                          <m:ctrlPr>
                            <w:rPr>
                              <w:rFonts w:hint="default" w:ascii="Cambria Math" w:hAnsi="Cambria Math" w:eastAsia="宋体" w:cs="Times New Roman"/>
                              <w:i/>
                              <w:color w:val="auto"/>
                              <w:sz w:val="24"/>
                              <w:szCs w:val="24"/>
                              <w:highlight w:val="none"/>
                            </w:rPr>
                          </m:ctrlPr>
                        </m:fPr>
                        <m:num>
                          <m:r>
                            <m:rPr/>
                            <w:rPr>
                              <w:rFonts w:hint="default" w:ascii="Cambria Math" w:hAnsi="Cambria Math" w:eastAsia="宋体" w:cs="Times New Roman"/>
                              <w:color w:val="auto"/>
                              <w:sz w:val="24"/>
                              <w:szCs w:val="24"/>
                              <w:highlight w:val="none"/>
                            </w:rPr>
                            <m:t>β</m:t>
                          </m:r>
                          <m:ctrlPr>
                            <w:rPr>
                              <w:rFonts w:hint="default" w:ascii="Cambria Math" w:hAnsi="Cambria Math" w:eastAsia="宋体" w:cs="Times New Roman"/>
                              <w:i/>
                              <w:color w:val="auto"/>
                              <w:sz w:val="24"/>
                              <w:szCs w:val="24"/>
                              <w:highlight w:val="none"/>
                            </w:rPr>
                          </m:ctrlPr>
                        </m:num>
                        <m:den>
                          <m:r>
                            <m:rPr/>
                            <w:rPr>
                              <w:rFonts w:hint="default" w:ascii="Cambria Math" w:hAnsi="Cambria Math" w:eastAsia="宋体" w:cs="Times New Roman"/>
                              <w:color w:val="auto"/>
                              <w:sz w:val="24"/>
                              <w:szCs w:val="24"/>
                              <w:highlight w:val="none"/>
                            </w:rPr>
                            <m:t>α</m:t>
                          </m:r>
                          <m:ctrlPr>
                            <w:rPr>
                              <w:rFonts w:hint="default" w:ascii="Cambria Math" w:hAnsi="Cambria Math" w:eastAsia="宋体" w:cs="Times New Roman"/>
                              <w:i/>
                              <w:color w:val="auto"/>
                              <w:sz w:val="24"/>
                              <w:szCs w:val="24"/>
                              <w:highlight w:val="none"/>
                            </w:rPr>
                          </m:ctrlPr>
                        </m:den>
                      </m:f>
                      <m:ctrlPr>
                        <w:rPr>
                          <w:rFonts w:hint="default" w:ascii="Cambria Math" w:hAnsi="Cambria Math" w:eastAsia="宋体" w:cs="Times New Roman"/>
                          <w:color w:val="auto"/>
                          <w:sz w:val="24"/>
                          <w:szCs w:val="24"/>
                          <w:highlight w:val="none"/>
                        </w:rPr>
                      </m:ctrlPr>
                    </m:e>
                  </m:d>
                  <m:ctrlPr>
                    <w:rPr>
                      <w:rFonts w:hint="default" w:ascii="Cambria Math" w:hAnsi="Cambria Math" w:eastAsia="宋体" w:cs="Times New Roman"/>
                      <w:i/>
                      <w:color w:val="auto"/>
                      <w:sz w:val="24"/>
                      <w:szCs w:val="24"/>
                      <w:highlight w:val="none"/>
                    </w:rPr>
                  </m:ctrlPr>
                </m:e>
                <m:sup>
                  <m:r>
                    <m:rPr/>
                    <w:rPr>
                      <w:rFonts w:hint="default" w:ascii="Cambria Math" w:hAnsi="Cambria Math" w:eastAsia="宋体" w:cs="Times New Roman"/>
                      <w:color w:val="auto"/>
                      <w:sz w:val="24"/>
                      <w:szCs w:val="24"/>
                      <w:highlight w:val="none"/>
                    </w:rPr>
                    <m:t>−</m:t>
                  </m:r>
                  <m:f>
                    <m:fPr>
                      <m:ctrlPr>
                        <w:rPr>
                          <w:rFonts w:hint="default" w:ascii="Cambria Math" w:hAnsi="Cambria Math" w:eastAsia="宋体" w:cs="Times New Roman"/>
                          <w:i/>
                          <w:color w:val="auto"/>
                          <w:sz w:val="24"/>
                          <w:szCs w:val="24"/>
                          <w:highlight w:val="none"/>
                        </w:rPr>
                      </m:ctrlPr>
                    </m:fPr>
                    <m:num>
                      <m:r>
                        <m:rPr/>
                        <w:rPr>
                          <w:rFonts w:hint="default" w:ascii="Cambria Math" w:hAnsi="Cambria Math" w:eastAsia="宋体" w:cs="Times New Roman"/>
                          <w:color w:val="auto"/>
                          <w:sz w:val="24"/>
                          <w:szCs w:val="24"/>
                          <w:highlight w:val="none"/>
                        </w:rPr>
                        <m:t>1</m:t>
                      </m:r>
                      <m:ctrlPr>
                        <w:rPr>
                          <w:rFonts w:hint="default" w:ascii="Cambria Math" w:hAnsi="Cambria Math" w:eastAsia="宋体" w:cs="Times New Roman"/>
                          <w:i/>
                          <w:color w:val="auto"/>
                          <w:sz w:val="24"/>
                          <w:szCs w:val="24"/>
                          <w:highlight w:val="none"/>
                        </w:rPr>
                      </m:ctrlPr>
                    </m:num>
                    <m:den>
                      <m:r>
                        <m:rPr/>
                        <w:rPr>
                          <w:rFonts w:hint="default" w:ascii="Cambria Math" w:hAnsi="Cambria Math" w:eastAsia="宋体" w:cs="Times New Roman"/>
                          <w:color w:val="auto"/>
                          <w:sz w:val="24"/>
                          <w:szCs w:val="24"/>
                          <w:highlight w:val="none"/>
                        </w:rPr>
                        <m:t>γ</m:t>
                      </m:r>
                      <m:ctrlPr>
                        <w:rPr>
                          <w:rFonts w:hint="default" w:ascii="Cambria Math" w:hAnsi="Cambria Math" w:eastAsia="宋体" w:cs="Times New Roman"/>
                          <w:i/>
                          <w:color w:val="auto"/>
                          <w:sz w:val="24"/>
                          <w:szCs w:val="24"/>
                          <w:highlight w:val="none"/>
                        </w:rPr>
                      </m:ctrlPr>
                    </m:den>
                  </m:f>
                  <m:ctrlPr>
                    <w:rPr>
                      <w:rFonts w:hint="default" w:ascii="Cambria Math" w:hAnsi="Cambria Math" w:eastAsia="宋体" w:cs="Times New Roman"/>
                      <w:i/>
                      <w:color w:val="auto"/>
                      <w:sz w:val="24"/>
                      <w:szCs w:val="24"/>
                      <w:highlight w:val="none"/>
                    </w:rPr>
                  </m:ctrlPr>
                </m:sup>
              </m:sSup>
            </m:oMath>
            <w:r>
              <w:rPr>
                <w:rFonts w:hint="default" w:ascii="Times New Roman" w:hAnsi="Times New Roman" w:eastAsia="宋体" w:cs="Times New Roman"/>
                <w:i w:val="0"/>
                <w:color w:val="auto"/>
                <w:sz w:val="24"/>
                <w:szCs w:val="24"/>
                <w:highlight w:val="none"/>
                <w:lang w:val="en-US" w:eastAsia="zh-CN"/>
              </w:rPr>
              <w:t>...............公式11-1</w:t>
            </w:r>
          </w:p>
          <w:p w14:paraId="3ACB9A7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式中：</w:t>
            </w:r>
          </w:p>
          <w:p w14:paraId="2895704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B——给定屏蔽物质厚度的屏蔽透射因子；</w:t>
            </w:r>
          </w:p>
          <w:p w14:paraId="6D1304E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β——屏蔽物质对不同管电压X射线辐射衰减的有关的拟合参数；</w:t>
            </w:r>
          </w:p>
          <w:p w14:paraId="445B105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α——屏蔽物质对不同管电压X射线辐射衰减的有关的拟合参数；</w:t>
            </w:r>
          </w:p>
          <w:p w14:paraId="293A9EB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γ——屏蔽物质对不同管电压X射线辐射衰减的有关的拟合参数；</w:t>
            </w:r>
          </w:p>
          <w:p w14:paraId="30C027F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X——屏蔽物质厚度。</w:t>
            </w:r>
          </w:p>
          <w:p w14:paraId="76DF484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b）依据NCRP147号报告中给出的不同管电压X射线辐射在铅中衰减的α、β、γ拟合值（见表11-</w:t>
            </w:r>
            <w:r>
              <w:rPr>
                <w:rFonts w:hint="eastAsia" w:ascii="Times New Roman" w:hAnsi="Times New Roman" w:eastAsia="宋体" w:cs="Times New Roman"/>
                <w:snapToGrid w:val="0"/>
                <w:color w:val="auto"/>
                <w:kern w:val="0"/>
                <w:sz w:val="24"/>
                <w:szCs w:val="24"/>
                <w:highlight w:val="none"/>
                <w:lang w:val="en-US" w:eastAsia="zh-CN" w:bidi="ar-SA"/>
              </w:rPr>
              <w:t>2</w:t>
            </w:r>
            <w:r>
              <w:rPr>
                <w:rFonts w:hint="default" w:ascii="Times New Roman" w:hAnsi="Times New Roman" w:eastAsia="宋体" w:cs="Times New Roman"/>
                <w:snapToGrid w:val="0"/>
                <w:color w:val="auto"/>
                <w:kern w:val="0"/>
                <w:sz w:val="24"/>
                <w:szCs w:val="24"/>
                <w:highlight w:val="none"/>
                <w:lang w:val="en-US" w:eastAsia="zh-CN" w:bidi="ar-SA"/>
              </w:rPr>
              <w:t>）</w:t>
            </w:r>
            <w:r>
              <w:rPr>
                <w:rFonts w:hint="eastAsia" w:ascii="Times New Roman" w:hAnsi="Times New Roman" w:eastAsia="宋体" w:cs="Times New Roman"/>
                <w:snapToGrid w:val="0"/>
                <w:color w:val="auto"/>
                <w:kern w:val="0"/>
                <w:sz w:val="24"/>
                <w:szCs w:val="24"/>
                <w:highlight w:val="none"/>
                <w:lang w:val="en-US" w:eastAsia="zh-CN" w:bidi="ar-SA"/>
              </w:rPr>
              <w:t>和a）</w:t>
            </w:r>
            <w:r>
              <w:rPr>
                <w:rFonts w:hint="default" w:ascii="Times New Roman" w:hAnsi="Times New Roman" w:eastAsia="宋体" w:cs="Times New Roman"/>
                <w:snapToGrid w:val="0"/>
                <w:color w:val="auto"/>
                <w:kern w:val="0"/>
                <w:sz w:val="24"/>
                <w:szCs w:val="24"/>
                <w:highlight w:val="none"/>
                <w:lang w:val="en-US" w:eastAsia="zh-CN" w:bidi="ar-SA"/>
              </w:rPr>
              <w:t>计算出的B值，使用下式计算出给定屏蔽物质厚度的等效铅当量厚度。</w:t>
            </w:r>
          </w:p>
          <w:p w14:paraId="51855189">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4"/>
                <w:highlight w:val="none"/>
                <w:lang w:val="en-US" w:eastAsia="zh-CN" w:bidi="ar-SA"/>
              </w:rPr>
            </w:pPr>
            <m:oMath>
              <m:r>
                <m:rPr/>
                <w:rPr>
                  <w:rFonts w:hint="default" w:ascii="Cambria Math" w:hAnsi="Cambria Math" w:eastAsia="宋体" w:cs="Times New Roman"/>
                  <w:color w:val="auto"/>
                  <w:sz w:val="24"/>
                  <w:szCs w:val="24"/>
                  <w:highlight w:val="none"/>
                </w:rPr>
                <m:t>X</m:t>
              </m:r>
              <m:r>
                <m:rPr>
                  <m:sty m:val="p"/>
                </m:rPr>
                <w:rPr>
                  <w:rFonts w:hint="default" w:ascii="Cambria Math" w:hAnsi="Cambria Math" w:eastAsia="宋体" w:cs="Times New Roman"/>
                  <w:color w:val="auto"/>
                  <w:sz w:val="24"/>
                  <w:szCs w:val="24"/>
                  <w:highlight w:val="none"/>
                </w:rPr>
                <m:t>=</m:t>
              </m:r>
              <m:f>
                <m:fPr>
                  <m:ctrlPr>
                    <w:rPr>
                      <w:rFonts w:hint="default" w:ascii="Cambria Math" w:hAnsi="Cambria Math" w:eastAsia="宋体" w:cs="Times New Roman"/>
                      <w:color w:val="auto"/>
                      <w:sz w:val="24"/>
                      <w:szCs w:val="24"/>
                      <w:highlight w:val="none"/>
                    </w:rPr>
                  </m:ctrlPr>
                </m:fPr>
                <m:num>
                  <m:r>
                    <m:rPr>
                      <m:sty m:val="p"/>
                    </m:rPr>
                    <w:rPr>
                      <w:rFonts w:hint="default" w:ascii="Cambria Math" w:hAnsi="Cambria Math" w:eastAsia="宋体" w:cs="Times New Roman"/>
                      <w:color w:val="auto"/>
                      <w:sz w:val="24"/>
                      <w:szCs w:val="24"/>
                      <w:highlight w:val="none"/>
                    </w:rPr>
                    <m:t>1</m:t>
                  </m:r>
                  <m:ctrlPr>
                    <w:rPr>
                      <w:rFonts w:hint="default" w:ascii="Cambria Math" w:hAnsi="Cambria Math" w:eastAsia="宋体" w:cs="Times New Roman"/>
                      <w:color w:val="auto"/>
                      <w:sz w:val="24"/>
                      <w:szCs w:val="24"/>
                      <w:highlight w:val="none"/>
                    </w:rPr>
                  </m:ctrlPr>
                </m:num>
                <m:den>
                  <m:r>
                    <m:rPr/>
                    <w:rPr>
                      <w:rFonts w:hint="default" w:ascii="Cambria Math" w:hAnsi="Cambria Math" w:eastAsia="宋体" w:cs="Times New Roman"/>
                      <w:color w:val="auto"/>
                      <w:sz w:val="24"/>
                      <w:szCs w:val="24"/>
                      <w:highlight w:val="none"/>
                    </w:rPr>
                    <m:t>αγ</m:t>
                  </m:r>
                  <m:ctrlPr>
                    <w:rPr>
                      <w:rFonts w:hint="default" w:ascii="Cambria Math" w:hAnsi="Cambria Math" w:eastAsia="宋体" w:cs="Times New Roman"/>
                      <w:color w:val="auto"/>
                      <w:sz w:val="24"/>
                      <w:szCs w:val="24"/>
                      <w:highlight w:val="none"/>
                    </w:rPr>
                  </m:ctrlPr>
                </m:den>
              </m:f>
              <m:func>
                <m:funcPr>
                  <m:ctrlPr>
                    <w:rPr>
                      <w:rFonts w:hint="default" w:ascii="Cambria Math" w:hAnsi="Cambria Math" w:eastAsia="宋体" w:cs="Times New Roman"/>
                      <w:i/>
                      <w:color w:val="auto"/>
                      <w:sz w:val="24"/>
                      <w:szCs w:val="24"/>
                      <w:highlight w:val="none"/>
                    </w:rPr>
                  </m:ctrlPr>
                </m:funcPr>
                <m:fName>
                  <m:r>
                    <m:rPr>
                      <m:sty m:val="p"/>
                    </m:rPr>
                    <w:rPr>
                      <w:rFonts w:hint="default" w:ascii="Cambria Math" w:hAnsi="Cambria Math" w:eastAsia="宋体" w:cs="Times New Roman"/>
                      <w:color w:val="auto"/>
                      <w:sz w:val="24"/>
                      <w:szCs w:val="24"/>
                      <w:highlight w:val="none"/>
                    </w:rPr>
                    <m:t>ln</m:t>
                  </m:r>
                  <m:ctrlPr>
                    <w:rPr>
                      <w:rFonts w:hint="default" w:ascii="Cambria Math" w:hAnsi="Cambria Math" w:eastAsia="宋体" w:cs="Times New Roman"/>
                      <w:i/>
                      <w:color w:val="auto"/>
                      <w:sz w:val="24"/>
                      <w:szCs w:val="24"/>
                      <w:highlight w:val="none"/>
                    </w:rPr>
                  </m:ctrlPr>
                </m:fName>
                <m:e>
                  <m:d>
                    <m:dPr>
                      <m:ctrlPr>
                        <w:rPr>
                          <w:rFonts w:hint="default" w:ascii="Cambria Math" w:hAnsi="Cambria Math" w:eastAsia="宋体" w:cs="Times New Roman"/>
                          <w:i/>
                          <w:color w:val="auto"/>
                          <w:sz w:val="24"/>
                          <w:szCs w:val="24"/>
                          <w:highlight w:val="none"/>
                        </w:rPr>
                      </m:ctrlPr>
                    </m:dPr>
                    <m:e>
                      <m:f>
                        <m:fPr>
                          <m:ctrlPr>
                            <w:rPr>
                              <w:rFonts w:hint="default" w:ascii="Cambria Math" w:hAnsi="Cambria Math" w:eastAsia="宋体" w:cs="Times New Roman"/>
                              <w:i/>
                              <w:color w:val="auto"/>
                              <w:sz w:val="24"/>
                              <w:szCs w:val="24"/>
                              <w:highlight w:val="none"/>
                            </w:rPr>
                          </m:ctrlPr>
                        </m:fPr>
                        <m:num>
                          <m:sSup>
                            <m:sSupPr>
                              <m:ctrlPr>
                                <w:rPr>
                                  <w:rFonts w:hint="default" w:ascii="Cambria Math" w:hAnsi="Cambria Math" w:eastAsia="宋体" w:cs="Times New Roman"/>
                                  <w:i/>
                                  <w:color w:val="auto"/>
                                  <w:sz w:val="24"/>
                                  <w:szCs w:val="24"/>
                                  <w:highlight w:val="none"/>
                                </w:rPr>
                              </m:ctrlPr>
                            </m:sSupPr>
                            <m:e>
                              <m:r>
                                <m:rPr/>
                                <w:rPr>
                                  <w:rFonts w:hint="default" w:ascii="Cambria Math" w:hAnsi="Cambria Math" w:eastAsia="宋体" w:cs="Times New Roman"/>
                                  <w:color w:val="auto"/>
                                  <w:sz w:val="24"/>
                                  <w:szCs w:val="24"/>
                                  <w:highlight w:val="none"/>
                                </w:rPr>
                                <m:t>B</m:t>
                              </m:r>
                              <m:ctrlPr>
                                <w:rPr>
                                  <w:rFonts w:hint="default" w:ascii="Cambria Math" w:hAnsi="Cambria Math" w:eastAsia="宋体" w:cs="Times New Roman"/>
                                  <w:i/>
                                  <w:color w:val="auto"/>
                                  <w:sz w:val="24"/>
                                  <w:szCs w:val="24"/>
                                  <w:highlight w:val="none"/>
                                </w:rPr>
                              </m:ctrlPr>
                            </m:e>
                            <m:sup>
                              <m:r>
                                <m:rPr/>
                                <w:rPr>
                                  <w:rFonts w:hint="default" w:ascii="Cambria Math" w:hAnsi="Cambria Math" w:eastAsia="宋体" w:cs="Times New Roman"/>
                                  <w:color w:val="auto"/>
                                  <w:sz w:val="24"/>
                                  <w:szCs w:val="24"/>
                                  <w:highlight w:val="none"/>
                                </w:rPr>
                                <m:t>−γ</m:t>
                              </m:r>
                              <m:ctrlPr>
                                <w:rPr>
                                  <w:rFonts w:hint="default" w:ascii="Cambria Math" w:hAnsi="Cambria Math" w:eastAsia="宋体" w:cs="Times New Roman"/>
                                  <w:i/>
                                  <w:color w:val="auto"/>
                                  <w:sz w:val="24"/>
                                  <w:szCs w:val="24"/>
                                  <w:highlight w:val="none"/>
                                </w:rPr>
                              </m:ctrlPr>
                            </m:sup>
                          </m:sSup>
                          <m:r>
                            <m:rPr/>
                            <w:rPr>
                              <w:rFonts w:hint="default" w:ascii="Cambria Math" w:hAnsi="Cambria Math" w:eastAsia="宋体" w:cs="Times New Roman"/>
                              <w:color w:val="auto"/>
                              <w:sz w:val="24"/>
                              <w:szCs w:val="24"/>
                              <w:highlight w:val="none"/>
                            </w:rPr>
                            <m:t>+</m:t>
                          </m:r>
                          <m:f>
                            <m:fPr>
                              <m:ctrlPr>
                                <w:rPr>
                                  <w:rFonts w:hint="default" w:ascii="Cambria Math" w:hAnsi="Cambria Math" w:eastAsia="宋体" w:cs="Times New Roman"/>
                                  <w:i/>
                                  <w:color w:val="auto"/>
                                  <w:sz w:val="24"/>
                                  <w:szCs w:val="24"/>
                                  <w:highlight w:val="none"/>
                                </w:rPr>
                              </m:ctrlPr>
                            </m:fPr>
                            <m:num>
                              <m:r>
                                <m:rPr/>
                                <w:rPr>
                                  <w:rFonts w:hint="default" w:ascii="Cambria Math" w:hAnsi="Cambria Math" w:eastAsia="宋体" w:cs="Times New Roman"/>
                                  <w:color w:val="auto"/>
                                  <w:sz w:val="24"/>
                                  <w:szCs w:val="24"/>
                                  <w:highlight w:val="none"/>
                                </w:rPr>
                                <m:t>β</m:t>
                              </m:r>
                              <m:ctrlPr>
                                <w:rPr>
                                  <w:rFonts w:hint="default" w:ascii="Cambria Math" w:hAnsi="Cambria Math" w:eastAsia="宋体" w:cs="Times New Roman"/>
                                  <w:i/>
                                  <w:color w:val="auto"/>
                                  <w:sz w:val="24"/>
                                  <w:szCs w:val="24"/>
                                  <w:highlight w:val="none"/>
                                </w:rPr>
                              </m:ctrlPr>
                            </m:num>
                            <m:den>
                              <m:r>
                                <m:rPr/>
                                <w:rPr>
                                  <w:rFonts w:hint="default" w:ascii="Cambria Math" w:hAnsi="Cambria Math" w:eastAsia="宋体" w:cs="Times New Roman"/>
                                  <w:color w:val="auto"/>
                                  <w:sz w:val="24"/>
                                  <w:szCs w:val="24"/>
                                  <w:highlight w:val="none"/>
                                </w:rPr>
                                <m:t>α</m:t>
                              </m:r>
                              <m:ctrlPr>
                                <w:rPr>
                                  <w:rFonts w:hint="default" w:ascii="Cambria Math" w:hAnsi="Cambria Math" w:eastAsia="宋体" w:cs="Times New Roman"/>
                                  <w:i/>
                                  <w:color w:val="auto"/>
                                  <w:sz w:val="24"/>
                                  <w:szCs w:val="24"/>
                                  <w:highlight w:val="none"/>
                                </w:rPr>
                              </m:ctrlPr>
                            </m:den>
                          </m:f>
                          <m:ctrlPr>
                            <w:rPr>
                              <w:rFonts w:hint="default" w:ascii="Cambria Math" w:hAnsi="Cambria Math" w:eastAsia="宋体" w:cs="Times New Roman"/>
                              <w:i/>
                              <w:color w:val="auto"/>
                              <w:sz w:val="24"/>
                              <w:szCs w:val="24"/>
                              <w:highlight w:val="none"/>
                            </w:rPr>
                          </m:ctrlPr>
                        </m:num>
                        <m:den>
                          <m:r>
                            <m:rPr/>
                            <w:rPr>
                              <w:rFonts w:hint="default" w:ascii="Cambria Math" w:hAnsi="Cambria Math" w:eastAsia="宋体" w:cs="Times New Roman"/>
                              <w:color w:val="auto"/>
                              <w:sz w:val="24"/>
                              <w:szCs w:val="24"/>
                              <w:highlight w:val="none"/>
                            </w:rPr>
                            <m:t>1+</m:t>
                          </m:r>
                          <m:f>
                            <m:fPr>
                              <m:ctrlPr>
                                <w:rPr>
                                  <w:rFonts w:hint="default" w:ascii="Cambria Math" w:hAnsi="Cambria Math" w:eastAsia="宋体" w:cs="Times New Roman"/>
                                  <w:i/>
                                  <w:color w:val="auto"/>
                                  <w:sz w:val="24"/>
                                  <w:szCs w:val="24"/>
                                  <w:highlight w:val="none"/>
                                </w:rPr>
                              </m:ctrlPr>
                            </m:fPr>
                            <m:num>
                              <m:r>
                                <m:rPr>
                                  <m:sty m:val="p"/>
                                </m:rPr>
                                <w:rPr>
                                  <w:rFonts w:hint="default" w:ascii="Cambria Math" w:hAnsi="Cambria Math" w:eastAsia="宋体" w:cs="Times New Roman"/>
                                  <w:color w:val="auto"/>
                                  <w:sz w:val="24"/>
                                  <w:szCs w:val="24"/>
                                  <w:highlight w:val="none"/>
                                </w:rPr>
                                <m:t>β</m:t>
                              </m:r>
                              <m:ctrlPr>
                                <w:rPr>
                                  <w:rFonts w:hint="default" w:ascii="Cambria Math" w:hAnsi="Cambria Math" w:eastAsia="宋体" w:cs="Times New Roman"/>
                                  <w:i/>
                                  <w:color w:val="auto"/>
                                  <w:sz w:val="24"/>
                                  <w:szCs w:val="24"/>
                                  <w:highlight w:val="none"/>
                                </w:rPr>
                              </m:ctrlPr>
                            </m:num>
                            <m:den>
                              <m:r>
                                <m:rPr/>
                                <w:rPr>
                                  <w:rFonts w:hint="default" w:ascii="Cambria Math" w:hAnsi="Cambria Math" w:eastAsia="宋体" w:cs="Times New Roman"/>
                                  <w:color w:val="auto"/>
                                  <w:sz w:val="24"/>
                                  <w:szCs w:val="24"/>
                                  <w:highlight w:val="none"/>
                                </w:rPr>
                                <m:t>α</m:t>
                              </m:r>
                              <m:ctrlPr>
                                <w:rPr>
                                  <w:rFonts w:hint="default" w:ascii="Cambria Math" w:hAnsi="Cambria Math" w:eastAsia="宋体" w:cs="Times New Roman"/>
                                  <w:i/>
                                  <w:color w:val="auto"/>
                                  <w:sz w:val="24"/>
                                  <w:szCs w:val="24"/>
                                  <w:highlight w:val="none"/>
                                </w:rPr>
                              </m:ctrlPr>
                            </m:den>
                          </m:f>
                          <m:ctrlPr>
                            <w:rPr>
                              <w:rFonts w:hint="default" w:ascii="Cambria Math" w:hAnsi="Cambria Math" w:eastAsia="宋体" w:cs="Times New Roman"/>
                              <w:i/>
                              <w:color w:val="auto"/>
                              <w:sz w:val="24"/>
                              <w:szCs w:val="24"/>
                              <w:highlight w:val="none"/>
                            </w:rPr>
                          </m:ctrlPr>
                        </m:den>
                      </m:f>
                      <m:ctrlPr>
                        <w:rPr>
                          <w:rFonts w:hint="default" w:ascii="Cambria Math" w:hAnsi="Cambria Math" w:eastAsia="宋体" w:cs="Times New Roman"/>
                          <w:i/>
                          <w:color w:val="auto"/>
                          <w:sz w:val="24"/>
                          <w:szCs w:val="24"/>
                          <w:highlight w:val="none"/>
                        </w:rPr>
                      </m:ctrlPr>
                    </m:e>
                  </m:d>
                  <m:ctrlPr>
                    <w:rPr>
                      <w:rFonts w:hint="default" w:ascii="Cambria Math" w:hAnsi="Cambria Math" w:eastAsia="宋体" w:cs="Times New Roman"/>
                      <w:i/>
                      <w:color w:val="auto"/>
                      <w:sz w:val="24"/>
                      <w:szCs w:val="24"/>
                      <w:highlight w:val="none"/>
                    </w:rPr>
                  </m:ctrlPr>
                </m:e>
              </m:func>
            </m:oMath>
            <w:r>
              <w:rPr>
                <w:rFonts w:hint="default" w:ascii="Times New Roman" w:hAnsi="Times New Roman" w:eastAsia="宋体" w:cs="Times New Roman"/>
                <w:i w:val="0"/>
                <w:color w:val="auto"/>
                <w:sz w:val="24"/>
                <w:szCs w:val="24"/>
                <w:highlight w:val="none"/>
                <w:lang w:val="en-US" w:eastAsia="zh-CN"/>
              </w:rPr>
              <w:t>...............公式11-2</w:t>
            </w:r>
          </w:p>
          <w:p w14:paraId="0D84008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式中：</w:t>
            </w:r>
          </w:p>
          <w:p w14:paraId="1CD15A3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X——给定屏蔽物质厚度的等效铅当量厚度；</w:t>
            </w:r>
          </w:p>
          <w:p w14:paraId="5124966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α——铅对不同管电压X射线辐射衰减的有关的拟合参数；</w:t>
            </w:r>
          </w:p>
          <w:p w14:paraId="605412E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β——铅对不同管电压X射线辐射衰减的有关的拟合参数；</w:t>
            </w:r>
          </w:p>
          <w:p w14:paraId="5F27C12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γ——铅对不同管电压X射线辐射衰减的有关的拟合参数；</w:t>
            </w:r>
          </w:p>
          <w:p w14:paraId="653DFB6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highlight w:val="none"/>
                <w:lang w:val="en-US" w:eastAsia="zh-CN" w:bidi="ar-SA"/>
              </w:rPr>
            </w:pPr>
            <w:r>
              <w:rPr>
                <w:rFonts w:hint="default" w:ascii="Times New Roman" w:hAnsi="Times New Roman" w:eastAsia="宋体" w:cs="Times New Roman"/>
                <w:snapToGrid w:val="0"/>
                <w:color w:val="auto"/>
                <w:kern w:val="0"/>
                <w:sz w:val="24"/>
                <w:szCs w:val="24"/>
                <w:highlight w:val="none"/>
                <w:lang w:val="en-US" w:eastAsia="zh-CN" w:bidi="ar-SA"/>
              </w:rPr>
              <w:t>B——给定屏蔽物质厚度的屏蔽透射因子。</w:t>
            </w:r>
          </w:p>
          <w:p w14:paraId="50AD3DD6">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表11-</w:t>
            </w:r>
            <w:r>
              <w:rPr>
                <w:rFonts w:hint="eastAsia" w:ascii="Times New Roman" w:hAnsi="Times New Roman" w:eastAsia="宋体" w:cs="Times New Roman"/>
                <w:b/>
                <w:bCs/>
                <w:snapToGrid w:val="0"/>
                <w:color w:val="auto"/>
                <w:kern w:val="0"/>
                <w:sz w:val="24"/>
                <w:szCs w:val="24"/>
                <w:lang w:val="en-US" w:eastAsia="zh-CN" w:bidi="ar-SA"/>
              </w:rPr>
              <w:t>4</w:t>
            </w:r>
            <w:r>
              <w:rPr>
                <w:rFonts w:hint="default" w:ascii="Times New Roman" w:hAnsi="Times New Roman" w:eastAsia="宋体" w:cs="Times New Roman"/>
                <w:b/>
                <w:bCs/>
                <w:snapToGrid w:val="0"/>
                <w:color w:val="auto"/>
                <w:kern w:val="0"/>
                <w:sz w:val="24"/>
                <w:szCs w:val="24"/>
                <w:lang w:val="en-US" w:eastAsia="zh-CN" w:bidi="ar-SA"/>
              </w:rPr>
              <w:t xml:space="preserve">  铅、混凝土对不同管电压X射线辐射衰减的有关的三个拟合参数（节选）</w:t>
            </w:r>
          </w:p>
          <w:tbl>
            <w:tblPr>
              <w:tblStyle w:val="18"/>
              <w:tblW w:w="9499"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2159"/>
              <w:gridCol w:w="1210"/>
              <w:gridCol w:w="1216"/>
              <w:gridCol w:w="1218"/>
              <w:gridCol w:w="1239"/>
              <w:gridCol w:w="1239"/>
              <w:gridCol w:w="1218"/>
            </w:tblGrid>
            <w:tr w14:paraId="0833472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2159" w:type="dxa"/>
                  <w:vMerge w:val="restart"/>
                  <w:vAlign w:val="center"/>
                </w:tcPr>
                <w:p w14:paraId="7DAAFD50">
                  <w:pPr>
                    <w:keepNext w:val="0"/>
                    <w:keepLines w:val="0"/>
                    <w:widowControl w:val="0"/>
                    <w:suppressLineNumbers w:val="0"/>
                    <w:spacing w:before="0" w:beforeAutospacing="0" w:after="0" w:afterAutospacing="0" w:line="240" w:lineRule="auto"/>
                    <w:ind w:left="0" w:right="0" w:firstLine="420" w:firstLineChars="20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管电压</w:t>
                  </w:r>
                </w:p>
                <w:p w14:paraId="3BD67B26">
                  <w:pPr>
                    <w:keepNext w:val="0"/>
                    <w:keepLines w:val="0"/>
                    <w:widowControl w:val="0"/>
                    <w:suppressLineNumbers w:val="0"/>
                    <w:spacing w:before="0" w:beforeAutospacing="0" w:after="0" w:afterAutospacing="0" w:line="240" w:lineRule="auto"/>
                    <w:ind w:left="0" w:right="0" w:firstLine="420" w:firstLineChars="20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kV</w:t>
                  </w:r>
                </w:p>
              </w:tc>
              <w:tc>
                <w:tcPr>
                  <w:tcW w:w="3644" w:type="dxa"/>
                  <w:gridSpan w:val="3"/>
                  <w:vAlign w:val="center"/>
                </w:tcPr>
                <w:p w14:paraId="19E338C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铅</w:t>
                  </w:r>
                </w:p>
              </w:tc>
              <w:tc>
                <w:tcPr>
                  <w:tcW w:w="3696" w:type="dxa"/>
                  <w:gridSpan w:val="3"/>
                  <w:vAlign w:val="center"/>
                </w:tcPr>
                <w:p w14:paraId="3489662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混凝土</w:t>
                  </w:r>
                </w:p>
              </w:tc>
            </w:tr>
            <w:tr w14:paraId="6F60298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30" w:hRule="atLeast"/>
                <w:jc w:val="center"/>
              </w:trPr>
              <w:tc>
                <w:tcPr>
                  <w:tcW w:w="2159" w:type="dxa"/>
                  <w:vMerge w:val="continue"/>
                  <w:vAlign w:val="center"/>
                </w:tcPr>
                <w:p w14:paraId="4E255C0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210" w:type="dxa"/>
                  <w:vAlign w:val="center"/>
                </w:tcPr>
                <w:p w14:paraId="1051B45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216" w:type="dxa"/>
                  <w:vAlign w:val="center"/>
                </w:tcPr>
                <w:p w14:paraId="7A71F13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218" w:type="dxa"/>
                  <w:vAlign w:val="center"/>
                </w:tcPr>
                <w:p w14:paraId="64443EB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239" w:type="dxa"/>
                  <w:vAlign w:val="center"/>
                </w:tcPr>
                <w:p w14:paraId="67D8F46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239" w:type="dxa"/>
                  <w:vAlign w:val="center"/>
                </w:tcPr>
                <w:p w14:paraId="00B595C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218" w:type="dxa"/>
                  <w:vAlign w:val="center"/>
                </w:tcPr>
                <w:p w14:paraId="790BA1A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r>
            <w:tr w14:paraId="77FD14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0" w:hRule="atLeast"/>
                <w:jc w:val="center"/>
              </w:trPr>
              <w:tc>
                <w:tcPr>
                  <w:tcW w:w="2159" w:type="dxa"/>
                  <w:vAlign w:val="center"/>
                </w:tcPr>
                <w:p w14:paraId="2848D0C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125（主束）</w:t>
                  </w:r>
                </w:p>
              </w:tc>
              <w:tc>
                <w:tcPr>
                  <w:tcW w:w="1210" w:type="dxa"/>
                  <w:vAlign w:val="center"/>
                </w:tcPr>
                <w:p w14:paraId="4CBF196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2.219</w:t>
                  </w:r>
                </w:p>
              </w:tc>
              <w:tc>
                <w:tcPr>
                  <w:tcW w:w="1216" w:type="dxa"/>
                  <w:vAlign w:val="center"/>
                </w:tcPr>
                <w:p w14:paraId="1E40534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7.923</w:t>
                  </w:r>
                </w:p>
              </w:tc>
              <w:tc>
                <w:tcPr>
                  <w:tcW w:w="1218" w:type="dxa"/>
                  <w:vAlign w:val="center"/>
                </w:tcPr>
                <w:p w14:paraId="06F976B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0.5386</w:t>
                  </w:r>
                </w:p>
              </w:tc>
              <w:tc>
                <w:tcPr>
                  <w:tcW w:w="1239" w:type="dxa"/>
                  <w:vAlign w:val="center"/>
                </w:tcPr>
                <w:p w14:paraId="74F6A25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0.03502</w:t>
                  </w:r>
                </w:p>
              </w:tc>
              <w:tc>
                <w:tcPr>
                  <w:tcW w:w="1239" w:type="dxa"/>
                  <w:vAlign w:val="center"/>
                </w:tcPr>
                <w:p w14:paraId="5E40758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0.07113</w:t>
                  </w:r>
                </w:p>
              </w:tc>
              <w:tc>
                <w:tcPr>
                  <w:tcW w:w="1218" w:type="dxa"/>
                  <w:vAlign w:val="center"/>
                </w:tcPr>
                <w:p w14:paraId="4060A91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0.6974</w:t>
                  </w:r>
                </w:p>
              </w:tc>
            </w:tr>
            <w:tr w14:paraId="5C64F7D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2159" w:type="dxa"/>
                  <w:vAlign w:val="center"/>
                </w:tcPr>
                <w:p w14:paraId="79C7CE8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125（散射）</w:t>
                  </w:r>
                </w:p>
              </w:tc>
              <w:tc>
                <w:tcPr>
                  <w:tcW w:w="1210" w:type="dxa"/>
                  <w:vAlign w:val="center"/>
                </w:tcPr>
                <w:p w14:paraId="339A4E4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2.233</w:t>
                  </w:r>
                </w:p>
              </w:tc>
              <w:tc>
                <w:tcPr>
                  <w:tcW w:w="1216" w:type="dxa"/>
                  <w:vAlign w:val="center"/>
                </w:tcPr>
                <w:p w14:paraId="1579672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7.888</w:t>
                  </w:r>
                </w:p>
              </w:tc>
              <w:tc>
                <w:tcPr>
                  <w:tcW w:w="1218" w:type="dxa"/>
                  <w:vAlign w:val="center"/>
                </w:tcPr>
                <w:p w14:paraId="41D12FE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0.7295</w:t>
                  </w:r>
                </w:p>
              </w:tc>
              <w:tc>
                <w:tcPr>
                  <w:tcW w:w="1239" w:type="dxa"/>
                  <w:vAlign w:val="center"/>
                </w:tcPr>
                <w:p w14:paraId="73A8754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0.03510</w:t>
                  </w:r>
                </w:p>
              </w:tc>
              <w:tc>
                <w:tcPr>
                  <w:tcW w:w="1239" w:type="dxa"/>
                  <w:vAlign w:val="center"/>
                </w:tcPr>
                <w:p w14:paraId="1EF9D31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0.06600</w:t>
                  </w:r>
                </w:p>
              </w:tc>
              <w:tc>
                <w:tcPr>
                  <w:tcW w:w="1218" w:type="dxa"/>
                  <w:vAlign w:val="center"/>
                </w:tcPr>
                <w:p w14:paraId="08B8495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0.7832</w:t>
                  </w:r>
                </w:p>
              </w:tc>
            </w:tr>
          </w:tbl>
          <w:p w14:paraId="707C33E3">
            <w:pPr>
              <w:keepNext w:val="0"/>
              <w:keepLines w:val="0"/>
              <w:widowControl w:val="0"/>
              <w:suppressLineNumbers w:val="0"/>
              <w:spacing w:before="0" w:beforeAutospacing="0" w:after="0" w:afterAutospacing="0" w:line="360" w:lineRule="auto"/>
              <w:ind w:left="0" w:right="0"/>
              <w:jc w:val="both"/>
              <w:rPr>
                <w:rFonts w:hint="default"/>
                <w:color w:val="auto"/>
                <w:lang w:val="en-US"/>
              </w:rPr>
            </w:pPr>
            <w:r>
              <w:rPr>
                <w:rFonts w:hint="eastAsia" w:ascii="Times New Roman" w:hAnsi="Times New Roman" w:eastAsia="宋体" w:cs="Times New Roman"/>
                <w:b w:val="0"/>
                <w:bCs w:val="0"/>
                <w:snapToGrid w:val="0"/>
                <w:color w:val="auto"/>
                <w:kern w:val="0"/>
                <w:sz w:val="18"/>
                <w:szCs w:val="18"/>
                <w:lang w:val="en-US" w:eastAsia="zh-CN" w:bidi="ar-SA"/>
              </w:rPr>
              <w:t>注1</w:t>
            </w:r>
            <w:r>
              <w:rPr>
                <w:rFonts w:hint="default" w:ascii="Times New Roman" w:hAnsi="Times New Roman" w:eastAsia="宋体" w:cs="Times New Roman"/>
                <w:b w:val="0"/>
                <w:bCs w:val="0"/>
                <w:snapToGrid w:val="0"/>
                <w:color w:val="auto"/>
                <w:kern w:val="0"/>
                <w:sz w:val="18"/>
                <w:szCs w:val="18"/>
                <w:lang w:val="en-US" w:eastAsia="zh-CN" w:bidi="ar-SA"/>
              </w:rPr>
              <w:t>：本表节选自《放射诊断放射防护要求》（GBZ130-2020）表C.2</w:t>
            </w:r>
            <w:r>
              <w:rPr>
                <w:rFonts w:hint="default" w:ascii="Times New Roman" w:hAnsi="Times New Roman" w:eastAsia="宋体" w:cs="Times New Roman"/>
                <w:b w:val="0"/>
                <w:bCs w:val="0"/>
                <w:color w:val="auto"/>
                <w:kern w:val="2"/>
                <w:sz w:val="18"/>
                <w:szCs w:val="18"/>
                <w:lang w:val="en-US" w:eastAsia="zh-CN" w:bidi="ar"/>
              </w:rPr>
              <w:t>，其中铅密度按11.3g/cm</w:t>
            </w:r>
            <w:r>
              <w:rPr>
                <w:rFonts w:hint="default" w:ascii="Times New Roman" w:hAnsi="Times New Roman" w:eastAsia="宋体" w:cs="Times New Roman"/>
                <w:b w:val="0"/>
                <w:bCs w:val="0"/>
                <w:color w:val="auto"/>
                <w:kern w:val="2"/>
                <w:sz w:val="18"/>
                <w:szCs w:val="18"/>
                <w:vertAlign w:val="superscript"/>
                <w:lang w:val="en-US" w:eastAsia="zh-CN" w:bidi="ar"/>
              </w:rPr>
              <w:t>3</w:t>
            </w:r>
            <w:r>
              <w:rPr>
                <w:rFonts w:hint="default" w:ascii="Times New Roman" w:hAnsi="Times New Roman" w:eastAsia="宋体" w:cs="Times New Roman"/>
                <w:b w:val="0"/>
                <w:bCs w:val="0"/>
                <w:color w:val="auto"/>
                <w:kern w:val="2"/>
                <w:sz w:val="18"/>
                <w:szCs w:val="18"/>
                <w:lang w:val="en-US" w:eastAsia="zh-CN" w:bidi="ar"/>
              </w:rPr>
              <w:t>、混凝土密度按2.35g/cm</w:t>
            </w:r>
            <w:r>
              <w:rPr>
                <w:rFonts w:hint="default" w:ascii="Times New Roman" w:hAnsi="Times New Roman" w:eastAsia="宋体" w:cs="Times New Roman"/>
                <w:b w:val="0"/>
                <w:bCs w:val="0"/>
                <w:color w:val="auto"/>
                <w:kern w:val="2"/>
                <w:sz w:val="18"/>
                <w:szCs w:val="18"/>
                <w:vertAlign w:val="superscript"/>
                <w:lang w:val="en-US" w:eastAsia="zh-CN" w:bidi="ar"/>
              </w:rPr>
              <w:t>3</w:t>
            </w:r>
            <w:r>
              <w:rPr>
                <w:rFonts w:hint="default" w:ascii="Times New Roman" w:hAnsi="Times New Roman" w:eastAsia="宋体" w:cs="Times New Roman"/>
                <w:b w:val="0"/>
                <w:bCs w:val="0"/>
                <w:color w:val="auto"/>
                <w:kern w:val="2"/>
                <w:sz w:val="18"/>
                <w:szCs w:val="18"/>
                <w:lang w:val="en-US" w:eastAsia="zh-CN" w:bidi="ar"/>
              </w:rPr>
              <w:t>。</w:t>
            </w:r>
          </w:p>
          <w:p w14:paraId="61198E14">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color w:val="auto"/>
                <w:kern w:val="2"/>
                <w:sz w:val="24"/>
                <w:szCs w:val="24"/>
                <w:lang w:val="en-US" w:eastAsia="zh-CN" w:bidi="ar-SA"/>
              </w:rPr>
            </w:pPr>
            <w:r>
              <w:rPr>
                <w:rFonts w:hint="default" w:ascii="Times New Roman" w:hAnsi="Times New Roman" w:eastAsia="宋体" w:cs="Times New Roman"/>
                <w:snapToGrid/>
                <w:color w:val="auto"/>
                <w:kern w:val="2"/>
                <w:sz w:val="24"/>
                <w:szCs w:val="24"/>
                <w:lang w:val="en-US" w:eastAsia="zh-CN" w:bidi="ar-SA"/>
              </w:rPr>
              <w:t>①DSA机房顶部</w:t>
            </w:r>
            <w:r>
              <w:rPr>
                <w:rFonts w:hint="default" w:ascii="Times New Roman" w:hAnsi="Times New Roman" w:eastAsia="宋体" w:cs="Times New Roman"/>
                <w:color w:val="auto"/>
                <w:sz w:val="24"/>
                <w:szCs w:val="24"/>
                <w:vertAlign w:val="baseline"/>
                <w:lang w:val="en-US" w:eastAsia="zh-CN"/>
              </w:rPr>
              <w:t>（主射方向）</w:t>
            </w:r>
            <w:r>
              <w:rPr>
                <w:rFonts w:hint="default" w:ascii="Times New Roman" w:hAnsi="Times New Roman" w:eastAsia="宋体" w:cs="Times New Roman"/>
                <w:snapToGrid/>
                <w:color w:val="auto"/>
                <w:kern w:val="2"/>
                <w:sz w:val="24"/>
                <w:szCs w:val="24"/>
                <w:lang w:val="en-US" w:eastAsia="zh-CN" w:bidi="ar-SA"/>
              </w:rPr>
              <w:t>：</w:t>
            </w:r>
            <w:r>
              <w:rPr>
                <w:rFonts w:hint="eastAsia" w:ascii="Times New Roman" w:hAnsi="Times New Roman" w:eastAsia="宋体" w:cs="Times New Roman"/>
                <w:snapToGrid/>
                <w:color w:val="auto"/>
                <w:kern w:val="2"/>
                <w:sz w:val="24"/>
                <w:szCs w:val="24"/>
                <w:lang w:val="en-US" w:eastAsia="zh-CN" w:bidi="ar-SA"/>
              </w:rPr>
              <w:t>楼板层15cm混凝土（密度不小于2.35g/cm³）+钢架龙骨+15mm厚硫酸钡防辐射板+1mmPb铅板+铝扣板吊顶。</w:t>
            </w:r>
          </w:p>
          <w:p w14:paraId="1FE0D47C">
            <w:pPr>
              <w:pStyle w:val="15"/>
              <w:keepNext w:val="0"/>
              <w:keepLines w:val="0"/>
              <w:suppressLineNumbers w:val="0"/>
              <w:spacing w:before="0" w:beforeAutospacing="0" w:after="0" w:afterAutospacing="0"/>
              <w:ind w:left="0" w:leftChars="0" w:right="0" w:firstLine="480" w:firstLineChars="200"/>
              <w:rPr>
                <w:rFonts w:hint="default" w:ascii="Times New Roman" w:hAnsi="Times New Roman" w:eastAsia="宋体" w:cs="Times New Roman"/>
                <w:b/>
                <w:bCs/>
                <w:snapToGrid w:val="0"/>
                <w:color w:val="auto"/>
                <w:kern w:val="0"/>
                <w:sz w:val="24"/>
                <w:szCs w:val="24"/>
                <w:lang w:val="en-US" w:eastAsia="zh-CN" w:bidi="ar-SA"/>
              </w:rPr>
            </w:pPr>
            <w:r>
              <w:rPr>
                <w:rFonts w:hint="eastAsia" w:cs="Times New Roman"/>
                <w:color w:val="auto"/>
                <w:sz w:val="24"/>
                <w:szCs w:val="24"/>
                <w:highlight w:val="none"/>
                <w:lang w:val="en-US" w:eastAsia="zh-CN"/>
              </w:rPr>
              <w:t>其中</w:t>
            </w:r>
            <w:r>
              <w:rPr>
                <w:rFonts w:hint="default" w:ascii="Times New Roman" w:hAnsi="Times New Roman" w:eastAsia="宋体" w:cs="Times New Roman"/>
                <w:color w:val="auto"/>
                <w:sz w:val="24"/>
                <w:szCs w:val="24"/>
                <w:highlight w:val="none"/>
                <w:lang w:val="en-US" w:eastAsia="zh-CN"/>
              </w:rPr>
              <w:t>楼</w:t>
            </w:r>
            <w:r>
              <w:rPr>
                <w:rFonts w:hint="default" w:ascii="Times New Roman" w:hAnsi="Times New Roman" w:cs="Times New Roman"/>
                <w:color w:val="auto"/>
                <w:sz w:val="24"/>
                <w:szCs w:val="24"/>
                <w:highlight w:val="none"/>
                <w:lang w:val="en-US" w:eastAsia="zh-CN"/>
              </w:rPr>
              <w:t>板</w:t>
            </w:r>
            <w:r>
              <w:rPr>
                <w:rFonts w:hint="default" w:ascii="Times New Roman" w:hAnsi="Times New Roman" w:eastAsia="宋体" w:cs="Times New Roman"/>
                <w:color w:val="auto"/>
                <w:sz w:val="24"/>
                <w:szCs w:val="24"/>
                <w:highlight w:val="none"/>
                <w:lang w:val="en-US" w:eastAsia="zh-CN"/>
              </w:rPr>
              <w:t>层为1</w:t>
            </w:r>
            <w:r>
              <w:rPr>
                <w:rFonts w:hint="eastAsia" w:cs="Times New Roman"/>
                <w:color w:val="auto"/>
                <w:sz w:val="24"/>
                <w:szCs w:val="24"/>
                <w:highlight w:val="none"/>
                <w:lang w:val="en-US" w:eastAsia="zh-CN"/>
              </w:rPr>
              <w:t>5</w:t>
            </w:r>
            <w:r>
              <w:rPr>
                <w:rFonts w:hint="default" w:ascii="Times New Roman" w:hAnsi="Times New Roman" w:eastAsia="宋体" w:cs="Times New Roman"/>
                <w:color w:val="auto"/>
                <w:sz w:val="24"/>
                <w:szCs w:val="24"/>
                <w:highlight w:val="none"/>
                <w:lang w:val="en-US" w:eastAsia="zh-CN"/>
              </w:rPr>
              <w:t>cm混凝土（密度</w:t>
            </w:r>
            <w:r>
              <w:rPr>
                <w:rFonts w:hint="eastAsia" w:cs="Times New Roman"/>
                <w:color w:val="auto"/>
                <w:sz w:val="24"/>
                <w:szCs w:val="24"/>
                <w:highlight w:val="none"/>
                <w:lang w:val="en-US" w:eastAsia="zh-CN"/>
              </w:rPr>
              <w:t>不小于</w:t>
            </w:r>
            <w:r>
              <w:rPr>
                <w:rFonts w:hint="default" w:ascii="Times New Roman" w:hAnsi="Times New Roman" w:eastAsia="宋体" w:cs="Times New Roman"/>
                <w:color w:val="auto"/>
                <w:sz w:val="24"/>
                <w:szCs w:val="24"/>
                <w:vertAlign w:val="baseline"/>
                <w:lang w:val="en-US" w:eastAsia="zh-CN"/>
              </w:rPr>
              <w:t>2.35g/cm³）</w:t>
            </w:r>
            <w:r>
              <w:rPr>
                <w:rFonts w:hint="eastAsia" w:cs="Times New Roman"/>
                <w:color w:val="auto"/>
                <w:sz w:val="24"/>
                <w:szCs w:val="24"/>
                <w:highlight w:val="none"/>
                <w:lang w:val="en-US" w:eastAsia="zh-CN"/>
              </w:rPr>
              <w:t>，</w:t>
            </w:r>
            <w:r>
              <w:rPr>
                <w:rFonts w:hint="default" w:ascii="Times New Roman" w:hAnsi="Times New Roman" w:eastAsia="宋体" w:cs="Times New Roman"/>
                <w:snapToGrid w:val="0"/>
                <w:color w:val="auto"/>
                <w:kern w:val="0"/>
                <w:sz w:val="24"/>
                <w:szCs w:val="24"/>
                <w:lang w:val="en-US" w:eastAsia="zh-CN" w:bidi="ar-SA"/>
              </w:rPr>
              <w:t>混凝土等效铅当量厚度计算如下：</w:t>
            </w:r>
          </w:p>
          <w:p w14:paraId="33F4DA04">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表11-</w:t>
            </w:r>
            <w:r>
              <w:rPr>
                <w:rFonts w:hint="eastAsia" w:ascii="Times New Roman" w:hAnsi="Times New Roman" w:eastAsia="宋体" w:cs="Times New Roman"/>
                <w:b/>
                <w:bCs/>
                <w:snapToGrid w:val="0"/>
                <w:color w:val="auto"/>
                <w:kern w:val="0"/>
                <w:sz w:val="24"/>
                <w:szCs w:val="24"/>
                <w:lang w:val="en-US" w:eastAsia="zh-CN" w:bidi="ar-SA"/>
              </w:rPr>
              <w:t>5</w:t>
            </w:r>
            <w:r>
              <w:rPr>
                <w:rFonts w:hint="default" w:ascii="Times New Roman" w:hAnsi="Times New Roman" w:eastAsia="宋体" w:cs="Times New Roman"/>
                <w:b/>
                <w:bCs/>
                <w:snapToGrid w:val="0"/>
                <w:color w:val="auto"/>
                <w:kern w:val="0"/>
                <w:sz w:val="24"/>
                <w:szCs w:val="24"/>
                <w:lang w:val="en-US" w:eastAsia="zh-CN" w:bidi="ar-SA"/>
              </w:rPr>
              <w:t xml:space="preserve"> </w:t>
            </w:r>
            <w:r>
              <w:rPr>
                <w:rFonts w:hint="default" w:ascii="Times New Roman" w:hAnsi="Times New Roman" w:eastAsia="宋体" w:cs="Times New Roman"/>
                <w:b/>
                <w:bCs/>
                <w:snapToGrid w:val="0"/>
                <w:color w:val="auto"/>
                <w:kern w:val="0"/>
                <w:sz w:val="24"/>
                <w:szCs w:val="24"/>
                <w:highlight w:val="none"/>
                <w:lang w:val="en-US" w:eastAsia="zh-CN" w:bidi="ar-SA"/>
              </w:rPr>
              <w:t xml:space="preserve"> </w:t>
            </w:r>
            <w:r>
              <w:rPr>
                <w:rFonts w:hint="eastAsia" w:ascii="Times New Roman" w:hAnsi="Times New Roman" w:eastAsia="宋体" w:cs="Times New Roman"/>
                <w:b/>
                <w:bCs/>
                <w:snapToGrid w:val="0"/>
                <w:color w:val="auto"/>
                <w:kern w:val="0"/>
                <w:sz w:val="24"/>
                <w:szCs w:val="24"/>
                <w:highlight w:val="none"/>
                <w:lang w:val="en-US" w:eastAsia="zh-CN" w:bidi="ar-SA"/>
              </w:rPr>
              <w:t>主束方向</w:t>
            </w:r>
            <w:r>
              <w:rPr>
                <w:rFonts w:hint="default" w:ascii="Times New Roman" w:hAnsi="Times New Roman" w:eastAsia="宋体" w:cs="Times New Roman"/>
                <w:b/>
                <w:bCs/>
                <w:snapToGrid w:val="0"/>
                <w:color w:val="auto"/>
                <w:kern w:val="0"/>
                <w:sz w:val="24"/>
                <w:szCs w:val="24"/>
                <w:highlight w:val="none"/>
                <w:lang w:val="en-US" w:eastAsia="zh-CN" w:bidi="ar-SA"/>
              </w:rPr>
              <w:t>1</w:t>
            </w:r>
            <w:r>
              <w:rPr>
                <w:rFonts w:hint="eastAsia" w:ascii="Times New Roman" w:hAnsi="Times New Roman" w:eastAsia="宋体" w:cs="Times New Roman"/>
                <w:b/>
                <w:bCs/>
                <w:snapToGrid w:val="0"/>
                <w:color w:val="auto"/>
                <w:kern w:val="0"/>
                <w:sz w:val="24"/>
                <w:szCs w:val="24"/>
                <w:highlight w:val="none"/>
                <w:lang w:val="en-US" w:eastAsia="zh-CN" w:bidi="ar-SA"/>
              </w:rPr>
              <w:t>2</w:t>
            </w:r>
            <w:r>
              <w:rPr>
                <w:rFonts w:hint="default" w:ascii="Times New Roman" w:hAnsi="Times New Roman" w:eastAsia="宋体" w:cs="Times New Roman"/>
                <w:b/>
                <w:bCs/>
                <w:snapToGrid w:val="0"/>
                <w:color w:val="auto"/>
                <w:kern w:val="0"/>
                <w:sz w:val="24"/>
                <w:szCs w:val="24"/>
                <w:highlight w:val="none"/>
                <w:lang w:val="en-US" w:eastAsia="zh-CN" w:bidi="ar-SA"/>
              </w:rPr>
              <w:t>cm混凝土</w:t>
            </w:r>
            <w:r>
              <w:rPr>
                <w:rFonts w:hint="default" w:ascii="Times New Roman" w:hAnsi="Times New Roman" w:eastAsia="宋体" w:cs="Times New Roman"/>
                <w:b/>
                <w:bCs/>
                <w:snapToGrid w:val="0"/>
                <w:color w:val="auto"/>
                <w:kern w:val="0"/>
                <w:sz w:val="24"/>
                <w:szCs w:val="24"/>
                <w:lang w:val="en-US" w:eastAsia="zh-CN" w:bidi="ar-SA"/>
              </w:rPr>
              <w:t>等效铅当量厚度计算参数及结果一览表</w:t>
            </w:r>
          </w:p>
          <w:tbl>
            <w:tblPr>
              <w:tblStyle w:val="18"/>
              <w:tblW w:w="9549"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6"/>
              <w:gridCol w:w="1587"/>
              <w:gridCol w:w="1585"/>
              <w:gridCol w:w="1584"/>
              <w:gridCol w:w="1578"/>
              <w:gridCol w:w="1609"/>
            </w:tblGrid>
            <w:tr w14:paraId="27C2EA6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22" w:hRule="atLeast"/>
                <w:jc w:val="center"/>
              </w:trPr>
              <w:tc>
                <w:tcPr>
                  <w:tcW w:w="1606" w:type="dxa"/>
                  <w:vMerge w:val="restart"/>
                  <w:vAlign w:val="center"/>
                </w:tcPr>
                <w:p w14:paraId="53CDDBA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B的计算</w:t>
                  </w:r>
                </w:p>
              </w:tc>
              <w:tc>
                <w:tcPr>
                  <w:tcW w:w="6334" w:type="dxa"/>
                  <w:gridSpan w:val="4"/>
                  <w:vAlign w:val="center"/>
                </w:tcPr>
                <w:p w14:paraId="05E7C74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609" w:type="dxa"/>
                  <w:vAlign w:val="center"/>
                </w:tcPr>
                <w:p w14:paraId="45ADC5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6D0D555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74" w:hRule="atLeast"/>
                <w:jc w:val="center"/>
              </w:trPr>
              <w:tc>
                <w:tcPr>
                  <w:tcW w:w="1606" w:type="dxa"/>
                  <w:vMerge w:val="continue"/>
                  <w:vAlign w:val="center"/>
                </w:tcPr>
                <w:p w14:paraId="42CB025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7" w:type="dxa"/>
                  <w:vAlign w:val="center"/>
                </w:tcPr>
                <w:p w14:paraId="4980023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85" w:type="dxa"/>
                  <w:vAlign w:val="center"/>
                </w:tcPr>
                <w:p w14:paraId="4BC0DD4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84" w:type="dxa"/>
                  <w:vAlign w:val="center"/>
                </w:tcPr>
                <w:p w14:paraId="3BAC0A3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78" w:type="dxa"/>
                  <w:vAlign w:val="center"/>
                </w:tcPr>
                <w:p w14:paraId="3D86296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X（cm混凝土）</w:t>
                  </w:r>
                </w:p>
              </w:tc>
              <w:tc>
                <w:tcPr>
                  <w:tcW w:w="1609" w:type="dxa"/>
                  <w:vAlign w:val="center"/>
                </w:tcPr>
                <w:p w14:paraId="5CE529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r>
            <w:tr w14:paraId="44EC6C8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7" w:hRule="atLeast"/>
                <w:jc w:val="center"/>
              </w:trPr>
              <w:tc>
                <w:tcPr>
                  <w:tcW w:w="1606" w:type="dxa"/>
                  <w:vMerge w:val="continue"/>
                  <w:vAlign w:val="center"/>
                </w:tcPr>
                <w:p w14:paraId="0CF84E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7" w:type="dxa"/>
                  <w:vAlign w:val="center"/>
                </w:tcPr>
                <w:p w14:paraId="28852D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0.03502</w:t>
                  </w:r>
                </w:p>
              </w:tc>
              <w:tc>
                <w:tcPr>
                  <w:tcW w:w="1585" w:type="dxa"/>
                  <w:vAlign w:val="center"/>
                </w:tcPr>
                <w:p w14:paraId="0CDFEB2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0.07113</w:t>
                  </w:r>
                </w:p>
              </w:tc>
              <w:tc>
                <w:tcPr>
                  <w:tcW w:w="1584" w:type="dxa"/>
                  <w:vAlign w:val="center"/>
                </w:tcPr>
                <w:p w14:paraId="32E9B7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0.6974</w:t>
                  </w:r>
                </w:p>
              </w:tc>
              <w:tc>
                <w:tcPr>
                  <w:tcW w:w="1578" w:type="dxa"/>
                  <w:vAlign w:val="center"/>
                </w:tcPr>
                <w:p w14:paraId="17F777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1</w:t>
                  </w:r>
                  <w:r>
                    <w:rPr>
                      <w:rFonts w:hint="eastAsia" w:ascii="Times New Roman" w:hAnsi="Times New Roman" w:eastAsia="宋体" w:cs="Times New Roman"/>
                      <w:snapToGrid w:val="0"/>
                      <w:color w:val="auto"/>
                      <w:kern w:val="0"/>
                      <w:sz w:val="21"/>
                      <w:szCs w:val="21"/>
                      <w:lang w:val="en-US" w:eastAsia="zh-CN" w:bidi="ar-SA"/>
                    </w:rPr>
                    <w:t>5</w:t>
                  </w:r>
                </w:p>
              </w:tc>
              <w:tc>
                <w:tcPr>
                  <w:tcW w:w="1609" w:type="dxa"/>
                  <w:vAlign w:val="center"/>
                </w:tcPr>
                <w:p w14:paraId="0D4FAE5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1.09E-03</w:t>
                  </w:r>
                </w:p>
              </w:tc>
            </w:tr>
            <w:tr w14:paraId="6A00825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7" w:hRule="atLeast"/>
                <w:jc w:val="center"/>
              </w:trPr>
              <w:tc>
                <w:tcPr>
                  <w:tcW w:w="1606" w:type="dxa"/>
                  <w:vMerge w:val="restart"/>
                  <w:vAlign w:val="center"/>
                </w:tcPr>
                <w:p w14:paraId="4585CA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X的计算</w:t>
                  </w:r>
                </w:p>
              </w:tc>
              <w:tc>
                <w:tcPr>
                  <w:tcW w:w="6334" w:type="dxa"/>
                  <w:gridSpan w:val="4"/>
                  <w:vAlign w:val="center"/>
                </w:tcPr>
                <w:p w14:paraId="20DC9F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609" w:type="dxa"/>
                  <w:vAlign w:val="center"/>
                </w:tcPr>
                <w:p w14:paraId="3570490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46A7992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7" w:hRule="atLeast"/>
                <w:jc w:val="center"/>
              </w:trPr>
              <w:tc>
                <w:tcPr>
                  <w:tcW w:w="1606" w:type="dxa"/>
                  <w:vMerge w:val="continue"/>
                  <w:vAlign w:val="center"/>
                </w:tcPr>
                <w:p w14:paraId="7C21819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7" w:type="dxa"/>
                  <w:vAlign w:val="center"/>
                </w:tcPr>
                <w:p w14:paraId="6629C69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85" w:type="dxa"/>
                  <w:vAlign w:val="center"/>
                </w:tcPr>
                <w:p w14:paraId="4C7B19F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84" w:type="dxa"/>
                  <w:vAlign w:val="center"/>
                </w:tcPr>
                <w:p w14:paraId="3F6A05A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78" w:type="dxa"/>
                  <w:vAlign w:val="center"/>
                </w:tcPr>
                <w:p w14:paraId="1CDC11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c>
                <w:tcPr>
                  <w:tcW w:w="1609" w:type="dxa"/>
                  <w:vAlign w:val="center"/>
                </w:tcPr>
                <w:p w14:paraId="03D6D6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X（mmPb）</w:t>
                  </w:r>
                </w:p>
              </w:tc>
            </w:tr>
            <w:tr w14:paraId="4176E1B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7" w:hRule="atLeast"/>
                <w:jc w:val="center"/>
              </w:trPr>
              <w:tc>
                <w:tcPr>
                  <w:tcW w:w="1606" w:type="dxa"/>
                  <w:vMerge w:val="continue"/>
                  <w:vAlign w:val="center"/>
                </w:tcPr>
                <w:p w14:paraId="6AD7FA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7" w:type="dxa"/>
                  <w:vAlign w:val="center"/>
                </w:tcPr>
                <w:p w14:paraId="7C00A39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2.219</w:t>
                  </w:r>
                </w:p>
              </w:tc>
              <w:tc>
                <w:tcPr>
                  <w:tcW w:w="1585" w:type="dxa"/>
                  <w:vAlign w:val="center"/>
                </w:tcPr>
                <w:p w14:paraId="0A7E7C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7.923</w:t>
                  </w:r>
                </w:p>
              </w:tc>
              <w:tc>
                <w:tcPr>
                  <w:tcW w:w="1584" w:type="dxa"/>
                  <w:vAlign w:val="center"/>
                </w:tcPr>
                <w:p w14:paraId="048E828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0.5386</w:t>
                  </w:r>
                </w:p>
              </w:tc>
              <w:tc>
                <w:tcPr>
                  <w:tcW w:w="1578" w:type="dxa"/>
                  <w:vAlign w:val="center"/>
                </w:tcPr>
                <w:p w14:paraId="4D0132E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1.09E-03</w:t>
                  </w:r>
                </w:p>
              </w:tc>
              <w:tc>
                <w:tcPr>
                  <w:tcW w:w="1609" w:type="dxa"/>
                  <w:vAlign w:val="center"/>
                </w:tcPr>
                <w:p w14:paraId="350D9D2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1.</w:t>
                  </w:r>
                  <w:r>
                    <w:rPr>
                      <w:rFonts w:hint="eastAsia" w:ascii="Times New Roman" w:hAnsi="Times New Roman" w:eastAsia="宋体" w:cs="Times New Roman"/>
                      <w:i w:val="0"/>
                      <w:iCs w:val="0"/>
                      <w:color w:val="auto"/>
                      <w:kern w:val="0"/>
                      <w:sz w:val="21"/>
                      <w:szCs w:val="21"/>
                      <w:u w:val="none"/>
                      <w:lang w:val="en-US" w:eastAsia="zh-CN" w:bidi="ar"/>
                    </w:rPr>
                    <w:t>87</w:t>
                  </w:r>
                </w:p>
              </w:tc>
            </w:tr>
          </w:tbl>
          <w:p w14:paraId="6664BA0E">
            <w:pPr>
              <w:pStyle w:val="15"/>
              <w:keepNext w:val="0"/>
              <w:keepLines w:val="0"/>
              <w:suppressLineNumbers w:val="0"/>
              <w:spacing w:before="0" w:beforeAutospacing="0" w:after="0" w:afterAutospacing="0"/>
              <w:ind w:left="0" w:right="0" w:firstLine="480" w:firstLineChars="200"/>
              <w:rPr>
                <w:rFonts w:hint="eastAsia" w:cs="Times New Roman"/>
                <w:color w:val="auto"/>
                <w:sz w:val="24"/>
                <w:szCs w:val="24"/>
                <w:lang w:eastAsia="zh-CN"/>
              </w:rPr>
            </w:pPr>
            <w:r>
              <w:rPr>
                <w:rFonts w:hint="default" w:ascii="Times New Roman" w:hAnsi="Times New Roman" w:eastAsia="宋体" w:cs="Times New Roman"/>
                <w:color w:val="auto"/>
                <w:sz w:val="24"/>
                <w:szCs w:val="24"/>
              </w:rPr>
              <w:t>由上表计算可知</w:t>
            </w:r>
            <w:r>
              <w:rPr>
                <w:rFonts w:hint="default" w:ascii="Times New Roman" w:hAnsi="Times New Roman" w:eastAsia="宋体" w:cs="Times New Roman"/>
                <w:color w:val="auto"/>
                <w:sz w:val="24"/>
                <w:szCs w:val="24"/>
                <w:lang w:val="en-US" w:eastAsia="zh-CN"/>
              </w:rPr>
              <w:t>1</w:t>
            </w:r>
            <w:r>
              <w:rPr>
                <w:rFonts w:hint="eastAsia"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cm厚混凝土</w:t>
            </w:r>
            <w:r>
              <w:rPr>
                <w:rFonts w:hint="default" w:ascii="Times New Roman" w:hAnsi="Times New Roman" w:eastAsia="宋体" w:cs="Times New Roman"/>
                <w:color w:val="auto"/>
                <w:sz w:val="24"/>
                <w:szCs w:val="24"/>
                <w:highlight w:val="none"/>
                <w:lang w:val="en-US" w:eastAsia="zh-CN"/>
              </w:rPr>
              <w:t>（密度</w:t>
            </w:r>
            <w:r>
              <w:rPr>
                <w:rFonts w:hint="eastAsia" w:cs="Times New Roman"/>
                <w:color w:val="auto"/>
                <w:sz w:val="24"/>
                <w:szCs w:val="24"/>
                <w:highlight w:val="none"/>
                <w:lang w:val="en-US" w:eastAsia="zh-CN"/>
              </w:rPr>
              <w:t>不小于</w:t>
            </w:r>
            <w:r>
              <w:rPr>
                <w:rFonts w:hint="default" w:ascii="Times New Roman" w:hAnsi="Times New Roman" w:eastAsia="宋体" w:cs="Times New Roman"/>
                <w:color w:val="auto"/>
                <w:sz w:val="24"/>
                <w:szCs w:val="24"/>
                <w:vertAlign w:val="baseline"/>
                <w:lang w:val="en-US" w:eastAsia="zh-CN"/>
              </w:rPr>
              <w:t>2.35g/cm³）</w:t>
            </w:r>
            <w:r>
              <w:rPr>
                <w:rFonts w:hint="default" w:ascii="Times New Roman" w:hAnsi="Times New Roman" w:eastAsia="宋体" w:cs="Times New Roman"/>
                <w:color w:val="auto"/>
                <w:sz w:val="24"/>
                <w:szCs w:val="24"/>
              </w:rPr>
              <w:t>等效铅当量约为</w:t>
            </w:r>
            <w:r>
              <w:rPr>
                <w:rFonts w:hint="default" w:ascii="Times New Roman" w:hAnsi="Times New Roman" w:eastAsia="宋体" w:cs="Times New Roman"/>
                <w:color w:val="auto"/>
                <w:sz w:val="24"/>
                <w:szCs w:val="24"/>
                <w:lang w:val="en-US" w:eastAsia="zh-CN"/>
              </w:rPr>
              <w:t>1.</w:t>
            </w:r>
            <w:r>
              <w:rPr>
                <w:rFonts w:hint="eastAsia" w:cs="Times New Roman"/>
                <w:color w:val="auto"/>
                <w:sz w:val="24"/>
                <w:szCs w:val="24"/>
                <w:lang w:val="en-US" w:eastAsia="zh-CN"/>
              </w:rPr>
              <w:t>87</w:t>
            </w:r>
            <w:r>
              <w:rPr>
                <w:rFonts w:hint="default" w:ascii="Times New Roman" w:hAnsi="Times New Roman" w:eastAsia="宋体" w:cs="Times New Roman"/>
                <w:color w:val="auto"/>
                <w:sz w:val="24"/>
                <w:szCs w:val="24"/>
              </w:rPr>
              <w:t>mmPb</w:t>
            </w:r>
            <w:r>
              <w:rPr>
                <w:rFonts w:hint="eastAsia" w:cs="Times New Roman"/>
                <w:color w:val="auto"/>
                <w:sz w:val="24"/>
                <w:szCs w:val="24"/>
                <w:lang w:eastAsia="zh-CN"/>
              </w:rPr>
              <w:t>；</w:t>
            </w:r>
          </w:p>
          <w:p w14:paraId="1B39FBAA">
            <w:pPr>
              <w:pStyle w:val="15"/>
              <w:keepNext w:val="0"/>
              <w:keepLines w:val="0"/>
              <w:suppressLineNumbers w:val="0"/>
              <w:spacing w:before="0" w:beforeAutospacing="0" w:after="0" w:afterAutospacing="0"/>
              <w:ind w:left="0" w:right="0" w:firstLine="480" w:firstLineChars="200"/>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snapToGrid/>
                <w:color w:val="auto"/>
                <w:kern w:val="2"/>
                <w:sz w:val="24"/>
                <w:szCs w:val="24"/>
                <w:lang w:val="en-US" w:eastAsia="zh-CN" w:bidi="ar-SA"/>
              </w:rPr>
              <w:t>15mm厚硫酸钡防辐射板防护铅当量约为0.9</w:t>
            </w:r>
            <w:r>
              <w:rPr>
                <w:rFonts w:hint="default" w:ascii="Times New Roman" w:hAnsi="Times New Roman" w:eastAsia="宋体" w:cs="Times New Roman"/>
                <w:color w:val="auto"/>
                <w:sz w:val="24"/>
                <w:szCs w:val="24"/>
              </w:rPr>
              <w:t>mmPb</w:t>
            </w:r>
            <w:r>
              <w:rPr>
                <w:rFonts w:hint="eastAsia" w:ascii="Times New Roman" w:hAnsi="Times New Roman" w:eastAsia="宋体" w:cs="Times New Roman"/>
                <w:color w:val="auto"/>
                <w:sz w:val="24"/>
                <w:szCs w:val="24"/>
                <w:lang w:eastAsia="zh-CN"/>
              </w:rPr>
              <w:t>。</w:t>
            </w:r>
          </w:p>
          <w:p w14:paraId="34CF3D90">
            <w:pPr>
              <w:pStyle w:val="15"/>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napToGrid/>
                <w:color w:val="auto"/>
                <w:kern w:val="2"/>
                <w:sz w:val="24"/>
                <w:szCs w:val="24"/>
                <w:lang w:val="en-US" w:eastAsia="zh-CN" w:bidi="ar-SA"/>
              </w:rPr>
              <w:t>因此DSA机房顶部</w:t>
            </w:r>
            <w:r>
              <w:rPr>
                <w:rFonts w:hint="eastAsia" w:ascii="Times New Roman" w:hAnsi="Times New Roman" w:eastAsia="宋体" w:cs="Times New Roman"/>
                <w:snapToGrid/>
                <w:color w:val="auto"/>
                <w:kern w:val="2"/>
                <w:sz w:val="24"/>
                <w:szCs w:val="24"/>
                <w:lang w:val="en-US" w:eastAsia="zh-CN" w:bidi="ar-SA"/>
              </w:rPr>
              <w:t>：楼板层15cm混凝土（密度不小于2.35g/cm³）+15mm厚硫酸钡防辐射板+1mmPb铅板，</w:t>
            </w:r>
            <w:r>
              <w:rPr>
                <w:rFonts w:hint="default" w:ascii="Times New Roman" w:hAnsi="Times New Roman" w:eastAsia="宋体" w:cs="Times New Roman"/>
                <w:snapToGrid/>
                <w:color w:val="auto"/>
                <w:kern w:val="2"/>
                <w:sz w:val="24"/>
                <w:szCs w:val="24"/>
                <w:lang w:val="en-US" w:eastAsia="zh-CN" w:bidi="ar-SA"/>
              </w:rPr>
              <w:t>总铅当量约为</w:t>
            </w:r>
            <w:r>
              <w:rPr>
                <w:rFonts w:hint="eastAsia" w:ascii="Times New Roman" w:hAnsi="Times New Roman" w:eastAsia="宋体" w:cs="Times New Roman"/>
                <w:snapToGrid/>
                <w:color w:val="auto"/>
                <w:kern w:val="2"/>
                <w:sz w:val="24"/>
                <w:szCs w:val="24"/>
                <w:lang w:val="en-US" w:eastAsia="zh-CN" w:bidi="ar-SA"/>
              </w:rPr>
              <w:t>3.77</w:t>
            </w:r>
            <w:r>
              <w:rPr>
                <w:rFonts w:hint="default" w:ascii="Times New Roman" w:hAnsi="Times New Roman" w:eastAsia="宋体" w:cs="Times New Roman"/>
                <w:snapToGrid/>
                <w:color w:val="auto"/>
                <w:kern w:val="2"/>
                <w:sz w:val="24"/>
                <w:szCs w:val="24"/>
                <w:lang w:val="en-US" w:eastAsia="zh-CN" w:bidi="ar-SA"/>
              </w:rPr>
              <w:t>mmPb</w:t>
            </w:r>
            <w:r>
              <w:rPr>
                <w:rFonts w:hint="eastAsia" w:ascii="Times New Roman" w:hAnsi="Times New Roman" w:eastAsia="宋体" w:cs="Times New Roman"/>
                <w:snapToGrid/>
                <w:color w:val="auto"/>
                <w:kern w:val="2"/>
                <w:sz w:val="24"/>
                <w:szCs w:val="24"/>
                <w:lang w:val="en-US" w:eastAsia="zh-CN" w:bidi="ar-SA"/>
              </w:rPr>
              <w:t>（本次评价保守仅考虑铅板、硫酸钡板与混凝土的防护效果，其他材料不作考虑）</w:t>
            </w:r>
            <w:r>
              <w:rPr>
                <w:rFonts w:hint="eastAsia" w:cs="Times New Roman"/>
                <w:color w:val="auto"/>
                <w:sz w:val="24"/>
                <w:szCs w:val="24"/>
                <w:highlight w:val="none"/>
                <w:vertAlign w:val="baseline"/>
                <w:lang w:val="en-US" w:eastAsia="zh-CN"/>
              </w:rPr>
              <w:t>。</w:t>
            </w:r>
          </w:p>
          <w:p w14:paraId="5C663C1F">
            <w:pPr>
              <w:pStyle w:val="15"/>
              <w:keepNext w:val="0"/>
              <w:keepLines w:val="0"/>
              <w:suppressLineNumbers w:val="0"/>
              <w:spacing w:before="0" w:beforeAutospacing="0" w:after="0" w:afterAutospacing="0"/>
              <w:ind w:left="0" w:right="0" w:firstLine="480" w:firstLineChars="200"/>
              <w:rPr>
                <w:rFonts w:hint="eastAsia" w:cs="Times New Roman"/>
                <w:color w:val="auto"/>
                <w:sz w:val="24"/>
                <w:szCs w:val="24"/>
                <w:highlight w:val="none"/>
                <w:shd w:val="clear" w:color="auto" w:fill="auto"/>
                <w:lang w:eastAsia="zh-CN"/>
              </w:rPr>
            </w:pPr>
            <w:r>
              <w:rPr>
                <w:rFonts w:hint="default" w:ascii="Times New Roman" w:hAnsi="Times New Roman" w:cs="Times New Roman"/>
                <w:color w:val="auto"/>
                <w:sz w:val="24"/>
                <w:szCs w:val="24"/>
                <w:highlight w:val="none"/>
                <w:vertAlign w:val="baseline"/>
                <w:lang w:val="en-US" w:eastAsia="zh-CN"/>
              </w:rPr>
              <w:t>②</w:t>
            </w:r>
            <w:r>
              <w:rPr>
                <w:rFonts w:hint="default" w:ascii="Times New Roman" w:hAnsi="Times New Roman" w:eastAsia="宋体" w:cs="Times New Roman"/>
                <w:color w:val="auto"/>
                <w:sz w:val="24"/>
                <w:szCs w:val="24"/>
                <w:vertAlign w:val="baseline"/>
                <w:lang w:val="en-US" w:eastAsia="zh-CN"/>
              </w:rPr>
              <w:t>DSA机房</w:t>
            </w:r>
            <w:r>
              <w:rPr>
                <w:rFonts w:hint="default" w:ascii="Times New Roman" w:hAnsi="Times New Roman" w:eastAsia="宋体" w:cs="Times New Roman"/>
                <w:color w:val="auto"/>
                <w:sz w:val="24"/>
                <w:szCs w:val="24"/>
                <w:highlight w:val="none"/>
                <w:shd w:val="clear" w:color="auto" w:fill="auto"/>
              </w:rPr>
              <w:t>四面墙体</w:t>
            </w:r>
            <w:r>
              <w:rPr>
                <w:rFonts w:hint="eastAsia" w:cs="Times New Roman"/>
                <w:color w:val="auto"/>
                <w:sz w:val="24"/>
                <w:szCs w:val="24"/>
                <w:highlight w:val="none"/>
                <w:shd w:val="clear" w:color="auto" w:fill="auto"/>
                <w:lang w:eastAsia="zh-CN"/>
              </w:rPr>
              <w:t>：机房南侧内部新建240mm厚实心砖墙(机房与设备间隔断)+粉刷30mm厚硫酸钡水泥+墙面装饰板；东、西、北三面墙加砌120mm厚实心砖墙+粉刷30mm厚硫酸钡水泥+墙面装饰板；北侧墙面玻璃窗拆除用200mm厚实心砖封堵。</w:t>
            </w:r>
          </w:p>
          <w:p w14:paraId="5991DC6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其中</w:t>
            </w:r>
            <w:r>
              <w:rPr>
                <w:rFonts w:hint="default" w:ascii="Times New Roman" w:hAnsi="Times New Roman" w:eastAsia="宋体" w:cs="Times New Roman"/>
                <w:snapToGrid w:val="0"/>
                <w:color w:val="auto"/>
                <w:kern w:val="0"/>
                <w:sz w:val="24"/>
                <w:szCs w:val="21"/>
                <w:lang w:val="en-US" w:eastAsia="zh-CN" w:bidi="ar-SA"/>
              </w:rPr>
              <w:t>实心砖墙等效铅当量厚度计算如下：</w:t>
            </w:r>
          </w:p>
          <w:p w14:paraId="60F369F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黑体" w:cs="Times New Roman"/>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表11-6  240mm砖等效铅当量厚度计算参数及结果一览表</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6"/>
              <w:gridCol w:w="1589"/>
              <w:gridCol w:w="1587"/>
              <w:gridCol w:w="1585"/>
              <w:gridCol w:w="1572"/>
              <w:gridCol w:w="1610"/>
            </w:tblGrid>
            <w:tr w14:paraId="18890CC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37" w:hRule="atLeast"/>
                <w:jc w:val="center"/>
              </w:trPr>
              <w:tc>
                <w:tcPr>
                  <w:tcW w:w="841" w:type="pct"/>
                  <w:vMerge w:val="restart"/>
                  <w:vAlign w:val="center"/>
                </w:tcPr>
                <w:p w14:paraId="622A625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B的</w:t>
                  </w:r>
                  <w:r>
                    <w:rPr>
                      <w:rFonts w:hint="default" w:ascii="Times New Roman" w:hAnsi="Times New Roman" w:eastAsia="宋体" w:cs="Times New Roman"/>
                      <w:snapToGrid w:val="0"/>
                      <w:color w:val="auto"/>
                      <w:kern w:val="0"/>
                      <w:sz w:val="21"/>
                      <w:szCs w:val="21"/>
                      <w:lang w:val="en-US" w:eastAsia="zh-CN" w:bidi="ar-SA"/>
                    </w:rPr>
                    <w:t>计算</w:t>
                  </w:r>
                </w:p>
              </w:tc>
              <w:tc>
                <w:tcPr>
                  <w:tcW w:w="3316" w:type="pct"/>
                  <w:gridSpan w:val="4"/>
                  <w:vAlign w:val="center"/>
                </w:tcPr>
                <w:p w14:paraId="336C1DD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参数</w:t>
                  </w:r>
                </w:p>
              </w:tc>
              <w:tc>
                <w:tcPr>
                  <w:tcW w:w="843" w:type="pct"/>
                  <w:vAlign w:val="center"/>
                </w:tcPr>
                <w:p w14:paraId="59604DE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结果</w:t>
                  </w:r>
                </w:p>
              </w:tc>
            </w:tr>
            <w:tr w14:paraId="68E44DE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841" w:type="pct"/>
                  <w:vMerge w:val="continue"/>
                  <w:vAlign w:val="center"/>
                </w:tcPr>
                <w:p w14:paraId="63028FC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40B3F28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831" w:type="pct"/>
                  <w:vAlign w:val="center"/>
                </w:tcPr>
                <w:p w14:paraId="6FD3382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830" w:type="pct"/>
                  <w:vAlign w:val="center"/>
                </w:tcPr>
                <w:p w14:paraId="395328D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823" w:type="pct"/>
                  <w:vAlign w:val="center"/>
                </w:tcPr>
                <w:p w14:paraId="0586B83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X（</w:t>
                  </w:r>
                  <w:r>
                    <w:rPr>
                      <w:rFonts w:hint="default" w:ascii="Times New Roman" w:hAnsi="Times New Roman" w:eastAsia="宋体" w:cs="Times New Roman"/>
                      <w:snapToGrid w:val="0"/>
                      <w:color w:val="auto"/>
                      <w:kern w:val="0"/>
                      <w:sz w:val="21"/>
                      <w:szCs w:val="21"/>
                      <w:lang w:val="en-US" w:eastAsia="zh-CN" w:bidi="ar-SA"/>
                    </w:rPr>
                    <w:t>mm</w:t>
                  </w:r>
                  <w:r>
                    <w:rPr>
                      <w:rFonts w:hint="eastAsia" w:ascii="Times New Roman" w:hAnsi="Times New Roman" w:eastAsia="宋体" w:cs="Times New Roman"/>
                      <w:snapToGrid w:val="0"/>
                      <w:color w:val="auto"/>
                      <w:kern w:val="0"/>
                      <w:sz w:val="21"/>
                      <w:szCs w:val="21"/>
                      <w:lang w:val="en-US" w:eastAsia="zh-CN" w:bidi="ar-SA"/>
                    </w:rPr>
                    <w:t>砖）</w:t>
                  </w:r>
                </w:p>
              </w:tc>
              <w:tc>
                <w:tcPr>
                  <w:tcW w:w="843" w:type="pct"/>
                  <w:vAlign w:val="center"/>
                </w:tcPr>
                <w:p w14:paraId="61100ED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B</w:t>
                  </w:r>
                </w:p>
              </w:tc>
            </w:tr>
            <w:tr w14:paraId="05A33BB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31" w:hRule="atLeast"/>
                <w:jc w:val="center"/>
              </w:trPr>
              <w:tc>
                <w:tcPr>
                  <w:tcW w:w="841" w:type="pct"/>
                  <w:vMerge w:val="continue"/>
                  <w:vAlign w:val="center"/>
                </w:tcPr>
                <w:p w14:paraId="190C49A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673ED88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0.02870</w:t>
                  </w:r>
                </w:p>
              </w:tc>
              <w:tc>
                <w:tcPr>
                  <w:tcW w:w="831" w:type="pct"/>
                  <w:vAlign w:val="center"/>
                </w:tcPr>
                <w:p w14:paraId="619BA12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0.06700</w:t>
                  </w:r>
                </w:p>
              </w:tc>
              <w:tc>
                <w:tcPr>
                  <w:tcW w:w="830" w:type="pct"/>
                  <w:vAlign w:val="center"/>
                </w:tcPr>
                <w:p w14:paraId="0A9ECF2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1.346</w:t>
                  </w:r>
                </w:p>
              </w:tc>
              <w:tc>
                <w:tcPr>
                  <w:tcW w:w="823" w:type="pct"/>
                  <w:vAlign w:val="center"/>
                </w:tcPr>
                <w:p w14:paraId="7B6E9C0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240</w:t>
                  </w:r>
                </w:p>
              </w:tc>
              <w:tc>
                <w:tcPr>
                  <w:tcW w:w="843" w:type="pct"/>
                  <w:vAlign w:val="center"/>
                </w:tcPr>
                <w:p w14:paraId="28A7A463">
                  <w:pPr>
                    <w:keepNext w:val="0"/>
                    <w:keepLines w:val="0"/>
                    <w:widowControl/>
                    <w:suppressLineNumbers w:val="0"/>
                    <w:spacing w:before="0" w:beforeAutospacing="0" w:after="0" w:afterAutospacing="0"/>
                    <w:ind w:left="0" w:right="0"/>
                    <w:jc w:val="center"/>
                    <w:rPr>
                      <w:rFonts w:hint="eastAsia" w:ascii="Times New Roman" w:hAnsi="Times New Roman" w:eastAsia="等线" w:cs="Times New Roman"/>
                      <w:color w:val="auto"/>
                      <w:kern w:val="0"/>
                      <w:sz w:val="20"/>
                      <w:szCs w:val="21"/>
                      <w:lang w:eastAsia="zh-CN"/>
                    </w:rPr>
                  </w:pPr>
                  <w:r>
                    <w:rPr>
                      <w:rFonts w:hint="eastAsia" w:ascii="Times New Roman" w:hAnsi="Times New Roman" w:eastAsia="等线" w:cs="Times New Roman"/>
                      <w:color w:val="auto"/>
                      <w:kern w:val="0"/>
                      <w:sz w:val="21"/>
                      <w:szCs w:val="22"/>
                      <w:lang w:val="en-US" w:eastAsia="zh-CN"/>
                    </w:rPr>
                    <w:t>4.17</w:t>
                  </w:r>
                  <w:r>
                    <w:rPr>
                      <w:rFonts w:hint="default" w:ascii="Times New Roman" w:hAnsi="Times New Roman" w:eastAsia="等线" w:cs="Times New Roman"/>
                      <w:color w:val="auto"/>
                      <w:kern w:val="0"/>
                      <w:sz w:val="21"/>
                      <w:szCs w:val="22"/>
                    </w:rPr>
                    <w:t>E-0</w:t>
                  </w:r>
                  <w:r>
                    <w:rPr>
                      <w:rFonts w:hint="eastAsia" w:ascii="Times New Roman" w:hAnsi="Times New Roman" w:eastAsia="等线" w:cs="Times New Roman"/>
                      <w:color w:val="auto"/>
                      <w:kern w:val="0"/>
                      <w:sz w:val="21"/>
                      <w:szCs w:val="22"/>
                      <w:lang w:val="en-US" w:eastAsia="zh-CN"/>
                    </w:rPr>
                    <w:t>4</w:t>
                  </w:r>
                </w:p>
              </w:tc>
            </w:tr>
            <w:tr w14:paraId="5CACD29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841" w:type="pct"/>
                  <w:vMerge w:val="restart"/>
                  <w:vAlign w:val="center"/>
                </w:tcPr>
                <w:p w14:paraId="4F5CDD2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X的</w:t>
                  </w:r>
                  <w:r>
                    <w:rPr>
                      <w:rFonts w:hint="default" w:ascii="Times New Roman" w:hAnsi="Times New Roman" w:eastAsia="宋体" w:cs="Times New Roman"/>
                      <w:snapToGrid w:val="0"/>
                      <w:color w:val="auto"/>
                      <w:kern w:val="0"/>
                      <w:sz w:val="21"/>
                      <w:szCs w:val="21"/>
                      <w:lang w:val="en-US" w:eastAsia="zh-CN" w:bidi="ar-SA"/>
                    </w:rPr>
                    <w:t>计算</w:t>
                  </w:r>
                </w:p>
              </w:tc>
              <w:tc>
                <w:tcPr>
                  <w:tcW w:w="3316" w:type="pct"/>
                  <w:gridSpan w:val="4"/>
                  <w:vAlign w:val="center"/>
                </w:tcPr>
                <w:p w14:paraId="568E6F2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参数</w:t>
                  </w:r>
                </w:p>
              </w:tc>
              <w:tc>
                <w:tcPr>
                  <w:tcW w:w="843" w:type="pct"/>
                  <w:vAlign w:val="center"/>
                </w:tcPr>
                <w:p w14:paraId="090C7A0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结果</w:t>
                  </w:r>
                </w:p>
              </w:tc>
            </w:tr>
            <w:tr w14:paraId="4AFB74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11" w:hRule="atLeast"/>
                <w:jc w:val="center"/>
              </w:trPr>
              <w:tc>
                <w:tcPr>
                  <w:tcW w:w="841" w:type="pct"/>
                  <w:vMerge w:val="continue"/>
                  <w:vAlign w:val="center"/>
                </w:tcPr>
                <w:p w14:paraId="2CD520D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25FCC4E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831" w:type="pct"/>
                  <w:vAlign w:val="center"/>
                </w:tcPr>
                <w:p w14:paraId="5BCD4D5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830" w:type="pct"/>
                  <w:vAlign w:val="center"/>
                </w:tcPr>
                <w:p w14:paraId="036847F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603" w:type="dxa"/>
                  <w:vAlign w:val="center"/>
                </w:tcPr>
                <w:p w14:paraId="68ED433D">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B</w:t>
                  </w:r>
                </w:p>
              </w:tc>
              <w:tc>
                <w:tcPr>
                  <w:tcW w:w="843" w:type="pct"/>
                  <w:vAlign w:val="center"/>
                </w:tcPr>
                <w:p w14:paraId="1BD7677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X（</w:t>
                  </w:r>
                  <w:r>
                    <w:rPr>
                      <w:rFonts w:hint="default" w:ascii="Times New Roman" w:hAnsi="Times New Roman" w:eastAsia="宋体" w:cs="Times New Roman"/>
                      <w:snapToGrid w:val="0"/>
                      <w:color w:val="auto"/>
                      <w:kern w:val="0"/>
                      <w:sz w:val="21"/>
                      <w:szCs w:val="21"/>
                      <w:lang w:val="en-US" w:eastAsia="zh-CN" w:bidi="ar-SA"/>
                    </w:rPr>
                    <w:t>mmPb</w:t>
                  </w:r>
                  <w:r>
                    <w:rPr>
                      <w:rFonts w:hint="eastAsia" w:ascii="Times New Roman" w:hAnsi="Times New Roman" w:eastAsia="宋体" w:cs="Times New Roman"/>
                      <w:snapToGrid w:val="0"/>
                      <w:color w:val="auto"/>
                      <w:kern w:val="0"/>
                      <w:sz w:val="21"/>
                      <w:szCs w:val="21"/>
                      <w:lang w:val="en-US" w:eastAsia="zh-CN" w:bidi="ar-SA"/>
                    </w:rPr>
                    <w:t>）</w:t>
                  </w:r>
                </w:p>
              </w:tc>
            </w:tr>
            <w:tr w14:paraId="1D7B7E9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20" w:hRule="atLeast"/>
                <w:jc w:val="center"/>
              </w:trPr>
              <w:tc>
                <w:tcPr>
                  <w:tcW w:w="841" w:type="pct"/>
                  <w:vMerge w:val="continue"/>
                  <w:vAlign w:val="center"/>
                </w:tcPr>
                <w:p w14:paraId="6E52808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728F369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2.219</w:t>
                  </w:r>
                </w:p>
              </w:tc>
              <w:tc>
                <w:tcPr>
                  <w:tcW w:w="831" w:type="pct"/>
                  <w:vAlign w:val="center"/>
                </w:tcPr>
                <w:p w14:paraId="5905CDC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7.923</w:t>
                  </w:r>
                </w:p>
              </w:tc>
              <w:tc>
                <w:tcPr>
                  <w:tcW w:w="830" w:type="pct"/>
                  <w:vAlign w:val="center"/>
                </w:tcPr>
                <w:p w14:paraId="04450C7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0.5386</w:t>
                  </w:r>
                </w:p>
              </w:tc>
              <w:tc>
                <w:tcPr>
                  <w:tcW w:w="1603" w:type="dxa"/>
                  <w:vAlign w:val="center"/>
                </w:tcPr>
                <w:p w14:paraId="5A951F37">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等线" w:cs="Times New Roman"/>
                      <w:color w:val="auto"/>
                      <w:kern w:val="0"/>
                      <w:sz w:val="21"/>
                      <w:szCs w:val="22"/>
                      <w:lang w:val="en-US" w:eastAsia="zh-CN"/>
                    </w:rPr>
                    <w:t>4.17</w:t>
                  </w:r>
                  <w:r>
                    <w:rPr>
                      <w:rFonts w:hint="default" w:ascii="Times New Roman" w:hAnsi="Times New Roman" w:eastAsia="等线" w:cs="Times New Roman"/>
                      <w:color w:val="auto"/>
                      <w:kern w:val="0"/>
                      <w:sz w:val="21"/>
                      <w:szCs w:val="22"/>
                    </w:rPr>
                    <w:t>E-0</w:t>
                  </w:r>
                  <w:r>
                    <w:rPr>
                      <w:rFonts w:hint="eastAsia" w:ascii="Times New Roman" w:hAnsi="Times New Roman" w:eastAsia="等线" w:cs="Times New Roman"/>
                      <w:color w:val="auto"/>
                      <w:kern w:val="0"/>
                      <w:sz w:val="21"/>
                      <w:szCs w:val="22"/>
                      <w:lang w:val="en-US" w:eastAsia="zh-CN"/>
                    </w:rPr>
                    <w:t>4</w:t>
                  </w:r>
                </w:p>
              </w:tc>
              <w:tc>
                <w:tcPr>
                  <w:tcW w:w="843" w:type="pct"/>
                  <w:vAlign w:val="center"/>
                </w:tcPr>
                <w:p w14:paraId="3F87BAA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2.28</w:t>
                  </w:r>
                </w:p>
              </w:tc>
            </w:tr>
          </w:tbl>
          <w:p w14:paraId="15C11C54">
            <w:pPr>
              <w:pStyle w:val="15"/>
              <w:keepNext w:val="0"/>
              <w:keepLines w:val="0"/>
              <w:suppressLineNumbers w:val="0"/>
              <w:spacing w:before="0" w:beforeAutospacing="0" w:after="0" w:afterAutospacing="0"/>
              <w:ind w:left="0" w:right="0"/>
              <w:rPr>
                <w:rFonts w:hint="eastAsia" w:eastAsia="宋体" w:cs="Times New Roman"/>
                <w:color w:val="auto"/>
                <w:sz w:val="24"/>
                <w:szCs w:val="24"/>
                <w:vertAlign w:val="baseline"/>
                <w:lang w:val="en-US" w:eastAsia="zh-CN"/>
              </w:rPr>
            </w:pPr>
            <w:r>
              <w:rPr>
                <w:rFonts w:hint="eastAsia" w:cs="Times New Roman"/>
                <w:color w:val="auto"/>
              </w:rPr>
              <w:t>由</w:t>
            </w:r>
            <w:r>
              <w:rPr>
                <w:rFonts w:hint="default" w:cs="Times New Roman"/>
                <w:color w:val="auto"/>
              </w:rPr>
              <w:t>上表</w:t>
            </w:r>
            <w:r>
              <w:rPr>
                <w:rFonts w:hint="eastAsia" w:cs="Times New Roman"/>
                <w:color w:val="auto"/>
              </w:rPr>
              <w:t>计算</w:t>
            </w:r>
            <w:r>
              <w:rPr>
                <w:rFonts w:hint="default" w:cs="Times New Roman"/>
                <w:color w:val="auto"/>
              </w:rPr>
              <w:t>可知</w:t>
            </w:r>
            <w:r>
              <w:rPr>
                <w:rFonts w:hint="eastAsia" w:cs="Times New Roman"/>
                <w:color w:val="auto"/>
                <w:lang w:val="en-US" w:eastAsia="zh-CN"/>
              </w:rPr>
              <w:t>240m</w:t>
            </w:r>
            <w:r>
              <w:rPr>
                <w:rFonts w:hint="default" w:cs="Times New Roman"/>
                <w:color w:val="auto"/>
              </w:rPr>
              <w:t>m</w:t>
            </w:r>
            <w:r>
              <w:rPr>
                <w:rFonts w:hint="eastAsia" w:cs="Times New Roman"/>
                <w:color w:val="auto"/>
                <w:lang w:val="en-US" w:eastAsia="zh-CN"/>
              </w:rPr>
              <w:t>厚</w:t>
            </w:r>
            <w:r>
              <w:rPr>
                <w:rFonts w:hint="eastAsia" w:cs="Times New Roman"/>
                <w:color w:val="auto"/>
              </w:rPr>
              <w:t>实心砖墙</w:t>
            </w:r>
            <w:r>
              <w:rPr>
                <w:rFonts w:hint="default" w:cs="Times New Roman"/>
                <w:color w:val="auto"/>
              </w:rPr>
              <w:t>等效铅当量</w:t>
            </w:r>
            <w:r>
              <w:rPr>
                <w:rFonts w:hint="eastAsia" w:cs="Times New Roman"/>
                <w:color w:val="auto"/>
              </w:rPr>
              <w:t>约</w:t>
            </w:r>
            <w:r>
              <w:rPr>
                <w:rFonts w:hint="default" w:cs="Times New Roman"/>
                <w:color w:val="auto"/>
              </w:rPr>
              <w:t>为</w:t>
            </w:r>
            <w:r>
              <w:rPr>
                <w:rFonts w:hint="eastAsia" w:cs="Times New Roman"/>
                <w:color w:val="auto"/>
                <w:lang w:val="en-US" w:eastAsia="zh-CN"/>
              </w:rPr>
              <w:t>2.28</w:t>
            </w:r>
            <w:r>
              <w:rPr>
                <w:rFonts w:hint="default" w:cs="Times New Roman"/>
                <w:color w:val="auto"/>
              </w:rPr>
              <w:t>mmPb</w:t>
            </w:r>
            <w:r>
              <w:rPr>
                <w:rFonts w:hint="eastAsia" w:cs="Times New Roman"/>
                <w:color w:val="auto"/>
                <w:lang w:eastAsia="zh-CN"/>
              </w:rPr>
              <w:t>。</w:t>
            </w:r>
          </w:p>
          <w:p w14:paraId="39FB6BE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黑体" w:cs="Times New Roman"/>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表11-7  120mm砖等效铅当量厚度计算参数及结果一览表</w:t>
            </w:r>
          </w:p>
          <w:tbl>
            <w:tblPr>
              <w:tblStyle w:val="18"/>
              <w:tblW w:w="5000"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6"/>
              <w:gridCol w:w="1589"/>
              <w:gridCol w:w="1587"/>
              <w:gridCol w:w="1585"/>
              <w:gridCol w:w="1572"/>
              <w:gridCol w:w="1610"/>
            </w:tblGrid>
            <w:tr w14:paraId="7DD68A9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37" w:hRule="atLeast"/>
                <w:jc w:val="center"/>
              </w:trPr>
              <w:tc>
                <w:tcPr>
                  <w:tcW w:w="841" w:type="pct"/>
                  <w:vMerge w:val="restart"/>
                  <w:vAlign w:val="center"/>
                </w:tcPr>
                <w:p w14:paraId="18615C3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B的</w:t>
                  </w:r>
                  <w:r>
                    <w:rPr>
                      <w:rFonts w:hint="default" w:ascii="Times New Roman" w:hAnsi="Times New Roman" w:eastAsia="宋体" w:cs="Times New Roman"/>
                      <w:snapToGrid w:val="0"/>
                      <w:color w:val="auto"/>
                      <w:kern w:val="0"/>
                      <w:sz w:val="21"/>
                      <w:szCs w:val="21"/>
                      <w:lang w:val="en-US" w:eastAsia="zh-CN" w:bidi="ar-SA"/>
                    </w:rPr>
                    <w:t>计算</w:t>
                  </w:r>
                </w:p>
              </w:tc>
              <w:tc>
                <w:tcPr>
                  <w:tcW w:w="3316" w:type="pct"/>
                  <w:gridSpan w:val="4"/>
                  <w:vAlign w:val="center"/>
                </w:tcPr>
                <w:p w14:paraId="024F38E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参数</w:t>
                  </w:r>
                </w:p>
              </w:tc>
              <w:tc>
                <w:tcPr>
                  <w:tcW w:w="843" w:type="pct"/>
                  <w:vAlign w:val="center"/>
                </w:tcPr>
                <w:p w14:paraId="2043D9D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结果</w:t>
                  </w:r>
                </w:p>
              </w:tc>
            </w:tr>
            <w:tr w14:paraId="22E8CD4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841" w:type="pct"/>
                  <w:vMerge w:val="continue"/>
                  <w:vAlign w:val="center"/>
                </w:tcPr>
                <w:p w14:paraId="60FC8BB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674C41E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831" w:type="pct"/>
                  <w:vAlign w:val="center"/>
                </w:tcPr>
                <w:p w14:paraId="15DF86A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830" w:type="pct"/>
                  <w:vAlign w:val="center"/>
                </w:tcPr>
                <w:p w14:paraId="142456D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823" w:type="pct"/>
                  <w:vAlign w:val="center"/>
                </w:tcPr>
                <w:p w14:paraId="3928240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X（</w:t>
                  </w:r>
                  <w:r>
                    <w:rPr>
                      <w:rFonts w:hint="default" w:ascii="Times New Roman" w:hAnsi="Times New Roman" w:eastAsia="宋体" w:cs="Times New Roman"/>
                      <w:snapToGrid w:val="0"/>
                      <w:color w:val="auto"/>
                      <w:kern w:val="0"/>
                      <w:sz w:val="21"/>
                      <w:szCs w:val="21"/>
                      <w:lang w:val="en-US" w:eastAsia="zh-CN" w:bidi="ar-SA"/>
                    </w:rPr>
                    <w:t>mm</w:t>
                  </w:r>
                  <w:r>
                    <w:rPr>
                      <w:rFonts w:hint="eastAsia" w:ascii="Times New Roman" w:hAnsi="Times New Roman" w:eastAsia="宋体" w:cs="Times New Roman"/>
                      <w:snapToGrid w:val="0"/>
                      <w:color w:val="auto"/>
                      <w:kern w:val="0"/>
                      <w:sz w:val="21"/>
                      <w:szCs w:val="21"/>
                      <w:lang w:val="en-US" w:eastAsia="zh-CN" w:bidi="ar-SA"/>
                    </w:rPr>
                    <w:t>砖）</w:t>
                  </w:r>
                </w:p>
              </w:tc>
              <w:tc>
                <w:tcPr>
                  <w:tcW w:w="843" w:type="pct"/>
                  <w:vAlign w:val="center"/>
                </w:tcPr>
                <w:p w14:paraId="679B712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B</w:t>
                  </w:r>
                </w:p>
              </w:tc>
            </w:tr>
            <w:tr w14:paraId="3BF3234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31" w:hRule="atLeast"/>
                <w:jc w:val="center"/>
              </w:trPr>
              <w:tc>
                <w:tcPr>
                  <w:tcW w:w="841" w:type="pct"/>
                  <w:vMerge w:val="continue"/>
                  <w:vAlign w:val="center"/>
                </w:tcPr>
                <w:p w14:paraId="669D441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6ACED6D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0.02870</w:t>
                  </w:r>
                </w:p>
              </w:tc>
              <w:tc>
                <w:tcPr>
                  <w:tcW w:w="831" w:type="pct"/>
                  <w:vAlign w:val="center"/>
                </w:tcPr>
                <w:p w14:paraId="015738B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0.06700</w:t>
                  </w:r>
                </w:p>
              </w:tc>
              <w:tc>
                <w:tcPr>
                  <w:tcW w:w="830" w:type="pct"/>
                  <w:vAlign w:val="center"/>
                </w:tcPr>
                <w:p w14:paraId="290C7AD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1.346</w:t>
                  </w:r>
                </w:p>
              </w:tc>
              <w:tc>
                <w:tcPr>
                  <w:tcW w:w="823" w:type="pct"/>
                  <w:vAlign w:val="center"/>
                </w:tcPr>
                <w:p w14:paraId="0A9A9C8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120</w:t>
                  </w:r>
                </w:p>
              </w:tc>
              <w:tc>
                <w:tcPr>
                  <w:tcW w:w="843" w:type="pct"/>
                  <w:vAlign w:val="center"/>
                </w:tcPr>
                <w:p w14:paraId="0DBBFCE1">
                  <w:pPr>
                    <w:keepNext w:val="0"/>
                    <w:keepLines w:val="0"/>
                    <w:widowControl/>
                    <w:suppressLineNumbers w:val="0"/>
                    <w:spacing w:before="0" w:beforeAutospacing="0" w:after="0" w:afterAutospacing="0"/>
                    <w:ind w:left="0" w:right="0"/>
                    <w:jc w:val="center"/>
                    <w:rPr>
                      <w:rFonts w:hint="eastAsia" w:ascii="Times New Roman" w:hAnsi="Times New Roman" w:eastAsia="等线" w:cs="Times New Roman"/>
                      <w:color w:val="auto"/>
                      <w:kern w:val="0"/>
                      <w:sz w:val="20"/>
                      <w:szCs w:val="21"/>
                      <w:lang w:eastAsia="zh-CN"/>
                    </w:rPr>
                  </w:pPr>
                  <w:r>
                    <w:rPr>
                      <w:rFonts w:hint="eastAsia" w:ascii="Times New Roman" w:hAnsi="Times New Roman" w:eastAsia="等线" w:cs="Times New Roman"/>
                      <w:color w:val="auto"/>
                      <w:kern w:val="0"/>
                      <w:sz w:val="21"/>
                      <w:szCs w:val="22"/>
                      <w:lang w:val="en-US" w:eastAsia="zh-CN"/>
                    </w:rPr>
                    <w:t>1.31</w:t>
                  </w:r>
                  <w:r>
                    <w:rPr>
                      <w:rFonts w:hint="default" w:ascii="Times New Roman" w:hAnsi="Times New Roman" w:eastAsia="等线" w:cs="Times New Roman"/>
                      <w:color w:val="auto"/>
                      <w:kern w:val="0"/>
                      <w:sz w:val="21"/>
                      <w:szCs w:val="22"/>
                    </w:rPr>
                    <w:t>E-0</w:t>
                  </w:r>
                  <w:r>
                    <w:rPr>
                      <w:rFonts w:hint="eastAsia" w:ascii="Times New Roman" w:hAnsi="Times New Roman" w:eastAsia="等线" w:cs="Times New Roman"/>
                      <w:color w:val="auto"/>
                      <w:kern w:val="0"/>
                      <w:sz w:val="21"/>
                      <w:szCs w:val="22"/>
                      <w:lang w:val="en-US" w:eastAsia="zh-CN"/>
                    </w:rPr>
                    <w:t>2</w:t>
                  </w:r>
                </w:p>
              </w:tc>
            </w:tr>
            <w:tr w14:paraId="71B483D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841" w:type="pct"/>
                  <w:vMerge w:val="restart"/>
                  <w:vAlign w:val="center"/>
                </w:tcPr>
                <w:p w14:paraId="5AC7871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X的</w:t>
                  </w:r>
                  <w:r>
                    <w:rPr>
                      <w:rFonts w:hint="default" w:ascii="Times New Roman" w:hAnsi="Times New Roman" w:eastAsia="宋体" w:cs="Times New Roman"/>
                      <w:snapToGrid w:val="0"/>
                      <w:color w:val="auto"/>
                      <w:kern w:val="0"/>
                      <w:sz w:val="21"/>
                      <w:szCs w:val="21"/>
                      <w:lang w:val="en-US" w:eastAsia="zh-CN" w:bidi="ar-SA"/>
                    </w:rPr>
                    <w:t>计算</w:t>
                  </w:r>
                </w:p>
              </w:tc>
              <w:tc>
                <w:tcPr>
                  <w:tcW w:w="3316" w:type="pct"/>
                  <w:gridSpan w:val="4"/>
                  <w:vAlign w:val="center"/>
                </w:tcPr>
                <w:p w14:paraId="53DD207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参数</w:t>
                  </w:r>
                </w:p>
              </w:tc>
              <w:tc>
                <w:tcPr>
                  <w:tcW w:w="843" w:type="pct"/>
                  <w:vAlign w:val="center"/>
                </w:tcPr>
                <w:p w14:paraId="1293E5F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结果</w:t>
                  </w:r>
                </w:p>
              </w:tc>
            </w:tr>
            <w:tr w14:paraId="4D5C691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11" w:hRule="atLeast"/>
                <w:jc w:val="center"/>
              </w:trPr>
              <w:tc>
                <w:tcPr>
                  <w:tcW w:w="841" w:type="pct"/>
                  <w:vMerge w:val="continue"/>
                  <w:vAlign w:val="center"/>
                </w:tcPr>
                <w:p w14:paraId="4296067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6D115D0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831" w:type="pct"/>
                  <w:vAlign w:val="center"/>
                </w:tcPr>
                <w:p w14:paraId="1057BF1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830" w:type="pct"/>
                  <w:vAlign w:val="center"/>
                </w:tcPr>
                <w:p w14:paraId="314A848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603" w:type="dxa"/>
                  <w:vAlign w:val="center"/>
                </w:tcPr>
                <w:p w14:paraId="2022891E">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B</w:t>
                  </w:r>
                </w:p>
              </w:tc>
              <w:tc>
                <w:tcPr>
                  <w:tcW w:w="843" w:type="pct"/>
                  <w:vAlign w:val="center"/>
                </w:tcPr>
                <w:p w14:paraId="20AB8F7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X（</w:t>
                  </w:r>
                  <w:r>
                    <w:rPr>
                      <w:rFonts w:hint="default" w:ascii="Times New Roman" w:hAnsi="Times New Roman" w:eastAsia="宋体" w:cs="Times New Roman"/>
                      <w:snapToGrid w:val="0"/>
                      <w:color w:val="auto"/>
                      <w:kern w:val="0"/>
                      <w:sz w:val="21"/>
                      <w:szCs w:val="21"/>
                      <w:lang w:val="en-US" w:eastAsia="zh-CN" w:bidi="ar-SA"/>
                    </w:rPr>
                    <w:t>mmPb</w:t>
                  </w:r>
                  <w:r>
                    <w:rPr>
                      <w:rFonts w:hint="eastAsia" w:ascii="Times New Roman" w:hAnsi="Times New Roman" w:eastAsia="宋体" w:cs="Times New Roman"/>
                      <w:snapToGrid w:val="0"/>
                      <w:color w:val="auto"/>
                      <w:kern w:val="0"/>
                      <w:sz w:val="21"/>
                      <w:szCs w:val="21"/>
                      <w:lang w:val="en-US" w:eastAsia="zh-CN" w:bidi="ar-SA"/>
                    </w:rPr>
                    <w:t>）</w:t>
                  </w:r>
                </w:p>
              </w:tc>
            </w:tr>
            <w:tr w14:paraId="13EDE84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20" w:hRule="atLeast"/>
                <w:jc w:val="center"/>
              </w:trPr>
              <w:tc>
                <w:tcPr>
                  <w:tcW w:w="841" w:type="pct"/>
                  <w:vMerge w:val="continue"/>
                  <w:vAlign w:val="center"/>
                </w:tcPr>
                <w:p w14:paraId="385824E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832" w:type="pct"/>
                  <w:vAlign w:val="center"/>
                </w:tcPr>
                <w:p w14:paraId="42F8602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2.219</w:t>
                  </w:r>
                </w:p>
              </w:tc>
              <w:tc>
                <w:tcPr>
                  <w:tcW w:w="831" w:type="pct"/>
                  <w:vAlign w:val="center"/>
                </w:tcPr>
                <w:p w14:paraId="7809646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7.923</w:t>
                  </w:r>
                </w:p>
              </w:tc>
              <w:tc>
                <w:tcPr>
                  <w:tcW w:w="830" w:type="pct"/>
                  <w:vAlign w:val="center"/>
                </w:tcPr>
                <w:p w14:paraId="47A95FF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0.5386</w:t>
                  </w:r>
                </w:p>
              </w:tc>
              <w:tc>
                <w:tcPr>
                  <w:tcW w:w="1603" w:type="dxa"/>
                  <w:vAlign w:val="center"/>
                </w:tcPr>
                <w:p w14:paraId="619DCA72">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等线" w:cs="Times New Roman"/>
                      <w:color w:val="auto"/>
                      <w:kern w:val="0"/>
                      <w:sz w:val="21"/>
                      <w:szCs w:val="22"/>
                      <w:lang w:val="en-US" w:eastAsia="zh-CN"/>
                    </w:rPr>
                    <w:t>1.31</w:t>
                  </w:r>
                  <w:r>
                    <w:rPr>
                      <w:rFonts w:hint="default" w:ascii="Times New Roman" w:hAnsi="Times New Roman" w:eastAsia="等线" w:cs="Times New Roman"/>
                      <w:color w:val="auto"/>
                      <w:kern w:val="0"/>
                      <w:sz w:val="21"/>
                      <w:szCs w:val="22"/>
                    </w:rPr>
                    <w:t>E-0</w:t>
                  </w:r>
                  <w:r>
                    <w:rPr>
                      <w:rFonts w:hint="eastAsia" w:ascii="Times New Roman" w:hAnsi="Times New Roman" w:eastAsia="等线" w:cs="Times New Roman"/>
                      <w:color w:val="auto"/>
                      <w:kern w:val="0"/>
                      <w:sz w:val="21"/>
                      <w:szCs w:val="22"/>
                      <w:lang w:val="en-US" w:eastAsia="zh-CN"/>
                    </w:rPr>
                    <w:t>2</w:t>
                  </w:r>
                </w:p>
              </w:tc>
              <w:tc>
                <w:tcPr>
                  <w:tcW w:w="843" w:type="pct"/>
                  <w:vAlign w:val="center"/>
                </w:tcPr>
                <w:p w14:paraId="002E0B8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0.93</w:t>
                  </w:r>
                </w:p>
              </w:tc>
            </w:tr>
          </w:tbl>
          <w:p w14:paraId="1B6B08CB">
            <w:pPr>
              <w:pStyle w:val="15"/>
              <w:keepNext w:val="0"/>
              <w:keepLines w:val="0"/>
              <w:suppressLineNumbers w:val="0"/>
              <w:spacing w:before="0" w:beforeAutospacing="0" w:after="0" w:afterAutospacing="0"/>
              <w:ind w:left="0" w:right="0" w:firstLine="480" w:firstLineChars="200"/>
              <w:rPr>
                <w:rFonts w:hint="eastAsia" w:cs="Times New Roman"/>
                <w:color w:val="auto"/>
                <w:sz w:val="24"/>
                <w:szCs w:val="24"/>
                <w:highlight w:val="none"/>
                <w:lang w:val="en-US" w:eastAsia="zh-CN"/>
              </w:rPr>
            </w:pPr>
            <w:r>
              <w:rPr>
                <w:rFonts w:hint="eastAsia" w:cs="Times New Roman"/>
                <w:color w:val="auto"/>
              </w:rPr>
              <w:t>由</w:t>
            </w:r>
            <w:r>
              <w:rPr>
                <w:rFonts w:hint="default" w:cs="Times New Roman"/>
                <w:color w:val="auto"/>
              </w:rPr>
              <w:t>上表</w:t>
            </w:r>
            <w:r>
              <w:rPr>
                <w:rFonts w:hint="eastAsia" w:cs="Times New Roman"/>
                <w:color w:val="auto"/>
              </w:rPr>
              <w:t>计算</w:t>
            </w:r>
            <w:r>
              <w:rPr>
                <w:rFonts w:hint="default" w:cs="Times New Roman"/>
                <w:color w:val="auto"/>
              </w:rPr>
              <w:t>可知</w:t>
            </w:r>
            <w:r>
              <w:rPr>
                <w:rFonts w:hint="eastAsia" w:cs="Times New Roman"/>
                <w:color w:val="auto"/>
                <w:lang w:val="en-US" w:eastAsia="zh-CN"/>
              </w:rPr>
              <w:t>120m</w:t>
            </w:r>
            <w:r>
              <w:rPr>
                <w:rFonts w:hint="default" w:cs="Times New Roman"/>
                <w:color w:val="auto"/>
              </w:rPr>
              <w:t>m</w:t>
            </w:r>
            <w:r>
              <w:rPr>
                <w:rFonts w:hint="eastAsia" w:cs="Times New Roman"/>
                <w:color w:val="auto"/>
                <w:lang w:val="en-US" w:eastAsia="zh-CN"/>
              </w:rPr>
              <w:t>厚</w:t>
            </w:r>
            <w:r>
              <w:rPr>
                <w:rFonts w:hint="eastAsia" w:cs="Times New Roman"/>
                <w:color w:val="auto"/>
              </w:rPr>
              <w:t>实心砖墙</w:t>
            </w:r>
            <w:r>
              <w:rPr>
                <w:rFonts w:hint="default" w:cs="Times New Roman"/>
                <w:color w:val="auto"/>
              </w:rPr>
              <w:t>等效铅当量</w:t>
            </w:r>
            <w:r>
              <w:rPr>
                <w:rFonts w:hint="eastAsia" w:cs="Times New Roman"/>
                <w:color w:val="auto"/>
              </w:rPr>
              <w:t>约</w:t>
            </w:r>
            <w:r>
              <w:rPr>
                <w:rFonts w:hint="default" w:cs="Times New Roman"/>
                <w:color w:val="auto"/>
              </w:rPr>
              <w:t>为</w:t>
            </w:r>
            <w:r>
              <w:rPr>
                <w:rFonts w:hint="eastAsia" w:cs="Times New Roman"/>
                <w:color w:val="auto"/>
                <w:lang w:val="en-US" w:eastAsia="zh-CN"/>
              </w:rPr>
              <w:t>0.93</w:t>
            </w:r>
            <w:r>
              <w:rPr>
                <w:rFonts w:hint="default" w:cs="Times New Roman"/>
                <w:color w:val="auto"/>
              </w:rPr>
              <w:t>mmPb</w:t>
            </w:r>
            <w:r>
              <w:rPr>
                <w:rFonts w:hint="eastAsia" w:cs="Times New Roman"/>
                <w:color w:val="auto"/>
                <w:lang w:val="en-US" w:eastAsia="zh-CN"/>
              </w:rPr>
              <w:t>,</w:t>
            </w:r>
            <w:r>
              <w:rPr>
                <w:rFonts w:hint="eastAsia" w:cs="Times New Roman"/>
                <w:color w:val="auto"/>
                <w:lang w:eastAsia="zh-CN"/>
              </w:rPr>
              <w:t>。</w:t>
            </w:r>
          </w:p>
          <w:p w14:paraId="577E0BB8">
            <w:pPr>
              <w:pStyle w:val="15"/>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b/>
                <w:bCs/>
                <w:snapToGrid w:val="0"/>
                <w:color w:val="auto"/>
                <w:kern w:val="0"/>
                <w:sz w:val="24"/>
                <w:szCs w:val="24"/>
                <w:lang w:val="en-US" w:eastAsia="zh-CN" w:bidi="ar-SA"/>
              </w:rPr>
            </w:pPr>
            <w:r>
              <w:rPr>
                <w:rFonts w:hint="eastAsia" w:cs="Times New Roman"/>
                <w:color w:val="auto"/>
                <w:sz w:val="24"/>
                <w:szCs w:val="24"/>
                <w:highlight w:val="none"/>
                <w:lang w:val="en-US" w:eastAsia="zh-CN"/>
              </w:rPr>
              <w:t>30mm厚硫酸钡涂料（</w:t>
            </w:r>
            <w:r>
              <w:rPr>
                <w:rFonts w:hint="default" w:ascii="Times New Roman" w:hAnsi="Times New Roman" w:eastAsia="宋体" w:cs="Times New Roman"/>
                <w:color w:val="auto"/>
                <w:sz w:val="24"/>
                <w:szCs w:val="24"/>
                <w:highlight w:val="none"/>
                <w:lang w:val="en-US" w:eastAsia="zh-CN"/>
              </w:rPr>
              <w:t>密度</w:t>
            </w:r>
            <w:r>
              <w:rPr>
                <w:rFonts w:hint="eastAsia" w:cs="Times New Roman"/>
                <w:color w:val="auto"/>
                <w:sz w:val="24"/>
                <w:szCs w:val="24"/>
                <w:highlight w:val="none"/>
                <w:lang w:val="en-US" w:eastAsia="zh-CN"/>
              </w:rPr>
              <w:t>不小于</w:t>
            </w:r>
            <w:r>
              <w:rPr>
                <w:rFonts w:hint="eastAsia" w:cs="Times New Roman"/>
                <w:color w:val="auto"/>
                <w:sz w:val="24"/>
                <w:szCs w:val="24"/>
                <w:vertAlign w:val="baseline"/>
                <w:lang w:val="en-US" w:eastAsia="zh-CN"/>
              </w:rPr>
              <w:t>3.2</w:t>
            </w:r>
            <w:r>
              <w:rPr>
                <w:rFonts w:hint="default" w:ascii="Times New Roman" w:hAnsi="Times New Roman" w:eastAsia="宋体" w:cs="Times New Roman"/>
                <w:color w:val="auto"/>
                <w:sz w:val="24"/>
                <w:szCs w:val="24"/>
                <w:vertAlign w:val="baseline"/>
                <w:lang w:val="en-US" w:eastAsia="zh-CN"/>
              </w:rPr>
              <w:t>g/cm³</w:t>
            </w:r>
            <w:r>
              <w:rPr>
                <w:rFonts w:hint="eastAsia" w:cs="Times New Roman"/>
                <w:color w:val="auto"/>
                <w:sz w:val="24"/>
                <w:szCs w:val="24"/>
                <w:highlight w:val="none"/>
                <w:lang w:val="en-US" w:eastAsia="zh-CN"/>
              </w:rPr>
              <w:t>），</w:t>
            </w:r>
            <w:r>
              <w:rPr>
                <w:rFonts w:hint="default" w:ascii="Times New Roman" w:hAnsi="Times New Roman" w:eastAsia="宋体" w:cs="Times New Roman"/>
                <w:bCs/>
                <w:color w:val="auto"/>
                <w:kern w:val="2"/>
                <w:sz w:val="24"/>
                <w:szCs w:val="23"/>
                <w:highlight w:val="none"/>
                <w:lang w:val="en-US" w:eastAsia="zh-CN" w:bidi="ar"/>
              </w:rPr>
              <w:t>根据《辐射防护手册》第三分册（李德平</w:t>
            </w:r>
            <w:r>
              <w:rPr>
                <w:rFonts w:hint="default" w:ascii="Times New Roman" w:hAnsi="Times New Roman" w:eastAsia="宋体" w:cs="Times New Roman"/>
                <w:bCs/>
                <w:color w:val="auto"/>
                <w:kern w:val="2"/>
                <w:sz w:val="24"/>
                <w:szCs w:val="23"/>
                <w:lang w:val="en-US" w:eastAsia="zh-CN" w:bidi="ar"/>
              </w:rPr>
              <w:t>、潘自强主编，原子能出版社）提供了</w:t>
            </w:r>
            <w:r>
              <w:rPr>
                <w:rFonts w:hint="default" w:ascii="Times New Roman" w:hAnsi="Times New Roman" w:cs="Times New Roman"/>
                <w:bCs/>
                <w:color w:val="auto"/>
                <w:kern w:val="2"/>
                <w:sz w:val="24"/>
                <w:szCs w:val="23"/>
                <w:lang w:val="en-US" w:eastAsia="zh-CN" w:bidi="ar"/>
              </w:rPr>
              <w:t>宽束条件下，不同管电压X射线机产生的X射线在不同材料中的十分之一值层厚度，见下表：</w:t>
            </w:r>
          </w:p>
          <w:p w14:paraId="52CEEC27">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cs="Times New Roman"/>
                <w:bCs/>
                <w:color w:val="auto"/>
                <w:kern w:val="2"/>
                <w:sz w:val="24"/>
                <w:szCs w:val="23"/>
                <w:lang w:val="en-US" w:eastAsia="zh-CN" w:bidi="ar"/>
              </w:rPr>
            </w:pPr>
            <w:r>
              <w:rPr>
                <w:rFonts w:hint="default" w:ascii="Times New Roman" w:hAnsi="Times New Roman" w:eastAsia="宋体" w:cs="Times New Roman"/>
                <w:b/>
                <w:bCs/>
                <w:snapToGrid w:val="0"/>
                <w:color w:val="auto"/>
                <w:kern w:val="0"/>
                <w:sz w:val="24"/>
                <w:szCs w:val="24"/>
                <w:lang w:val="en-US" w:eastAsia="zh-CN" w:bidi="ar-SA"/>
              </w:rPr>
              <w:t>表11-</w:t>
            </w:r>
            <w:r>
              <w:rPr>
                <w:rFonts w:hint="eastAsia" w:ascii="Times New Roman" w:hAnsi="Times New Roman" w:eastAsia="宋体" w:cs="Times New Roman"/>
                <w:b/>
                <w:bCs/>
                <w:snapToGrid w:val="0"/>
                <w:color w:val="auto"/>
                <w:kern w:val="0"/>
                <w:sz w:val="24"/>
                <w:szCs w:val="24"/>
                <w:lang w:val="en-US" w:eastAsia="zh-CN" w:bidi="ar-SA"/>
              </w:rPr>
              <w:t>8</w:t>
            </w:r>
            <w:r>
              <w:rPr>
                <w:rFonts w:hint="default" w:ascii="Times New Roman" w:hAnsi="Times New Roman" w:eastAsia="宋体" w:cs="Times New Roman"/>
                <w:b/>
                <w:bCs/>
                <w:snapToGrid w:val="0"/>
                <w:color w:val="auto"/>
                <w:kern w:val="0"/>
                <w:sz w:val="24"/>
                <w:szCs w:val="24"/>
                <w:lang w:val="en-US" w:eastAsia="zh-CN" w:bidi="ar-SA"/>
              </w:rPr>
              <w:t xml:space="preserve"> </w:t>
            </w:r>
            <w:r>
              <w:rPr>
                <w:rFonts w:hint="default" w:ascii="Times New Roman" w:hAnsi="Times New Roman" w:eastAsia="宋体" w:cs="Times New Roman"/>
                <w:b/>
                <w:bCs/>
                <w:snapToGrid w:val="0"/>
                <w:color w:val="auto"/>
                <w:kern w:val="0"/>
                <w:sz w:val="24"/>
                <w:szCs w:val="24"/>
                <w:highlight w:val="none"/>
                <w:lang w:val="en-US" w:eastAsia="zh-CN" w:bidi="ar-SA"/>
              </w:rPr>
              <w:t xml:space="preserve"> 宽束、不同管电压下X射线在各种材料的十分之一值层厚度</w:t>
            </w:r>
            <w:r>
              <w:rPr>
                <w:rFonts w:hint="default" w:ascii="Times New Roman" w:hAnsi="Times New Roman" w:eastAsia="宋体" w:cs="Times New Roman"/>
                <w:b/>
                <w:bCs/>
                <w:snapToGrid w:val="0"/>
                <w:color w:val="auto"/>
                <w:kern w:val="0"/>
                <w:sz w:val="24"/>
                <w:szCs w:val="24"/>
                <w:lang w:val="en-US" w:eastAsia="zh-CN" w:bidi="ar-SA"/>
              </w:rPr>
              <w:t>一览表</w:t>
            </w:r>
          </w:p>
          <w:tbl>
            <w:tblPr>
              <w:tblStyle w:val="18"/>
              <w:tblW w:w="97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34"/>
              <w:gridCol w:w="2434"/>
              <w:gridCol w:w="2434"/>
              <w:gridCol w:w="2434"/>
            </w:tblGrid>
            <w:tr w14:paraId="6EA0B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4" w:type="dxa"/>
                  <w:vMerge w:val="restart"/>
                  <w:vAlign w:val="center"/>
                </w:tcPr>
                <w:p w14:paraId="69465E9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材料</w:t>
                  </w:r>
                </w:p>
              </w:tc>
              <w:tc>
                <w:tcPr>
                  <w:tcW w:w="2434" w:type="dxa"/>
                  <w:vMerge w:val="restart"/>
                  <w:vAlign w:val="center"/>
                </w:tcPr>
                <w:p w14:paraId="246E46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eastAsia="宋体" w:cs="Times New Roman"/>
                      <w:snapToGrid w:val="0"/>
                      <w:color w:val="auto"/>
                      <w:kern w:val="0"/>
                      <w:sz w:val="21"/>
                      <w:szCs w:val="21"/>
                      <w:lang w:val="en-US" w:eastAsia="zh-CN" w:bidi="ar-SA"/>
                    </w:rPr>
                    <w:t>密度（g/cm³）</w:t>
                  </w:r>
                </w:p>
              </w:tc>
              <w:tc>
                <w:tcPr>
                  <w:tcW w:w="4868" w:type="dxa"/>
                  <w:gridSpan w:val="2"/>
                </w:tcPr>
                <w:p w14:paraId="0A9E6D9A">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十分之一值层厚度（mm）</w:t>
                  </w:r>
                </w:p>
              </w:tc>
            </w:tr>
            <w:tr w14:paraId="4C94B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trPr>
              <w:tc>
                <w:tcPr>
                  <w:tcW w:w="2434" w:type="dxa"/>
                  <w:vMerge w:val="continue"/>
                </w:tcPr>
                <w:p w14:paraId="23BBFD5E">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p>
              </w:tc>
              <w:tc>
                <w:tcPr>
                  <w:tcW w:w="2434" w:type="dxa"/>
                  <w:vMerge w:val="continue"/>
                </w:tcPr>
                <w:p w14:paraId="5591E84D">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p>
              </w:tc>
              <w:tc>
                <w:tcPr>
                  <w:tcW w:w="2434" w:type="dxa"/>
                </w:tcPr>
                <w:p w14:paraId="3890C98D">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100kV</w:t>
                  </w:r>
                </w:p>
              </w:tc>
              <w:tc>
                <w:tcPr>
                  <w:tcW w:w="2434" w:type="dxa"/>
                </w:tcPr>
                <w:p w14:paraId="08283EB5">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150kV</w:t>
                  </w:r>
                </w:p>
              </w:tc>
            </w:tr>
            <w:tr w14:paraId="18BD4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4" w:type="dxa"/>
                </w:tcPr>
                <w:p w14:paraId="3A3E64FF">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铅</w:t>
                  </w:r>
                </w:p>
              </w:tc>
              <w:tc>
                <w:tcPr>
                  <w:tcW w:w="2434" w:type="dxa"/>
                </w:tcPr>
                <w:p w14:paraId="103A4624">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11.3</w:t>
                  </w:r>
                </w:p>
              </w:tc>
              <w:tc>
                <w:tcPr>
                  <w:tcW w:w="2434" w:type="dxa"/>
                </w:tcPr>
                <w:p w14:paraId="611C6C73">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0.84</w:t>
                  </w:r>
                </w:p>
              </w:tc>
              <w:tc>
                <w:tcPr>
                  <w:tcW w:w="2434" w:type="dxa"/>
                </w:tcPr>
                <w:p w14:paraId="72ABE638">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0.96</w:t>
                  </w:r>
                </w:p>
              </w:tc>
            </w:tr>
            <w:tr w14:paraId="78972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 w:hRule="atLeast"/>
              </w:trPr>
              <w:tc>
                <w:tcPr>
                  <w:tcW w:w="2434" w:type="dxa"/>
                </w:tcPr>
                <w:p w14:paraId="693554A1">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钡水泥</w:t>
                  </w:r>
                </w:p>
              </w:tc>
              <w:tc>
                <w:tcPr>
                  <w:tcW w:w="2434" w:type="dxa"/>
                </w:tcPr>
                <w:p w14:paraId="047A7634">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3.2</w:t>
                  </w:r>
                </w:p>
              </w:tc>
              <w:tc>
                <w:tcPr>
                  <w:tcW w:w="2434" w:type="dxa"/>
                </w:tcPr>
                <w:p w14:paraId="5ABF6765">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7</w:t>
                  </w:r>
                </w:p>
              </w:tc>
              <w:tc>
                <w:tcPr>
                  <w:tcW w:w="2434" w:type="dxa"/>
                </w:tcPr>
                <w:p w14:paraId="5B2E34E2">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textAlignment w:val="auto"/>
                    <w:rPr>
                      <w:rFonts w:hint="default" w:ascii="Times New Roman" w:hAnsi="Times New Roman" w:cs="Times New Roman"/>
                      <w:bCs/>
                      <w:color w:val="auto"/>
                      <w:kern w:val="2"/>
                      <w:sz w:val="21"/>
                      <w:szCs w:val="21"/>
                      <w:vertAlign w:val="baseline"/>
                      <w:lang w:val="en-US" w:eastAsia="zh-CN" w:bidi="ar"/>
                    </w:rPr>
                  </w:pPr>
                  <w:r>
                    <w:rPr>
                      <w:rFonts w:hint="default" w:ascii="Times New Roman" w:hAnsi="Times New Roman" w:cs="Times New Roman"/>
                      <w:bCs/>
                      <w:color w:val="auto"/>
                      <w:kern w:val="2"/>
                      <w:sz w:val="21"/>
                      <w:szCs w:val="21"/>
                      <w:vertAlign w:val="baseline"/>
                      <w:lang w:val="en-US" w:eastAsia="zh-CN" w:bidi="ar"/>
                    </w:rPr>
                    <w:t>14</w:t>
                  </w:r>
                </w:p>
              </w:tc>
            </w:tr>
          </w:tbl>
          <w:p w14:paraId="3CC7584E">
            <w:pPr>
              <w:pStyle w:val="15"/>
              <w:keepNext w:val="0"/>
              <w:keepLines w:val="0"/>
              <w:suppressLineNumbers w:val="0"/>
              <w:spacing w:before="0" w:beforeAutospacing="0" w:after="0" w:afterAutospacing="0"/>
              <w:ind w:left="0" w:right="0" w:firstLine="480" w:firstLineChars="200"/>
              <w:rPr>
                <w:rFonts w:hint="default" w:ascii="Times New Roman" w:hAnsi="Times New Roman" w:cs="Times New Roman"/>
                <w:bCs/>
                <w:color w:val="auto"/>
                <w:kern w:val="2"/>
                <w:sz w:val="24"/>
                <w:szCs w:val="23"/>
                <w:lang w:val="en-US" w:eastAsia="zh-CN" w:bidi="ar"/>
              </w:rPr>
            </w:pPr>
            <w:r>
              <w:rPr>
                <w:rFonts w:hint="default" w:ascii="Times New Roman" w:hAnsi="Times New Roman" w:cs="Times New Roman"/>
                <w:bCs/>
                <w:color w:val="auto"/>
                <w:kern w:val="2"/>
                <w:sz w:val="24"/>
                <w:szCs w:val="23"/>
                <w:lang w:val="en-US" w:eastAsia="zh-CN" w:bidi="ar"/>
              </w:rPr>
              <w:t>100kV条件下，钡水泥十分之一值层厚度为7mm，铅十分之一值层厚度为0.84mm，则</w:t>
            </w:r>
            <w:r>
              <w:rPr>
                <w:rFonts w:hint="eastAsia" w:cs="Times New Roman"/>
                <w:bCs/>
                <w:color w:val="auto"/>
                <w:kern w:val="2"/>
                <w:sz w:val="24"/>
                <w:szCs w:val="23"/>
                <w:lang w:val="en-US" w:eastAsia="zh-CN" w:bidi="ar"/>
              </w:rPr>
              <w:t>3</w:t>
            </w:r>
            <w:r>
              <w:rPr>
                <w:rFonts w:hint="default" w:ascii="Times New Roman" w:hAnsi="Times New Roman" w:cs="Times New Roman"/>
                <w:bCs/>
                <w:color w:val="auto"/>
                <w:kern w:val="2"/>
                <w:sz w:val="24"/>
                <w:szCs w:val="23"/>
                <w:lang w:val="en-US" w:eastAsia="zh-CN" w:bidi="ar"/>
              </w:rPr>
              <w:t>cm钡水泥等效铅当量厚度为</w:t>
            </w:r>
            <w:r>
              <w:rPr>
                <w:rFonts w:hint="eastAsia" w:cs="Times New Roman"/>
                <w:bCs/>
                <w:color w:val="auto"/>
                <w:kern w:val="2"/>
                <w:sz w:val="24"/>
                <w:szCs w:val="23"/>
                <w:lang w:val="en-US" w:eastAsia="zh-CN" w:bidi="ar"/>
              </w:rPr>
              <w:t>3.6</w:t>
            </w:r>
            <w:r>
              <w:rPr>
                <w:rFonts w:hint="default" w:ascii="Times New Roman" w:hAnsi="Times New Roman" w:cs="Times New Roman"/>
                <w:bCs/>
                <w:color w:val="auto"/>
                <w:kern w:val="2"/>
                <w:sz w:val="24"/>
                <w:szCs w:val="23"/>
                <w:lang w:val="en-US" w:eastAsia="zh-CN" w:bidi="ar"/>
              </w:rPr>
              <w:t>mmPb。150kV条件下，钡水泥十分之一值层厚度为14，铅十分之一值层厚度为0.96，则</w:t>
            </w:r>
            <w:r>
              <w:rPr>
                <w:rFonts w:hint="eastAsia" w:cs="Times New Roman"/>
                <w:bCs/>
                <w:color w:val="auto"/>
                <w:kern w:val="2"/>
                <w:sz w:val="24"/>
                <w:szCs w:val="23"/>
                <w:lang w:val="en-US" w:eastAsia="zh-CN" w:bidi="ar"/>
              </w:rPr>
              <w:t>3</w:t>
            </w:r>
            <w:r>
              <w:rPr>
                <w:rFonts w:hint="default" w:ascii="Times New Roman" w:hAnsi="Times New Roman" w:cs="Times New Roman"/>
                <w:bCs/>
                <w:color w:val="auto"/>
                <w:kern w:val="2"/>
                <w:sz w:val="24"/>
                <w:szCs w:val="23"/>
                <w:lang w:val="en-US" w:eastAsia="zh-CN" w:bidi="ar"/>
              </w:rPr>
              <w:t>cm钡水泥等效铅当量厚度为2.</w:t>
            </w:r>
            <w:r>
              <w:rPr>
                <w:rFonts w:hint="eastAsia" w:cs="Times New Roman"/>
                <w:bCs/>
                <w:color w:val="auto"/>
                <w:kern w:val="2"/>
                <w:sz w:val="24"/>
                <w:szCs w:val="23"/>
                <w:lang w:val="en-US" w:eastAsia="zh-CN" w:bidi="ar"/>
              </w:rPr>
              <w:t>06</w:t>
            </w:r>
            <w:r>
              <w:rPr>
                <w:rFonts w:hint="default" w:ascii="Times New Roman" w:hAnsi="Times New Roman" w:cs="Times New Roman"/>
                <w:bCs/>
                <w:color w:val="auto"/>
                <w:kern w:val="2"/>
                <w:sz w:val="24"/>
                <w:szCs w:val="23"/>
                <w:lang w:val="en-US" w:eastAsia="zh-CN" w:bidi="ar"/>
              </w:rPr>
              <w:t>mmPb</w:t>
            </w:r>
            <w:r>
              <w:rPr>
                <w:rFonts w:hint="eastAsia" w:cs="Times New Roman"/>
                <w:bCs/>
                <w:color w:val="auto"/>
                <w:kern w:val="2"/>
                <w:sz w:val="24"/>
                <w:szCs w:val="23"/>
                <w:lang w:val="en-US" w:eastAsia="zh-CN" w:bidi="ar"/>
              </w:rPr>
              <w:t>。</w:t>
            </w:r>
            <w:r>
              <w:rPr>
                <w:rFonts w:hint="default" w:ascii="Times New Roman" w:hAnsi="Times New Roman" w:cs="Times New Roman"/>
                <w:bCs/>
                <w:color w:val="auto"/>
                <w:kern w:val="2"/>
                <w:sz w:val="24"/>
                <w:szCs w:val="23"/>
                <w:lang w:val="en-US" w:eastAsia="zh-CN" w:bidi="ar"/>
              </w:rPr>
              <w:t>本项目DSA设备最大管电压为125kV，采用内插法进行计算，125kV条件下</w:t>
            </w:r>
            <w:r>
              <w:rPr>
                <w:rFonts w:hint="eastAsia" w:cs="Times New Roman"/>
                <w:color w:val="auto"/>
                <w:sz w:val="24"/>
                <w:szCs w:val="24"/>
                <w:highlight w:val="none"/>
                <w:lang w:val="en-US" w:eastAsia="zh-CN"/>
              </w:rPr>
              <w:t>30mm厚硫酸钡涂料</w:t>
            </w:r>
            <w:r>
              <w:rPr>
                <w:rFonts w:hint="default" w:ascii="Times New Roman" w:hAnsi="Times New Roman" w:cs="Times New Roman"/>
                <w:bCs/>
                <w:color w:val="auto"/>
                <w:kern w:val="2"/>
                <w:sz w:val="24"/>
                <w:szCs w:val="23"/>
                <w:lang w:val="en-US" w:eastAsia="zh-CN" w:bidi="ar"/>
              </w:rPr>
              <w:t>的等效铅当量为2.</w:t>
            </w:r>
            <w:r>
              <w:rPr>
                <w:rFonts w:hint="eastAsia" w:cs="Times New Roman"/>
                <w:bCs/>
                <w:color w:val="auto"/>
                <w:kern w:val="2"/>
                <w:sz w:val="24"/>
                <w:szCs w:val="23"/>
                <w:lang w:val="en-US" w:eastAsia="zh-CN" w:bidi="ar"/>
              </w:rPr>
              <w:t>06</w:t>
            </w:r>
            <w:r>
              <w:rPr>
                <w:rFonts w:hint="default" w:ascii="Times New Roman" w:hAnsi="Times New Roman" w:eastAsia="宋体" w:cs="Times New Roman"/>
                <w:bCs/>
                <w:color w:val="auto"/>
                <w:kern w:val="2"/>
                <w:sz w:val="24"/>
                <w:szCs w:val="23"/>
                <w:lang w:val="en-US" w:eastAsia="zh-CN" w:bidi="ar"/>
              </w:rPr>
              <w:t>+[（125-100）/（150-100）]×（</w:t>
            </w:r>
            <w:r>
              <w:rPr>
                <w:rFonts w:hint="eastAsia" w:cs="Times New Roman"/>
                <w:bCs/>
                <w:color w:val="auto"/>
                <w:kern w:val="2"/>
                <w:sz w:val="24"/>
                <w:szCs w:val="23"/>
                <w:lang w:val="en-US" w:eastAsia="zh-CN" w:bidi="ar"/>
              </w:rPr>
              <w:t>3.6</w:t>
            </w:r>
            <w:r>
              <w:rPr>
                <w:rFonts w:hint="default" w:ascii="Times New Roman" w:hAnsi="Times New Roman" w:eastAsia="宋体" w:cs="Times New Roman"/>
                <w:bCs/>
                <w:color w:val="auto"/>
                <w:kern w:val="2"/>
                <w:sz w:val="24"/>
                <w:szCs w:val="23"/>
                <w:lang w:val="en-US" w:eastAsia="zh-CN" w:bidi="ar"/>
              </w:rPr>
              <w:t>-2.</w:t>
            </w:r>
            <w:r>
              <w:rPr>
                <w:rFonts w:hint="eastAsia" w:cs="Times New Roman"/>
                <w:bCs/>
                <w:color w:val="auto"/>
                <w:kern w:val="2"/>
                <w:sz w:val="24"/>
                <w:szCs w:val="23"/>
                <w:lang w:val="en-US" w:eastAsia="zh-CN" w:bidi="ar"/>
              </w:rPr>
              <w:t>06</w:t>
            </w:r>
            <w:r>
              <w:rPr>
                <w:rFonts w:hint="default" w:ascii="Times New Roman" w:hAnsi="Times New Roman" w:eastAsia="宋体" w:cs="Times New Roman"/>
                <w:bCs/>
                <w:color w:val="auto"/>
                <w:kern w:val="2"/>
                <w:sz w:val="24"/>
                <w:szCs w:val="23"/>
                <w:lang w:val="en-US" w:eastAsia="zh-CN" w:bidi="ar"/>
              </w:rPr>
              <w:t>）=</w:t>
            </w:r>
            <w:r>
              <w:rPr>
                <w:rFonts w:hint="eastAsia" w:cs="Times New Roman"/>
                <w:bCs/>
                <w:color w:val="auto"/>
                <w:kern w:val="2"/>
                <w:sz w:val="24"/>
                <w:szCs w:val="23"/>
                <w:lang w:val="en-US" w:eastAsia="zh-CN" w:bidi="ar"/>
              </w:rPr>
              <w:t>2.83</w:t>
            </w:r>
            <w:r>
              <w:rPr>
                <w:rFonts w:hint="default" w:ascii="Times New Roman" w:hAnsi="Times New Roman" w:cs="Times New Roman"/>
                <w:bCs/>
                <w:color w:val="auto"/>
                <w:kern w:val="2"/>
                <w:sz w:val="24"/>
                <w:szCs w:val="23"/>
                <w:lang w:val="en-US" w:eastAsia="zh-CN" w:bidi="ar"/>
              </w:rPr>
              <w:t>mmPb。</w:t>
            </w:r>
          </w:p>
          <w:p w14:paraId="6BDFF2A8">
            <w:pPr>
              <w:pStyle w:val="15"/>
              <w:keepNext w:val="0"/>
              <w:keepLines w:val="0"/>
              <w:suppressLineNumbers w:val="0"/>
              <w:spacing w:before="0" w:beforeAutospacing="0" w:after="0" w:afterAutospacing="0"/>
              <w:ind w:left="0" w:right="0" w:firstLine="482" w:firstLineChars="200"/>
              <w:rPr>
                <w:rFonts w:hint="eastAsia" w:cs="Times New Roman"/>
                <w:color w:val="auto"/>
                <w:sz w:val="24"/>
                <w:szCs w:val="24"/>
                <w:highlight w:val="none"/>
                <w:lang w:val="en-US" w:eastAsia="zh-CN"/>
              </w:rPr>
            </w:pPr>
            <w:r>
              <w:rPr>
                <w:rFonts w:hint="eastAsia" w:cs="Times New Roman"/>
                <w:b/>
                <w:bCs/>
                <w:color w:val="auto"/>
                <w:lang w:val="en-US" w:eastAsia="zh-CN"/>
              </w:rPr>
              <w:t>本次评价保守计算，不再计算DSA机房现有加气块混凝土砖墙、封堵窗户部分砖墙的等效铅当量。</w:t>
            </w:r>
            <w:r>
              <w:rPr>
                <w:rFonts w:hint="eastAsia" w:cs="Times New Roman"/>
                <w:b w:val="0"/>
                <w:bCs w:val="0"/>
                <w:color w:val="auto"/>
                <w:lang w:val="en-US" w:eastAsia="zh-CN"/>
              </w:rPr>
              <w:t>则</w:t>
            </w:r>
            <w:r>
              <w:rPr>
                <w:rFonts w:hint="eastAsia" w:cs="Times New Roman"/>
                <w:color w:val="auto"/>
                <w:sz w:val="24"/>
                <w:szCs w:val="24"/>
                <w:highlight w:val="none"/>
                <w:shd w:val="clear" w:color="auto" w:fill="auto"/>
                <w:lang w:eastAsia="zh-CN"/>
              </w:rPr>
              <w:t>机房南侧内部新建240mm厚实心砖墙(机房与设备间隔断)+粉刷30mm厚硫酸钡水泥+墙面装饰板，防护铅当量为</w:t>
            </w:r>
            <w:r>
              <w:rPr>
                <w:rFonts w:hint="eastAsia" w:cs="Times New Roman"/>
                <w:color w:val="auto"/>
                <w:sz w:val="24"/>
                <w:szCs w:val="24"/>
                <w:highlight w:val="none"/>
                <w:shd w:val="clear" w:color="auto" w:fill="auto"/>
                <w:lang w:val="en-US" w:eastAsia="zh-CN"/>
              </w:rPr>
              <w:t>5.11</w:t>
            </w:r>
            <w:r>
              <w:rPr>
                <w:rFonts w:hint="default" w:ascii="Times New Roman" w:hAnsi="Times New Roman" w:cs="Times New Roman"/>
                <w:bCs/>
                <w:color w:val="auto"/>
                <w:kern w:val="2"/>
                <w:sz w:val="24"/>
                <w:szCs w:val="23"/>
                <w:lang w:val="en-US" w:eastAsia="zh-CN" w:bidi="ar"/>
              </w:rPr>
              <w:t>mmPb</w:t>
            </w:r>
            <w:r>
              <w:rPr>
                <w:rFonts w:hint="eastAsia" w:cs="Times New Roman"/>
                <w:color w:val="auto"/>
                <w:sz w:val="24"/>
                <w:szCs w:val="24"/>
                <w:highlight w:val="none"/>
                <w:shd w:val="clear" w:color="auto" w:fill="auto"/>
                <w:lang w:eastAsia="zh-CN"/>
              </w:rPr>
              <w:t>；东、西、北三面墙加砌120mm厚实心砖墙+粉刷30mm厚硫酸钡水泥+墙面装饰板，防护铅当量为</w:t>
            </w:r>
            <w:r>
              <w:rPr>
                <w:rFonts w:hint="eastAsia" w:cs="Times New Roman"/>
                <w:color w:val="auto"/>
                <w:sz w:val="24"/>
                <w:szCs w:val="24"/>
                <w:highlight w:val="none"/>
                <w:shd w:val="clear" w:color="auto" w:fill="auto"/>
                <w:lang w:val="en-US" w:eastAsia="zh-CN"/>
              </w:rPr>
              <w:t>3.76</w:t>
            </w:r>
            <w:r>
              <w:rPr>
                <w:rFonts w:hint="default" w:ascii="Times New Roman" w:hAnsi="Times New Roman" w:cs="Times New Roman"/>
                <w:bCs/>
                <w:color w:val="auto"/>
                <w:kern w:val="2"/>
                <w:sz w:val="24"/>
                <w:szCs w:val="23"/>
                <w:lang w:val="en-US" w:eastAsia="zh-CN" w:bidi="ar"/>
              </w:rPr>
              <w:t>mmPb</w:t>
            </w:r>
            <w:r>
              <w:rPr>
                <w:rFonts w:hint="eastAsia" w:cs="Times New Roman"/>
                <w:color w:val="auto"/>
                <w:sz w:val="24"/>
                <w:szCs w:val="24"/>
                <w:highlight w:val="none"/>
                <w:lang w:val="en-US" w:eastAsia="zh-CN"/>
              </w:rPr>
              <w:t>。</w:t>
            </w:r>
          </w:p>
          <w:p w14:paraId="649EF7FB">
            <w:pPr>
              <w:pStyle w:val="23"/>
              <w:keepNext w:val="0"/>
              <w:keepLines w:val="0"/>
              <w:suppressLineNumbers w:val="0"/>
              <w:spacing w:before="0" w:beforeAutospacing="0" w:after="0" w:afterAutospacing="0"/>
              <w:ind w:left="0" w:leftChars="0" w:right="0" w:firstLine="480" w:firstLineChars="200"/>
              <w:rPr>
                <w:rFonts w:hint="default" w:ascii="Times New Roman" w:hAnsi="Times New Roman" w:cs="Times New Roman"/>
                <w:color w:val="auto"/>
                <w:sz w:val="24"/>
                <w:szCs w:val="24"/>
                <w:vertAlign w:val="baseline"/>
                <w:lang w:val="en-US" w:eastAsia="zh-CN"/>
              </w:rPr>
            </w:pPr>
            <w:r>
              <w:rPr>
                <w:rFonts w:hint="eastAsia" w:cs="Times New Roman"/>
                <w:color w:val="auto"/>
                <w:sz w:val="24"/>
                <w:szCs w:val="24"/>
                <w:highlight w:val="none"/>
                <w:lang w:val="en-US" w:eastAsia="zh-CN"/>
              </w:rPr>
              <w:t>③</w:t>
            </w:r>
            <w:r>
              <w:rPr>
                <w:rFonts w:hint="default" w:ascii="Times New Roman" w:hAnsi="Times New Roman" w:eastAsia="宋体" w:cs="Times New Roman"/>
                <w:color w:val="auto"/>
                <w:sz w:val="24"/>
                <w:szCs w:val="24"/>
                <w:highlight w:val="none"/>
                <w:lang w:val="en-US" w:eastAsia="zh-CN"/>
              </w:rPr>
              <w:t>地面</w:t>
            </w:r>
            <w:r>
              <w:rPr>
                <w:rFonts w:hint="eastAsia" w:cs="Times New Roman"/>
                <w:color w:val="auto"/>
                <w:sz w:val="24"/>
                <w:szCs w:val="24"/>
                <w:highlight w:val="none"/>
                <w:lang w:val="en-US" w:eastAsia="zh-CN"/>
              </w:rPr>
              <w:t>（非主束方向）</w:t>
            </w:r>
            <w:r>
              <w:rPr>
                <w:rFonts w:hint="default" w:ascii="Times New Roman" w:hAnsi="Times New Roman" w:eastAsia="宋体" w:cs="Times New Roman"/>
                <w:color w:val="auto"/>
                <w:sz w:val="24"/>
                <w:szCs w:val="24"/>
                <w:highlight w:val="none"/>
                <w:lang w:val="en-US" w:eastAsia="zh-CN"/>
              </w:rPr>
              <w:t>为混凝土</w:t>
            </w:r>
            <w:r>
              <w:rPr>
                <w:rFonts w:hint="eastAsia" w:cs="Times New Roman"/>
                <w:color w:val="auto"/>
                <w:sz w:val="24"/>
                <w:szCs w:val="24"/>
                <w:vertAlign w:val="baseline"/>
                <w:lang w:val="en-US" w:eastAsia="zh-CN"/>
              </w:rPr>
              <w:t>，本项目为1层，无地下工程，故不考虑地面防护效果</w:t>
            </w:r>
            <w:r>
              <w:rPr>
                <w:rFonts w:hint="default" w:ascii="Times New Roman" w:hAnsi="Times New Roman" w:cs="Times New Roman"/>
                <w:color w:val="auto"/>
                <w:sz w:val="24"/>
                <w:szCs w:val="24"/>
                <w:vertAlign w:val="baseline"/>
                <w:lang w:val="en-US" w:eastAsia="zh-CN"/>
              </w:rPr>
              <w:t>。</w:t>
            </w:r>
          </w:p>
          <w:p w14:paraId="6AE02863">
            <w:pPr>
              <w:pStyle w:val="23"/>
              <w:keepNext w:val="0"/>
              <w:keepLines w:val="0"/>
              <w:suppressLineNumbers w:val="0"/>
              <w:spacing w:before="0" w:beforeAutospacing="0" w:after="0" w:afterAutospacing="0"/>
              <w:ind w:left="0" w:leftChars="0" w:right="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对比《放射诊断放射防护要求》（GBZ130-2020）中X射线设备机房（照射室）使用面积、单边长度的要求以及不同类型X射线设备机房的屏蔽防护铅当量厚度要求，本项目机房屏蔽措施评价如下表所示。</w:t>
            </w:r>
          </w:p>
          <w:p w14:paraId="2A2945BC">
            <w:pPr>
              <w:pStyle w:val="25"/>
              <w:keepNext w:val="0"/>
              <w:keepLines w:val="0"/>
              <w:suppressLineNumbers w:val="0"/>
              <w:spacing w:before="0" w:beforeAutospacing="0" w:after="0" w:afterAutospacing="0"/>
              <w:ind w:left="0" w:right="0" w:firstLine="482" w:firstLineChars="200"/>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表11-</w:t>
            </w:r>
            <w:r>
              <w:rPr>
                <w:rFonts w:hint="eastAsia" w:cs="Times New Roman"/>
                <w:b/>
                <w:bCs/>
                <w:color w:val="auto"/>
                <w:sz w:val="24"/>
                <w:szCs w:val="24"/>
                <w:lang w:val="en-US" w:eastAsia="zh-CN"/>
              </w:rPr>
              <w:t>9</w:t>
            </w:r>
            <w:r>
              <w:rPr>
                <w:rFonts w:hint="default" w:ascii="Times New Roman" w:hAnsi="Times New Roman" w:eastAsia="宋体" w:cs="Times New Roman"/>
                <w:b/>
                <w:bCs/>
                <w:color w:val="auto"/>
                <w:sz w:val="24"/>
                <w:szCs w:val="24"/>
              </w:rPr>
              <w:t xml:space="preserve">  本项目机房规格与标准对照表</w:t>
            </w:r>
          </w:p>
          <w:tbl>
            <w:tblPr>
              <w:tblStyle w:val="18"/>
              <w:tblW w:w="9523"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475"/>
              <w:gridCol w:w="1416"/>
              <w:gridCol w:w="2021"/>
              <w:gridCol w:w="1943"/>
              <w:gridCol w:w="1302"/>
              <w:gridCol w:w="1366"/>
            </w:tblGrid>
            <w:tr w14:paraId="16FDF60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64" w:hRule="atLeast"/>
                <w:jc w:val="center"/>
              </w:trPr>
              <w:tc>
                <w:tcPr>
                  <w:tcW w:w="1475" w:type="dxa"/>
                  <w:vMerge w:val="restart"/>
                  <w:vAlign w:val="center"/>
                </w:tcPr>
                <w:p w14:paraId="558B5E2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机房名称</w:t>
                  </w:r>
                </w:p>
              </w:tc>
              <w:tc>
                <w:tcPr>
                  <w:tcW w:w="1416" w:type="dxa"/>
                  <w:vMerge w:val="restart"/>
                  <w:vAlign w:val="center"/>
                </w:tcPr>
                <w:p w14:paraId="4A64E2C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规格</w:t>
                  </w:r>
                </w:p>
              </w:tc>
              <w:tc>
                <w:tcPr>
                  <w:tcW w:w="2021" w:type="dxa"/>
                  <w:vMerge w:val="restart"/>
                  <w:vAlign w:val="center"/>
                </w:tcPr>
                <w:p w14:paraId="1F858975">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最小有效使用面积/最小单边长</w:t>
                  </w:r>
                </w:p>
              </w:tc>
              <w:tc>
                <w:tcPr>
                  <w:tcW w:w="3245" w:type="dxa"/>
                  <w:gridSpan w:val="2"/>
                  <w:vAlign w:val="center"/>
                </w:tcPr>
                <w:p w14:paraId="1950B567">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标准要求</w:t>
                  </w:r>
                </w:p>
              </w:tc>
              <w:tc>
                <w:tcPr>
                  <w:tcW w:w="1366" w:type="dxa"/>
                  <w:vMerge w:val="restart"/>
                  <w:vAlign w:val="center"/>
                </w:tcPr>
                <w:p w14:paraId="4C43EE9E">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达标分析</w:t>
                  </w:r>
                </w:p>
              </w:tc>
            </w:tr>
            <w:tr w14:paraId="14DC570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1" w:hRule="atLeast"/>
                <w:jc w:val="center"/>
              </w:trPr>
              <w:tc>
                <w:tcPr>
                  <w:tcW w:w="1475" w:type="dxa"/>
                  <w:vMerge w:val="continue"/>
                  <w:vAlign w:val="center"/>
                </w:tcPr>
                <w:p w14:paraId="71482806">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416" w:type="dxa"/>
                  <w:vMerge w:val="continue"/>
                  <w:vAlign w:val="center"/>
                </w:tcPr>
                <w:p w14:paraId="2EDF661A">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2021" w:type="dxa"/>
                  <w:vMerge w:val="continue"/>
                  <w:vAlign w:val="center"/>
                </w:tcPr>
                <w:p w14:paraId="4BD9316D">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943" w:type="dxa"/>
                  <w:vAlign w:val="center"/>
                </w:tcPr>
                <w:p w14:paraId="70521EB9">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最小有效使用面积</w:t>
                  </w:r>
                </w:p>
              </w:tc>
              <w:tc>
                <w:tcPr>
                  <w:tcW w:w="1302" w:type="dxa"/>
                  <w:vAlign w:val="center"/>
                </w:tcPr>
                <w:p w14:paraId="0C0F3D35">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最小单边长</w:t>
                  </w:r>
                </w:p>
              </w:tc>
              <w:tc>
                <w:tcPr>
                  <w:tcW w:w="1366" w:type="dxa"/>
                  <w:vMerge w:val="continue"/>
                  <w:vAlign w:val="center"/>
                </w:tcPr>
                <w:p w14:paraId="7A00C3D3">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r>
            <w:tr w14:paraId="7368F92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90" w:hRule="atLeast"/>
                <w:jc w:val="center"/>
              </w:trPr>
              <w:tc>
                <w:tcPr>
                  <w:tcW w:w="1475" w:type="dxa"/>
                  <w:vAlign w:val="center"/>
                </w:tcPr>
                <w:p w14:paraId="097E40B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DSA</w:t>
                  </w:r>
                  <w:r>
                    <w:rPr>
                      <w:rFonts w:hint="default" w:ascii="Times New Roman" w:hAnsi="Times New Roman" w:eastAsia="宋体" w:cs="Times New Roman"/>
                      <w:color w:val="auto"/>
                      <w:sz w:val="21"/>
                      <w:szCs w:val="21"/>
                    </w:rPr>
                    <w:t>机房</w:t>
                  </w:r>
                </w:p>
              </w:tc>
              <w:tc>
                <w:tcPr>
                  <w:tcW w:w="1416" w:type="dxa"/>
                  <w:vAlign w:val="center"/>
                </w:tcPr>
                <w:p w14:paraId="7525C630">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color w:val="auto"/>
                      <w:kern w:val="2"/>
                      <w:sz w:val="21"/>
                      <w:szCs w:val="21"/>
                      <w:lang w:val="en-US" w:eastAsia="zh-CN" w:bidi="ar-SA"/>
                    </w:rPr>
                  </w:pPr>
                  <w:r>
                    <w:rPr>
                      <w:rFonts w:hint="eastAsia" w:ascii="Times New Roman" w:hAnsi="Times New Roman" w:eastAsia="宋体" w:cs="Times New Roman"/>
                      <w:snapToGrid/>
                      <w:color w:val="auto"/>
                      <w:kern w:val="2"/>
                      <w:sz w:val="21"/>
                      <w:szCs w:val="21"/>
                      <w:lang w:val="en-US" w:eastAsia="zh-CN" w:bidi="ar-SA"/>
                    </w:rPr>
                    <w:t>7.</w:t>
                  </w:r>
                  <w:r>
                    <w:rPr>
                      <w:rFonts w:hint="eastAsia" w:cs="Times New Roman"/>
                      <w:snapToGrid/>
                      <w:color w:val="auto"/>
                      <w:kern w:val="2"/>
                      <w:sz w:val="21"/>
                      <w:szCs w:val="21"/>
                      <w:lang w:val="en-US" w:eastAsia="zh-CN" w:bidi="ar-SA"/>
                    </w:rPr>
                    <w:t>38</w:t>
                  </w:r>
                  <w:r>
                    <w:rPr>
                      <w:rFonts w:hint="default" w:ascii="Times New Roman" w:hAnsi="Times New Roman" w:eastAsia="宋体" w:cs="Times New Roman"/>
                      <w:snapToGrid/>
                      <w:color w:val="auto"/>
                      <w:kern w:val="2"/>
                      <w:sz w:val="21"/>
                      <w:szCs w:val="21"/>
                      <w:lang w:val="en-US" w:eastAsia="zh-CN" w:bidi="ar-SA"/>
                    </w:rPr>
                    <w:t>m×</w:t>
                  </w:r>
                  <w:r>
                    <w:rPr>
                      <w:rFonts w:hint="eastAsia" w:cs="Times New Roman"/>
                      <w:snapToGrid/>
                      <w:color w:val="auto"/>
                      <w:kern w:val="2"/>
                      <w:sz w:val="21"/>
                      <w:szCs w:val="21"/>
                      <w:lang w:val="en-US" w:eastAsia="zh-CN" w:bidi="ar-SA"/>
                    </w:rPr>
                    <w:t>5.26</w:t>
                  </w:r>
                  <w:r>
                    <w:rPr>
                      <w:rFonts w:hint="default" w:ascii="Times New Roman" w:hAnsi="Times New Roman" w:eastAsia="宋体" w:cs="Times New Roman"/>
                      <w:snapToGrid/>
                      <w:color w:val="auto"/>
                      <w:kern w:val="2"/>
                      <w:sz w:val="21"/>
                      <w:szCs w:val="21"/>
                      <w:lang w:val="en-US" w:eastAsia="zh-CN" w:bidi="ar-SA"/>
                    </w:rPr>
                    <w:t>m</w:t>
                  </w:r>
                </w:p>
              </w:tc>
              <w:tc>
                <w:tcPr>
                  <w:tcW w:w="2021" w:type="dxa"/>
                  <w:vAlign w:val="center"/>
                </w:tcPr>
                <w:p w14:paraId="39542CAD">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color w:val="auto"/>
                      <w:kern w:val="2"/>
                      <w:sz w:val="21"/>
                      <w:szCs w:val="21"/>
                      <w:lang w:val="en-US" w:eastAsia="zh-CN" w:bidi="ar-SA"/>
                    </w:rPr>
                  </w:pPr>
                  <w:r>
                    <w:rPr>
                      <w:rFonts w:hint="eastAsia" w:cs="Times New Roman"/>
                      <w:snapToGrid/>
                      <w:color w:val="auto"/>
                      <w:kern w:val="2"/>
                      <w:sz w:val="21"/>
                      <w:szCs w:val="21"/>
                      <w:lang w:val="en-US" w:eastAsia="zh-CN" w:bidi="ar-SA"/>
                    </w:rPr>
                    <w:t>38.82</w:t>
                  </w:r>
                  <w:r>
                    <w:rPr>
                      <w:rFonts w:hint="default" w:ascii="Times New Roman" w:hAnsi="Times New Roman" w:eastAsia="宋体" w:cs="Times New Roman"/>
                      <w:snapToGrid/>
                      <w:color w:val="auto"/>
                      <w:kern w:val="2"/>
                      <w:sz w:val="21"/>
                      <w:szCs w:val="21"/>
                      <w:lang w:val="en-US" w:eastAsia="zh-CN" w:bidi="ar-SA"/>
                    </w:rPr>
                    <w:t>m</w:t>
                  </w:r>
                  <w:r>
                    <w:rPr>
                      <w:rFonts w:hint="default" w:ascii="Times New Roman" w:hAnsi="Times New Roman" w:eastAsia="宋体" w:cs="Times New Roman"/>
                      <w:snapToGrid/>
                      <w:color w:val="auto"/>
                      <w:kern w:val="2"/>
                      <w:sz w:val="21"/>
                      <w:szCs w:val="21"/>
                      <w:vertAlign w:val="superscript"/>
                      <w:lang w:val="en-US" w:eastAsia="zh-CN" w:bidi="ar-SA"/>
                    </w:rPr>
                    <w:t>2</w:t>
                  </w:r>
                  <w:r>
                    <w:rPr>
                      <w:rFonts w:hint="default" w:ascii="Times New Roman" w:hAnsi="Times New Roman" w:eastAsia="宋体" w:cs="Times New Roman"/>
                      <w:snapToGrid/>
                      <w:color w:val="auto"/>
                      <w:kern w:val="2"/>
                      <w:sz w:val="21"/>
                      <w:szCs w:val="21"/>
                      <w:lang w:val="en-US" w:eastAsia="zh-CN" w:bidi="ar-SA"/>
                    </w:rPr>
                    <w:t>/</w:t>
                  </w:r>
                  <w:r>
                    <w:rPr>
                      <w:rFonts w:hint="eastAsia" w:cs="Times New Roman"/>
                      <w:snapToGrid/>
                      <w:color w:val="auto"/>
                      <w:kern w:val="2"/>
                      <w:sz w:val="21"/>
                      <w:szCs w:val="21"/>
                      <w:lang w:val="en-US" w:eastAsia="zh-CN" w:bidi="ar-SA"/>
                    </w:rPr>
                    <w:t>5.26</w:t>
                  </w:r>
                  <w:r>
                    <w:rPr>
                      <w:rFonts w:hint="default" w:ascii="Times New Roman" w:hAnsi="Times New Roman" w:eastAsia="宋体" w:cs="Times New Roman"/>
                      <w:snapToGrid/>
                      <w:color w:val="auto"/>
                      <w:kern w:val="2"/>
                      <w:sz w:val="21"/>
                      <w:szCs w:val="21"/>
                      <w:lang w:val="en-US" w:eastAsia="zh-CN" w:bidi="ar-SA"/>
                    </w:rPr>
                    <w:t>m</w:t>
                  </w:r>
                </w:p>
              </w:tc>
              <w:tc>
                <w:tcPr>
                  <w:tcW w:w="1943" w:type="dxa"/>
                  <w:vAlign w:val="center"/>
                </w:tcPr>
                <w:p w14:paraId="26345BF2">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color w:val="auto"/>
                      <w:kern w:val="2"/>
                      <w:sz w:val="21"/>
                      <w:szCs w:val="21"/>
                      <w:lang w:val="en-US" w:eastAsia="zh-CN" w:bidi="ar-SA"/>
                    </w:rPr>
                  </w:pPr>
                  <w:r>
                    <w:rPr>
                      <w:rFonts w:hint="eastAsia" w:cs="Times New Roman"/>
                      <w:snapToGrid/>
                      <w:color w:val="auto"/>
                      <w:kern w:val="2"/>
                      <w:sz w:val="21"/>
                      <w:szCs w:val="21"/>
                      <w:lang w:val="en-US" w:eastAsia="zh-CN" w:bidi="ar-SA"/>
                    </w:rPr>
                    <w:t>2</w:t>
                  </w:r>
                  <w:r>
                    <w:rPr>
                      <w:rFonts w:hint="default" w:ascii="Times New Roman" w:hAnsi="Times New Roman" w:eastAsia="宋体" w:cs="Times New Roman"/>
                      <w:snapToGrid/>
                      <w:color w:val="auto"/>
                      <w:kern w:val="2"/>
                      <w:sz w:val="21"/>
                      <w:szCs w:val="21"/>
                      <w:lang w:val="en-US" w:eastAsia="zh-CN" w:bidi="ar-SA"/>
                    </w:rPr>
                    <w:t>0m</w:t>
                  </w:r>
                  <w:r>
                    <w:rPr>
                      <w:rFonts w:hint="default" w:ascii="Times New Roman" w:hAnsi="Times New Roman" w:eastAsia="宋体" w:cs="Times New Roman"/>
                      <w:snapToGrid/>
                      <w:color w:val="auto"/>
                      <w:kern w:val="2"/>
                      <w:sz w:val="21"/>
                      <w:szCs w:val="21"/>
                      <w:vertAlign w:val="superscript"/>
                      <w:lang w:val="en-US" w:eastAsia="zh-CN" w:bidi="ar-SA"/>
                    </w:rPr>
                    <w:t>2</w:t>
                  </w:r>
                </w:p>
              </w:tc>
              <w:tc>
                <w:tcPr>
                  <w:tcW w:w="1302" w:type="dxa"/>
                  <w:vAlign w:val="center"/>
                </w:tcPr>
                <w:p w14:paraId="323F9198">
                  <w:pPr>
                    <w:pStyle w:val="1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color w:val="auto"/>
                      <w:kern w:val="2"/>
                      <w:sz w:val="21"/>
                      <w:szCs w:val="21"/>
                      <w:lang w:val="en-US" w:eastAsia="zh-CN" w:bidi="ar-SA"/>
                    </w:rPr>
                  </w:pPr>
                  <w:r>
                    <w:rPr>
                      <w:rFonts w:hint="eastAsia" w:cs="Times New Roman"/>
                      <w:snapToGrid/>
                      <w:color w:val="auto"/>
                      <w:kern w:val="2"/>
                      <w:sz w:val="21"/>
                      <w:szCs w:val="21"/>
                      <w:lang w:val="en-US" w:eastAsia="zh-CN" w:bidi="ar-SA"/>
                    </w:rPr>
                    <w:t>3</w:t>
                  </w:r>
                  <w:r>
                    <w:rPr>
                      <w:rFonts w:hint="default" w:ascii="Times New Roman" w:hAnsi="Times New Roman" w:eastAsia="宋体" w:cs="Times New Roman"/>
                      <w:snapToGrid/>
                      <w:color w:val="auto"/>
                      <w:kern w:val="2"/>
                      <w:sz w:val="21"/>
                      <w:szCs w:val="21"/>
                      <w:lang w:val="en-US" w:eastAsia="zh-CN" w:bidi="ar-SA"/>
                    </w:rPr>
                    <w:t>.5m</w:t>
                  </w:r>
                </w:p>
              </w:tc>
              <w:tc>
                <w:tcPr>
                  <w:tcW w:w="1366" w:type="dxa"/>
                  <w:vAlign w:val="center"/>
                </w:tcPr>
                <w:p w14:paraId="70F95B22">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bl>
          <w:p w14:paraId="7AEBFE29">
            <w:pPr>
              <w:pStyle w:val="2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2" w:firstLineChars="200"/>
              <w:textAlignment w:val="auto"/>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表11-</w:t>
            </w:r>
            <w:r>
              <w:rPr>
                <w:rFonts w:hint="eastAsia" w:cs="Times New Roman"/>
                <w:b/>
                <w:bCs/>
                <w:color w:val="auto"/>
                <w:sz w:val="24"/>
                <w:szCs w:val="24"/>
                <w:lang w:val="en-US" w:eastAsia="zh-CN"/>
              </w:rPr>
              <w:t>10</w:t>
            </w:r>
            <w:r>
              <w:rPr>
                <w:rFonts w:hint="default" w:ascii="Times New Roman" w:hAnsi="Times New Roman" w:eastAsia="宋体" w:cs="Times New Roman"/>
                <w:b/>
                <w:bCs/>
                <w:color w:val="auto"/>
                <w:sz w:val="24"/>
                <w:szCs w:val="24"/>
              </w:rPr>
              <w:t xml:space="preserve">  本项目机房屏蔽措施达标分析</w:t>
            </w:r>
          </w:p>
          <w:tbl>
            <w:tblPr>
              <w:tblStyle w:val="18"/>
              <w:tblW w:w="5000" w:type="pct"/>
              <w:tblInd w:w="-5"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719"/>
              <w:gridCol w:w="4145"/>
              <w:gridCol w:w="1515"/>
              <w:gridCol w:w="1104"/>
              <w:gridCol w:w="1066"/>
            </w:tblGrid>
            <w:tr w14:paraId="0647FEF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trPr>
              <w:tc>
                <w:tcPr>
                  <w:tcW w:w="900" w:type="pct"/>
                  <w:vAlign w:val="center"/>
                </w:tcPr>
                <w:p w14:paraId="723C5EE9">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屏蔽结构</w:t>
                  </w:r>
                </w:p>
              </w:tc>
              <w:tc>
                <w:tcPr>
                  <w:tcW w:w="2170" w:type="pct"/>
                  <w:vAlign w:val="center"/>
                </w:tcPr>
                <w:p w14:paraId="5DCF4C86">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屏蔽方案</w:t>
                  </w:r>
                </w:p>
              </w:tc>
              <w:tc>
                <w:tcPr>
                  <w:tcW w:w="793" w:type="pct"/>
                  <w:vAlign w:val="center"/>
                </w:tcPr>
                <w:p w14:paraId="12924F7F">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等效屏蔽效果</w:t>
                  </w:r>
                </w:p>
              </w:tc>
              <w:tc>
                <w:tcPr>
                  <w:tcW w:w="578" w:type="pct"/>
                  <w:vAlign w:val="center"/>
                </w:tcPr>
                <w:p w14:paraId="7D20619C">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标准要求</w:t>
                  </w:r>
                </w:p>
              </w:tc>
              <w:tc>
                <w:tcPr>
                  <w:tcW w:w="558" w:type="pct"/>
                  <w:vAlign w:val="center"/>
                </w:tcPr>
                <w:p w14:paraId="505209C9">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达标分析</w:t>
                  </w:r>
                </w:p>
              </w:tc>
            </w:tr>
            <w:tr w14:paraId="541DBED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900" w:type="pct"/>
                  <w:vMerge w:val="restart"/>
                  <w:vAlign w:val="center"/>
                </w:tcPr>
                <w:p w14:paraId="733B62A8">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DSA机房四面</w:t>
                  </w:r>
                  <w:r>
                    <w:rPr>
                      <w:rFonts w:hint="default" w:ascii="Times New Roman" w:hAnsi="Times New Roman" w:eastAsia="宋体" w:cs="Times New Roman"/>
                      <w:color w:val="auto"/>
                      <w:sz w:val="21"/>
                      <w:szCs w:val="21"/>
                    </w:rPr>
                    <w:t>墙体</w:t>
                  </w:r>
                </w:p>
              </w:tc>
              <w:tc>
                <w:tcPr>
                  <w:tcW w:w="2170" w:type="pct"/>
                  <w:vAlign w:val="center"/>
                </w:tcPr>
                <w:p w14:paraId="497FA813">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highlight w:val="none"/>
                      <w:lang w:val="en-US" w:eastAsia="zh-CN"/>
                    </w:rPr>
                    <w:t>机房南侧内部新建240mm厚实心砖墙(机房与设备间隔断)+粉刷30mm厚硫酸钡水泥+墙面装饰板</w:t>
                  </w:r>
                </w:p>
              </w:tc>
              <w:tc>
                <w:tcPr>
                  <w:tcW w:w="793" w:type="pct"/>
                  <w:vAlign w:val="center"/>
                </w:tcPr>
                <w:p w14:paraId="5F305E41">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5.11</w:t>
                  </w:r>
                  <w:r>
                    <w:rPr>
                      <w:rFonts w:hint="default" w:ascii="Times New Roman" w:hAnsi="Times New Roman" w:eastAsia="宋体" w:cs="Times New Roman"/>
                      <w:color w:val="auto"/>
                      <w:sz w:val="21"/>
                      <w:szCs w:val="21"/>
                    </w:rPr>
                    <w:t>mmPb</w:t>
                  </w:r>
                </w:p>
              </w:tc>
              <w:tc>
                <w:tcPr>
                  <w:tcW w:w="578" w:type="pct"/>
                  <w:vMerge w:val="restart"/>
                  <w:vAlign w:val="center"/>
                </w:tcPr>
                <w:p w14:paraId="5E9BD742">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2.0mmPb</w:t>
                  </w:r>
                </w:p>
              </w:tc>
              <w:tc>
                <w:tcPr>
                  <w:tcW w:w="558" w:type="pct"/>
                  <w:vMerge w:val="restart"/>
                  <w:vAlign w:val="center"/>
                </w:tcPr>
                <w:p w14:paraId="2F025B6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27864F9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900" w:type="pct"/>
                  <w:vMerge w:val="continue"/>
                  <w:vAlign w:val="center"/>
                </w:tcPr>
                <w:p w14:paraId="5D4E029A">
                  <w:pPr>
                    <w:pStyle w:val="26"/>
                    <w:keepNext w:val="0"/>
                    <w:keepLines w:val="0"/>
                    <w:suppressLineNumbers w:val="0"/>
                    <w:spacing w:before="0" w:beforeAutospacing="0" w:after="0" w:afterAutospacing="0"/>
                    <w:ind w:left="0" w:right="0"/>
                    <w:rPr>
                      <w:rFonts w:hint="default"/>
                    </w:rPr>
                  </w:pPr>
                </w:p>
              </w:tc>
              <w:tc>
                <w:tcPr>
                  <w:tcW w:w="2170" w:type="pct"/>
                  <w:vAlign w:val="center"/>
                </w:tcPr>
                <w:p w14:paraId="5B2F4717">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东、西、北三面墙加砌120mm厚实心砖墙+粉刷30mm厚硫酸钡水泥+墙面装饰板</w:t>
                  </w:r>
                </w:p>
              </w:tc>
              <w:tc>
                <w:tcPr>
                  <w:tcW w:w="793" w:type="pct"/>
                  <w:vAlign w:val="center"/>
                </w:tcPr>
                <w:p w14:paraId="3B8E20D4">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val="en-US" w:eastAsia="zh-CN"/>
                    </w:rPr>
                  </w:pPr>
                  <w:r>
                    <w:rPr>
                      <w:rFonts w:hint="eastAsia" w:cs="Times New Roman"/>
                      <w:color w:val="auto"/>
                      <w:sz w:val="21"/>
                      <w:szCs w:val="21"/>
                      <w:lang w:val="en-US" w:eastAsia="zh-CN"/>
                    </w:rPr>
                    <w:t>3.76</w:t>
                  </w:r>
                  <w:r>
                    <w:rPr>
                      <w:rFonts w:hint="default" w:ascii="Times New Roman" w:hAnsi="Times New Roman" w:eastAsia="宋体" w:cs="Times New Roman"/>
                      <w:color w:val="auto"/>
                      <w:sz w:val="21"/>
                      <w:szCs w:val="21"/>
                    </w:rPr>
                    <w:t>mmPb</w:t>
                  </w:r>
                </w:p>
              </w:tc>
              <w:tc>
                <w:tcPr>
                  <w:tcW w:w="578" w:type="pct"/>
                  <w:vMerge w:val="continue"/>
                  <w:vAlign w:val="center"/>
                </w:tcPr>
                <w:p w14:paraId="77FDE249">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val="en-US" w:eastAsia="zh-CN"/>
                    </w:rPr>
                  </w:pPr>
                </w:p>
              </w:tc>
              <w:tc>
                <w:tcPr>
                  <w:tcW w:w="558" w:type="pct"/>
                  <w:vMerge w:val="continue"/>
                  <w:vAlign w:val="center"/>
                </w:tcPr>
                <w:p w14:paraId="5BE53595">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val="en-US" w:eastAsia="zh-CN"/>
                    </w:rPr>
                  </w:pPr>
                </w:p>
              </w:tc>
            </w:tr>
            <w:tr w14:paraId="4F2D61D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trPr>
              <w:tc>
                <w:tcPr>
                  <w:tcW w:w="900" w:type="pct"/>
                  <w:vAlign w:val="center"/>
                </w:tcPr>
                <w:p w14:paraId="1FA1B42E">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DSA</w:t>
                  </w:r>
                  <w:r>
                    <w:rPr>
                      <w:rFonts w:hint="default" w:ascii="Times New Roman" w:hAnsi="Times New Roman" w:eastAsia="宋体" w:cs="Times New Roman"/>
                      <w:color w:val="auto"/>
                      <w:sz w:val="21"/>
                      <w:szCs w:val="21"/>
                      <w:lang w:val="en-US" w:eastAsia="zh-CN"/>
                    </w:rPr>
                    <w:t>机房顶板</w:t>
                  </w:r>
                </w:p>
              </w:tc>
              <w:tc>
                <w:tcPr>
                  <w:tcW w:w="2170" w:type="pct"/>
                  <w:vAlign w:val="center"/>
                </w:tcPr>
                <w:p w14:paraId="33E6C2B0">
                  <w:pPr>
                    <w:pStyle w:val="26"/>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楼板层15cm混凝土（密度不小于2.35g/cm³）+钢架龙骨+15mm厚硫酸钡防辐射板+1mmPb铅板+铝扣板吊顶</w:t>
                  </w:r>
                </w:p>
              </w:tc>
              <w:tc>
                <w:tcPr>
                  <w:tcW w:w="793" w:type="pct"/>
                  <w:vAlign w:val="center"/>
                </w:tcPr>
                <w:p w14:paraId="1E16ED2C">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eastAsia" w:cs="Times New Roman"/>
                      <w:b w:val="0"/>
                      <w:snapToGrid w:val="0"/>
                      <w:color w:val="auto"/>
                      <w:kern w:val="0"/>
                      <w:sz w:val="21"/>
                      <w:szCs w:val="21"/>
                      <w:lang w:val="en-US" w:eastAsia="zh-CN" w:bidi="ar-SA"/>
                    </w:rPr>
                    <w:t>3.77</w:t>
                  </w:r>
                  <w:r>
                    <w:rPr>
                      <w:rFonts w:hint="default" w:ascii="Times New Roman" w:hAnsi="Times New Roman" w:eastAsia="宋体" w:cs="Times New Roman"/>
                      <w:color w:val="auto"/>
                      <w:sz w:val="21"/>
                      <w:szCs w:val="21"/>
                    </w:rPr>
                    <w:t>mmPb</w:t>
                  </w:r>
                </w:p>
              </w:tc>
              <w:tc>
                <w:tcPr>
                  <w:tcW w:w="578" w:type="pct"/>
                  <w:vAlign w:val="center"/>
                </w:tcPr>
                <w:p w14:paraId="6C571998">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2.0mmPb</w:t>
                  </w:r>
                </w:p>
              </w:tc>
              <w:tc>
                <w:tcPr>
                  <w:tcW w:w="558" w:type="pct"/>
                  <w:vAlign w:val="center"/>
                </w:tcPr>
                <w:p w14:paraId="437D86A9">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达标</w:t>
                  </w:r>
                </w:p>
              </w:tc>
            </w:tr>
            <w:tr w14:paraId="36E489C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34" w:hRule="atLeast"/>
              </w:trPr>
              <w:tc>
                <w:tcPr>
                  <w:tcW w:w="900" w:type="pct"/>
                  <w:vAlign w:val="center"/>
                </w:tcPr>
                <w:p w14:paraId="10E04181">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cs="Times New Roman"/>
                      <w:color w:val="auto"/>
                      <w:sz w:val="21"/>
                      <w:szCs w:val="21"/>
                      <w:lang w:val="en-US" w:eastAsia="zh-CN"/>
                    </w:rPr>
                    <w:t>DSA</w:t>
                  </w:r>
                  <w:r>
                    <w:rPr>
                      <w:rFonts w:hint="default" w:ascii="Times New Roman" w:hAnsi="Times New Roman" w:eastAsia="宋体" w:cs="Times New Roman"/>
                      <w:color w:val="auto"/>
                      <w:sz w:val="21"/>
                      <w:szCs w:val="21"/>
                      <w:lang w:val="en-US" w:eastAsia="zh-CN"/>
                    </w:rPr>
                    <w:t>机房</w:t>
                  </w:r>
                  <w:r>
                    <w:rPr>
                      <w:rFonts w:hint="default" w:ascii="Times New Roman" w:hAnsi="Times New Roman" w:eastAsia="宋体" w:cs="Times New Roman"/>
                      <w:color w:val="auto"/>
                      <w:sz w:val="21"/>
                      <w:szCs w:val="21"/>
                    </w:rPr>
                    <w:t>防护门</w:t>
                  </w:r>
                </w:p>
              </w:tc>
              <w:tc>
                <w:tcPr>
                  <w:tcW w:w="2170" w:type="pct"/>
                  <w:vAlign w:val="center"/>
                </w:tcPr>
                <w:p w14:paraId="2E3C8D4C">
                  <w:pPr>
                    <w:pStyle w:val="26"/>
                    <w:keepNext w:val="0"/>
                    <w:keepLines w:val="0"/>
                    <w:suppressLineNumbers w:val="0"/>
                    <w:spacing w:before="0" w:beforeAutospacing="0" w:after="0" w:afterAutospacing="0"/>
                    <w:ind w:left="0" w:right="0" w:firstLine="420" w:firstLineChars="200"/>
                    <w:rPr>
                      <w:rFonts w:hint="default" w:ascii="Times New Roman" w:hAnsi="Times New Roman" w:eastAsia="宋体" w:cs="Times New Roman"/>
                      <w:b w:val="0"/>
                      <w:snapToGrid w:val="0"/>
                      <w:color w:val="auto"/>
                      <w:kern w:val="0"/>
                      <w:sz w:val="21"/>
                      <w:szCs w:val="21"/>
                      <w:lang w:val="en-US" w:eastAsia="zh-CN" w:bidi="ar-SA"/>
                    </w:rPr>
                  </w:pPr>
                  <w:r>
                    <w:rPr>
                      <w:rFonts w:hint="eastAsia" w:cs="Times New Roman"/>
                      <w:color w:val="auto"/>
                      <w:sz w:val="21"/>
                      <w:szCs w:val="21"/>
                      <w:highlight w:val="none"/>
                      <w:lang w:val="en-US" w:eastAsia="zh-CN"/>
                    </w:rPr>
                    <w:t>控制室</w:t>
                  </w:r>
                  <w:r>
                    <w:rPr>
                      <w:rFonts w:hint="default" w:ascii="Times New Roman" w:hAnsi="Times New Roman" w:eastAsia="宋体" w:cs="Times New Roman"/>
                      <w:color w:val="auto"/>
                      <w:sz w:val="21"/>
                      <w:szCs w:val="21"/>
                      <w:highlight w:val="none"/>
                      <w:lang w:val="en-US" w:eastAsia="zh-CN"/>
                    </w:rPr>
                    <w:t>、</w:t>
                  </w:r>
                  <w:r>
                    <w:rPr>
                      <w:rFonts w:hint="eastAsia" w:cs="Times New Roman"/>
                      <w:color w:val="auto"/>
                      <w:sz w:val="21"/>
                      <w:szCs w:val="21"/>
                      <w:highlight w:val="none"/>
                      <w:lang w:val="en-US" w:eastAsia="zh-CN"/>
                    </w:rPr>
                    <w:t>病人缓冲间及污物通道防护</w:t>
                  </w:r>
                  <w:r>
                    <w:rPr>
                      <w:rFonts w:hint="default" w:ascii="Times New Roman" w:hAnsi="Times New Roman" w:eastAsia="宋体" w:cs="Times New Roman"/>
                      <w:color w:val="auto"/>
                      <w:sz w:val="21"/>
                      <w:szCs w:val="21"/>
                      <w:highlight w:val="none"/>
                      <w:lang w:val="en-US" w:eastAsia="zh-CN"/>
                    </w:rPr>
                    <w:t>门铅门</w:t>
                  </w:r>
                </w:p>
              </w:tc>
              <w:tc>
                <w:tcPr>
                  <w:tcW w:w="793" w:type="pct"/>
                  <w:vAlign w:val="center"/>
                </w:tcPr>
                <w:p w14:paraId="7584C5E3">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eastAsia" w:cs="Times New Roman"/>
                      <w:color w:val="auto"/>
                      <w:sz w:val="21"/>
                      <w:szCs w:val="21"/>
                      <w:lang w:val="en-US" w:eastAsia="zh-CN"/>
                    </w:rPr>
                    <w:t>3</w:t>
                  </w:r>
                  <w:r>
                    <w:rPr>
                      <w:rFonts w:hint="default" w:ascii="Times New Roman" w:hAnsi="Times New Roman" w:eastAsia="宋体" w:cs="Times New Roman"/>
                      <w:color w:val="auto"/>
                      <w:sz w:val="21"/>
                      <w:szCs w:val="21"/>
                    </w:rPr>
                    <w:t>mmPb</w:t>
                  </w:r>
                </w:p>
              </w:tc>
              <w:tc>
                <w:tcPr>
                  <w:tcW w:w="578" w:type="pct"/>
                  <w:vAlign w:val="center"/>
                </w:tcPr>
                <w:p w14:paraId="18158FAD">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2.0mmPb</w:t>
                  </w:r>
                </w:p>
              </w:tc>
              <w:tc>
                <w:tcPr>
                  <w:tcW w:w="558" w:type="pct"/>
                  <w:vAlign w:val="center"/>
                </w:tcPr>
                <w:p w14:paraId="56BF452D">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达标</w:t>
                  </w:r>
                </w:p>
              </w:tc>
            </w:tr>
            <w:tr w14:paraId="56927E0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74" w:hRule="atLeast"/>
              </w:trPr>
              <w:tc>
                <w:tcPr>
                  <w:tcW w:w="900" w:type="pct"/>
                  <w:vAlign w:val="center"/>
                </w:tcPr>
                <w:p w14:paraId="2FF12966">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cs="Times New Roman"/>
                      <w:color w:val="auto"/>
                      <w:sz w:val="21"/>
                      <w:szCs w:val="21"/>
                      <w:lang w:val="en-US" w:eastAsia="zh-CN"/>
                    </w:rPr>
                    <w:t>DSA</w:t>
                  </w:r>
                  <w:r>
                    <w:rPr>
                      <w:rFonts w:hint="default" w:ascii="Times New Roman" w:hAnsi="Times New Roman" w:eastAsia="宋体" w:cs="Times New Roman"/>
                      <w:color w:val="auto"/>
                      <w:sz w:val="21"/>
                      <w:szCs w:val="21"/>
                      <w:lang w:val="en-US" w:eastAsia="zh-CN"/>
                    </w:rPr>
                    <w:t>机房</w:t>
                  </w:r>
                  <w:r>
                    <w:rPr>
                      <w:rFonts w:hint="default" w:ascii="Times New Roman" w:hAnsi="Times New Roman" w:eastAsia="宋体" w:cs="Times New Roman"/>
                      <w:color w:val="auto"/>
                      <w:sz w:val="21"/>
                      <w:szCs w:val="21"/>
                    </w:rPr>
                    <w:t>观察窗</w:t>
                  </w:r>
                </w:p>
              </w:tc>
              <w:tc>
                <w:tcPr>
                  <w:tcW w:w="2170" w:type="pct"/>
                  <w:vAlign w:val="center"/>
                </w:tcPr>
                <w:p w14:paraId="558F053B">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铅玻璃窗</w:t>
                  </w:r>
                </w:p>
              </w:tc>
              <w:tc>
                <w:tcPr>
                  <w:tcW w:w="793" w:type="pct"/>
                  <w:vAlign w:val="center"/>
                </w:tcPr>
                <w:p w14:paraId="4EBFBF51">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eastAsia" w:cs="Times New Roman"/>
                      <w:color w:val="auto"/>
                      <w:sz w:val="21"/>
                      <w:szCs w:val="21"/>
                      <w:lang w:val="en-US" w:eastAsia="zh-CN"/>
                    </w:rPr>
                    <w:t>4</w:t>
                  </w:r>
                  <w:r>
                    <w:rPr>
                      <w:rFonts w:hint="default" w:ascii="Times New Roman" w:hAnsi="Times New Roman" w:eastAsia="宋体" w:cs="Times New Roman"/>
                      <w:color w:val="auto"/>
                      <w:sz w:val="21"/>
                      <w:szCs w:val="21"/>
                    </w:rPr>
                    <w:t>mmPb</w:t>
                  </w:r>
                </w:p>
              </w:tc>
              <w:tc>
                <w:tcPr>
                  <w:tcW w:w="578" w:type="pct"/>
                  <w:vAlign w:val="center"/>
                </w:tcPr>
                <w:p w14:paraId="62BBDBE8">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2.0mmPb</w:t>
                  </w:r>
                </w:p>
              </w:tc>
              <w:tc>
                <w:tcPr>
                  <w:tcW w:w="558" w:type="pct"/>
                  <w:vAlign w:val="center"/>
                </w:tcPr>
                <w:p w14:paraId="353F81BF">
                  <w:pPr>
                    <w:pStyle w:val="26"/>
                    <w:keepNext w:val="0"/>
                    <w:keepLines w:val="0"/>
                    <w:suppressLineNumbers w:val="0"/>
                    <w:spacing w:before="0" w:beforeAutospacing="0" w:after="0" w:afterAutospacing="0"/>
                    <w:ind w:left="0" w:right="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达标</w:t>
                  </w:r>
                </w:p>
              </w:tc>
            </w:tr>
          </w:tbl>
          <w:p w14:paraId="5145D59B">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从上表屏蔽防护措施分析可知，本项目机房的屏蔽措施满足《放射诊断放射防护要求》（GBZ130-2020）的要求，从辐射防护的角度是可行的。</w:t>
            </w:r>
          </w:p>
          <w:p w14:paraId="739214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
                <w:bCs/>
                <w:snapToGrid w:val="0"/>
                <w:color w:val="auto"/>
                <w:kern w:val="0"/>
                <w:sz w:val="24"/>
                <w:szCs w:val="24"/>
                <w:lang w:val="en-US" w:eastAsia="zh-CN" w:bidi="ar-SA"/>
              </w:rPr>
            </w:pPr>
            <w:r>
              <w:rPr>
                <w:rFonts w:hint="default" w:ascii="Times New Roman" w:hAnsi="Times New Roman" w:eastAsia="宋体" w:cs="Times New Roman"/>
                <w:color w:val="auto"/>
                <w:sz w:val="24"/>
                <w:szCs w:val="24"/>
              </w:rPr>
              <w:t>另外，医院还应在控制室适当位置张贴了岗位职责和操作规程，机房防护门外张贴电离辐射警告标志，并设置醒目的工作状态指示灯，指示灯和与机房相通的门能有效</w:t>
            </w:r>
            <w:r>
              <w:rPr>
                <w:rFonts w:hint="default" w:ascii="Times New Roman" w:hAnsi="Times New Roman" w:eastAsia="宋体" w:cs="Times New Roman"/>
                <w:color w:val="auto"/>
                <w:sz w:val="24"/>
                <w:szCs w:val="24"/>
                <w:lang w:eastAsia="zh-CN"/>
              </w:rPr>
              <w:t>关联</w:t>
            </w:r>
            <w:r>
              <w:rPr>
                <w:rFonts w:hint="default" w:ascii="Times New Roman" w:hAnsi="Times New Roman" w:eastAsia="宋体" w:cs="Times New Roman"/>
                <w:color w:val="auto"/>
                <w:sz w:val="24"/>
                <w:szCs w:val="24"/>
              </w:rPr>
              <w:t>。</w:t>
            </w:r>
            <w:r>
              <w:rPr>
                <w:rFonts w:hint="default" w:ascii="Times New Roman" w:hAnsi="Times New Roman" w:eastAsia="宋体" w:cs="Times New Roman"/>
                <w:snapToGrid/>
                <w:color w:val="auto"/>
                <w:kern w:val="2"/>
                <w:sz w:val="24"/>
                <w:szCs w:val="24"/>
                <w:lang w:val="en-US" w:eastAsia="zh-CN" w:bidi="ar-SA"/>
              </w:rPr>
              <w:t>医院</w:t>
            </w:r>
            <w:r>
              <w:rPr>
                <w:rFonts w:hint="eastAsia" w:ascii="Times New Roman" w:hAnsi="Times New Roman" w:eastAsia="宋体" w:cs="Times New Roman"/>
                <w:snapToGrid/>
                <w:color w:val="auto"/>
                <w:kern w:val="2"/>
                <w:sz w:val="24"/>
                <w:szCs w:val="24"/>
                <w:lang w:val="en-US" w:eastAsia="zh-CN" w:bidi="ar-SA"/>
              </w:rPr>
              <w:t>现有铅橡胶围裙、铅橡胶颈套、铅防护眼镜等防护用品可以满足本项目使用要求，此外本次评价建议</w:t>
            </w:r>
            <w:r>
              <w:rPr>
                <w:rFonts w:hint="default" w:ascii="Times New Roman" w:hAnsi="Times New Roman" w:eastAsia="宋体" w:cs="Times New Roman"/>
                <w:snapToGrid/>
                <w:color w:val="auto"/>
                <w:kern w:val="2"/>
                <w:sz w:val="24"/>
                <w:szCs w:val="24"/>
                <w:lang w:val="en-US" w:eastAsia="zh-CN" w:bidi="ar-SA"/>
              </w:rPr>
              <w:t>还应为开展介入治疗的医务人员配备</w:t>
            </w:r>
            <w:r>
              <w:rPr>
                <w:rFonts w:hint="eastAsia" w:ascii="Times New Roman" w:hAnsi="Times New Roman" w:eastAsia="宋体" w:cs="Times New Roman"/>
                <w:snapToGrid/>
                <w:color w:val="auto"/>
                <w:kern w:val="2"/>
                <w:sz w:val="24"/>
                <w:szCs w:val="24"/>
                <w:lang w:val="en-US" w:eastAsia="zh-CN" w:bidi="ar-SA"/>
              </w:rPr>
              <w:t>0.025mmPb介入铅橡胶手套</w:t>
            </w:r>
            <w:r>
              <w:rPr>
                <w:rFonts w:hint="default" w:ascii="Times New Roman" w:hAnsi="Times New Roman" w:eastAsia="宋体" w:cs="Times New Roman"/>
                <w:snapToGrid/>
                <w:color w:val="auto"/>
                <w:kern w:val="2"/>
                <w:sz w:val="24"/>
                <w:szCs w:val="24"/>
                <w:lang w:val="en-US" w:eastAsia="zh-CN" w:bidi="ar-SA"/>
              </w:rPr>
              <w:t>、为患者和受检者配备相应的防护用品及铅悬挂防护屏等辅助防护设施。以上屏蔽措施能够有效降低手术室内辐射工作人员的吸收剂量，起到屏蔽防护效果</w:t>
            </w:r>
            <w:r>
              <w:rPr>
                <w:rFonts w:hint="default" w:ascii="Times New Roman" w:hAnsi="Times New Roman" w:eastAsia="宋体" w:cs="Times New Roman"/>
                <w:color w:val="auto"/>
                <w:sz w:val="24"/>
                <w:szCs w:val="24"/>
              </w:rPr>
              <w:t>。</w:t>
            </w:r>
            <w:r>
              <w:rPr>
                <w:rFonts w:hint="default" w:ascii="Times New Roman" w:hAnsi="Times New Roman" w:eastAsia="宋体" w:cs="Times New Roman"/>
                <w:bCs/>
                <w:color w:val="auto"/>
                <w:sz w:val="24"/>
                <w:lang w:val="en-US" w:eastAsia="zh-CN"/>
              </w:rPr>
              <w:t>在DSA设备安装时应充分考虑机器摆位，应尽量避免有用线束直接照射</w:t>
            </w:r>
            <w:r>
              <w:rPr>
                <w:rFonts w:hint="default" w:ascii="Times New Roman" w:hAnsi="Times New Roman" w:eastAsia="宋体" w:cs="Times New Roman"/>
                <w:color w:val="auto"/>
                <w:sz w:val="24"/>
                <w:lang w:val="en-US" w:eastAsia="zh-CN"/>
              </w:rPr>
              <w:t>门、窗、管线口和工作人员操作位。</w:t>
            </w:r>
          </w:p>
          <w:p w14:paraId="2C944F59">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2.2 剂量率和剂量分析</w:t>
            </w:r>
          </w:p>
          <w:p w14:paraId="73A88DE5">
            <w:pPr>
              <w:pStyle w:val="15"/>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（1）剂量率分析</w:t>
            </w:r>
          </w:p>
          <w:p w14:paraId="366F0815">
            <w:pPr>
              <w:pStyle w:val="15"/>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4"/>
                <w:lang w:val="en-US" w:eastAsia="zh-CN" w:bidi="ar-SA"/>
              </w:rPr>
            </w:pPr>
            <w:bookmarkStart w:id="70" w:name="OLE_LINK2"/>
            <w:r>
              <w:rPr>
                <w:rFonts w:hint="default" w:ascii="Times New Roman" w:hAnsi="Times New Roman" w:eastAsia="宋体" w:cs="Times New Roman"/>
                <w:snapToGrid w:val="0"/>
                <w:color w:val="auto"/>
                <w:kern w:val="0"/>
                <w:sz w:val="24"/>
                <w:szCs w:val="24"/>
                <w:lang w:val="en-US" w:eastAsia="zh-CN" w:bidi="ar-SA"/>
              </w:rPr>
              <w:t>为了进一步评价本项目DSA机房外的剂量率，采用类比监测的方法进行评价。类比对象选用怀远荆塗医院1号手术室DSA机房。</w:t>
            </w:r>
          </w:p>
          <w:p w14:paraId="425DC8FD">
            <w:pPr>
              <w:pStyle w:val="15"/>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怀远荆塗医院1号手术室DSA机房的防护措施如下：东墙、南墙、北墙为240mm实心红砖加4cm</w:t>
            </w:r>
            <w:r>
              <w:rPr>
                <w:rFonts w:hint="default" w:ascii="Times New Roman" w:hAnsi="Times New Roman" w:cs="Times New Roman"/>
                <w:snapToGrid w:val="0"/>
                <w:color w:val="auto"/>
                <w:kern w:val="0"/>
                <w:sz w:val="24"/>
                <w:szCs w:val="24"/>
                <w:lang w:val="en-US" w:eastAsia="zh-CN" w:bidi="ar-SA"/>
              </w:rPr>
              <w:t>厚</w:t>
            </w:r>
            <w:r>
              <w:rPr>
                <w:rFonts w:hint="default" w:ascii="Times New Roman" w:hAnsi="Times New Roman" w:eastAsia="宋体" w:cs="Times New Roman"/>
                <w:snapToGrid w:val="0"/>
                <w:color w:val="auto"/>
                <w:kern w:val="0"/>
                <w:sz w:val="24"/>
                <w:szCs w:val="24"/>
                <w:lang w:val="en-US" w:eastAsia="zh-CN" w:bidi="ar-SA"/>
              </w:rPr>
              <w:t>混凝土，西墙为200mm页岩砖加1mmPb铅板，顶板和地板为250mm现浇楼板加3cm</w:t>
            </w:r>
            <w:r>
              <w:rPr>
                <w:rFonts w:hint="default" w:ascii="Times New Roman" w:hAnsi="Times New Roman" w:cs="Times New Roman"/>
                <w:snapToGrid w:val="0"/>
                <w:color w:val="auto"/>
                <w:kern w:val="0"/>
                <w:sz w:val="24"/>
                <w:szCs w:val="24"/>
                <w:lang w:val="en-US" w:eastAsia="zh-CN" w:bidi="ar-SA"/>
              </w:rPr>
              <w:t>厚</w:t>
            </w:r>
            <w:r>
              <w:rPr>
                <w:rFonts w:hint="default" w:ascii="Times New Roman" w:hAnsi="Times New Roman" w:eastAsia="宋体" w:cs="Times New Roman"/>
                <w:snapToGrid w:val="0"/>
                <w:color w:val="auto"/>
                <w:kern w:val="0"/>
                <w:sz w:val="24"/>
                <w:szCs w:val="24"/>
                <w:lang w:val="en-US" w:eastAsia="zh-CN" w:bidi="ar-SA"/>
              </w:rPr>
              <w:t>混凝土，防护门和防护窗铅当量为3mmPb。</w:t>
            </w:r>
          </w:p>
          <w:p w14:paraId="5743A6B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①东墙、南墙、北墙为240mm实心红砖加4cm厚混凝土。240mm实心红砖等效铅当量厚度计算如下：</w:t>
            </w:r>
          </w:p>
          <w:p w14:paraId="657B58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82" w:firstLineChars="200"/>
              <w:jc w:val="center"/>
              <w:textAlignment w:val="auto"/>
              <w:rPr>
                <w:rFonts w:hint="default" w:ascii="Times New Roman" w:hAnsi="Times New Roman" w:eastAsia="宋体" w:cs="Times New Roman"/>
                <w:b/>
                <w:bCs/>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表11-</w:t>
            </w:r>
            <w:r>
              <w:rPr>
                <w:rFonts w:hint="eastAsia" w:ascii="Times New Roman" w:hAnsi="Times New Roman" w:eastAsia="宋体" w:cs="Times New Roman"/>
                <w:b/>
                <w:bCs/>
                <w:snapToGrid w:val="0"/>
                <w:color w:val="auto"/>
                <w:kern w:val="0"/>
                <w:sz w:val="24"/>
                <w:szCs w:val="24"/>
                <w:lang w:val="en-US" w:eastAsia="zh-CN" w:bidi="ar-SA"/>
              </w:rPr>
              <w:t>11</w:t>
            </w:r>
            <w:r>
              <w:rPr>
                <w:rFonts w:hint="default" w:ascii="Times New Roman" w:hAnsi="Times New Roman" w:eastAsia="宋体" w:cs="Times New Roman"/>
                <w:b/>
                <w:bCs/>
                <w:snapToGrid w:val="0"/>
                <w:color w:val="auto"/>
                <w:kern w:val="0"/>
                <w:sz w:val="24"/>
                <w:szCs w:val="24"/>
                <w:lang w:val="en-US" w:eastAsia="zh-CN" w:bidi="ar-SA"/>
              </w:rPr>
              <w:t xml:space="preserve">  240mm砖等效铅当量厚度计算参数及结果一览表</w:t>
            </w:r>
          </w:p>
          <w:tbl>
            <w:tblPr>
              <w:tblStyle w:val="18"/>
              <w:tblW w:w="9549"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6"/>
              <w:gridCol w:w="1589"/>
              <w:gridCol w:w="1587"/>
              <w:gridCol w:w="1585"/>
              <w:gridCol w:w="1572"/>
              <w:gridCol w:w="1610"/>
            </w:tblGrid>
            <w:tr w14:paraId="18A3FCE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67" w:hRule="atLeast"/>
                <w:jc w:val="center"/>
              </w:trPr>
              <w:tc>
                <w:tcPr>
                  <w:tcW w:w="1606" w:type="dxa"/>
                  <w:vMerge w:val="restart"/>
                  <w:vAlign w:val="center"/>
                </w:tcPr>
                <w:p w14:paraId="5386F71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B的计算</w:t>
                  </w:r>
                </w:p>
              </w:tc>
              <w:tc>
                <w:tcPr>
                  <w:tcW w:w="6333" w:type="dxa"/>
                  <w:gridSpan w:val="4"/>
                  <w:vAlign w:val="center"/>
                </w:tcPr>
                <w:p w14:paraId="5075FBE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610" w:type="dxa"/>
                  <w:vAlign w:val="center"/>
                </w:tcPr>
                <w:p w14:paraId="455B85B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69E6095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06" w:type="dxa"/>
                  <w:vMerge w:val="continue"/>
                  <w:vAlign w:val="center"/>
                </w:tcPr>
                <w:p w14:paraId="06E3AD9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9" w:type="dxa"/>
                  <w:vAlign w:val="center"/>
                </w:tcPr>
                <w:p w14:paraId="349F9D9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87" w:type="dxa"/>
                  <w:vAlign w:val="center"/>
                </w:tcPr>
                <w:p w14:paraId="32696F5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85" w:type="dxa"/>
                  <w:vAlign w:val="center"/>
                </w:tcPr>
                <w:p w14:paraId="6788EE7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72" w:type="dxa"/>
                  <w:vAlign w:val="center"/>
                </w:tcPr>
                <w:p w14:paraId="6D2F63E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X（mm砖）</w:t>
                  </w:r>
                </w:p>
              </w:tc>
              <w:tc>
                <w:tcPr>
                  <w:tcW w:w="1610" w:type="dxa"/>
                  <w:vAlign w:val="center"/>
                </w:tcPr>
                <w:p w14:paraId="4BEA198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r>
            <w:tr w14:paraId="5CE1C2A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06" w:type="dxa"/>
                  <w:vMerge w:val="continue"/>
                  <w:vAlign w:val="center"/>
                </w:tcPr>
                <w:p w14:paraId="23952EB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9" w:type="dxa"/>
                  <w:vAlign w:val="center"/>
                </w:tcPr>
                <w:p w14:paraId="07F6D8A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0.02870</w:t>
                  </w:r>
                </w:p>
              </w:tc>
              <w:tc>
                <w:tcPr>
                  <w:tcW w:w="1587" w:type="dxa"/>
                  <w:vAlign w:val="center"/>
                </w:tcPr>
                <w:p w14:paraId="4C23893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0.06700</w:t>
                  </w:r>
                </w:p>
              </w:tc>
              <w:tc>
                <w:tcPr>
                  <w:tcW w:w="1585" w:type="dxa"/>
                  <w:vAlign w:val="center"/>
                </w:tcPr>
                <w:p w14:paraId="7D4211B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1.346</w:t>
                  </w:r>
                </w:p>
              </w:tc>
              <w:tc>
                <w:tcPr>
                  <w:tcW w:w="1572" w:type="dxa"/>
                  <w:vAlign w:val="center"/>
                </w:tcPr>
                <w:p w14:paraId="62ED8A9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240</w:t>
                  </w:r>
                </w:p>
              </w:tc>
              <w:tc>
                <w:tcPr>
                  <w:tcW w:w="1610" w:type="dxa"/>
                  <w:vAlign w:val="center"/>
                </w:tcPr>
                <w:p w14:paraId="5957E38C">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rPr>
                    <w:t>4.17E-04</w:t>
                  </w:r>
                </w:p>
              </w:tc>
            </w:tr>
            <w:tr w14:paraId="4511CBE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06" w:type="dxa"/>
                  <w:vMerge w:val="restart"/>
                  <w:vAlign w:val="center"/>
                </w:tcPr>
                <w:p w14:paraId="36FDEEE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X的计算</w:t>
                  </w:r>
                </w:p>
              </w:tc>
              <w:tc>
                <w:tcPr>
                  <w:tcW w:w="6333" w:type="dxa"/>
                  <w:gridSpan w:val="4"/>
                  <w:vAlign w:val="center"/>
                </w:tcPr>
                <w:p w14:paraId="57EF1EE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610" w:type="dxa"/>
                  <w:vAlign w:val="center"/>
                </w:tcPr>
                <w:p w14:paraId="3E17F38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380384E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06" w:type="dxa"/>
                  <w:vMerge w:val="continue"/>
                  <w:vAlign w:val="center"/>
                </w:tcPr>
                <w:p w14:paraId="3AACCFA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9" w:type="dxa"/>
                  <w:vAlign w:val="center"/>
                </w:tcPr>
                <w:p w14:paraId="3607FED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87" w:type="dxa"/>
                  <w:vAlign w:val="center"/>
                </w:tcPr>
                <w:p w14:paraId="0D4F62D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85" w:type="dxa"/>
                  <w:vAlign w:val="center"/>
                </w:tcPr>
                <w:p w14:paraId="63496B1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72" w:type="dxa"/>
                  <w:vAlign w:val="center"/>
                </w:tcPr>
                <w:p w14:paraId="4B2F71EC">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c>
                <w:tcPr>
                  <w:tcW w:w="1610" w:type="dxa"/>
                  <w:vAlign w:val="center"/>
                </w:tcPr>
                <w:p w14:paraId="517ED36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X（mmPb）</w:t>
                  </w:r>
                </w:p>
              </w:tc>
            </w:tr>
            <w:tr w14:paraId="264A538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06" w:type="dxa"/>
                  <w:vMerge w:val="continue"/>
                  <w:vAlign w:val="center"/>
                </w:tcPr>
                <w:p w14:paraId="0EEDE43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89" w:type="dxa"/>
                  <w:vAlign w:val="center"/>
                </w:tcPr>
                <w:p w14:paraId="02DF534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2.219</w:t>
                  </w:r>
                </w:p>
              </w:tc>
              <w:tc>
                <w:tcPr>
                  <w:tcW w:w="1587" w:type="dxa"/>
                  <w:vAlign w:val="center"/>
                </w:tcPr>
                <w:p w14:paraId="2B34F0F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7.923</w:t>
                  </w:r>
                </w:p>
              </w:tc>
              <w:tc>
                <w:tcPr>
                  <w:tcW w:w="1585" w:type="dxa"/>
                  <w:vAlign w:val="center"/>
                </w:tcPr>
                <w:p w14:paraId="7D556F7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0.5386</w:t>
                  </w:r>
                </w:p>
              </w:tc>
              <w:tc>
                <w:tcPr>
                  <w:tcW w:w="1572" w:type="dxa"/>
                  <w:vAlign w:val="center"/>
                </w:tcPr>
                <w:p w14:paraId="68E038CF">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color w:val="auto"/>
                      <w:sz w:val="21"/>
                      <w:szCs w:val="21"/>
                    </w:rPr>
                    <w:t>4.17E-04</w:t>
                  </w:r>
                </w:p>
              </w:tc>
              <w:tc>
                <w:tcPr>
                  <w:tcW w:w="1610" w:type="dxa"/>
                  <w:vAlign w:val="center"/>
                </w:tcPr>
                <w:p w14:paraId="18EB2C3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2.28</w:t>
                  </w:r>
                </w:p>
              </w:tc>
            </w:tr>
          </w:tbl>
          <w:p w14:paraId="5067BF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4cm厚混凝土等效铅当量厚度计算如下：</w:t>
            </w:r>
          </w:p>
          <w:p w14:paraId="453B54E0">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表11-</w:t>
            </w:r>
            <w:r>
              <w:rPr>
                <w:rFonts w:hint="eastAsia" w:ascii="Times New Roman" w:hAnsi="Times New Roman" w:eastAsia="宋体" w:cs="Times New Roman"/>
                <w:b/>
                <w:bCs/>
                <w:snapToGrid w:val="0"/>
                <w:color w:val="auto"/>
                <w:kern w:val="0"/>
                <w:sz w:val="24"/>
                <w:szCs w:val="24"/>
                <w:lang w:val="en-US" w:eastAsia="zh-CN" w:bidi="ar-SA"/>
              </w:rPr>
              <w:t>12</w:t>
            </w:r>
            <w:r>
              <w:rPr>
                <w:rFonts w:hint="default" w:ascii="Times New Roman" w:hAnsi="Times New Roman" w:eastAsia="宋体" w:cs="Times New Roman"/>
                <w:b/>
                <w:bCs/>
                <w:snapToGrid w:val="0"/>
                <w:color w:val="auto"/>
                <w:kern w:val="0"/>
                <w:sz w:val="24"/>
                <w:szCs w:val="24"/>
                <w:lang w:val="en-US" w:eastAsia="zh-CN" w:bidi="ar-SA"/>
              </w:rPr>
              <w:t xml:space="preserve">  4cm浇混凝土等效铅当量厚度计算参数及结果一览表</w:t>
            </w:r>
          </w:p>
          <w:tbl>
            <w:tblPr>
              <w:tblStyle w:val="18"/>
              <w:tblW w:w="9390"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30"/>
              <w:gridCol w:w="1550"/>
              <w:gridCol w:w="1550"/>
              <w:gridCol w:w="1548"/>
              <w:gridCol w:w="1538"/>
              <w:gridCol w:w="1574"/>
            </w:tblGrid>
            <w:tr w14:paraId="1D95000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30" w:type="dxa"/>
                  <w:vMerge w:val="restart"/>
                  <w:vAlign w:val="center"/>
                </w:tcPr>
                <w:p w14:paraId="5A27929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B的计算</w:t>
                  </w:r>
                </w:p>
              </w:tc>
              <w:tc>
                <w:tcPr>
                  <w:tcW w:w="6186" w:type="dxa"/>
                  <w:gridSpan w:val="4"/>
                  <w:vAlign w:val="center"/>
                </w:tcPr>
                <w:p w14:paraId="1C1A0E6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574" w:type="dxa"/>
                  <w:vAlign w:val="center"/>
                </w:tcPr>
                <w:p w14:paraId="3254287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24363E3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30" w:type="dxa"/>
                  <w:vMerge w:val="continue"/>
                  <w:vAlign w:val="center"/>
                </w:tcPr>
                <w:p w14:paraId="64E30D8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0" w:type="dxa"/>
                  <w:vAlign w:val="center"/>
                </w:tcPr>
                <w:p w14:paraId="7D01406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50" w:type="dxa"/>
                  <w:vAlign w:val="center"/>
                </w:tcPr>
                <w:p w14:paraId="37C8719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48" w:type="dxa"/>
                  <w:vAlign w:val="center"/>
                </w:tcPr>
                <w:p w14:paraId="7DC4260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38" w:type="dxa"/>
                  <w:vAlign w:val="center"/>
                </w:tcPr>
                <w:p w14:paraId="6A6CA23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X（mm砼）</w:t>
                  </w:r>
                </w:p>
              </w:tc>
              <w:tc>
                <w:tcPr>
                  <w:tcW w:w="1574" w:type="dxa"/>
                  <w:vAlign w:val="center"/>
                </w:tcPr>
                <w:p w14:paraId="0265756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r>
            <w:tr w14:paraId="3F595FE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30" w:type="dxa"/>
                  <w:vMerge w:val="continue"/>
                  <w:vAlign w:val="center"/>
                </w:tcPr>
                <w:p w14:paraId="05D681D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0" w:type="dxa"/>
                  <w:vAlign w:val="center"/>
                </w:tcPr>
                <w:p w14:paraId="45507A93">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0.03502</w:t>
                  </w:r>
                </w:p>
              </w:tc>
              <w:tc>
                <w:tcPr>
                  <w:tcW w:w="1550" w:type="dxa"/>
                  <w:vAlign w:val="center"/>
                </w:tcPr>
                <w:p w14:paraId="07A0339E">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0.07113</w:t>
                  </w:r>
                </w:p>
              </w:tc>
              <w:tc>
                <w:tcPr>
                  <w:tcW w:w="1548" w:type="dxa"/>
                  <w:vAlign w:val="center"/>
                </w:tcPr>
                <w:p w14:paraId="3FDBD47B">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0.6974</w:t>
                  </w:r>
                </w:p>
              </w:tc>
              <w:tc>
                <w:tcPr>
                  <w:tcW w:w="1538" w:type="dxa"/>
                  <w:vAlign w:val="center"/>
                </w:tcPr>
                <w:p w14:paraId="792D27B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40</w:t>
                  </w:r>
                </w:p>
              </w:tc>
              <w:tc>
                <w:tcPr>
                  <w:tcW w:w="1574" w:type="dxa"/>
                  <w:vAlign w:val="center"/>
                </w:tcPr>
                <w:p w14:paraId="622F531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7.62E-02</w:t>
                  </w:r>
                </w:p>
              </w:tc>
            </w:tr>
            <w:tr w14:paraId="13B088A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30" w:type="dxa"/>
                  <w:vMerge w:val="restart"/>
                  <w:vAlign w:val="center"/>
                </w:tcPr>
                <w:p w14:paraId="33CBB59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X的计算</w:t>
                  </w:r>
                </w:p>
              </w:tc>
              <w:tc>
                <w:tcPr>
                  <w:tcW w:w="6186" w:type="dxa"/>
                  <w:gridSpan w:val="4"/>
                  <w:vAlign w:val="center"/>
                </w:tcPr>
                <w:p w14:paraId="7149E08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574" w:type="dxa"/>
                  <w:vAlign w:val="center"/>
                </w:tcPr>
                <w:p w14:paraId="008065B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2BF939A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30" w:type="dxa"/>
                  <w:vMerge w:val="continue"/>
                  <w:vAlign w:val="center"/>
                </w:tcPr>
                <w:p w14:paraId="17F7AFF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0" w:type="dxa"/>
                  <w:vAlign w:val="center"/>
                </w:tcPr>
                <w:p w14:paraId="57E49BC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50" w:type="dxa"/>
                  <w:vAlign w:val="center"/>
                </w:tcPr>
                <w:p w14:paraId="0243097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48" w:type="dxa"/>
                  <w:vAlign w:val="center"/>
                </w:tcPr>
                <w:p w14:paraId="181A740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38" w:type="dxa"/>
                  <w:vAlign w:val="center"/>
                </w:tcPr>
                <w:p w14:paraId="5A383F18">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c>
                <w:tcPr>
                  <w:tcW w:w="1574" w:type="dxa"/>
                  <w:vAlign w:val="center"/>
                </w:tcPr>
                <w:p w14:paraId="0A7E5D1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X（mmPb）</w:t>
                  </w:r>
                </w:p>
              </w:tc>
            </w:tr>
            <w:tr w14:paraId="7A68A64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 w:hRule="atLeast"/>
                <w:jc w:val="center"/>
              </w:trPr>
              <w:tc>
                <w:tcPr>
                  <w:tcW w:w="1630" w:type="dxa"/>
                  <w:vMerge w:val="continue"/>
                  <w:vAlign w:val="center"/>
                </w:tcPr>
                <w:p w14:paraId="2DBF637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0" w:type="dxa"/>
                  <w:vAlign w:val="center"/>
                </w:tcPr>
                <w:p w14:paraId="3214F3B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2.219</w:t>
                  </w:r>
                </w:p>
              </w:tc>
              <w:tc>
                <w:tcPr>
                  <w:tcW w:w="1550" w:type="dxa"/>
                  <w:vAlign w:val="center"/>
                </w:tcPr>
                <w:p w14:paraId="6765A5A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7.923</w:t>
                  </w:r>
                </w:p>
              </w:tc>
              <w:tc>
                <w:tcPr>
                  <w:tcW w:w="1548" w:type="dxa"/>
                  <w:vAlign w:val="center"/>
                </w:tcPr>
                <w:p w14:paraId="4E2C851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0.5386</w:t>
                  </w:r>
                </w:p>
              </w:tc>
              <w:tc>
                <w:tcPr>
                  <w:tcW w:w="1538" w:type="dxa"/>
                  <w:vAlign w:val="center"/>
                </w:tcPr>
                <w:p w14:paraId="4CB053A8">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7.62E-02</w:t>
                  </w:r>
                </w:p>
              </w:tc>
              <w:tc>
                <w:tcPr>
                  <w:tcW w:w="1574" w:type="dxa"/>
                  <w:vAlign w:val="center"/>
                </w:tcPr>
                <w:p w14:paraId="44C09D2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0.42</w:t>
                  </w:r>
                </w:p>
              </w:tc>
            </w:tr>
          </w:tbl>
          <w:p w14:paraId="4527F4B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综上计算可知，东墙、南墙、北墙240mm实心红砖加4cm厚混凝土的等效铅当量厚度约为2.7mmPb。</w:t>
            </w:r>
          </w:p>
          <w:p w14:paraId="5395EE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②西墙为200mm页岩砖加1mmPb铅板。根据类比对象竣工验收报告中国家建筑材料工业安防工程产品质量监督检验测试中心对项目页岩砖的检测结果，页岩砖每厘米厚铅当量为0.086mmPb（125kV，2.50mmAI），则200mm页岩砖+1mmPb铅板等效铅当量约为2.7mmPb。</w:t>
            </w:r>
          </w:p>
          <w:p w14:paraId="358EEAF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③顶板和底板为250mm现浇楼板+3cm厚混凝土。计算如下：</w:t>
            </w:r>
          </w:p>
          <w:p w14:paraId="46B33003">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bCs/>
                <w:snapToGrid w:val="0"/>
                <w:color w:val="auto"/>
                <w:kern w:val="0"/>
                <w:sz w:val="24"/>
                <w:szCs w:val="24"/>
                <w:lang w:val="en-US" w:eastAsia="zh-CN" w:bidi="ar-SA"/>
              </w:rPr>
            </w:pPr>
          </w:p>
          <w:p w14:paraId="64F8B35E">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bCs/>
                <w:snapToGrid w:val="0"/>
                <w:color w:val="auto"/>
                <w:kern w:val="0"/>
                <w:sz w:val="24"/>
                <w:szCs w:val="24"/>
                <w:lang w:val="en-US" w:eastAsia="zh-CN" w:bidi="ar-SA"/>
              </w:rPr>
            </w:pPr>
          </w:p>
          <w:p w14:paraId="5C71C559">
            <w:pPr>
              <w:pStyle w:val="2"/>
              <w:rPr>
                <w:rFonts w:hint="default" w:ascii="Times New Roman" w:hAnsi="Times New Roman" w:eastAsia="宋体" w:cs="Times New Roman"/>
                <w:b/>
                <w:bCs/>
                <w:snapToGrid w:val="0"/>
                <w:color w:val="auto"/>
                <w:kern w:val="0"/>
                <w:sz w:val="24"/>
                <w:szCs w:val="24"/>
                <w:lang w:val="en-US" w:eastAsia="zh-CN" w:bidi="ar-SA"/>
              </w:rPr>
            </w:pPr>
          </w:p>
          <w:p w14:paraId="7DB266F2">
            <w:pPr>
              <w:pStyle w:val="2"/>
              <w:rPr>
                <w:rFonts w:hint="default" w:ascii="Times New Roman" w:hAnsi="Times New Roman" w:eastAsia="宋体" w:cs="Times New Roman"/>
                <w:b/>
                <w:bCs/>
                <w:snapToGrid w:val="0"/>
                <w:color w:val="auto"/>
                <w:kern w:val="0"/>
                <w:sz w:val="24"/>
                <w:szCs w:val="24"/>
                <w:lang w:val="en-US" w:eastAsia="zh-CN" w:bidi="ar-SA"/>
              </w:rPr>
            </w:pPr>
          </w:p>
          <w:p w14:paraId="0B07FE15">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bCs/>
                <w:snapToGrid w:val="0"/>
                <w:color w:val="auto"/>
                <w:kern w:val="0"/>
                <w:sz w:val="24"/>
                <w:szCs w:val="24"/>
                <w:lang w:val="en-US" w:eastAsia="zh-CN" w:bidi="ar-SA"/>
              </w:rPr>
            </w:pPr>
          </w:p>
          <w:p w14:paraId="0B2109AE">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bCs/>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表11-</w:t>
            </w:r>
            <w:r>
              <w:rPr>
                <w:rFonts w:hint="eastAsia" w:ascii="Times New Roman" w:hAnsi="Times New Roman" w:eastAsia="宋体" w:cs="Times New Roman"/>
                <w:b/>
                <w:bCs/>
                <w:snapToGrid w:val="0"/>
                <w:color w:val="auto"/>
                <w:kern w:val="0"/>
                <w:sz w:val="24"/>
                <w:szCs w:val="24"/>
                <w:lang w:val="en-US" w:eastAsia="zh-CN" w:bidi="ar-SA"/>
              </w:rPr>
              <w:t>13</w:t>
            </w:r>
            <w:r>
              <w:rPr>
                <w:rFonts w:hint="default" w:ascii="Times New Roman" w:hAnsi="Times New Roman" w:eastAsia="宋体" w:cs="Times New Roman"/>
                <w:b/>
                <w:bCs/>
                <w:snapToGrid w:val="0"/>
                <w:color w:val="auto"/>
                <w:kern w:val="0"/>
                <w:sz w:val="24"/>
                <w:szCs w:val="24"/>
                <w:lang w:val="en-US" w:eastAsia="zh-CN" w:bidi="ar-SA"/>
              </w:rPr>
              <w:t xml:space="preserve">  顶板和底板等效铅当量厚度计算参数及结果一览表</w:t>
            </w:r>
          </w:p>
          <w:tbl>
            <w:tblPr>
              <w:tblStyle w:val="18"/>
              <w:tblW w:w="9329"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569"/>
              <w:gridCol w:w="1551"/>
              <w:gridCol w:w="1551"/>
              <w:gridCol w:w="1549"/>
              <w:gridCol w:w="1536"/>
              <w:gridCol w:w="1573"/>
            </w:tblGrid>
            <w:tr w14:paraId="1485716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33" w:hRule="atLeast"/>
                <w:jc w:val="center"/>
              </w:trPr>
              <w:tc>
                <w:tcPr>
                  <w:tcW w:w="1569" w:type="dxa"/>
                  <w:vMerge w:val="restart"/>
                  <w:vAlign w:val="center"/>
                </w:tcPr>
                <w:p w14:paraId="22B1171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B的计算</w:t>
                  </w:r>
                </w:p>
              </w:tc>
              <w:tc>
                <w:tcPr>
                  <w:tcW w:w="6187" w:type="dxa"/>
                  <w:gridSpan w:val="4"/>
                  <w:vAlign w:val="center"/>
                </w:tcPr>
                <w:p w14:paraId="11C046A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573" w:type="dxa"/>
                  <w:vAlign w:val="center"/>
                </w:tcPr>
                <w:p w14:paraId="0C7256C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45E7EFA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76" w:hRule="atLeast"/>
                <w:jc w:val="center"/>
              </w:trPr>
              <w:tc>
                <w:tcPr>
                  <w:tcW w:w="1569" w:type="dxa"/>
                  <w:vMerge w:val="continue"/>
                  <w:vAlign w:val="center"/>
                </w:tcPr>
                <w:p w14:paraId="018878D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1" w:type="dxa"/>
                  <w:vAlign w:val="center"/>
                </w:tcPr>
                <w:p w14:paraId="342003B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51" w:type="dxa"/>
                  <w:vAlign w:val="center"/>
                </w:tcPr>
                <w:p w14:paraId="3F0FBB3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49" w:type="dxa"/>
                  <w:vAlign w:val="center"/>
                </w:tcPr>
                <w:p w14:paraId="27BFDDF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36" w:type="dxa"/>
                  <w:vAlign w:val="center"/>
                </w:tcPr>
                <w:p w14:paraId="1BABEB2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X（mm砼）</w:t>
                  </w:r>
                </w:p>
              </w:tc>
              <w:tc>
                <w:tcPr>
                  <w:tcW w:w="1573" w:type="dxa"/>
                  <w:vAlign w:val="center"/>
                </w:tcPr>
                <w:p w14:paraId="52E26A6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r>
            <w:tr w14:paraId="314C313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5" w:hRule="atLeast"/>
                <w:jc w:val="center"/>
              </w:trPr>
              <w:tc>
                <w:tcPr>
                  <w:tcW w:w="1569" w:type="dxa"/>
                  <w:vMerge w:val="continue"/>
                  <w:vAlign w:val="center"/>
                </w:tcPr>
                <w:p w14:paraId="1CA5276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1" w:type="dxa"/>
                  <w:vAlign w:val="center"/>
                </w:tcPr>
                <w:p w14:paraId="0BB8EAF1">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0.03502</w:t>
                  </w:r>
                </w:p>
              </w:tc>
              <w:tc>
                <w:tcPr>
                  <w:tcW w:w="1551" w:type="dxa"/>
                  <w:vAlign w:val="center"/>
                </w:tcPr>
                <w:p w14:paraId="0788D6AD">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0.07113</w:t>
                  </w:r>
                </w:p>
              </w:tc>
              <w:tc>
                <w:tcPr>
                  <w:tcW w:w="1549" w:type="dxa"/>
                  <w:vAlign w:val="center"/>
                </w:tcPr>
                <w:p w14:paraId="525A62D2">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0.6974</w:t>
                  </w:r>
                </w:p>
              </w:tc>
              <w:tc>
                <w:tcPr>
                  <w:tcW w:w="1536" w:type="dxa"/>
                  <w:vAlign w:val="center"/>
                </w:tcPr>
                <w:p w14:paraId="71113A4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280</w:t>
                  </w:r>
                </w:p>
              </w:tc>
              <w:tc>
                <w:tcPr>
                  <w:tcW w:w="1573" w:type="dxa"/>
                  <w:vAlign w:val="center"/>
                </w:tcPr>
                <w:p w14:paraId="1F60B99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1.13E-05</w:t>
                  </w:r>
                </w:p>
              </w:tc>
            </w:tr>
            <w:tr w14:paraId="4B11BD8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5" w:hRule="atLeast"/>
                <w:jc w:val="center"/>
              </w:trPr>
              <w:tc>
                <w:tcPr>
                  <w:tcW w:w="1569" w:type="dxa"/>
                  <w:vMerge w:val="restart"/>
                  <w:vAlign w:val="center"/>
                </w:tcPr>
                <w:p w14:paraId="0514AD0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X的计算</w:t>
                  </w:r>
                </w:p>
              </w:tc>
              <w:tc>
                <w:tcPr>
                  <w:tcW w:w="6187" w:type="dxa"/>
                  <w:gridSpan w:val="4"/>
                  <w:vAlign w:val="center"/>
                </w:tcPr>
                <w:p w14:paraId="3D9E264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参数</w:t>
                  </w:r>
                </w:p>
              </w:tc>
              <w:tc>
                <w:tcPr>
                  <w:tcW w:w="1573" w:type="dxa"/>
                  <w:vAlign w:val="center"/>
                </w:tcPr>
                <w:p w14:paraId="30816B5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结果</w:t>
                  </w:r>
                </w:p>
              </w:tc>
            </w:tr>
            <w:tr w14:paraId="181B987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5" w:hRule="atLeast"/>
                <w:jc w:val="center"/>
              </w:trPr>
              <w:tc>
                <w:tcPr>
                  <w:tcW w:w="1569" w:type="dxa"/>
                  <w:vMerge w:val="continue"/>
                  <w:vAlign w:val="center"/>
                </w:tcPr>
                <w:p w14:paraId="580171A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1" w:type="dxa"/>
                  <w:vAlign w:val="center"/>
                </w:tcPr>
                <w:p w14:paraId="3CF5C77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α</w:t>
                  </w:r>
                </w:p>
              </w:tc>
              <w:tc>
                <w:tcPr>
                  <w:tcW w:w="1551" w:type="dxa"/>
                  <w:vAlign w:val="center"/>
                </w:tcPr>
                <w:p w14:paraId="4536E86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β</w:t>
                  </w:r>
                </w:p>
              </w:tc>
              <w:tc>
                <w:tcPr>
                  <w:tcW w:w="1549" w:type="dxa"/>
                  <w:vAlign w:val="center"/>
                </w:tcPr>
                <w:p w14:paraId="189FDCF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γ</w:t>
                  </w:r>
                </w:p>
              </w:tc>
              <w:tc>
                <w:tcPr>
                  <w:tcW w:w="1536" w:type="dxa"/>
                  <w:vAlign w:val="center"/>
                </w:tcPr>
                <w:p w14:paraId="02947BFF">
                  <w:pPr>
                    <w:keepNext w:val="0"/>
                    <w:keepLines w:val="0"/>
                    <w:widowControl w:val="0"/>
                    <w:suppressLineNumbers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B</w:t>
                  </w:r>
                </w:p>
              </w:tc>
              <w:tc>
                <w:tcPr>
                  <w:tcW w:w="1573" w:type="dxa"/>
                  <w:vAlign w:val="center"/>
                </w:tcPr>
                <w:p w14:paraId="4891E98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X（mmPb）</w:t>
                  </w:r>
                </w:p>
              </w:tc>
            </w:tr>
            <w:tr w14:paraId="6F46F06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5" w:hRule="atLeast"/>
                <w:jc w:val="center"/>
              </w:trPr>
              <w:tc>
                <w:tcPr>
                  <w:tcW w:w="1569" w:type="dxa"/>
                  <w:vMerge w:val="continue"/>
                  <w:vAlign w:val="center"/>
                </w:tcPr>
                <w:p w14:paraId="08288FA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p>
              </w:tc>
              <w:tc>
                <w:tcPr>
                  <w:tcW w:w="1551" w:type="dxa"/>
                  <w:vAlign w:val="center"/>
                </w:tcPr>
                <w:p w14:paraId="7B8DFAE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2.219</w:t>
                  </w:r>
                </w:p>
              </w:tc>
              <w:tc>
                <w:tcPr>
                  <w:tcW w:w="1551" w:type="dxa"/>
                  <w:vAlign w:val="center"/>
                </w:tcPr>
                <w:p w14:paraId="38BFD17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7.923</w:t>
                  </w:r>
                </w:p>
              </w:tc>
              <w:tc>
                <w:tcPr>
                  <w:tcW w:w="1549" w:type="dxa"/>
                  <w:vAlign w:val="center"/>
                </w:tcPr>
                <w:p w14:paraId="5DE1364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lang w:val="en-US" w:eastAsia="zh-CN" w:bidi="ar-SA"/>
                    </w:rPr>
                    <w:t>0.5386</w:t>
                  </w:r>
                </w:p>
              </w:tc>
              <w:tc>
                <w:tcPr>
                  <w:tcW w:w="1536" w:type="dxa"/>
                  <w:vAlign w:val="center"/>
                </w:tcPr>
                <w:p w14:paraId="049FDDCF">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1.13E-05</w:t>
                  </w:r>
                </w:p>
              </w:tc>
              <w:tc>
                <w:tcPr>
                  <w:tcW w:w="1573" w:type="dxa"/>
                  <w:vAlign w:val="center"/>
                </w:tcPr>
                <w:p w14:paraId="535BF7D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3.87</w:t>
                  </w:r>
                </w:p>
              </w:tc>
            </w:tr>
          </w:tbl>
          <w:p w14:paraId="0BA8071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DSA机房类比条件详见下表。</w:t>
            </w:r>
          </w:p>
          <w:p w14:paraId="47E645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表11-1</w:t>
            </w:r>
            <w:r>
              <w:rPr>
                <w:rFonts w:hint="eastAsia" w:ascii="Times New Roman" w:hAnsi="Times New Roman" w:eastAsia="宋体" w:cs="Times New Roman"/>
                <w:b/>
                <w:bCs/>
                <w:snapToGrid w:val="0"/>
                <w:color w:val="auto"/>
                <w:kern w:val="0"/>
                <w:sz w:val="24"/>
                <w:szCs w:val="21"/>
                <w:lang w:val="en-US" w:eastAsia="zh-CN" w:bidi="ar-SA"/>
              </w:rPr>
              <w:t>3</w:t>
            </w:r>
            <w:r>
              <w:rPr>
                <w:rFonts w:hint="default" w:ascii="Times New Roman" w:hAnsi="Times New Roman" w:eastAsia="宋体" w:cs="Times New Roman"/>
                <w:b/>
                <w:bCs/>
                <w:snapToGrid w:val="0"/>
                <w:color w:val="auto"/>
                <w:kern w:val="0"/>
                <w:sz w:val="24"/>
                <w:szCs w:val="21"/>
                <w:lang w:val="en-US" w:eastAsia="zh-CN" w:bidi="ar-SA"/>
              </w:rPr>
              <w:t xml:space="preserve">  类比条件对照一览表</w:t>
            </w:r>
          </w:p>
          <w:tbl>
            <w:tblPr>
              <w:tblStyle w:val="18"/>
              <w:tblW w:w="9399"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160"/>
              <w:gridCol w:w="3883"/>
              <w:gridCol w:w="4356"/>
            </w:tblGrid>
            <w:tr w14:paraId="1479CDE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59BA24E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项目</w:t>
                  </w:r>
                </w:p>
              </w:tc>
              <w:tc>
                <w:tcPr>
                  <w:tcW w:w="2065" w:type="pct"/>
                  <w:vAlign w:val="center"/>
                </w:tcPr>
                <w:p w14:paraId="488593F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类比对象</w:t>
                  </w:r>
                </w:p>
              </w:tc>
              <w:tc>
                <w:tcPr>
                  <w:tcW w:w="2317" w:type="pct"/>
                  <w:vAlign w:val="center"/>
                </w:tcPr>
                <w:p w14:paraId="5DA76BA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本项目</w:t>
                  </w:r>
                  <w:r>
                    <w:rPr>
                      <w:rFonts w:hint="default" w:ascii="Times New Roman" w:hAnsi="Times New Roman" w:eastAsia="宋体" w:cs="Times New Roman"/>
                      <w:b w:val="0"/>
                      <w:snapToGrid w:val="0"/>
                      <w:color w:val="auto"/>
                      <w:kern w:val="0"/>
                      <w:sz w:val="21"/>
                      <w:szCs w:val="21"/>
                      <w:lang w:val="en-US" w:eastAsia="zh-CN" w:bidi="ar-SA"/>
                    </w:rPr>
                    <w:t>DSA机房</w:t>
                  </w:r>
                </w:p>
              </w:tc>
            </w:tr>
            <w:tr w14:paraId="4485228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2A93F9D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设备型号</w:t>
                  </w:r>
                </w:p>
              </w:tc>
              <w:tc>
                <w:tcPr>
                  <w:tcW w:w="2065" w:type="pct"/>
                  <w:vAlign w:val="center"/>
                </w:tcPr>
                <w:p w14:paraId="03B0657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UNIQ FD20</w:t>
                  </w:r>
                </w:p>
              </w:tc>
              <w:tc>
                <w:tcPr>
                  <w:tcW w:w="2317" w:type="pct"/>
                  <w:vAlign w:val="center"/>
                </w:tcPr>
                <w:p w14:paraId="0E1FA25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highlight w:val="none"/>
                      <w:lang w:val="en-US" w:eastAsia="zh-CN"/>
                    </w:rPr>
                    <w:t>Azurion</w:t>
                  </w:r>
                  <w:r>
                    <w:rPr>
                      <w:rFonts w:hint="eastAsia" w:ascii="Times New Roman" w:hAnsi="Times New Roman" w:eastAsia="宋体" w:cs="Times New Roman"/>
                      <w:color w:val="auto"/>
                      <w:sz w:val="21"/>
                      <w:szCs w:val="21"/>
                      <w:highlight w:val="none"/>
                      <w:lang w:val="en-US" w:eastAsia="zh-CN"/>
                    </w:rPr>
                    <w:t xml:space="preserve"> </w:t>
                  </w:r>
                  <w:r>
                    <w:rPr>
                      <w:rFonts w:hint="default" w:ascii="Times New Roman" w:hAnsi="Times New Roman" w:eastAsia="宋体" w:cs="Times New Roman"/>
                      <w:color w:val="auto"/>
                      <w:sz w:val="21"/>
                      <w:szCs w:val="21"/>
                      <w:highlight w:val="none"/>
                      <w:lang w:val="en-US" w:eastAsia="zh-CN"/>
                    </w:rPr>
                    <w:t>3M15</w:t>
                  </w:r>
                </w:p>
              </w:tc>
            </w:tr>
            <w:tr w14:paraId="1DAEEE7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490A8A1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设备参数</w:t>
                  </w:r>
                </w:p>
              </w:tc>
              <w:tc>
                <w:tcPr>
                  <w:tcW w:w="2065" w:type="pct"/>
                  <w:vAlign w:val="center"/>
                </w:tcPr>
                <w:p w14:paraId="40ECC2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最大管电压125kV、最大管电流1000mA</w:t>
                  </w:r>
                </w:p>
              </w:tc>
              <w:tc>
                <w:tcPr>
                  <w:tcW w:w="2317" w:type="pct"/>
                  <w:vAlign w:val="center"/>
                </w:tcPr>
                <w:p w14:paraId="378295D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最大管电压125kV、最大管电流1000mA</w:t>
                  </w:r>
                </w:p>
              </w:tc>
            </w:tr>
            <w:tr w14:paraId="22F2712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60" w:hRule="atLeast"/>
                <w:jc w:val="center"/>
              </w:trPr>
              <w:tc>
                <w:tcPr>
                  <w:tcW w:w="617" w:type="pct"/>
                  <w:vMerge w:val="restart"/>
                  <w:vAlign w:val="center"/>
                </w:tcPr>
                <w:p w14:paraId="205327A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屏蔽墙体</w:t>
                  </w:r>
                </w:p>
              </w:tc>
              <w:tc>
                <w:tcPr>
                  <w:tcW w:w="2065" w:type="pct"/>
                  <w:vMerge w:val="restart"/>
                  <w:vAlign w:val="center"/>
                </w:tcPr>
                <w:p w14:paraId="04C20B0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东墙、南墙、北墙：240mm实心红砖+4cm厚混凝土，约2.7mmPb；西墙：200mm页岩砖+1mmPb铅板，约2.7mmPb</w:t>
                  </w:r>
                </w:p>
              </w:tc>
              <w:tc>
                <w:tcPr>
                  <w:tcW w:w="4356" w:type="dxa"/>
                  <w:vAlign w:val="center"/>
                </w:tcPr>
                <w:p w14:paraId="5458E435">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highlight w:val="none"/>
                      <w:lang w:val="en-US" w:eastAsia="zh-CN"/>
                    </w:rPr>
                    <w:t>机房南侧内部新建240mm厚实心砖墙(机房与设备间隔断)+粉刷30mm厚硫酸钡水泥+墙面装饰板</w:t>
                  </w:r>
                  <w:r>
                    <w:rPr>
                      <w:rFonts w:hint="default" w:ascii="Times New Roman" w:hAnsi="Times New Roman" w:eastAsia="宋体" w:cs="Times New Roman"/>
                      <w:b w:val="0"/>
                      <w:snapToGrid w:val="0"/>
                      <w:color w:val="auto"/>
                      <w:kern w:val="0"/>
                      <w:sz w:val="21"/>
                      <w:szCs w:val="21"/>
                      <w:lang w:val="en-US" w:eastAsia="zh-CN" w:bidi="ar-SA"/>
                    </w:rPr>
                    <w:t>，约</w:t>
                  </w:r>
                  <w:r>
                    <w:rPr>
                      <w:rFonts w:hint="eastAsia" w:ascii="Times New Roman" w:hAnsi="Times New Roman" w:cs="Times New Roman"/>
                      <w:b w:val="0"/>
                      <w:snapToGrid w:val="0"/>
                      <w:color w:val="auto"/>
                      <w:kern w:val="0"/>
                      <w:sz w:val="21"/>
                      <w:szCs w:val="21"/>
                      <w:lang w:val="en-US" w:eastAsia="zh-CN" w:bidi="ar-SA"/>
                    </w:rPr>
                    <w:t>5.11</w:t>
                  </w:r>
                  <w:r>
                    <w:rPr>
                      <w:rFonts w:hint="default" w:ascii="Times New Roman" w:hAnsi="Times New Roman" w:eastAsia="宋体" w:cs="Times New Roman"/>
                      <w:b w:val="0"/>
                      <w:snapToGrid w:val="0"/>
                      <w:color w:val="auto"/>
                      <w:kern w:val="0"/>
                      <w:sz w:val="21"/>
                      <w:szCs w:val="21"/>
                      <w:lang w:val="en-US" w:eastAsia="zh-CN" w:bidi="ar-SA"/>
                    </w:rPr>
                    <w:t>mmPb</w:t>
                  </w:r>
                </w:p>
              </w:tc>
            </w:tr>
            <w:tr w14:paraId="2CF5CE0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60" w:hRule="atLeast"/>
                <w:jc w:val="center"/>
              </w:trPr>
              <w:tc>
                <w:tcPr>
                  <w:tcW w:w="617" w:type="pct"/>
                  <w:vMerge w:val="continue"/>
                  <w:vAlign w:val="center"/>
                </w:tcPr>
                <w:p w14:paraId="3954CAEB">
                  <w:pPr>
                    <w:keepNext w:val="0"/>
                    <w:keepLines w:val="0"/>
                    <w:widowControl w:val="0"/>
                    <w:suppressLineNumbers w:val="0"/>
                    <w:spacing w:before="0" w:beforeAutospacing="0" w:after="0" w:afterAutospacing="0" w:line="240" w:lineRule="auto"/>
                    <w:ind w:left="0" w:right="0" w:firstLine="0" w:firstLineChars="0"/>
                    <w:jc w:val="center"/>
                    <w:rPr>
                      <w:rFonts w:hint="default"/>
                    </w:rPr>
                  </w:pPr>
                </w:p>
              </w:tc>
              <w:tc>
                <w:tcPr>
                  <w:tcW w:w="2065" w:type="pct"/>
                  <w:vMerge w:val="continue"/>
                  <w:vAlign w:val="center"/>
                </w:tcPr>
                <w:p w14:paraId="7DD167EB">
                  <w:pPr>
                    <w:keepNext w:val="0"/>
                    <w:keepLines w:val="0"/>
                    <w:widowControl w:val="0"/>
                    <w:suppressLineNumbers w:val="0"/>
                    <w:spacing w:before="0" w:beforeAutospacing="0" w:after="0" w:afterAutospacing="0" w:line="240" w:lineRule="auto"/>
                    <w:ind w:left="0" w:right="0" w:firstLine="0" w:firstLineChars="0"/>
                    <w:jc w:val="center"/>
                    <w:rPr>
                      <w:rFonts w:hint="default"/>
                    </w:rPr>
                  </w:pPr>
                </w:p>
              </w:tc>
              <w:tc>
                <w:tcPr>
                  <w:tcW w:w="4356" w:type="dxa"/>
                  <w:vAlign w:val="center"/>
                </w:tcPr>
                <w:p w14:paraId="7A7B989D">
                  <w:pPr>
                    <w:pStyle w:val="26"/>
                    <w:keepNext w:val="0"/>
                    <w:keepLines w:val="0"/>
                    <w:suppressLineNumbers w:val="0"/>
                    <w:spacing w:before="0" w:beforeAutospacing="0" w:after="0" w:afterAutospacing="0"/>
                    <w:ind w:left="0" w:leftChars="0" w:right="0" w:rightChars="0" w:firstLine="0" w:firstLineChars="0"/>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东、西、北三面墙加砌120mm厚实心砖墙+粉刷30mm厚硫酸钡水泥+墙面装饰板</w:t>
                  </w:r>
                  <w:r>
                    <w:rPr>
                      <w:rFonts w:hint="default" w:ascii="Times New Roman" w:hAnsi="Times New Roman" w:eastAsia="宋体" w:cs="Times New Roman"/>
                      <w:b w:val="0"/>
                      <w:snapToGrid w:val="0"/>
                      <w:color w:val="auto"/>
                      <w:kern w:val="0"/>
                      <w:sz w:val="21"/>
                      <w:szCs w:val="21"/>
                      <w:lang w:val="en-US" w:eastAsia="zh-CN" w:bidi="ar-SA"/>
                    </w:rPr>
                    <w:t>，约</w:t>
                  </w:r>
                  <w:r>
                    <w:rPr>
                      <w:rFonts w:hint="eastAsia" w:ascii="Times New Roman" w:hAnsi="Times New Roman" w:cs="Times New Roman"/>
                      <w:b w:val="0"/>
                      <w:snapToGrid w:val="0"/>
                      <w:color w:val="auto"/>
                      <w:kern w:val="0"/>
                      <w:sz w:val="21"/>
                      <w:szCs w:val="21"/>
                      <w:lang w:val="en-US" w:eastAsia="zh-CN" w:bidi="ar-SA"/>
                    </w:rPr>
                    <w:t>3.76</w:t>
                  </w:r>
                  <w:r>
                    <w:rPr>
                      <w:rFonts w:hint="default" w:ascii="Times New Roman" w:hAnsi="Times New Roman" w:eastAsia="宋体" w:cs="Times New Roman"/>
                      <w:b w:val="0"/>
                      <w:snapToGrid w:val="0"/>
                      <w:color w:val="auto"/>
                      <w:kern w:val="0"/>
                      <w:sz w:val="21"/>
                      <w:szCs w:val="21"/>
                      <w:lang w:val="en-US" w:eastAsia="zh-CN" w:bidi="ar-SA"/>
                    </w:rPr>
                    <w:t>mmPb</w:t>
                  </w:r>
                </w:p>
              </w:tc>
            </w:tr>
            <w:tr w14:paraId="7B4279F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3DDADEC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顶板</w:t>
                  </w:r>
                </w:p>
              </w:tc>
              <w:tc>
                <w:tcPr>
                  <w:tcW w:w="2065" w:type="pct"/>
                  <w:vAlign w:val="center"/>
                </w:tcPr>
                <w:p w14:paraId="2EF57C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250mm现浇楼板+3cm厚混凝土，约</w:t>
                  </w:r>
                  <w:r>
                    <w:rPr>
                      <w:rFonts w:hint="eastAsia" w:ascii="Times New Roman" w:hAnsi="Times New Roman" w:eastAsia="宋体" w:cs="Times New Roman"/>
                      <w:b w:val="0"/>
                      <w:snapToGrid w:val="0"/>
                      <w:color w:val="auto"/>
                      <w:kern w:val="0"/>
                      <w:sz w:val="21"/>
                      <w:szCs w:val="21"/>
                      <w:lang w:val="en-US" w:eastAsia="zh-CN" w:bidi="ar-SA"/>
                    </w:rPr>
                    <w:t>3.87</w:t>
                  </w:r>
                  <w:r>
                    <w:rPr>
                      <w:rFonts w:hint="default" w:ascii="Times New Roman" w:hAnsi="Times New Roman" w:eastAsia="宋体" w:cs="Times New Roman"/>
                      <w:b w:val="0"/>
                      <w:snapToGrid w:val="0"/>
                      <w:color w:val="auto"/>
                      <w:kern w:val="0"/>
                      <w:sz w:val="21"/>
                      <w:szCs w:val="21"/>
                      <w:lang w:val="en-US" w:eastAsia="zh-CN" w:bidi="ar-SA"/>
                    </w:rPr>
                    <w:t>mmPb</w:t>
                  </w:r>
                </w:p>
              </w:tc>
              <w:tc>
                <w:tcPr>
                  <w:tcW w:w="2317" w:type="pct"/>
                  <w:vAlign w:val="center"/>
                </w:tcPr>
                <w:p w14:paraId="31AE699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vertAlign w:val="baseline"/>
                      <w:lang w:val="en-US" w:eastAsia="zh-CN"/>
                    </w:rPr>
                    <w:t>楼板层15cm混凝土（密度不小于2.35g/cm³）+钢架龙骨+15mm厚硫酸钡防辐射板+1mmPb铅板+铝扣板吊顶</w:t>
                  </w:r>
                  <w:r>
                    <w:rPr>
                      <w:rFonts w:hint="default" w:ascii="Times New Roman" w:hAnsi="Times New Roman" w:eastAsia="宋体" w:cs="Times New Roman"/>
                      <w:b w:val="0"/>
                      <w:snapToGrid w:val="0"/>
                      <w:color w:val="auto"/>
                      <w:kern w:val="0"/>
                      <w:sz w:val="21"/>
                      <w:szCs w:val="21"/>
                      <w:lang w:val="en-US" w:eastAsia="zh-CN" w:bidi="ar-SA"/>
                    </w:rPr>
                    <w:t>，3.</w:t>
                  </w:r>
                  <w:r>
                    <w:rPr>
                      <w:rFonts w:hint="eastAsia" w:ascii="Times New Roman" w:hAnsi="Times New Roman" w:eastAsia="宋体" w:cs="Times New Roman"/>
                      <w:b w:val="0"/>
                      <w:snapToGrid w:val="0"/>
                      <w:color w:val="auto"/>
                      <w:kern w:val="0"/>
                      <w:sz w:val="21"/>
                      <w:szCs w:val="21"/>
                      <w:lang w:val="en-US" w:eastAsia="zh-CN" w:bidi="ar-SA"/>
                    </w:rPr>
                    <w:t>7</w:t>
                  </w:r>
                  <w:r>
                    <w:rPr>
                      <w:rFonts w:hint="default" w:ascii="Times New Roman" w:hAnsi="Times New Roman" w:eastAsia="宋体" w:cs="Times New Roman"/>
                      <w:b w:val="0"/>
                      <w:snapToGrid w:val="0"/>
                      <w:color w:val="auto"/>
                      <w:kern w:val="0"/>
                      <w:sz w:val="21"/>
                      <w:szCs w:val="21"/>
                      <w:lang w:val="en-US" w:eastAsia="zh-CN" w:bidi="ar-SA"/>
                    </w:rPr>
                    <w:t>7mmPb</w:t>
                  </w:r>
                </w:p>
              </w:tc>
            </w:tr>
            <w:tr w14:paraId="2830E53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2680D1C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底板</w:t>
                  </w:r>
                </w:p>
              </w:tc>
              <w:tc>
                <w:tcPr>
                  <w:tcW w:w="2065" w:type="pct"/>
                  <w:vAlign w:val="center"/>
                </w:tcPr>
                <w:p w14:paraId="29F3680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250mm现浇楼板+3cm混凝土，约</w:t>
                  </w:r>
                  <w:r>
                    <w:rPr>
                      <w:rFonts w:hint="eastAsia" w:ascii="Times New Roman" w:hAnsi="Times New Roman" w:eastAsia="宋体" w:cs="Times New Roman"/>
                      <w:b w:val="0"/>
                      <w:snapToGrid w:val="0"/>
                      <w:color w:val="auto"/>
                      <w:kern w:val="0"/>
                      <w:sz w:val="21"/>
                      <w:szCs w:val="21"/>
                      <w:lang w:val="en-US" w:eastAsia="zh-CN" w:bidi="ar-SA"/>
                    </w:rPr>
                    <w:t>3.87</w:t>
                  </w:r>
                  <w:r>
                    <w:rPr>
                      <w:rFonts w:hint="default" w:ascii="Times New Roman" w:hAnsi="Times New Roman" w:eastAsia="宋体" w:cs="Times New Roman"/>
                      <w:b w:val="0"/>
                      <w:snapToGrid w:val="0"/>
                      <w:color w:val="auto"/>
                      <w:kern w:val="0"/>
                      <w:sz w:val="21"/>
                      <w:szCs w:val="21"/>
                      <w:lang w:val="en-US" w:eastAsia="zh-CN" w:bidi="ar-SA"/>
                    </w:rPr>
                    <w:t>mmPb</w:t>
                  </w:r>
                </w:p>
              </w:tc>
              <w:tc>
                <w:tcPr>
                  <w:tcW w:w="2317" w:type="pct"/>
                  <w:vAlign w:val="center"/>
                </w:tcPr>
                <w:p w14:paraId="2CAF23D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cs="Times New Roman"/>
                      <w:sz w:val="21"/>
                      <w:szCs w:val="21"/>
                      <w:highlight w:val="none"/>
                      <w:lang w:val="en-US" w:eastAsia="zh-CN"/>
                    </w:rPr>
                    <w:t>土壤层</w:t>
                  </w:r>
                </w:p>
              </w:tc>
            </w:tr>
            <w:tr w14:paraId="0905B1C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1790A84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防护门</w:t>
                  </w:r>
                </w:p>
              </w:tc>
              <w:tc>
                <w:tcPr>
                  <w:tcW w:w="2065" w:type="pct"/>
                  <w:vAlign w:val="center"/>
                </w:tcPr>
                <w:p w14:paraId="34FC3AF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3.0mmPb</w:t>
                  </w:r>
                </w:p>
              </w:tc>
              <w:tc>
                <w:tcPr>
                  <w:tcW w:w="2317" w:type="pct"/>
                  <w:vAlign w:val="center"/>
                </w:tcPr>
                <w:p w14:paraId="7096CF1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w:t>
                  </w:r>
                  <w:r>
                    <w:rPr>
                      <w:rFonts w:hint="eastAsia" w:ascii="Times New Roman" w:hAnsi="Times New Roman" w:eastAsia="宋体" w:cs="Times New Roman"/>
                      <w:b w:val="0"/>
                      <w:snapToGrid w:val="0"/>
                      <w:color w:val="auto"/>
                      <w:kern w:val="0"/>
                      <w:sz w:val="21"/>
                      <w:szCs w:val="21"/>
                      <w:lang w:val="en-US" w:eastAsia="zh-CN" w:bidi="ar-SA"/>
                    </w:rPr>
                    <w:t>0</w:t>
                  </w:r>
                  <w:r>
                    <w:rPr>
                      <w:rFonts w:hint="default" w:ascii="Times New Roman" w:hAnsi="Times New Roman" w:eastAsia="宋体" w:cs="Times New Roman"/>
                      <w:b w:val="0"/>
                      <w:snapToGrid w:val="0"/>
                      <w:color w:val="auto"/>
                      <w:kern w:val="0"/>
                      <w:sz w:val="21"/>
                      <w:szCs w:val="21"/>
                      <w:lang w:val="en-US" w:eastAsia="zh-CN" w:bidi="ar-SA"/>
                    </w:rPr>
                    <w:t>mmPb</w:t>
                  </w:r>
                </w:p>
              </w:tc>
            </w:tr>
            <w:tr w14:paraId="25761A9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75DE31E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观察窗</w:t>
                  </w:r>
                </w:p>
              </w:tc>
              <w:tc>
                <w:tcPr>
                  <w:tcW w:w="2065" w:type="pct"/>
                  <w:vAlign w:val="center"/>
                </w:tcPr>
                <w:p w14:paraId="03FD95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3.0mmPb</w:t>
                  </w:r>
                </w:p>
              </w:tc>
              <w:tc>
                <w:tcPr>
                  <w:tcW w:w="2317" w:type="pct"/>
                  <w:vAlign w:val="center"/>
                </w:tcPr>
                <w:p w14:paraId="31263D2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4</w:t>
                  </w:r>
                  <w:r>
                    <w:rPr>
                      <w:rFonts w:hint="default" w:ascii="Times New Roman" w:hAnsi="Times New Roman" w:eastAsia="宋体" w:cs="Times New Roman"/>
                      <w:b w:val="0"/>
                      <w:snapToGrid w:val="0"/>
                      <w:color w:val="auto"/>
                      <w:kern w:val="0"/>
                      <w:sz w:val="21"/>
                      <w:szCs w:val="21"/>
                      <w:lang w:val="en-US" w:eastAsia="zh-CN" w:bidi="ar-SA"/>
                    </w:rPr>
                    <w:t>mmPb</w:t>
                  </w:r>
                </w:p>
              </w:tc>
            </w:tr>
            <w:tr w14:paraId="08AC0BC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17" w:type="pct"/>
                  <w:vAlign w:val="center"/>
                </w:tcPr>
                <w:p w14:paraId="242D14C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机房尺寸</w:t>
                  </w:r>
                </w:p>
              </w:tc>
              <w:tc>
                <w:tcPr>
                  <w:tcW w:w="2065" w:type="pct"/>
                  <w:vAlign w:val="center"/>
                </w:tcPr>
                <w:p w14:paraId="5D0D55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vertAlign w:val="superscript"/>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49.2m</w:t>
                  </w:r>
                  <w:r>
                    <w:rPr>
                      <w:rFonts w:hint="default" w:ascii="Times New Roman" w:hAnsi="Times New Roman" w:eastAsia="宋体" w:cs="Times New Roman"/>
                      <w:b w:val="0"/>
                      <w:snapToGrid w:val="0"/>
                      <w:color w:val="auto"/>
                      <w:kern w:val="0"/>
                      <w:sz w:val="21"/>
                      <w:szCs w:val="21"/>
                      <w:vertAlign w:val="superscript"/>
                      <w:lang w:val="en-US" w:eastAsia="zh-CN" w:bidi="ar-SA"/>
                    </w:rPr>
                    <w:t>2</w:t>
                  </w:r>
                </w:p>
                <w:p w14:paraId="5F58CB6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（8.2m×6.0m）</w:t>
                  </w:r>
                </w:p>
              </w:tc>
              <w:tc>
                <w:tcPr>
                  <w:tcW w:w="2317" w:type="pct"/>
                  <w:vAlign w:val="center"/>
                </w:tcPr>
                <w:p w14:paraId="508356B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vertAlign w:val="superscript"/>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38.82</w:t>
                  </w:r>
                  <w:r>
                    <w:rPr>
                      <w:rFonts w:hint="default" w:ascii="Times New Roman" w:hAnsi="Times New Roman" w:eastAsia="宋体" w:cs="Times New Roman"/>
                      <w:b w:val="0"/>
                      <w:snapToGrid w:val="0"/>
                      <w:color w:val="auto"/>
                      <w:kern w:val="0"/>
                      <w:sz w:val="21"/>
                      <w:szCs w:val="21"/>
                      <w:lang w:val="en-US" w:eastAsia="zh-CN" w:bidi="ar-SA"/>
                    </w:rPr>
                    <w:t>m</w:t>
                  </w:r>
                  <w:r>
                    <w:rPr>
                      <w:rFonts w:hint="default" w:ascii="Times New Roman" w:hAnsi="Times New Roman" w:eastAsia="宋体" w:cs="Times New Roman"/>
                      <w:b w:val="0"/>
                      <w:snapToGrid w:val="0"/>
                      <w:color w:val="auto"/>
                      <w:kern w:val="0"/>
                      <w:sz w:val="21"/>
                      <w:szCs w:val="21"/>
                      <w:vertAlign w:val="superscript"/>
                      <w:lang w:val="en-US" w:eastAsia="zh-CN" w:bidi="ar-SA"/>
                    </w:rPr>
                    <w:t>2</w:t>
                  </w:r>
                </w:p>
                <w:p w14:paraId="26B8D58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w:t>
                  </w:r>
                  <w:r>
                    <w:rPr>
                      <w:rFonts w:hint="eastAsia" w:ascii="Times New Roman" w:hAnsi="Times New Roman" w:eastAsia="宋体" w:cs="Times New Roman"/>
                      <w:b w:val="0"/>
                      <w:snapToGrid w:val="0"/>
                      <w:color w:val="auto"/>
                      <w:kern w:val="0"/>
                      <w:sz w:val="21"/>
                      <w:szCs w:val="21"/>
                      <w:lang w:val="en-US" w:eastAsia="zh-CN" w:bidi="ar-SA"/>
                    </w:rPr>
                    <w:t>7.38</w:t>
                  </w:r>
                  <w:r>
                    <w:rPr>
                      <w:rFonts w:hint="default" w:ascii="Times New Roman" w:hAnsi="Times New Roman" w:eastAsia="宋体" w:cs="Times New Roman"/>
                      <w:b w:val="0"/>
                      <w:snapToGrid w:val="0"/>
                      <w:color w:val="auto"/>
                      <w:kern w:val="0"/>
                      <w:sz w:val="21"/>
                      <w:szCs w:val="21"/>
                      <w:lang w:val="en-US" w:eastAsia="zh-CN" w:bidi="ar-SA"/>
                    </w:rPr>
                    <w:t>m×</w:t>
                  </w:r>
                  <w:r>
                    <w:rPr>
                      <w:rFonts w:hint="eastAsia" w:ascii="Times New Roman" w:hAnsi="Times New Roman" w:eastAsia="宋体" w:cs="Times New Roman"/>
                      <w:b w:val="0"/>
                      <w:snapToGrid w:val="0"/>
                      <w:color w:val="auto"/>
                      <w:kern w:val="0"/>
                      <w:sz w:val="21"/>
                      <w:szCs w:val="21"/>
                      <w:lang w:val="en-US" w:eastAsia="zh-CN" w:bidi="ar-SA"/>
                    </w:rPr>
                    <w:t>5.26</w:t>
                  </w:r>
                  <w:r>
                    <w:rPr>
                      <w:rFonts w:hint="default" w:ascii="Times New Roman" w:hAnsi="Times New Roman" w:eastAsia="宋体" w:cs="Times New Roman"/>
                      <w:b w:val="0"/>
                      <w:snapToGrid w:val="0"/>
                      <w:color w:val="auto"/>
                      <w:kern w:val="0"/>
                      <w:sz w:val="21"/>
                      <w:szCs w:val="21"/>
                      <w:lang w:val="en-US" w:eastAsia="zh-CN" w:bidi="ar-SA"/>
                    </w:rPr>
                    <w:t>m）</w:t>
                  </w:r>
                </w:p>
              </w:tc>
            </w:tr>
            <w:bookmarkEnd w:id="70"/>
          </w:tbl>
          <w:p w14:paraId="72278DE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从类比条件对照分析可知：</w:t>
            </w:r>
          </w:p>
          <w:p w14:paraId="364B995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①本项目DSA最大管电压和最大管电流与类比对象相同；</w:t>
            </w:r>
          </w:p>
          <w:p w14:paraId="4D7CDE0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②本项目DSA机房四周墙体、观察窗</w:t>
            </w:r>
            <w:r>
              <w:rPr>
                <w:rFonts w:hint="eastAsia" w:ascii="Times New Roman" w:hAnsi="Times New Roman" w:eastAsia="宋体" w:cs="Times New Roman"/>
                <w:snapToGrid w:val="0"/>
                <w:color w:val="auto"/>
                <w:kern w:val="0"/>
                <w:sz w:val="24"/>
                <w:szCs w:val="24"/>
                <w:lang w:val="en-US" w:eastAsia="zh-CN" w:bidi="ar-SA"/>
              </w:rPr>
              <w:t>和</w:t>
            </w:r>
            <w:r>
              <w:rPr>
                <w:rFonts w:hint="default" w:ascii="Times New Roman" w:hAnsi="Times New Roman" w:eastAsia="宋体" w:cs="Times New Roman"/>
                <w:snapToGrid w:val="0"/>
                <w:color w:val="auto"/>
                <w:kern w:val="0"/>
                <w:sz w:val="24"/>
                <w:szCs w:val="24"/>
                <w:lang w:val="en-US" w:eastAsia="zh-CN" w:bidi="ar-SA"/>
              </w:rPr>
              <w:t>地面</w:t>
            </w:r>
            <w:r>
              <w:rPr>
                <w:rFonts w:hint="eastAsia" w:ascii="Times New Roman" w:hAnsi="Times New Roman" w:eastAsia="宋体" w:cs="Times New Roman"/>
                <w:snapToGrid w:val="0"/>
                <w:color w:val="auto"/>
                <w:kern w:val="0"/>
                <w:sz w:val="24"/>
                <w:szCs w:val="24"/>
                <w:lang w:val="en-US" w:eastAsia="zh-CN" w:bidi="ar-SA"/>
              </w:rPr>
              <w:t>优于类比对象，</w:t>
            </w:r>
            <w:r>
              <w:rPr>
                <w:rFonts w:hint="default" w:ascii="Times New Roman" w:hAnsi="Times New Roman" w:eastAsia="宋体" w:cs="Times New Roman"/>
                <w:snapToGrid w:val="0"/>
                <w:color w:val="auto"/>
                <w:kern w:val="0"/>
                <w:sz w:val="24"/>
                <w:szCs w:val="24"/>
                <w:lang w:val="en-US" w:eastAsia="zh-CN" w:bidi="ar-SA"/>
              </w:rPr>
              <w:t>防护门防护屏蔽效果与类比对象相同</w:t>
            </w:r>
            <w:r>
              <w:rPr>
                <w:rFonts w:hint="eastAsia" w:ascii="Times New Roman" w:hAnsi="Times New Roman" w:eastAsia="宋体" w:cs="Times New Roman"/>
                <w:snapToGrid w:val="0"/>
                <w:color w:val="auto"/>
                <w:kern w:val="0"/>
                <w:sz w:val="24"/>
                <w:szCs w:val="24"/>
                <w:lang w:val="en-US" w:eastAsia="zh-CN" w:bidi="ar-SA"/>
              </w:rPr>
              <w:t>，顶板</w:t>
            </w:r>
            <w:r>
              <w:rPr>
                <w:rFonts w:hint="default" w:ascii="Times New Roman" w:hAnsi="Times New Roman" w:eastAsia="宋体" w:cs="Times New Roman"/>
                <w:snapToGrid w:val="0"/>
                <w:color w:val="auto"/>
                <w:kern w:val="0"/>
                <w:sz w:val="24"/>
                <w:szCs w:val="24"/>
                <w:lang w:val="en-US" w:eastAsia="zh-CN" w:bidi="ar-SA"/>
              </w:rPr>
              <w:t>防护屏蔽效果</w:t>
            </w:r>
            <w:r>
              <w:rPr>
                <w:rFonts w:hint="eastAsia" w:ascii="Times New Roman" w:hAnsi="Times New Roman" w:eastAsia="宋体" w:cs="Times New Roman"/>
                <w:snapToGrid w:val="0"/>
                <w:color w:val="auto"/>
                <w:kern w:val="0"/>
                <w:sz w:val="24"/>
                <w:szCs w:val="24"/>
                <w:lang w:val="en-US" w:eastAsia="zh-CN" w:bidi="ar-SA"/>
              </w:rPr>
              <w:t>略小于</w:t>
            </w:r>
            <w:r>
              <w:rPr>
                <w:rFonts w:hint="default" w:ascii="Times New Roman" w:hAnsi="Times New Roman" w:eastAsia="宋体" w:cs="Times New Roman"/>
                <w:snapToGrid w:val="0"/>
                <w:color w:val="auto"/>
                <w:kern w:val="0"/>
                <w:sz w:val="24"/>
                <w:szCs w:val="24"/>
                <w:lang w:val="en-US" w:eastAsia="zh-CN" w:bidi="ar-SA"/>
              </w:rPr>
              <w:t>类比对象；</w:t>
            </w:r>
          </w:p>
          <w:p w14:paraId="4E68E64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③本项目DSA机房的尺寸与类比对象相差不多，略</w:t>
            </w:r>
            <w:r>
              <w:rPr>
                <w:rFonts w:hint="eastAsia" w:ascii="Times New Roman" w:hAnsi="Times New Roman" w:eastAsia="宋体" w:cs="Times New Roman"/>
                <w:snapToGrid w:val="0"/>
                <w:color w:val="auto"/>
                <w:kern w:val="0"/>
                <w:sz w:val="24"/>
                <w:szCs w:val="24"/>
                <w:lang w:val="en-US" w:eastAsia="zh-CN" w:bidi="ar-SA"/>
              </w:rPr>
              <w:t>小</w:t>
            </w:r>
            <w:r>
              <w:rPr>
                <w:rFonts w:hint="default" w:ascii="Times New Roman" w:hAnsi="Times New Roman" w:eastAsia="宋体" w:cs="Times New Roman"/>
                <w:snapToGrid w:val="0"/>
                <w:color w:val="auto"/>
                <w:kern w:val="0"/>
                <w:sz w:val="24"/>
                <w:szCs w:val="24"/>
                <w:lang w:val="en-US" w:eastAsia="zh-CN" w:bidi="ar-SA"/>
              </w:rPr>
              <w:t>于类比对象。</w:t>
            </w:r>
          </w:p>
          <w:p w14:paraId="09657E8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4"/>
                <w:lang w:val="en-US" w:eastAsia="zh-CN" w:bidi="ar-SA"/>
              </w:rPr>
              <w:t>综上，本项目DSA机房防护效果</w:t>
            </w:r>
            <w:r>
              <w:rPr>
                <w:rFonts w:hint="eastAsia" w:ascii="Times New Roman" w:hAnsi="Times New Roman" w:eastAsia="宋体" w:cs="Times New Roman"/>
                <w:snapToGrid w:val="0"/>
                <w:color w:val="auto"/>
                <w:kern w:val="0"/>
                <w:sz w:val="24"/>
                <w:szCs w:val="24"/>
                <w:lang w:val="en-US" w:eastAsia="zh-CN" w:bidi="ar-SA"/>
              </w:rPr>
              <w:t>优于</w:t>
            </w:r>
            <w:r>
              <w:rPr>
                <w:rFonts w:hint="default" w:ascii="Times New Roman" w:hAnsi="Times New Roman" w:eastAsia="宋体" w:cs="Times New Roman"/>
                <w:snapToGrid w:val="0"/>
                <w:color w:val="auto"/>
                <w:kern w:val="0"/>
                <w:sz w:val="24"/>
                <w:szCs w:val="24"/>
                <w:lang w:val="en-US" w:eastAsia="zh-CN" w:bidi="ar-SA"/>
              </w:rPr>
              <w:t>类比对象，机房面积与类比对象基本相当，故从辐射防护角度而言具有一定的类比性</w:t>
            </w:r>
            <w:r>
              <w:rPr>
                <w:rFonts w:hint="eastAsia" w:ascii="Times New Roman" w:hAnsi="Times New Roman" w:eastAsia="宋体" w:cs="Times New Roman"/>
                <w:snapToGrid w:val="0"/>
                <w:color w:val="auto"/>
                <w:kern w:val="0"/>
                <w:sz w:val="24"/>
                <w:szCs w:val="21"/>
                <w:lang w:val="en-US" w:eastAsia="zh-CN" w:bidi="ar-SA"/>
              </w:rPr>
              <w:t>。</w:t>
            </w:r>
          </w:p>
          <w:p w14:paraId="7B23A67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类比监测结果引用怀远荆塗医院</w:t>
            </w:r>
            <w:r>
              <w:rPr>
                <w:rFonts w:hint="default" w:ascii="Times New Roman" w:hAnsi="Times New Roman" w:eastAsia="宋体" w:cs="Times New Roman"/>
                <w:snapToGrid w:val="0"/>
                <w:color w:val="auto"/>
                <w:kern w:val="0"/>
                <w:sz w:val="24"/>
                <w:szCs w:val="21"/>
                <w:lang w:val="en-US" w:eastAsia="zh-CN" w:bidi="ar-SA"/>
              </w:rPr>
              <w:t>DSA应用项目</w:t>
            </w:r>
            <w:r>
              <w:rPr>
                <w:rFonts w:hint="eastAsia" w:ascii="Times New Roman" w:hAnsi="Times New Roman" w:eastAsia="宋体" w:cs="Times New Roman"/>
                <w:snapToGrid w:val="0"/>
                <w:color w:val="auto"/>
                <w:kern w:val="0"/>
                <w:sz w:val="24"/>
                <w:szCs w:val="21"/>
                <w:lang w:val="en-US" w:eastAsia="zh-CN" w:bidi="ar-SA"/>
              </w:rPr>
              <w:t>竣工环境保护验收时的</w:t>
            </w:r>
            <w:r>
              <w:rPr>
                <w:rFonts w:hint="default" w:ascii="Times New Roman" w:hAnsi="Times New Roman" w:eastAsia="宋体" w:cs="Times New Roman"/>
                <w:snapToGrid w:val="0"/>
                <w:color w:val="auto"/>
                <w:kern w:val="0"/>
                <w:sz w:val="24"/>
                <w:szCs w:val="21"/>
                <w:lang w:val="en-US" w:eastAsia="zh-CN" w:bidi="ar-SA"/>
              </w:rPr>
              <w:t>监测结果</w:t>
            </w:r>
            <w:r>
              <w:rPr>
                <w:rFonts w:hint="eastAsia" w:ascii="Times New Roman" w:hAnsi="Times New Roman" w:eastAsia="宋体" w:cs="Times New Roman"/>
                <w:snapToGrid w:val="0"/>
                <w:color w:val="auto"/>
                <w:kern w:val="0"/>
                <w:sz w:val="24"/>
                <w:szCs w:val="21"/>
                <w:lang w:val="en-US" w:eastAsia="zh-CN" w:bidi="ar-SA"/>
              </w:rPr>
              <w:t>（详见附件11），监测结果</w:t>
            </w:r>
            <w:r>
              <w:rPr>
                <w:rFonts w:hint="default" w:ascii="Times New Roman" w:hAnsi="Times New Roman" w:eastAsia="宋体" w:cs="Times New Roman"/>
                <w:snapToGrid w:val="0"/>
                <w:color w:val="auto"/>
                <w:kern w:val="0"/>
                <w:sz w:val="24"/>
                <w:szCs w:val="21"/>
                <w:lang w:val="en-US" w:eastAsia="zh-CN" w:bidi="ar-SA"/>
              </w:rPr>
              <w:t>见</w:t>
            </w:r>
            <w:r>
              <w:rPr>
                <w:rFonts w:hint="eastAsia" w:ascii="Times New Roman" w:hAnsi="Times New Roman" w:eastAsia="宋体" w:cs="Times New Roman"/>
                <w:snapToGrid w:val="0"/>
                <w:color w:val="auto"/>
                <w:kern w:val="0"/>
                <w:sz w:val="24"/>
                <w:szCs w:val="21"/>
                <w:lang w:val="en-US" w:eastAsia="zh-CN" w:bidi="ar-SA"/>
              </w:rPr>
              <w:t>下表</w:t>
            </w:r>
            <w:r>
              <w:rPr>
                <w:rFonts w:hint="default" w:ascii="Times New Roman" w:hAnsi="Times New Roman" w:eastAsia="宋体" w:cs="Times New Roman"/>
                <w:snapToGrid w:val="0"/>
                <w:color w:val="auto"/>
                <w:kern w:val="0"/>
                <w:sz w:val="24"/>
                <w:szCs w:val="21"/>
                <w:lang w:val="en-US" w:eastAsia="zh-CN" w:bidi="ar-SA"/>
              </w:rPr>
              <w:t>，监测点位见图11-1。</w:t>
            </w:r>
          </w:p>
          <w:p w14:paraId="1750840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表11-</w:t>
            </w:r>
            <w:r>
              <w:rPr>
                <w:rFonts w:hint="default" w:ascii="Times New Roman" w:hAnsi="Times New Roman" w:eastAsia="宋体" w:cs="Times New Roman"/>
                <w:b/>
                <w:bCs/>
                <w:snapToGrid w:val="0"/>
                <w:color w:val="auto"/>
                <w:kern w:val="0"/>
                <w:sz w:val="24"/>
                <w:szCs w:val="21"/>
                <w:lang w:val="en-US" w:eastAsia="zh-CN" w:bidi="ar-SA"/>
              </w:rPr>
              <w:t>1</w:t>
            </w:r>
            <w:r>
              <w:rPr>
                <w:rFonts w:hint="eastAsia" w:ascii="Times New Roman" w:hAnsi="Times New Roman" w:eastAsia="宋体" w:cs="Times New Roman"/>
                <w:b/>
                <w:bCs/>
                <w:snapToGrid w:val="0"/>
                <w:color w:val="auto"/>
                <w:kern w:val="0"/>
                <w:sz w:val="24"/>
                <w:szCs w:val="21"/>
                <w:lang w:val="en-US" w:eastAsia="zh-CN" w:bidi="ar-SA"/>
              </w:rPr>
              <w:t>4  怀远荆塗医院1号手术室DSA机房竣工环境保护验收监测结果</w:t>
            </w:r>
          </w:p>
          <w:tbl>
            <w:tblPr>
              <w:tblStyle w:val="18"/>
              <w:tblpPr w:leftFromText="180" w:rightFromText="180" w:vertAnchor="text" w:horzAnchor="page" w:tblpX="103" w:tblpY="74"/>
              <w:tblOverlap w:val="never"/>
              <w:tblW w:w="9549"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087"/>
              <w:gridCol w:w="3487"/>
              <w:gridCol w:w="1241"/>
              <w:gridCol w:w="1241"/>
              <w:gridCol w:w="1241"/>
              <w:gridCol w:w="1252"/>
            </w:tblGrid>
            <w:tr w14:paraId="0A87FD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Merge w:val="restart"/>
                  <w:vAlign w:val="center"/>
                </w:tcPr>
                <w:p w14:paraId="030356A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点位序号</w:t>
                  </w:r>
                </w:p>
              </w:tc>
              <w:tc>
                <w:tcPr>
                  <w:tcW w:w="3487" w:type="dxa"/>
                  <w:vMerge w:val="restart"/>
                  <w:vAlign w:val="center"/>
                </w:tcPr>
                <w:p w14:paraId="0CFD89A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测量点位描述</w:t>
                  </w:r>
                </w:p>
              </w:tc>
              <w:tc>
                <w:tcPr>
                  <w:tcW w:w="4975" w:type="dxa"/>
                  <w:gridSpan w:val="4"/>
                  <w:vAlign w:val="center"/>
                </w:tcPr>
                <w:p w14:paraId="4E7C03F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检测结果（μSv/h）</w:t>
                  </w:r>
                </w:p>
              </w:tc>
            </w:tr>
            <w:tr w14:paraId="4C8A3FA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Merge w:val="continue"/>
                  <w:vAlign w:val="center"/>
                </w:tcPr>
                <w:p w14:paraId="58E17EC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c>
                <w:tcPr>
                  <w:tcW w:w="3487" w:type="dxa"/>
                  <w:vMerge w:val="continue"/>
                  <w:vAlign w:val="center"/>
                </w:tcPr>
                <w:p w14:paraId="087F9A2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c>
                <w:tcPr>
                  <w:tcW w:w="1241" w:type="dxa"/>
                  <w:vAlign w:val="center"/>
                </w:tcPr>
                <w:p w14:paraId="72A960B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机头向上</w:t>
                  </w:r>
                </w:p>
              </w:tc>
              <w:tc>
                <w:tcPr>
                  <w:tcW w:w="1241" w:type="dxa"/>
                </w:tcPr>
                <w:p w14:paraId="75A1912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机头向南</w:t>
                  </w:r>
                </w:p>
              </w:tc>
              <w:tc>
                <w:tcPr>
                  <w:tcW w:w="1241" w:type="dxa"/>
                </w:tcPr>
                <w:p w14:paraId="0A52EEF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机头向北</w:t>
                  </w:r>
                </w:p>
              </w:tc>
              <w:tc>
                <w:tcPr>
                  <w:tcW w:w="1252" w:type="dxa"/>
                </w:tcPr>
                <w:p w14:paraId="4E393E8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关机状态</w:t>
                  </w:r>
                </w:p>
              </w:tc>
            </w:tr>
            <w:tr w14:paraId="4B1548E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41119F5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w:t>
                  </w:r>
                </w:p>
              </w:tc>
              <w:tc>
                <w:tcPr>
                  <w:tcW w:w="3487" w:type="dxa"/>
                  <w:vAlign w:val="center"/>
                </w:tcPr>
                <w:p w14:paraId="17D5E59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观察窗左侧</w:t>
                  </w:r>
                </w:p>
              </w:tc>
              <w:tc>
                <w:tcPr>
                  <w:tcW w:w="1241" w:type="dxa"/>
                  <w:vAlign w:val="center"/>
                </w:tcPr>
                <w:p w14:paraId="5FF9BB6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01412BC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10B9041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7CE43EB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2CCC605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718FA34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w:t>
                  </w:r>
                </w:p>
              </w:tc>
              <w:tc>
                <w:tcPr>
                  <w:tcW w:w="3487" w:type="dxa"/>
                  <w:vAlign w:val="center"/>
                </w:tcPr>
                <w:p w14:paraId="3D258E0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观察窗中间</w:t>
                  </w:r>
                </w:p>
              </w:tc>
              <w:tc>
                <w:tcPr>
                  <w:tcW w:w="1241" w:type="dxa"/>
                  <w:vAlign w:val="center"/>
                </w:tcPr>
                <w:p w14:paraId="2861523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6A0ADA4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07FD9EC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4D76903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7FBDE28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6A2C5B9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w:t>
                  </w:r>
                </w:p>
              </w:tc>
              <w:tc>
                <w:tcPr>
                  <w:tcW w:w="3487" w:type="dxa"/>
                  <w:vAlign w:val="center"/>
                </w:tcPr>
                <w:p w14:paraId="600F430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观察窗右侧</w:t>
                  </w:r>
                </w:p>
              </w:tc>
              <w:tc>
                <w:tcPr>
                  <w:tcW w:w="1241" w:type="dxa"/>
                  <w:vAlign w:val="center"/>
                </w:tcPr>
                <w:p w14:paraId="265623B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7A09C8A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17412DA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008F8FF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4DED71C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11392A6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4</w:t>
                  </w:r>
                </w:p>
              </w:tc>
              <w:tc>
                <w:tcPr>
                  <w:tcW w:w="3487" w:type="dxa"/>
                  <w:vAlign w:val="center"/>
                </w:tcPr>
                <w:p w14:paraId="18C68F5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操作位</w:t>
                  </w:r>
                </w:p>
              </w:tc>
              <w:tc>
                <w:tcPr>
                  <w:tcW w:w="1241" w:type="dxa"/>
                  <w:vAlign w:val="center"/>
                </w:tcPr>
                <w:p w14:paraId="4A81278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c>
                <w:tcPr>
                  <w:tcW w:w="1241" w:type="dxa"/>
                </w:tcPr>
                <w:p w14:paraId="660D05F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c>
                <w:tcPr>
                  <w:tcW w:w="1241" w:type="dxa"/>
                </w:tcPr>
                <w:p w14:paraId="6EDCB98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c>
                <w:tcPr>
                  <w:tcW w:w="1252" w:type="dxa"/>
                </w:tcPr>
                <w:p w14:paraId="4E5AEDC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470090F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47F1006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5</w:t>
                  </w:r>
                </w:p>
              </w:tc>
              <w:tc>
                <w:tcPr>
                  <w:tcW w:w="3487" w:type="dxa"/>
                  <w:vAlign w:val="center"/>
                </w:tcPr>
                <w:p w14:paraId="6BC2FE7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医生通道门左侧</w:t>
                  </w:r>
                </w:p>
              </w:tc>
              <w:tc>
                <w:tcPr>
                  <w:tcW w:w="1241" w:type="dxa"/>
                  <w:vAlign w:val="center"/>
                </w:tcPr>
                <w:p w14:paraId="049E9E5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67C051C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6E78799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36B615D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762B07A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706A6AB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6</w:t>
                  </w:r>
                </w:p>
              </w:tc>
              <w:tc>
                <w:tcPr>
                  <w:tcW w:w="3487" w:type="dxa"/>
                  <w:vAlign w:val="center"/>
                </w:tcPr>
                <w:p w14:paraId="4AA8E4F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医生通道门中间</w:t>
                  </w:r>
                </w:p>
              </w:tc>
              <w:tc>
                <w:tcPr>
                  <w:tcW w:w="1241" w:type="dxa"/>
                  <w:vAlign w:val="center"/>
                </w:tcPr>
                <w:p w14:paraId="26DF395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00B090D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616023A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52" w:type="dxa"/>
                </w:tcPr>
                <w:p w14:paraId="09FDFA0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348AAC0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5B4CD90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7</w:t>
                  </w:r>
                </w:p>
              </w:tc>
              <w:tc>
                <w:tcPr>
                  <w:tcW w:w="3487" w:type="dxa"/>
                  <w:vAlign w:val="center"/>
                </w:tcPr>
                <w:p w14:paraId="629CC79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医生通道门右侧</w:t>
                  </w:r>
                </w:p>
              </w:tc>
              <w:tc>
                <w:tcPr>
                  <w:tcW w:w="1241" w:type="dxa"/>
                  <w:vAlign w:val="center"/>
                </w:tcPr>
                <w:p w14:paraId="1B029C3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3922611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135DBCF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52" w:type="dxa"/>
                </w:tcPr>
                <w:p w14:paraId="2336725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0E90F94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27E8A77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8</w:t>
                  </w:r>
                </w:p>
              </w:tc>
              <w:tc>
                <w:tcPr>
                  <w:tcW w:w="3487" w:type="dxa"/>
                  <w:vAlign w:val="center"/>
                </w:tcPr>
                <w:p w14:paraId="04C7527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走道防护门左侧</w:t>
                  </w:r>
                </w:p>
              </w:tc>
              <w:tc>
                <w:tcPr>
                  <w:tcW w:w="1241" w:type="dxa"/>
                  <w:vAlign w:val="center"/>
                </w:tcPr>
                <w:p w14:paraId="4C9CCBA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77F8574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56F2568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46515FD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54A0035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7DF4A1F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9</w:t>
                  </w:r>
                </w:p>
              </w:tc>
              <w:tc>
                <w:tcPr>
                  <w:tcW w:w="3487" w:type="dxa"/>
                  <w:vAlign w:val="center"/>
                </w:tcPr>
                <w:p w14:paraId="1E16B67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走道防护门中间</w:t>
                  </w:r>
                </w:p>
              </w:tc>
              <w:tc>
                <w:tcPr>
                  <w:tcW w:w="1241" w:type="dxa"/>
                </w:tcPr>
                <w:p w14:paraId="4A25989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2698545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12FB55F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5F6B545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304B896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29B1F08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10</w:t>
                  </w:r>
                </w:p>
              </w:tc>
              <w:tc>
                <w:tcPr>
                  <w:tcW w:w="3487" w:type="dxa"/>
                  <w:vAlign w:val="center"/>
                </w:tcPr>
                <w:p w14:paraId="41416F4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走道防护门右侧</w:t>
                  </w:r>
                </w:p>
              </w:tc>
              <w:tc>
                <w:tcPr>
                  <w:tcW w:w="1241" w:type="dxa"/>
                  <w:vAlign w:val="center"/>
                </w:tcPr>
                <w:p w14:paraId="1B54C01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73D8CBD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4B16533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7C3BCEA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07F43AF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4248E8D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11</w:t>
                  </w:r>
                </w:p>
              </w:tc>
              <w:tc>
                <w:tcPr>
                  <w:tcW w:w="3487" w:type="dxa"/>
                  <w:vAlign w:val="center"/>
                </w:tcPr>
                <w:p w14:paraId="56923BF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清洁通道防护门左侧</w:t>
                  </w:r>
                </w:p>
              </w:tc>
              <w:tc>
                <w:tcPr>
                  <w:tcW w:w="1241" w:type="dxa"/>
                  <w:vAlign w:val="center"/>
                </w:tcPr>
                <w:p w14:paraId="0F151F6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0CEA860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74B09B3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3C7A790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2FF0DA2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55FEDAC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12</w:t>
                  </w:r>
                </w:p>
              </w:tc>
              <w:tc>
                <w:tcPr>
                  <w:tcW w:w="3487" w:type="dxa"/>
                  <w:vAlign w:val="center"/>
                </w:tcPr>
                <w:p w14:paraId="6ECE214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清洁通道防护门中间</w:t>
                  </w:r>
                </w:p>
              </w:tc>
              <w:tc>
                <w:tcPr>
                  <w:tcW w:w="1241" w:type="dxa"/>
                  <w:vAlign w:val="center"/>
                </w:tcPr>
                <w:p w14:paraId="6E4B0F3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34F219D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6DBA590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46EE44E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5E518F1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165BF10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13</w:t>
                  </w:r>
                </w:p>
              </w:tc>
              <w:tc>
                <w:tcPr>
                  <w:tcW w:w="3487" w:type="dxa"/>
                  <w:vAlign w:val="center"/>
                </w:tcPr>
                <w:p w14:paraId="0F05D97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清洁通道防护门右侧</w:t>
                  </w:r>
                </w:p>
              </w:tc>
              <w:tc>
                <w:tcPr>
                  <w:tcW w:w="1241" w:type="dxa"/>
                  <w:vAlign w:val="center"/>
                </w:tcPr>
                <w:p w14:paraId="64906E4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3EFE091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203766D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65DD545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2AA96F7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50D6B7C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14</w:t>
                  </w:r>
                </w:p>
              </w:tc>
              <w:tc>
                <w:tcPr>
                  <w:tcW w:w="3487" w:type="dxa"/>
                  <w:vAlign w:val="center"/>
                </w:tcPr>
                <w:p w14:paraId="41DA5C7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机房北侧中间墙外</w:t>
                  </w:r>
                </w:p>
              </w:tc>
              <w:tc>
                <w:tcPr>
                  <w:tcW w:w="1241" w:type="dxa"/>
                  <w:vAlign w:val="center"/>
                </w:tcPr>
                <w:p w14:paraId="0B4D2C9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183A75E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7089D13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10F5C21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1F84ECC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39BAE1B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15</w:t>
                  </w:r>
                </w:p>
              </w:tc>
              <w:tc>
                <w:tcPr>
                  <w:tcW w:w="3487" w:type="dxa"/>
                  <w:vAlign w:val="center"/>
                </w:tcPr>
                <w:p w14:paraId="51FC4B3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机房北侧偏东墙外</w:t>
                  </w:r>
                </w:p>
              </w:tc>
              <w:tc>
                <w:tcPr>
                  <w:tcW w:w="1241" w:type="dxa"/>
                  <w:vAlign w:val="center"/>
                </w:tcPr>
                <w:p w14:paraId="49987F9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4726231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058E2E9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2F4E9DE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05E9BC5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13A5364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16</w:t>
                  </w:r>
                </w:p>
              </w:tc>
              <w:tc>
                <w:tcPr>
                  <w:tcW w:w="3487" w:type="dxa"/>
                  <w:vAlign w:val="center"/>
                </w:tcPr>
                <w:p w14:paraId="392AF94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机房东侧偏北墙外</w:t>
                  </w:r>
                </w:p>
              </w:tc>
              <w:tc>
                <w:tcPr>
                  <w:tcW w:w="1241" w:type="dxa"/>
                  <w:vAlign w:val="center"/>
                </w:tcPr>
                <w:p w14:paraId="3165404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31F74EF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373D345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60E7B5C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2A68E1E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1528C2B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17</w:t>
                  </w:r>
                </w:p>
              </w:tc>
              <w:tc>
                <w:tcPr>
                  <w:tcW w:w="3487" w:type="dxa"/>
                  <w:vAlign w:val="center"/>
                </w:tcPr>
                <w:p w14:paraId="6780B61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机房东侧中间墙外</w:t>
                  </w:r>
                </w:p>
              </w:tc>
              <w:tc>
                <w:tcPr>
                  <w:tcW w:w="1241" w:type="dxa"/>
                  <w:vAlign w:val="center"/>
                </w:tcPr>
                <w:p w14:paraId="207BC8A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7652A92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41" w:type="dxa"/>
                </w:tcPr>
                <w:p w14:paraId="457522F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52" w:type="dxa"/>
                </w:tcPr>
                <w:p w14:paraId="29DF9C0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0AEC807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39105F8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18</w:t>
                  </w:r>
                </w:p>
              </w:tc>
              <w:tc>
                <w:tcPr>
                  <w:tcW w:w="3487" w:type="dxa"/>
                  <w:vAlign w:val="center"/>
                </w:tcPr>
                <w:p w14:paraId="2EFE4B3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机房东侧偏南墙外</w:t>
                  </w:r>
                </w:p>
              </w:tc>
              <w:tc>
                <w:tcPr>
                  <w:tcW w:w="1241" w:type="dxa"/>
                  <w:vAlign w:val="center"/>
                </w:tcPr>
                <w:p w14:paraId="6ABB3C6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41" w:type="dxa"/>
                </w:tcPr>
                <w:p w14:paraId="2A771EA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3153666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5D66536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2A6B16E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7708415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19</w:t>
                  </w:r>
                </w:p>
              </w:tc>
              <w:tc>
                <w:tcPr>
                  <w:tcW w:w="3487" w:type="dxa"/>
                  <w:vAlign w:val="center"/>
                </w:tcPr>
                <w:p w14:paraId="4EC456B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机房南侧偏东墙外</w:t>
                  </w:r>
                </w:p>
              </w:tc>
              <w:tc>
                <w:tcPr>
                  <w:tcW w:w="1241" w:type="dxa"/>
                  <w:vAlign w:val="center"/>
                </w:tcPr>
                <w:p w14:paraId="3049E9A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1561914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1889262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c>
                <w:tcPr>
                  <w:tcW w:w="1252" w:type="dxa"/>
                </w:tcPr>
                <w:p w14:paraId="1814CC6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7405AAB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4EE058E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20</w:t>
                  </w:r>
                </w:p>
              </w:tc>
              <w:tc>
                <w:tcPr>
                  <w:tcW w:w="3487" w:type="dxa"/>
                  <w:vAlign w:val="center"/>
                </w:tcPr>
                <w:p w14:paraId="7957CBD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污物通道门左侧</w:t>
                  </w:r>
                </w:p>
              </w:tc>
              <w:tc>
                <w:tcPr>
                  <w:tcW w:w="1241" w:type="dxa"/>
                  <w:vAlign w:val="center"/>
                </w:tcPr>
                <w:p w14:paraId="069C520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2569938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0B14D61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52" w:type="dxa"/>
                </w:tcPr>
                <w:p w14:paraId="3CCBD50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7F114CB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2F0EB64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21</w:t>
                  </w:r>
                </w:p>
              </w:tc>
              <w:tc>
                <w:tcPr>
                  <w:tcW w:w="3487" w:type="dxa"/>
                  <w:vAlign w:val="center"/>
                </w:tcPr>
                <w:p w14:paraId="2D01397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污物通道门中间</w:t>
                  </w:r>
                </w:p>
              </w:tc>
              <w:tc>
                <w:tcPr>
                  <w:tcW w:w="1241" w:type="dxa"/>
                  <w:vAlign w:val="center"/>
                </w:tcPr>
                <w:p w14:paraId="63E87BB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6ECBA69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41" w:type="dxa"/>
                </w:tcPr>
                <w:p w14:paraId="125EDA8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7B089D9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3DA921B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415E423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22</w:t>
                  </w:r>
                </w:p>
              </w:tc>
              <w:tc>
                <w:tcPr>
                  <w:tcW w:w="3487" w:type="dxa"/>
                  <w:vAlign w:val="center"/>
                </w:tcPr>
                <w:p w14:paraId="3EB8BAF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污物通道门右侧</w:t>
                  </w:r>
                </w:p>
              </w:tc>
              <w:tc>
                <w:tcPr>
                  <w:tcW w:w="1241" w:type="dxa"/>
                  <w:vAlign w:val="center"/>
                </w:tcPr>
                <w:p w14:paraId="6596779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4CB3818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41" w:type="dxa"/>
                </w:tcPr>
                <w:p w14:paraId="6EA47DC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038DF90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31E0AA6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1DA829D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23</w:t>
                  </w:r>
                </w:p>
              </w:tc>
              <w:tc>
                <w:tcPr>
                  <w:tcW w:w="3487" w:type="dxa"/>
                  <w:vAlign w:val="center"/>
                </w:tcPr>
                <w:p w14:paraId="6FAC9BC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机房南侧偏西墙外</w:t>
                  </w:r>
                </w:p>
              </w:tc>
              <w:tc>
                <w:tcPr>
                  <w:tcW w:w="1241" w:type="dxa"/>
                  <w:vAlign w:val="center"/>
                </w:tcPr>
                <w:p w14:paraId="6285B8C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744BFDC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41" w:type="dxa"/>
                </w:tcPr>
                <w:p w14:paraId="0C18125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0D8D81B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0.11</w:t>
                  </w:r>
                </w:p>
              </w:tc>
            </w:tr>
            <w:tr w14:paraId="06F37E6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394F363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24</w:t>
                  </w:r>
                </w:p>
              </w:tc>
              <w:tc>
                <w:tcPr>
                  <w:tcW w:w="3487" w:type="dxa"/>
                  <w:vAlign w:val="center"/>
                </w:tcPr>
                <w:p w14:paraId="718C19F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机房西侧偏南墙外</w:t>
                  </w:r>
                </w:p>
              </w:tc>
              <w:tc>
                <w:tcPr>
                  <w:tcW w:w="1241" w:type="dxa"/>
                  <w:vAlign w:val="center"/>
                </w:tcPr>
                <w:p w14:paraId="1A124CD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2AA6E62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41" w:type="dxa"/>
                </w:tcPr>
                <w:p w14:paraId="26C1B20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52" w:type="dxa"/>
                </w:tcPr>
                <w:p w14:paraId="4779C8E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3F1056D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038B3F9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25</w:t>
                  </w:r>
                </w:p>
              </w:tc>
              <w:tc>
                <w:tcPr>
                  <w:tcW w:w="3487" w:type="dxa"/>
                  <w:vAlign w:val="center"/>
                </w:tcPr>
                <w:p w14:paraId="7C71218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机房顶棚上方</w:t>
                  </w:r>
                </w:p>
              </w:tc>
              <w:tc>
                <w:tcPr>
                  <w:tcW w:w="1241" w:type="dxa"/>
                  <w:vAlign w:val="center"/>
                </w:tcPr>
                <w:p w14:paraId="57EDCC9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0.14</w:t>
                  </w:r>
                </w:p>
              </w:tc>
              <w:tc>
                <w:tcPr>
                  <w:tcW w:w="1241" w:type="dxa"/>
                </w:tcPr>
                <w:p w14:paraId="7A66A097">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580EC6C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13AC645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30E8D07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3540889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26</w:t>
                  </w:r>
                </w:p>
              </w:tc>
              <w:tc>
                <w:tcPr>
                  <w:tcW w:w="3487" w:type="dxa"/>
                  <w:vAlign w:val="center"/>
                </w:tcPr>
                <w:p w14:paraId="7267BFD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机房地板下方</w:t>
                  </w:r>
                </w:p>
              </w:tc>
              <w:tc>
                <w:tcPr>
                  <w:tcW w:w="1241" w:type="dxa"/>
                  <w:vAlign w:val="center"/>
                </w:tcPr>
                <w:p w14:paraId="1245EF4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2F6E121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0.12</w:t>
                  </w:r>
                </w:p>
              </w:tc>
              <w:tc>
                <w:tcPr>
                  <w:tcW w:w="1241" w:type="dxa"/>
                </w:tcPr>
                <w:p w14:paraId="2D125BC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0.13</w:t>
                  </w:r>
                </w:p>
              </w:tc>
              <w:tc>
                <w:tcPr>
                  <w:tcW w:w="1252" w:type="dxa"/>
                </w:tcPr>
                <w:p w14:paraId="17C4251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402D93D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87" w:type="dxa"/>
                  <w:vAlign w:val="center"/>
                </w:tcPr>
                <w:p w14:paraId="2DA1868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27</w:t>
                  </w:r>
                </w:p>
              </w:tc>
              <w:tc>
                <w:tcPr>
                  <w:tcW w:w="3487" w:type="dxa"/>
                  <w:vAlign w:val="center"/>
                </w:tcPr>
                <w:p w14:paraId="01F02B9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本底</w:t>
                  </w:r>
                </w:p>
              </w:tc>
              <w:tc>
                <w:tcPr>
                  <w:tcW w:w="4975" w:type="dxa"/>
                  <w:gridSpan w:val="4"/>
                  <w:vAlign w:val="center"/>
                </w:tcPr>
                <w:p w14:paraId="66C7F2D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0.10</w:t>
                  </w:r>
                </w:p>
              </w:tc>
            </w:tr>
            <w:tr w14:paraId="25A2502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9549" w:type="dxa"/>
                  <w:gridSpan w:val="6"/>
                  <w:vAlign w:val="center"/>
                </w:tcPr>
                <w:p w14:paraId="63A1B3CD">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注：</w:t>
                  </w:r>
                </w:p>
                <w:p w14:paraId="6947435D">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1、检测工况为：机头向上：92kV，468mA；机头向南：93kV，474mA；机头向北：92kV，492mA；</w:t>
                  </w:r>
                </w:p>
                <w:p w14:paraId="34DF1205">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2、散射模体：标准水模+1.5mmCu板；</w:t>
                  </w:r>
                </w:p>
                <w:p w14:paraId="181B27F1">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3、检测位置：观察窗、防护门在距外表面30cm的左侧、中间、右侧；四周墙体在距外表面30cm、距地1.3m处；机房顶棚上方距地1m处；机房地板下方距地1.7m处；</w:t>
                  </w:r>
                </w:p>
                <w:p w14:paraId="4B3E84E3">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4"/>
                      <w:szCs w:val="24"/>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4、测量值未扣除宇宙射线影响，检测点位示意图见图11-1。</w:t>
                  </w:r>
                </w:p>
              </w:tc>
            </w:tr>
          </w:tbl>
          <w:p w14:paraId="4B8315B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Times New Roman" w:hAnsi="Times New Roman" w:eastAsia="宋体" w:cs="Times New Roman"/>
                <w:snapToGrid w:val="0"/>
                <w:color w:val="auto"/>
                <w:kern w:val="0"/>
                <w:sz w:val="24"/>
                <w:szCs w:val="21"/>
                <w:lang w:val="en-US" w:eastAsia="zh-CN" w:bidi="ar-SA"/>
              </w:rPr>
            </w:pPr>
            <w:r>
              <w:rPr>
                <w:rFonts w:hint="default" w:ascii="Times New Roman" w:hAnsi="Times New Roman" w:eastAsia="宋体" w:cs="Times New Roman"/>
                <w:snapToGrid w:val="0"/>
                <w:color w:val="auto"/>
                <w:kern w:val="0"/>
                <w:sz w:val="24"/>
                <w:szCs w:val="21"/>
                <w:lang w:val="en-US" w:eastAsia="zh-CN" w:bidi="ar-SA"/>
              </w:rPr>
              <w:drawing>
                <wp:inline distT="0" distB="0" distL="0" distR="0">
                  <wp:extent cx="4981575" cy="4257675"/>
                  <wp:effectExtent l="0" t="0" r="9525"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4"/>
                          <a:stretch>
                            <a:fillRect/>
                          </a:stretch>
                        </pic:blipFill>
                        <pic:spPr>
                          <a:xfrm>
                            <a:off x="0" y="0"/>
                            <a:ext cx="4981575" cy="4257675"/>
                          </a:xfrm>
                          <a:prstGeom prst="rect">
                            <a:avLst/>
                          </a:prstGeom>
                        </pic:spPr>
                      </pic:pic>
                    </a:graphicData>
                  </a:graphic>
                </wp:inline>
              </w:drawing>
            </w:r>
          </w:p>
          <w:p w14:paraId="52A5C04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 xml:space="preserve">图11-1  </w:t>
            </w:r>
            <w:r>
              <w:rPr>
                <w:rFonts w:hint="default" w:ascii="Times New Roman" w:hAnsi="Times New Roman" w:eastAsia="宋体" w:cs="Times New Roman"/>
                <w:b/>
                <w:bCs/>
                <w:snapToGrid w:val="0"/>
                <w:color w:val="auto"/>
                <w:kern w:val="0"/>
                <w:sz w:val="24"/>
                <w:szCs w:val="24"/>
                <w:lang w:val="en-US" w:eastAsia="zh-CN" w:bidi="ar-SA"/>
              </w:rPr>
              <w:t>怀远荆塗医院1号手术室DSA机房竣工环境保护验收监测点位示意图</w:t>
            </w:r>
          </w:p>
          <w:p w14:paraId="1783C54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由监测结果可知，</w:t>
            </w:r>
            <w:r>
              <w:rPr>
                <w:rFonts w:hint="eastAsia" w:ascii="Times New Roman" w:hAnsi="Times New Roman" w:eastAsia="宋体" w:cs="Times New Roman"/>
                <w:snapToGrid w:val="0"/>
                <w:color w:val="auto"/>
                <w:kern w:val="0"/>
                <w:sz w:val="24"/>
                <w:szCs w:val="21"/>
                <w:highlight w:val="none"/>
                <w:lang w:val="en-US" w:eastAsia="zh-CN" w:bidi="ar-SA"/>
              </w:rPr>
              <w:t>怀远荆塗医院1号手术室DSA机房</w:t>
            </w:r>
            <w:r>
              <w:rPr>
                <w:rFonts w:hint="default" w:ascii="Times New Roman" w:hAnsi="Times New Roman" w:eastAsia="宋体" w:cs="Times New Roman"/>
                <w:snapToGrid w:val="0"/>
                <w:color w:val="auto"/>
                <w:kern w:val="0"/>
                <w:sz w:val="24"/>
                <w:szCs w:val="21"/>
                <w:lang w:val="en-US" w:eastAsia="zh-CN" w:bidi="ar-SA"/>
              </w:rPr>
              <w:t>在正常工作状态下，机房周围辐射剂量当量率在0.11～</w:t>
            </w:r>
            <w:r>
              <w:rPr>
                <w:rFonts w:hint="eastAsia" w:ascii="Times New Roman" w:hAnsi="Times New Roman" w:eastAsia="宋体" w:cs="Times New Roman"/>
                <w:snapToGrid w:val="0"/>
                <w:color w:val="auto"/>
                <w:kern w:val="0"/>
                <w:sz w:val="24"/>
                <w:szCs w:val="21"/>
                <w:lang w:val="en-US" w:eastAsia="zh-CN" w:bidi="ar-SA"/>
              </w:rPr>
              <w:t>0</w:t>
            </w:r>
            <w:r>
              <w:rPr>
                <w:rFonts w:hint="default" w:ascii="Times New Roman" w:hAnsi="Times New Roman" w:eastAsia="宋体" w:cs="Times New Roman"/>
                <w:snapToGrid w:val="0"/>
                <w:color w:val="auto"/>
                <w:kern w:val="0"/>
                <w:sz w:val="24"/>
                <w:szCs w:val="21"/>
                <w:lang w:val="en-US" w:eastAsia="zh-CN" w:bidi="ar-SA"/>
              </w:rPr>
              <w:t>.14μSv/h范围内，能够满足《放射诊断放射防护要求》（GBZ130-2020）的要求。</w:t>
            </w:r>
          </w:p>
          <w:p w14:paraId="133EF42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vertAlign w:val="baseline"/>
                <w:lang w:val="en-US" w:eastAsia="zh-CN" w:bidi="ar-SA"/>
              </w:rPr>
            </w:pPr>
            <w:r>
              <w:rPr>
                <w:rFonts w:hint="default" w:ascii="Times New Roman" w:hAnsi="Times New Roman" w:eastAsia="宋体" w:cs="Times New Roman"/>
                <w:snapToGrid w:val="0"/>
                <w:color w:val="auto"/>
                <w:kern w:val="0"/>
                <w:sz w:val="24"/>
                <w:szCs w:val="24"/>
                <w:lang w:val="en-US" w:eastAsia="zh-CN" w:bidi="ar-SA"/>
              </w:rPr>
              <w:t>本项目DSA设备参数与类比对象相同</w:t>
            </w:r>
            <w:r>
              <w:rPr>
                <w:rFonts w:hint="eastAsia" w:ascii="Times New Roman" w:hAnsi="Times New Roman" w:eastAsia="宋体" w:cs="Times New Roman"/>
                <w:snapToGrid w:val="0"/>
                <w:color w:val="auto"/>
                <w:kern w:val="0"/>
                <w:sz w:val="24"/>
                <w:szCs w:val="24"/>
                <w:lang w:val="en-US" w:eastAsia="zh-CN" w:bidi="ar-SA"/>
              </w:rPr>
              <w:t>，经过医院确认运营期间设备使用工况与类比对象相似，满足类比前提条件</w:t>
            </w:r>
            <w:r>
              <w:rPr>
                <w:rFonts w:hint="default" w:ascii="Times New Roman" w:hAnsi="Times New Roman" w:eastAsia="宋体" w:cs="Times New Roman"/>
                <w:snapToGrid w:val="0"/>
                <w:color w:val="auto"/>
                <w:kern w:val="0"/>
                <w:sz w:val="24"/>
                <w:szCs w:val="24"/>
                <w:lang w:val="en-US" w:eastAsia="zh-CN" w:bidi="ar-SA"/>
              </w:rPr>
              <w:t>，机房防护效果整体优于类比对象，根据类比监测结果可以预测本项目DSA投运后，机房</w:t>
            </w:r>
            <w:r>
              <w:rPr>
                <w:rFonts w:hint="eastAsia" w:ascii="Times New Roman" w:hAnsi="Times New Roman" w:eastAsia="宋体" w:cs="Times New Roman"/>
                <w:snapToGrid w:val="0"/>
                <w:color w:val="auto"/>
                <w:kern w:val="0"/>
                <w:sz w:val="24"/>
                <w:szCs w:val="24"/>
                <w:lang w:val="en-US" w:eastAsia="zh-CN" w:bidi="ar-SA"/>
              </w:rPr>
              <w:t>四面墙体和防护门、观察窗外</w:t>
            </w:r>
            <w:r>
              <w:rPr>
                <w:rFonts w:hint="default" w:ascii="Times New Roman" w:hAnsi="Times New Roman" w:eastAsia="宋体" w:cs="Times New Roman"/>
                <w:snapToGrid w:val="0"/>
                <w:color w:val="auto"/>
                <w:kern w:val="0"/>
                <w:sz w:val="24"/>
                <w:szCs w:val="24"/>
                <w:lang w:val="en-US" w:eastAsia="zh-CN" w:bidi="ar-SA"/>
              </w:rPr>
              <w:t>周围剂量当量率也能够满足《放射诊断放射防护要求》（GBZ130-2020）的要求。</w:t>
            </w:r>
            <w:r>
              <w:rPr>
                <w:rFonts w:hint="eastAsia" w:ascii="Times New Roman" w:hAnsi="Times New Roman" w:eastAsia="宋体" w:cs="Times New Roman"/>
                <w:snapToGrid w:val="0"/>
                <w:color w:val="auto"/>
                <w:kern w:val="0"/>
                <w:sz w:val="24"/>
                <w:szCs w:val="24"/>
                <w:lang w:val="en-US" w:eastAsia="zh-CN" w:bidi="ar-SA"/>
              </w:rPr>
              <w:t>本项目DSA机房顶部屏蔽墙铅当量为</w:t>
            </w:r>
            <w:r>
              <w:rPr>
                <w:rFonts w:hint="eastAsia" w:ascii="Times New Roman" w:hAnsi="Times New Roman" w:eastAsia="宋体" w:cs="Times New Roman"/>
                <w:snapToGrid w:val="0"/>
                <w:color w:val="auto"/>
                <w:kern w:val="0"/>
                <w:sz w:val="24"/>
                <w:szCs w:val="24"/>
                <w:highlight w:val="none"/>
                <w:lang w:val="en-US" w:eastAsia="zh-CN" w:bidi="ar-SA"/>
              </w:rPr>
              <w:t>3.77mmPb，</w:t>
            </w:r>
            <w:r>
              <w:rPr>
                <w:rFonts w:hint="eastAsia" w:ascii="Times New Roman" w:hAnsi="Times New Roman" w:eastAsia="宋体" w:cs="Times New Roman"/>
                <w:snapToGrid w:val="0"/>
                <w:color w:val="auto"/>
                <w:kern w:val="0"/>
                <w:sz w:val="24"/>
                <w:szCs w:val="24"/>
                <w:lang w:val="en-US" w:eastAsia="zh-CN" w:bidi="ar-SA"/>
              </w:rPr>
              <w:t>类比项目机房顶部屏蔽墙铅当量为3.87mmPb，125kV</w:t>
            </w:r>
            <w:r>
              <w:rPr>
                <w:rFonts w:hint="default" w:ascii="Times New Roman" w:hAnsi="Times New Roman" w:eastAsia="宋体" w:cs="Times New Roman"/>
                <w:b w:val="0"/>
                <w:bCs w:val="0"/>
                <w:snapToGrid w:val="0"/>
                <w:color w:val="auto"/>
                <w:kern w:val="0"/>
                <w:sz w:val="24"/>
                <w:szCs w:val="24"/>
                <w:highlight w:val="none"/>
                <w:lang w:val="en-US" w:eastAsia="zh-CN" w:bidi="ar-SA"/>
              </w:rPr>
              <w:t>下X射线在</w:t>
            </w:r>
            <w:r>
              <w:rPr>
                <w:rFonts w:hint="eastAsia" w:ascii="Times New Roman" w:hAnsi="Times New Roman" w:eastAsia="宋体" w:cs="Times New Roman"/>
                <w:b w:val="0"/>
                <w:bCs w:val="0"/>
                <w:snapToGrid w:val="0"/>
                <w:color w:val="auto"/>
                <w:kern w:val="0"/>
                <w:sz w:val="24"/>
                <w:szCs w:val="24"/>
                <w:highlight w:val="none"/>
                <w:lang w:val="en-US" w:eastAsia="zh-CN" w:bidi="ar-SA"/>
              </w:rPr>
              <w:t>铅</w:t>
            </w:r>
            <w:r>
              <w:rPr>
                <w:rFonts w:hint="default" w:ascii="Times New Roman" w:hAnsi="Times New Roman" w:eastAsia="宋体" w:cs="Times New Roman"/>
                <w:b w:val="0"/>
                <w:bCs w:val="0"/>
                <w:snapToGrid w:val="0"/>
                <w:color w:val="auto"/>
                <w:kern w:val="0"/>
                <w:sz w:val="24"/>
                <w:szCs w:val="24"/>
                <w:highlight w:val="none"/>
                <w:lang w:val="en-US" w:eastAsia="zh-CN" w:bidi="ar-SA"/>
              </w:rPr>
              <w:t>的十分之一值层厚度</w:t>
            </w:r>
            <w:r>
              <w:rPr>
                <w:rFonts w:hint="eastAsia" w:ascii="Times New Roman" w:hAnsi="Times New Roman" w:eastAsia="宋体" w:cs="Times New Roman"/>
                <w:b w:val="0"/>
                <w:bCs w:val="0"/>
                <w:snapToGrid w:val="0"/>
                <w:color w:val="auto"/>
                <w:kern w:val="0"/>
                <w:sz w:val="24"/>
                <w:szCs w:val="24"/>
                <w:highlight w:val="none"/>
                <w:lang w:val="en-US" w:eastAsia="zh-CN" w:bidi="ar-SA"/>
              </w:rPr>
              <w:t>为0.9mm，类比项目顶棚上方监测结果为0.14</w:t>
            </w:r>
            <w:r>
              <w:rPr>
                <w:rFonts w:hint="default" w:ascii="Times New Roman" w:hAnsi="Times New Roman" w:eastAsia="宋体" w:cs="Times New Roman"/>
                <w:b w:val="0"/>
                <w:snapToGrid w:val="0"/>
                <w:color w:val="auto"/>
                <w:kern w:val="0"/>
                <w:sz w:val="24"/>
                <w:szCs w:val="24"/>
                <w:lang w:val="en-US" w:eastAsia="zh-CN" w:bidi="ar-SA"/>
              </w:rPr>
              <w:t>μSv/h</w:t>
            </w:r>
            <w:r>
              <w:rPr>
                <w:rFonts w:hint="eastAsia" w:ascii="Times New Roman" w:hAnsi="Times New Roman" w:eastAsia="宋体" w:cs="Times New Roman"/>
                <w:b w:val="0"/>
                <w:snapToGrid w:val="0"/>
                <w:color w:val="auto"/>
                <w:kern w:val="0"/>
                <w:sz w:val="24"/>
                <w:szCs w:val="24"/>
                <w:lang w:val="en-US" w:eastAsia="zh-CN" w:bidi="ar-SA"/>
              </w:rPr>
              <w:t>，通过计算本项目预测顶棚监测结果约为(0.14*0.1</w:t>
            </w:r>
            <w:r>
              <w:rPr>
                <w:rFonts w:hint="eastAsia" w:ascii="Times New Roman" w:hAnsi="Times New Roman" w:eastAsia="宋体" w:cs="Times New Roman"/>
                <w:b w:val="0"/>
                <w:snapToGrid w:val="0"/>
                <w:color w:val="auto"/>
                <w:kern w:val="0"/>
                <w:sz w:val="24"/>
                <w:szCs w:val="24"/>
                <w:vertAlign w:val="superscript"/>
                <w:lang w:val="en-US" w:eastAsia="zh-CN" w:bidi="ar-SA"/>
              </w:rPr>
              <w:t>3.77/0.9</w:t>
            </w:r>
            <w:r>
              <w:rPr>
                <w:rFonts w:hint="eastAsia" w:ascii="Times New Roman" w:hAnsi="Times New Roman" w:eastAsia="宋体" w:cs="Times New Roman"/>
                <w:b w:val="0"/>
                <w:snapToGrid w:val="0"/>
                <w:color w:val="auto"/>
                <w:kern w:val="0"/>
                <w:sz w:val="24"/>
                <w:szCs w:val="24"/>
                <w:vertAlign w:val="baseline"/>
                <w:lang w:val="en-US" w:eastAsia="zh-CN" w:bidi="ar-SA"/>
              </w:rPr>
              <w:t>)/0.1</w:t>
            </w:r>
            <w:r>
              <w:rPr>
                <w:rFonts w:hint="eastAsia" w:ascii="Times New Roman" w:hAnsi="Times New Roman" w:eastAsia="宋体" w:cs="Times New Roman"/>
                <w:b w:val="0"/>
                <w:snapToGrid w:val="0"/>
                <w:color w:val="auto"/>
                <w:kern w:val="0"/>
                <w:sz w:val="24"/>
                <w:szCs w:val="24"/>
                <w:vertAlign w:val="superscript"/>
                <w:lang w:val="en-US" w:eastAsia="zh-CN" w:bidi="ar-SA"/>
              </w:rPr>
              <w:t>3.87/0.9</w:t>
            </w:r>
            <w:r>
              <w:rPr>
                <w:rFonts w:hint="eastAsia" w:ascii="Times New Roman" w:hAnsi="Times New Roman" w:eastAsia="宋体" w:cs="Times New Roman"/>
                <w:b w:val="0"/>
                <w:snapToGrid w:val="0"/>
                <w:color w:val="auto"/>
                <w:kern w:val="0"/>
                <w:sz w:val="24"/>
                <w:szCs w:val="24"/>
                <w:vertAlign w:val="baseline"/>
                <w:lang w:val="en-US" w:eastAsia="zh-CN" w:bidi="ar-SA"/>
              </w:rPr>
              <w:t>=0.18</w:t>
            </w:r>
            <w:r>
              <w:rPr>
                <w:rFonts w:hint="default" w:ascii="Times New Roman" w:hAnsi="Times New Roman" w:eastAsia="宋体" w:cs="Times New Roman"/>
                <w:b w:val="0"/>
                <w:snapToGrid w:val="0"/>
                <w:color w:val="auto"/>
                <w:kern w:val="0"/>
                <w:sz w:val="24"/>
                <w:szCs w:val="24"/>
                <w:lang w:val="en-US" w:eastAsia="zh-CN" w:bidi="ar-SA"/>
              </w:rPr>
              <w:t>μSv/h</w:t>
            </w:r>
            <w:r>
              <w:rPr>
                <w:rFonts w:hint="eastAsia" w:ascii="Times New Roman" w:hAnsi="Times New Roman" w:eastAsia="宋体" w:cs="Times New Roman"/>
                <w:b w:val="0"/>
                <w:snapToGrid w:val="0"/>
                <w:color w:val="auto"/>
                <w:kern w:val="0"/>
                <w:sz w:val="24"/>
                <w:szCs w:val="24"/>
                <w:lang w:val="en-US" w:eastAsia="zh-CN" w:bidi="ar-SA"/>
              </w:rPr>
              <w:t>，</w:t>
            </w:r>
            <w:r>
              <w:rPr>
                <w:rFonts w:hint="default" w:ascii="Times New Roman" w:hAnsi="Times New Roman" w:eastAsia="宋体" w:cs="Times New Roman"/>
                <w:snapToGrid w:val="0"/>
                <w:color w:val="auto"/>
                <w:kern w:val="0"/>
                <w:sz w:val="24"/>
                <w:szCs w:val="24"/>
                <w:lang w:val="en-US" w:eastAsia="zh-CN" w:bidi="ar-SA"/>
              </w:rPr>
              <w:t>能够满足《放射诊断放射防护要求》（GBZ130-2020）的要求</w:t>
            </w:r>
            <w:r>
              <w:rPr>
                <w:rFonts w:hint="default" w:ascii="Times New Roman" w:hAnsi="Times New Roman" w:eastAsia="宋体" w:cs="Times New Roman"/>
                <w:snapToGrid w:val="0"/>
                <w:color w:val="auto"/>
                <w:kern w:val="0"/>
                <w:sz w:val="24"/>
                <w:szCs w:val="21"/>
                <w:lang w:val="en-US" w:eastAsia="zh-CN" w:bidi="ar-SA"/>
              </w:rPr>
              <w:t>。</w:t>
            </w:r>
          </w:p>
          <w:p w14:paraId="051D6B1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Style w:val="32"/>
                <w:rFonts w:hint="default" w:ascii="Times New Roman" w:hAnsi="Times New Roman" w:eastAsia="宋体" w:cs="Times New Roman"/>
                <w:color w:val="auto"/>
                <w:sz w:val="24"/>
                <w:szCs w:val="24"/>
                <w:lang w:val="en-US" w:eastAsia="zh-CN"/>
              </w:rPr>
            </w:pPr>
            <w:r>
              <w:rPr>
                <w:rStyle w:val="32"/>
                <w:rFonts w:hint="default" w:ascii="Times New Roman" w:hAnsi="Times New Roman" w:eastAsia="宋体" w:cs="Times New Roman"/>
                <w:color w:val="auto"/>
                <w:sz w:val="24"/>
                <w:szCs w:val="24"/>
                <w:lang w:val="en-US" w:eastAsia="zh-CN"/>
              </w:rPr>
              <w:t>（2）剂量分析</w:t>
            </w:r>
          </w:p>
          <w:p w14:paraId="54C0710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①辐射工作人员剂量估算</w:t>
            </w:r>
          </w:p>
          <w:p w14:paraId="5EDFD64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辐射工作人员分为介入手术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和一般辐射工作人员，分别进行剂量估算。本项目DSA预计手术量</w:t>
            </w:r>
            <w:r>
              <w:rPr>
                <w:rFonts w:hint="eastAsia" w:ascii="Times New Roman" w:hAnsi="Times New Roman" w:eastAsia="宋体" w:cs="Times New Roman"/>
                <w:snapToGrid w:val="0"/>
                <w:color w:val="auto"/>
                <w:kern w:val="0"/>
                <w:sz w:val="24"/>
                <w:szCs w:val="24"/>
                <w:lang w:val="en-US" w:eastAsia="zh-CN" w:bidi="ar-SA"/>
              </w:rPr>
              <w:t>300台</w:t>
            </w:r>
            <w:r>
              <w:rPr>
                <w:rFonts w:hint="default" w:ascii="Times New Roman" w:hAnsi="Times New Roman" w:eastAsia="宋体" w:cs="Times New Roman"/>
                <w:snapToGrid w:val="0"/>
                <w:color w:val="auto"/>
                <w:kern w:val="0"/>
                <w:sz w:val="24"/>
                <w:szCs w:val="24"/>
                <w:lang w:val="en-US" w:eastAsia="zh-CN" w:bidi="ar-SA"/>
              </w:rPr>
              <w:t>/年，单台手术累计出束时间平均为</w:t>
            </w:r>
            <w:r>
              <w:rPr>
                <w:rFonts w:hint="eastAsia" w:ascii="Times New Roman" w:hAnsi="Times New Roman" w:eastAsia="宋体" w:cs="Times New Roman"/>
                <w:snapToGrid w:val="0"/>
                <w:color w:val="auto"/>
                <w:kern w:val="0"/>
                <w:sz w:val="24"/>
                <w:szCs w:val="24"/>
                <w:lang w:val="en-US" w:eastAsia="zh-CN" w:bidi="ar-SA"/>
              </w:rPr>
              <w:t>15</w:t>
            </w:r>
            <w:r>
              <w:rPr>
                <w:rFonts w:hint="default" w:ascii="Times New Roman" w:hAnsi="Times New Roman" w:eastAsia="宋体" w:cs="Times New Roman"/>
                <w:snapToGrid w:val="0"/>
                <w:color w:val="auto"/>
                <w:kern w:val="0"/>
                <w:sz w:val="24"/>
                <w:szCs w:val="24"/>
                <w:lang w:val="en-US" w:eastAsia="zh-CN" w:bidi="ar-SA"/>
              </w:rPr>
              <w:t>min，年工作时间</w:t>
            </w:r>
            <w:r>
              <w:rPr>
                <w:rFonts w:hint="eastAsia" w:ascii="Times New Roman" w:hAnsi="Times New Roman" w:eastAsia="宋体" w:cs="Times New Roman"/>
                <w:snapToGrid w:val="0"/>
                <w:color w:val="auto"/>
                <w:kern w:val="0"/>
                <w:sz w:val="24"/>
                <w:szCs w:val="24"/>
                <w:lang w:val="en-US" w:eastAsia="zh-CN" w:bidi="ar-SA"/>
              </w:rPr>
              <w:t>250</w:t>
            </w:r>
            <w:r>
              <w:rPr>
                <w:rFonts w:hint="default" w:ascii="Times New Roman" w:hAnsi="Times New Roman" w:eastAsia="宋体" w:cs="Times New Roman"/>
                <w:snapToGrid w:val="0"/>
                <w:color w:val="auto"/>
                <w:kern w:val="0"/>
                <w:sz w:val="24"/>
                <w:szCs w:val="24"/>
                <w:lang w:val="en-US" w:eastAsia="zh-CN" w:bidi="ar-SA"/>
              </w:rPr>
              <w:t>天，</w:t>
            </w:r>
            <w:r>
              <w:rPr>
                <w:rFonts w:hint="eastAsia"/>
                <w:color w:val="auto"/>
                <w:sz w:val="24"/>
                <w:szCs w:val="24"/>
                <w:lang w:val="en-US" w:eastAsia="zh-CN"/>
              </w:rPr>
              <w:t>医院初步拟</w:t>
            </w:r>
            <w:r>
              <w:rPr>
                <w:rFonts w:hint="default"/>
                <w:color w:val="auto"/>
                <w:sz w:val="24"/>
                <w:szCs w:val="24"/>
                <w:lang w:val="en-US" w:eastAsia="zh-CN"/>
              </w:rPr>
              <w:t>配备</w:t>
            </w:r>
            <w:r>
              <w:rPr>
                <w:rFonts w:hint="eastAsia"/>
                <w:color w:val="auto"/>
                <w:sz w:val="24"/>
                <w:szCs w:val="24"/>
                <w:lang w:val="en-US" w:eastAsia="zh-CN"/>
              </w:rPr>
              <w:t>5名介入手术医护</w:t>
            </w:r>
            <w:r>
              <w:rPr>
                <w:rFonts w:hint="default"/>
                <w:color w:val="auto"/>
                <w:sz w:val="24"/>
                <w:szCs w:val="24"/>
                <w:lang w:val="en-US" w:eastAsia="zh-CN"/>
              </w:rPr>
              <w:t>人员</w:t>
            </w:r>
            <w:r>
              <w:rPr>
                <w:rFonts w:hint="eastAsia"/>
                <w:color w:val="auto"/>
                <w:sz w:val="24"/>
                <w:szCs w:val="24"/>
                <w:lang w:val="en-US" w:eastAsia="zh-CN"/>
              </w:rPr>
              <w:t>，</w:t>
            </w:r>
            <w:r>
              <w:rPr>
                <w:rFonts w:hint="default"/>
                <w:color w:val="auto"/>
                <w:sz w:val="24"/>
                <w:szCs w:val="24"/>
                <w:lang w:val="en-US" w:eastAsia="zh-CN"/>
              </w:rPr>
              <w:t>从现有辐射工作人员</w:t>
            </w:r>
            <w:r>
              <w:rPr>
                <w:rFonts w:hint="eastAsia"/>
                <w:color w:val="auto"/>
                <w:sz w:val="24"/>
                <w:szCs w:val="24"/>
                <w:lang w:val="en-US" w:eastAsia="zh-CN"/>
              </w:rPr>
              <w:t>和医护人员</w:t>
            </w:r>
            <w:r>
              <w:rPr>
                <w:rFonts w:hint="default"/>
                <w:color w:val="auto"/>
                <w:sz w:val="24"/>
                <w:szCs w:val="24"/>
                <w:lang w:val="en-US" w:eastAsia="zh-CN"/>
              </w:rPr>
              <w:t>中调剂</w:t>
            </w:r>
            <w:r>
              <w:rPr>
                <w:rFonts w:hint="eastAsia"/>
                <w:color w:val="auto"/>
                <w:sz w:val="24"/>
                <w:szCs w:val="24"/>
                <w:lang w:val="en-US" w:eastAsia="zh-CN"/>
              </w:rPr>
              <w:t>，随着后期医院相应人员设施完善，将逐步增加辐射工作人员</w:t>
            </w:r>
            <w:r>
              <w:rPr>
                <w:rFonts w:hint="default" w:ascii="Times New Roman" w:hAnsi="Times New Roman" w:eastAsia="宋体" w:cs="Times New Roman"/>
                <w:snapToGrid w:val="0"/>
                <w:color w:val="auto"/>
                <w:kern w:val="0"/>
                <w:sz w:val="24"/>
                <w:szCs w:val="24"/>
                <w:lang w:val="en-US" w:eastAsia="zh-CN" w:bidi="ar-SA"/>
              </w:rPr>
              <w:t>。单个介入手术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每年最多参加</w:t>
            </w:r>
            <w:r>
              <w:rPr>
                <w:rFonts w:hint="eastAsia" w:ascii="Times New Roman" w:hAnsi="Times New Roman" w:eastAsia="宋体" w:cs="Times New Roman"/>
                <w:snapToGrid w:val="0"/>
                <w:color w:val="auto"/>
                <w:kern w:val="0"/>
                <w:sz w:val="24"/>
                <w:szCs w:val="24"/>
                <w:lang w:val="en-US" w:eastAsia="zh-CN" w:bidi="ar-SA"/>
              </w:rPr>
              <w:t>2</w:t>
            </w:r>
            <w:r>
              <w:rPr>
                <w:rFonts w:hint="default" w:ascii="Times New Roman" w:hAnsi="Times New Roman" w:eastAsia="宋体" w:cs="Times New Roman"/>
                <w:snapToGrid w:val="0"/>
                <w:color w:val="auto"/>
                <w:kern w:val="0"/>
                <w:sz w:val="24"/>
                <w:szCs w:val="24"/>
                <w:lang w:val="en-US" w:eastAsia="zh-CN" w:bidi="ar-SA"/>
              </w:rPr>
              <w:t>00台介入手术。</w:t>
            </w:r>
          </w:p>
          <w:p w14:paraId="44E2E97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a.介入手术</w:t>
            </w:r>
            <w:r>
              <w:rPr>
                <w:rFonts w:hint="eastAsia" w:ascii="Times New Roman" w:hAnsi="Times New Roman" w:eastAsia="宋体" w:cs="Times New Roman"/>
                <w:snapToGrid w:val="0"/>
                <w:color w:val="auto"/>
                <w:kern w:val="0"/>
                <w:sz w:val="24"/>
                <w:szCs w:val="24"/>
                <w:lang w:val="en-US" w:eastAsia="zh-CN" w:bidi="ar-SA"/>
              </w:rPr>
              <w:t>医护人员</w:t>
            </w:r>
          </w:p>
          <w:p w14:paraId="72E9D2B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在设备发射X射线透视下近台为病人做介入手术的</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，因暴露在辐射场下会受到较大剂量照射。介入手术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所受年有效剂量计算公式为：</w:t>
            </w:r>
          </w:p>
          <w:p w14:paraId="566FDE37">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H=Dr×t</w:t>
            </w:r>
          </w:p>
          <w:p w14:paraId="72D03405">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其中：</w:t>
            </w:r>
          </w:p>
          <w:p w14:paraId="6D283510">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H：X-γ射线外照射人均年有效剂量，Sv；</w:t>
            </w:r>
          </w:p>
          <w:p w14:paraId="3C812B9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Dr：X-γ射线周围剂量当量率，Sv/h，按照《医用X射线诊断设备质量控制检测规范》（WS 76—2020）规定，透视防护区检测平面上周围剂量当量率≤400μSv/h，本项目取400μSv/h，以此值对介入手术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所受年有效剂量进行保守估算；</w:t>
            </w:r>
          </w:p>
          <w:p w14:paraId="50C1EB3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t：X-γ射线照射时间，h。</w:t>
            </w:r>
          </w:p>
          <w:p w14:paraId="004AF2BD">
            <w:pPr>
              <w:pStyle w:val="2"/>
              <w:keepNext w:val="0"/>
              <w:keepLines w:val="0"/>
              <w:suppressLineNumbers w:val="0"/>
              <w:bidi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color w:val="auto"/>
                <w:sz w:val="24"/>
                <w:szCs w:val="24"/>
                <w:lang w:val="en-US" w:eastAsia="zh-CN"/>
              </w:rPr>
              <w:t>本项目介入手术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color w:val="auto"/>
                <w:sz w:val="24"/>
                <w:szCs w:val="24"/>
                <w:lang w:val="en-US" w:eastAsia="zh-CN"/>
              </w:rPr>
              <w:t>在做手术时拟使用防护厚度0.35mmPb的防护服、铅防护眼镜</w:t>
            </w:r>
            <w:r>
              <w:rPr>
                <w:rFonts w:hint="eastAsia" w:cs="Times New Roman"/>
                <w:color w:val="auto"/>
                <w:sz w:val="24"/>
                <w:szCs w:val="24"/>
                <w:lang w:val="en-US" w:eastAsia="zh-CN"/>
              </w:rPr>
              <w:t>、铅防护手套</w:t>
            </w:r>
            <w:r>
              <w:rPr>
                <w:rFonts w:hint="default" w:ascii="Times New Roman" w:hAnsi="Times New Roman" w:eastAsia="宋体" w:cs="Times New Roman"/>
                <w:color w:val="auto"/>
                <w:sz w:val="24"/>
                <w:szCs w:val="24"/>
                <w:lang w:val="en-US" w:eastAsia="zh-CN"/>
              </w:rPr>
              <w:t>，配置2mmPb铅屏风、铅防护帘，介入手术人员在铅屏风后工作，操作位距离球管大约0.3m-1m。综合以上防护措施，X射线到达人体总衰减倍数远不止5倍，且X射线到达人体前会迅速衰减。</w:t>
            </w:r>
            <w:r>
              <w:rPr>
                <w:rFonts w:hint="default" w:ascii="Times New Roman" w:hAnsi="Times New Roman" w:eastAsia="宋体" w:cs="Times New Roman"/>
                <w:snapToGrid w:val="0"/>
                <w:color w:val="auto"/>
                <w:kern w:val="0"/>
                <w:sz w:val="24"/>
                <w:szCs w:val="24"/>
                <w:lang w:val="en-US" w:eastAsia="zh-CN" w:bidi="ar-SA"/>
              </w:rPr>
              <w:t>因此，在计算介入手术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的年有效剂量时：介入手术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着防护用品的情况下总衰减倍数按5倍计，单个介入手术</w:t>
            </w:r>
            <w:r>
              <w:rPr>
                <w:rFonts w:hint="eastAsia"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每年最多参加</w:t>
            </w:r>
            <w:r>
              <w:rPr>
                <w:rFonts w:hint="eastAsia" w:cs="Times New Roman"/>
                <w:snapToGrid w:val="0"/>
                <w:color w:val="auto"/>
                <w:kern w:val="0"/>
                <w:sz w:val="24"/>
                <w:szCs w:val="24"/>
                <w:lang w:val="en-US" w:eastAsia="zh-CN" w:bidi="ar-SA"/>
              </w:rPr>
              <w:t>2</w:t>
            </w:r>
            <w:r>
              <w:rPr>
                <w:rFonts w:hint="default" w:ascii="Times New Roman" w:hAnsi="Times New Roman" w:eastAsia="宋体" w:cs="Times New Roman"/>
                <w:snapToGrid w:val="0"/>
                <w:color w:val="auto"/>
                <w:kern w:val="0"/>
                <w:sz w:val="24"/>
                <w:szCs w:val="24"/>
                <w:lang w:val="en-US" w:eastAsia="zh-CN" w:bidi="ar-SA"/>
              </w:rPr>
              <w:t>00台介入手术，单台手术累计出束时间平均为</w:t>
            </w:r>
            <w:r>
              <w:rPr>
                <w:rFonts w:hint="eastAsia" w:cs="Times New Roman"/>
                <w:snapToGrid w:val="0"/>
                <w:color w:val="auto"/>
                <w:kern w:val="0"/>
                <w:sz w:val="24"/>
                <w:szCs w:val="24"/>
                <w:lang w:val="en-US" w:eastAsia="zh-CN" w:bidi="ar-SA"/>
              </w:rPr>
              <w:t>15</w:t>
            </w:r>
            <w:r>
              <w:rPr>
                <w:rFonts w:hint="default" w:ascii="Times New Roman" w:hAnsi="Times New Roman" w:eastAsia="宋体" w:cs="Times New Roman"/>
                <w:snapToGrid w:val="0"/>
                <w:color w:val="auto"/>
                <w:kern w:val="0"/>
                <w:sz w:val="24"/>
                <w:szCs w:val="24"/>
                <w:lang w:val="en-US" w:eastAsia="zh-CN" w:bidi="ar-SA"/>
              </w:rPr>
              <w:t>min，则介入手术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所受年有效剂量为400×1/5×</w:t>
            </w:r>
            <w:r>
              <w:rPr>
                <w:rFonts w:hint="eastAsia" w:cs="Times New Roman"/>
                <w:snapToGrid w:val="0"/>
                <w:color w:val="auto"/>
                <w:kern w:val="0"/>
                <w:sz w:val="24"/>
                <w:szCs w:val="24"/>
                <w:lang w:val="en-US" w:eastAsia="zh-CN" w:bidi="ar-SA"/>
              </w:rPr>
              <w:t>200</w:t>
            </w:r>
            <w:r>
              <w:rPr>
                <w:rFonts w:hint="default" w:ascii="Times New Roman" w:hAnsi="Times New Roman" w:eastAsia="宋体" w:cs="Times New Roman"/>
                <w:snapToGrid w:val="0"/>
                <w:color w:val="auto"/>
                <w:kern w:val="0"/>
                <w:sz w:val="24"/>
                <w:szCs w:val="24"/>
                <w:lang w:val="en-US" w:eastAsia="zh-CN" w:bidi="ar-SA"/>
              </w:rPr>
              <w:t>×</w:t>
            </w:r>
            <w:r>
              <w:rPr>
                <w:rFonts w:hint="eastAsia" w:cs="Times New Roman"/>
                <w:snapToGrid w:val="0"/>
                <w:color w:val="auto"/>
                <w:kern w:val="0"/>
                <w:sz w:val="24"/>
                <w:szCs w:val="24"/>
                <w:lang w:val="en-US" w:eastAsia="zh-CN" w:bidi="ar-SA"/>
              </w:rPr>
              <w:t>15</w:t>
            </w:r>
            <w:r>
              <w:rPr>
                <w:rFonts w:hint="default" w:ascii="Times New Roman" w:hAnsi="Times New Roman" w:eastAsia="宋体" w:cs="Times New Roman"/>
                <w:snapToGrid w:val="0"/>
                <w:color w:val="auto"/>
                <w:kern w:val="0"/>
                <w:sz w:val="24"/>
                <w:szCs w:val="24"/>
                <w:lang w:val="en-US" w:eastAsia="zh-CN" w:bidi="ar-SA"/>
              </w:rPr>
              <w:t>/60×10</w:t>
            </w:r>
            <w:r>
              <w:rPr>
                <w:rFonts w:hint="default" w:ascii="Times New Roman" w:hAnsi="Times New Roman" w:eastAsia="宋体" w:cs="Times New Roman"/>
                <w:snapToGrid w:val="0"/>
                <w:color w:val="auto"/>
                <w:kern w:val="0"/>
                <w:sz w:val="24"/>
                <w:szCs w:val="24"/>
                <w:vertAlign w:val="superscript"/>
                <w:lang w:val="en-US" w:eastAsia="zh-CN" w:bidi="ar-SA"/>
              </w:rPr>
              <w:t>-3</w:t>
            </w:r>
            <w:r>
              <w:rPr>
                <w:rFonts w:hint="default" w:ascii="Times New Roman" w:hAnsi="Times New Roman" w:eastAsia="宋体" w:cs="Times New Roman"/>
                <w:snapToGrid w:val="0"/>
                <w:color w:val="auto"/>
                <w:kern w:val="0"/>
                <w:sz w:val="24"/>
                <w:szCs w:val="24"/>
                <w:lang w:val="en-US" w:eastAsia="zh-CN" w:bidi="ar-SA"/>
              </w:rPr>
              <w:t>=</w:t>
            </w:r>
            <w:r>
              <w:rPr>
                <w:rFonts w:hint="eastAsia" w:cs="Times New Roman"/>
                <w:snapToGrid w:val="0"/>
                <w:color w:val="auto"/>
                <w:kern w:val="0"/>
                <w:sz w:val="24"/>
                <w:szCs w:val="24"/>
                <w:lang w:val="en-US" w:eastAsia="zh-CN" w:bidi="ar-SA"/>
              </w:rPr>
              <w:t>4</w:t>
            </w:r>
            <w:r>
              <w:rPr>
                <w:rFonts w:hint="default" w:ascii="Times New Roman" w:hAnsi="Times New Roman" w:eastAsia="宋体" w:cs="Times New Roman"/>
                <w:snapToGrid w:val="0"/>
                <w:color w:val="auto"/>
                <w:kern w:val="0"/>
                <w:sz w:val="24"/>
                <w:szCs w:val="24"/>
                <w:lang w:val="en-US" w:eastAsia="zh-CN" w:bidi="ar-SA"/>
              </w:rPr>
              <w:t>mSv，能满足介入手术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年剂量管理限值10mSv的要求，符合《电离辐射防护与辐射源安全基本标准》（GB18871-2002）中关于辐射工作人员剂量限值（</w:t>
            </w:r>
            <w:r>
              <w:rPr>
                <w:rFonts w:hint="eastAsia" w:cs="Times New Roman"/>
                <w:snapToGrid w:val="0"/>
                <w:color w:val="auto"/>
                <w:kern w:val="0"/>
                <w:sz w:val="24"/>
                <w:szCs w:val="24"/>
                <w:lang w:val="en-US" w:eastAsia="zh-CN" w:bidi="ar-SA"/>
              </w:rPr>
              <w:t>1</w:t>
            </w:r>
            <w:r>
              <w:rPr>
                <w:rFonts w:hint="default" w:ascii="Times New Roman" w:hAnsi="Times New Roman" w:eastAsia="宋体" w:cs="Times New Roman"/>
                <w:snapToGrid w:val="0"/>
                <w:color w:val="auto"/>
                <w:kern w:val="0"/>
                <w:sz w:val="24"/>
                <w:szCs w:val="24"/>
                <w:lang w:val="en-US" w:eastAsia="zh-CN" w:bidi="ar-SA"/>
              </w:rPr>
              <w:t>0mSv/a）的要求。在实际工作中，介入手术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ascii="Times New Roman" w:hAnsi="Times New Roman" w:eastAsia="宋体" w:cs="Times New Roman"/>
                <w:snapToGrid w:val="0"/>
                <w:color w:val="auto"/>
                <w:kern w:val="0"/>
                <w:sz w:val="24"/>
                <w:szCs w:val="24"/>
                <w:lang w:val="en-US" w:eastAsia="zh-CN" w:bidi="ar-SA"/>
              </w:rPr>
              <w:t>在正确使用个人防护用品的前提下，所受的年有效剂量应低于上述理论预测值</w:t>
            </w:r>
            <w:r>
              <w:rPr>
                <w:rFonts w:hint="eastAsia" w:cs="Times New Roman"/>
                <w:snapToGrid w:val="0"/>
                <w:color w:val="auto"/>
                <w:kern w:val="0"/>
                <w:sz w:val="24"/>
                <w:szCs w:val="24"/>
                <w:lang w:val="en-US" w:eastAsia="zh-CN" w:bidi="ar-SA"/>
              </w:rPr>
              <w:t>6</w:t>
            </w:r>
            <w:r>
              <w:rPr>
                <w:rFonts w:hint="default" w:ascii="Times New Roman" w:hAnsi="Times New Roman" w:eastAsia="宋体" w:cs="Times New Roman"/>
                <w:snapToGrid w:val="0"/>
                <w:color w:val="auto"/>
                <w:kern w:val="0"/>
                <w:sz w:val="24"/>
                <w:szCs w:val="24"/>
                <w:lang w:val="en-US" w:eastAsia="zh-CN" w:bidi="ar-SA"/>
              </w:rPr>
              <w:t>mSv。</w:t>
            </w:r>
          </w:p>
          <w:p w14:paraId="58B877D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b.一般辐射工作人员</w:t>
            </w:r>
          </w:p>
          <w:p w14:paraId="1201C6A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本项目DSA机房的屏蔽设计能够满足《放射诊断放射防护要求》（GBZ130-2020）中介入X射线机机房的屏蔽防护铅当量为2.0mmPb的要求。本项目DSA机房防护优于类比对象，保守采用类比对象机房外的监测剂量对本项目一般辐射工作人员的附加剂量进行估算。</w:t>
            </w:r>
          </w:p>
          <w:p w14:paraId="6F9E586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根据类比项目检测结果，</w:t>
            </w:r>
            <w:r>
              <w:rPr>
                <w:rFonts w:hint="eastAsia" w:ascii="Times New Roman" w:hAnsi="Times New Roman" w:eastAsia="宋体" w:cs="Times New Roman"/>
                <w:snapToGrid w:val="0"/>
                <w:color w:val="auto"/>
                <w:kern w:val="0"/>
                <w:sz w:val="24"/>
                <w:szCs w:val="21"/>
                <w:lang w:val="en-US" w:eastAsia="zh-CN" w:bidi="ar-SA"/>
              </w:rPr>
              <w:t>DSA</w:t>
            </w:r>
            <w:r>
              <w:rPr>
                <w:rFonts w:hint="default" w:ascii="Times New Roman" w:hAnsi="Times New Roman" w:eastAsia="宋体" w:cs="Times New Roman"/>
                <w:snapToGrid w:val="0"/>
                <w:color w:val="auto"/>
                <w:kern w:val="0"/>
                <w:sz w:val="24"/>
                <w:szCs w:val="21"/>
                <w:lang w:val="en-US" w:eastAsia="zh-CN" w:bidi="ar-SA"/>
              </w:rPr>
              <w:t>机房</w:t>
            </w:r>
            <w:r>
              <w:rPr>
                <w:rFonts w:hint="eastAsia" w:ascii="Times New Roman" w:hAnsi="Times New Roman" w:eastAsia="宋体" w:cs="Times New Roman"/>
                <w:snapToGrid w:val="0"/>
                <w:color w:val="auto"/>
                <w:kern w:val="0"/>
                <w:sz w:val="24"/>
                <w:szCs w:val="21"/>
                <w:lang w:val="en-US" w:eastAsia="zh-CN" w:bidi="ar-SA"/>
              </w:rPr>
              <w:t>外瞬时</w:t>
            </w:r>
            <w:r>
              <w:rPr>
                <w:rFonts w:hint="eastAsia" w:ascii="Times New Roman" w:hAnsi="Times New Roman" w:eastAsia="宋体" w:cs="Times New Roman"/>
                <w:bCs/>
                <w:snapToGrid w:val="0"/>
                <w:color w:val="auto"/>
                <w:kern w:val="0"/>
                <w:sz w:val="24"/>
                <w:szCs w:val="21"/>
                <w:lang w:val="en-US" w:eastAsia="zh-CN" w:bidi="ar-SA"/>
              </w:rPr>
              <w:t>剂量率</w:t>
            </w:r>
            <w:r>
              <w:rPr>
                <w:rFonts w:hint="default" w:ascii="Times New Roman" w:hAnsi="Times New Roman" w:eastAsia="宋体" w:cs="Times New Roman"/>
                <w:bCs/>
                <w:snapToGrid w:val="0"/>
                <w:color w:val="auto"/>
                <w:kern w:val="0"/>
                <w:sz w:val="24"/>
                <w:szCs w:val="24"/>
                <w:lang w:val="en-US" w:eastAsia="zh-CN" w:bidi="ar-SA"/>
              </w:rPr>
              <w:t>为</w:t>
            </w:r>
            <w:r>
              <w:rPr>
                <w:rFonts w:hint="default" w:ascii="Times New Roman" w:hAnsi="Times New Roman" w:eastAsia="宋体" w:cs="Times New Roman"/>
                <w:snapToGrid w:val="0"/>
                <w:color w:val="auto"/>
                <w:kern w:val="0"/>
                <w:sz w:val="24"/>
                <w:szCs w:val="24"/>
                <w:lang w:val="en-US" w:eastAsia="zh-CN" w:bidi="ar-SA"/>
              </w:rPr>
              <w:t>0.11~0.1</w:t>
            </w:r>
            <w:r>
              <w:rPr>
                <w:rFonts w:hint="eastAsia" w:ascii="Times New Roman" w:hAnsi="Times New Roman" w:eastAsia="宋体" w:cs="Times New Roman"/>
                <w:snapToGrid w:val="0"/>
                <w:color w:val="auto"/>
                <w:kern w:val="0"/>
                <w:sz w:val="24"/>
                <w:szCs w:val="24"/>
                <w:lang w:val="en-US" w:eastAsia="zh-CN" w:bidi="ar-SA"/>
              </w:rPr>
              <w:t>4</w:t>
            </w:r>
            <w:r>
              <w:rPr>
                <w:rFonts w:hint="default" w:ascii="Times New Roman" w:hAnsi="Times New Roman" w:eastAsia="宋体" w:cs="Times New Roman"/>
                <w:snapToGrid w:val="0"/>
                <w:color w:val="auto"/>
                <w:kern w:val="0"/>
                <w:sz w:val="24"/>
                <w:szCs w:val="24"/>
                <w:lang w:val="en-US" w:eastAsia="zh-CN" w:bidi="ar-SA"/>
              </w:rPr>
              <w:t>μSv/h。从不利影响考虑，采用0.</w:t>
            </w:r>
            <w:r>
              <w:rPr>
                <w:rFonts w:hint="eastAsia" w:ascii="Times New Roman" w:hAnsi="Times New Roman" w:eastAsia="宋体" w:cs="Times New Roman"/>
                <w:snapToGrid w:val="0"/>
                <w:color w:val="auto"/>
                <w:kern w:val="0"/>
                <w:sz w:val="24"/>
                <w:szCs w:val="24"/>
                <w:lang w:val="en-US" w:eastAsia="zh-CN" w:bidi="ar-SA"/>
              </w:rPr>
              <w:t>14</w:t>
            </w:r>
            <w:r>
              <w:rPr>
                <w:rFonts w:hint="default" w:ascii="Times New Roman" w:hAnsi="Times New Roman" w:eastAsia="宋体" w:cs="Times New Roman"/>
                <w:snapToGrid w:val="0"/>
                <w:color w:val="auto"/>
                <w:kern w:val="0"/>
                <w:sz w:val="24"/>
                <w:szCs w:val="24"/>
                <w:lang w:val="en-US" w:eastAsia="zh-CN" w:bidi="ar-SA"/>
              </w:rPr>
              <w:t>μSv/h对一般辐射工作人员所受年附加有效剂量进行保守估算。</w:t>
            </w:r>
          </w:p>
          <w:p w14:paraId="010F8E1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根据医院预测，DSA年手术台数约</w:t>
            </w:r>
            <w:r>
              <w:rPr>
                <w:rFonts w:hint="eastAsia" w:ascii="Times New Roman" w:hAnsi="Times New Roman" w:eastAsia="宋体" w:cs="Times New Roman"/>
                <w:snapToGrid w:val="0"/>
                <w:color w:val="auto"/>
                <w:kern w:val="0"/>
                <w:sz w:val="24"/>
                <w:szCs w:val="24"/>
                <w:lang w:val="en-US" w:eastAsia="zh-CN" w:bidi="ar-SA"/>
              </w:rPr>
              <w:t>3</w:t>
            </w:r>
            <w:r>
              <w:rPr>
                <w:rFonts w:hint="default" w:ascii="Times New Roman" w:hAnsi="Times New Roman" w:eastAsia="宋体" w:cs="Times New Roman"/>
                <w:snapToGrid w:val="0"/>
                <w:color w:val="auto"/>
                <w:kern w:val="0"/>
                <w:sz w:val="24"/>
                <w:szCs w:val="24"/>
                <w:lang w:val="en-US" w:eastAsia="zh-CN" w:bidi="ar-SA"/>
              </w:rPr>
              <w:t>00台，单台手术累计曝光按</w:t>
            </w:r>
            <w:r>
              <w:rPr>
                <w:rFonts w:hint="eastAsia" w:ascii="Times New Roman" w:hAnsi="Times New Roman" w:eastAsia="宋体" w:cs="Times New Roman"/>
                <w:snapToGrid w:val="0"/>
                <w:color w:val="auto"/>
                <w:kern w:val="0"/>
                <w:sz w:val="24"/>
                <w:szCs w:val="24"/>
                <w:lang w:val="en-US" w:eastAsia="zh-CN" w:bidi="ar-SA"/>
              </w:rPr>
              <w:t>15</w:t>
            </w:r>
            <w:r>
              <w:rPr>
                <w:rFonts w:hint="default" w:ascii="Times New Roman" w:hAnsi="Times New Roman" w:eastAsia="宋体" w:cs="Times New Roman"/>
                <w:snapToGrid w:val="0"/>
                <w:color w:val="auto"/>
                <w:kern w:val="0"/>
                <w:sz w:val="24"/>
                <w:szCs w:val="24"/>
                <w:lang w:val="en-US" w:eastAsia="zh-CN" w:bidi="ar-SA"/>
              </w:rPr>
              <w:t>min计算，居留因子取1，则DSA一般辐射工作人员年有效剂量估算为0.</w:t>
            </w:r>
            <w:r>
              <w:rPr>
                <w:rFonts w:hint="eastAsia" w:ascii="Times New Roman" w:hAnsi="Times New Roman" w:eastAsia="宋体" w:cs="Times New Roman"/>
                <w:snapToGrid w:val="0"/>
                <w:color w:val="auto"/>
                <w:kern w:val="0"/>
                <w:sz w:val="24"/>
                <w:szCs w:val="24"/>
                <w:lang w:val="en-US" w:eastAsia="zh-CN" w:bidi="ar-SA"/>
              </w:rPr>
              <w:t>14</w:t>
            </w:r>
            <w:r>
              <w:rPr>
                <w:rFonts w:hint="default" w:ascii="Times New Roman" w:hAnsi="Times New Roman" w:eastAsia="宋体" w:cs="Times New Roman"/>
                <w:snapToGrid w:val="0"/>
                <w:color w:val="auto"/>
                <w:kern w:val="0"/>
                <w:sz w:val="24"/>
                <w:szCs w:val="24"/>
                <w:lang w:val="en-US" w:eastAsia="zh-CN" w:bidi="ar-SA"/>
              </w:rPr>
              <w:t>×</w:t>
            </w:r>
            <w:r>
              <w:rPr>
                <w:rFonts w:hint="eastAsia" w:ascii="Times New Roman" w:hAnsi="Times New Roman" w:eastAsia="宋体" w:cs="Times New Roman"/>
                <w:snapToGrid w:val="0"/>
                <w:color w:val="auto"/>
                <w:kern w:val="0"/>
                <w:sz w:val="24"/>
                <w:szCs w:val="24"/>
                <w:lang w:val="en-US" w:eastAsia="zh-CN" w:bidi="ar-SA"/>
              </w:rPr>
              <w:t>3</w:t>
            </w:r>
            <w:r>
              <w:rPr>
                <w:rFonts w:hint="default" w:ascii="Times New Roman" w:hAnsi="Times New Roman" w:eastAsia="宋体" w:cs="Times New Roman"/>
                <w:snapToGrid w:val="0"/>
                <w:color w:val="auto"/>
                <w:kern w:val="0"/>
                <w:sz w:val="24"/>
                <w:szCs w:val="24"/>
                <w:lang w:val="en-US" w:eastAsia="zh-CN" w:bidi="ar-SA"/>
              </w:rPr>
              <w:t>00×</w:t>
            </w:r>
            <w:r>
              <w:rPr>
                <w:rFonts w:hint="eastAsia" w:ascii="Times New Roman" w:hAnsi="Times New Roman" w:eastAsia="宋体" w:cs="Times New Roman"/>
                <w:snapToGrid w:val="0"/>
                <w:color w:val="auto"/>
                <w:kern w:val="0"/>
                <w:sz w:val="24"/>
                <w:szCs w:val="24"/>
                <w:lang w:val="en-US" w:eastAsia="zh-CN" w:bidi="ar-SA"/>
              </w:rPr>
              <w:t>15</w:t>
            </w:r>
            <w:r>
              <w:rPr>
                <w:rFonts w:hint="default" w:ascii="Times New Roman" w:hAnsi="Times New Roman" w:eastAsia="宋体" w:cs="Times New Roman"/>
                <w:snapToGrid w:val="0"/>
                <w:color w:val="auto"/>
                <w:kern w:val="0"/>
                <w:sz w:val="24"/>
                <w:szCs w:val="24"/>
                <w:lang w:val="en-US" w:eastAsia="zh-CN" w:bidi="ar-SA"/>
              </w:rPr>
              <w:t>/60×10</w:t>
            </w:r>
            <w:r>
              <w:rPr>
                <w:rFonts w:hint="default" w:ascii="Times New Roman" w:hAnsi="Times New Roman" w:eastAsia="宋体" w:cs="Times New Roman"/>
                <w:snapToGrid w:val="0"/>
                <w:color w:val="auto"/>
                <w:kern w:val="0"/>
                <w:sz w:val="24"/>
                <w:szCs w:val="24"/>
                <w:vertAlign w:val="superscript"/>
                <w:lang w:val="en-US" w:eastAsia="zh-CN" w:bidi="ar-SA"/>
              </w:rPr>
              <w:t>-3</w:t>
            </w:r>
            <w:r>
              <w:rPr>
                <w:rFonts w:hint="default" w:ascii="Times New Roman" w:hAnsi="Times New Roman" w:eastAsia="宋体" w:cs="Times New Roman"/>
                <w:snapToGrid w:val="0"/>
                <w:color w:val="auto"/>
                <w:kern w:val="0"/>
                <w:sz w:val="24"/>
                <w:szCs w:val="24"/>
                <w:lang w:val="en-US" w:eastAsia="zh-CN" w:bidi="ar-SA"/>
              </w:rPr>
              <w:t>×1=0.0</w:t>
            </w:r>
            <w:r>
              <w:rPr>
                <w:rFonts w:hint="eastAsia" w:ascii="Times New Roman" w:hAnsi="Times New Roman" w:eastAsia="宋体" w:cs="Times New Roman"/>
                <w:snapToGrid w:val="0"/>
                <w:color w:val="auto"/>
                <w:kern w:val="0"/>
                <w:sz w:val="24"/>
                <w:szCs w:val="24"/>
                <w:lang w:val="en-US" w:eastAsia="zh-CN" w:bidi="ar-SA"/>
              </w:rPr>
              <w:t>105</w:t>
            </w:r>
            <w:r>
              <w:rPr>
                <w:rFonts w:hint="default" w:ascii="Times New Roman" w:hAnsi="Times New Roman" w:eastAsia="宋体" w:cs="Times New Roman"/>
                <w:snapToGrid w:val="0"/>
                <w:color w:val="auto"/>
                <w:kern w:val="0"/>
                <w:sz w:val="24"/>
                <w:szCs w:val="24"/>
                <w:lang w:val="en-US" w:eastAsia="zh-CN" w:bidi="ar-SA"/>
              </w:rPr>
              <w:t>mSv，能满足本项目剂量管理限值5mSv的要求。</w:t>
            </w:r>
          </w:p>
          <w:p w14:paraId="6D31878B">
            <w:pPr>
              <w:pStyle w:val="2"/>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由于本项目介入治疗手术过程中辐射工作人员的受照剂量受多种不确定因素的影响，工作人员的受照情况复杂多变难以准确</w:t>
            </w:r>
            <w:r>
              <w:rPr>
                <w:rFonts w:hint="default" w:ascii="Times New Roman" w:hAnsi="Times New Roman" w:eastAsia="宋体" w:cs="Times New Roman"/>
                <w:sz w:val="24"/>
                <w:szCs w:val="24"/>
                <w:lang w:val="en-US" w:eastAsia="zh-CN"/>
              </w:rPr>
              <w:t>估算其年有效剂量。因此上述理论估算结果只能大致反映出工作人员受辐射照射程度。本项目参与介入手术的医务人员在手术过程中均应佩戴个人剂量计，医院应根据个人剂量检测结果及时对工作人员工作岗位进行调整，确保其年有效剂量满足本项目的目标管理要求</w:t>
            </w:r>
            <w:r>
              <w:rPr>
                <w:rFonts w:hint="default" w:ascii="Times New Roman" w:hAnsi="Times New Roman" w:eastAsia="宋体" w:cs="Times New Roman"/>
                <w:color w:val="auto"/>
                <w:sz w:val="24"/>
                <w:szCs w:val="24"/>
                <w:lang w:val="en-US" w:eastAsia="zh-CN"/>
              </w:rPr>
              <w:t>。</w:t>
            </w:r>
          </w:p>
          <w:p w14:paraId="48ED017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②公众剂量估算</w:t>
            </w:r>
          </w:p>
          <w:p w14:paraId="4CAB806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根据DSA机房类比项目监测结果，</w:t>
            </w:r>
            <w:r>
              <w:rPr>
                <w:rFonts w:hint="eastAsia" w:ascii="Times New Roman" w:hAnsi="Times New Roman" w:eastAsia="宋体" w:cs="Times New Roman"/>
                <w:snapToGrid w:val="0"/>
                <w:color w:val="auto"/>
                <w:kern w:val="0"/>
                <w:sz w:val="24"/>
                <w:szCs w:val="21"/>
                <w:lang w:val="en-US" w:eastAsia="zh-CN" w:bidi="ar-SA"/>
              </w:rPr>
              <w:t>DSA</w:t>
            </w:r>
            <w:r>
              <w:rPr>
                <w:rFonts w:hint="default" w:ascii="Times New Roman" w:hAnsi="Times New Roman" w:eastAsia="宋体" w:cs="Times New Roman"/>
                <w:snapToGrid w:val="0"/>
                <w:color w:val="auto"/>
                <w:kern w:val="0"/>
                <w:sz w:val="24"/>
                <w:szCs w:val="21"/>
                <w:lang w:val="en-US" w:eastAsia="zh-CN" w:bidi="ar-SA"/>
              </w:rPr>
              <w:t>机房</w:t>
            </w:r>
            <w:r>
              <w:rPr>
                <w:rFonts w:hint="eastAsia" w:ascii="Times New Roman" w:hAnsi="Times New Roman" w:eastAsia="宋体" w:cs="Times New Roman"/>
                <w:snapToGrid w:val="0"/>
                <w:color w:val="auto"/>
                <w:kern w:val="0"/>
                <w:sz w:val="24"/>
                <w:szCs w:val="21"/>
                <w:lang w:val="en-US" w:eastAsia="zh-CN" w:bidi="ar-SA"/>
              </w:rPr>
              <w:t>外瞬时</w:t>
            </w:r>
            <w:r>
              <w:rPr>
                <w:rFonts w:hint="eastAsia" w:ascii="Times New Roman" w:hAnsi="Times New Roman" w:eastAsia="宋体" w:cs="Times New Roman"/>
                <w:bCs/>
                <w:snapToGrid w:val="0"/>
                <w:color w:val="auto"/>
                <w:kern w:val="0"/>
                <w:sz w:val="24"/>
                <w:szCs w:val="21"/>
                <w:lang w:val="en-US" w:eastAsia="zh-CN" w:bidi="ar-SA"/>
              </w:rPr>
              <w:t>剂量率</w:t>
            </w:r>
            <w:r>
              <w:rPr>
                <w:rFonts w:hint="default" w:ascii="Times New Roman" w:hAnsi="Times New Roman" w:eastAsia="宋体" w:cs="Times New Roman"/>
                <w:bCs/>
                <w:snapToGrid w:val="0"/>
                <w:color w:val="auto"/>
                <w:kern w:val="0"/>
                <w:sz w:val="24"/>
                <w:szCs w:val="24"/>
                <w:lang w:val="en-US" w:eastAsia="zh-CN" w:bidi="ar-SA"/>
              </w:rPr>
              <w:t>为</w:t>
            </w:r>
            <w:r>
              <w:rPr>
                <w:rFonts w:hint="default" w:ascii="Times New Roman" w:hAnsi="Times New Roman" w:eastAsia="宋体" w:cs="Times New Roman"/>
                <w:snapToGrid w:val="0"/>
                <w:color w:val="auto"/>
                <w:kern w:val="0"/>
                <w:sz w:val="24"/>
                <w:szCs w:val="24"/>
                <w:lang w:val="en-US" w:eastAsia="zh-CN" w:bidi="ar-SA"/>
              </w:rPr>
              <w:t>0.11~0.1</w:t>
            </w:r>
            <w:r>
              <w:rPr>
                <w:rFonts w:hint="eastAsia" w:ascii="Times New Roman" w:hAnsi="Times New Roman" w:eastAsia="宋体" w:cs="Times New Roman"/>
                <w:snapToGrid w:val="0"/>
                <w:color w:val="auto"/>
                <w:kern w:val="0"/>
                <w:sz w:val="24"/>
                <w:szCs w:val="24"/>
                <w:lang w:val="en-US" w:eastAsia="zh-CN" w:bidi="ar-SA"/>
              </w:rPr>
              <w:t>4</w:t>
            </w:r>
            <w:r>
              <w:rPr>
                <w:rFonts w:hint="default" w:ascii="Times New Roman" w:hAnsi="Times New Roman" w:eastAsia="宋体" w:cs="Times New Roman"/>
                <w:snapToGrid w:val="0"/>
                <w:color w:val="auto"/>
                <w:kern w:val="0"/>
                <w:sz w:val="24"/>
                <w:szCs w:val="24"/>
                <w:lang w:val="en-US" w:eastAsia="zh-CN" w:bidi="ar-SA"/>
              </w:rPr>
              <w:t>μSv/h。从不利影响考虑，采用0.</w:t>
            </w:r>
            <w:r>
              <w:rPr>
                <w:rFonts w:hint="eastAsia" w:ascii="Times New Roman" w:hAnsi="Times New Roman" w:eastAsia="宋体" w:cs="Times New Roman"/>
                <w:snapToGrid w:val="0"/>
                <w:color w:val="auto"/>
                <w:kern w:val="0"/>
                <w:sz w:val="24"/>
                <w:szCs w:val="24"/>
                <w:lang w:val="en-US" w:eastAsia="zh-CN" w:bidi="ar-SA"/>
              </w:rPr>
              <w:t>14</w:t>
            </w:r>
            <w:r>
              <w:rPr>
                <w:rFonts w:hint="default" w:ascii="Times New Roman" w:hAnsi="Times New Roman" w:eastAsia="宋体" w:cs="Times New Roman"/>
                <w:snapToGrid w:val="0"/>
                <w:color w:val="auto"/>
                <w:kern w:val="0"/>
                <w:sz w:val="24"/>
                <w:szCs w:val="24"/>
                <w:lang w:val="en-US" w:eastAsia="zh-CN" w:bidi="ar-SA"/>
              </w:rPr>
              <w:t>μSv/h对本项目周围公众所受年附加剂量进行保守估算，居留因子</w:t>
            </w:r>
            <w:r>
              <w:rPr>
                <w:rFonts w:hint="eastAsia" w:ascii="Times New Roman" w:hAnsi="Times New Roman" w:eastAsia="宋体" w:cs="Times New Roman"/>
                <w:snapToGrid w:val="0"/>
                <w:color w:val="auto"/>
                <w:kern w:val="0"/>
                <w:sz w:val="24"/>
                <w:szCs w:val="24"/>
                <w:lang w:val="en-US" w:eastAsia="zh-CN" w:bidi="ar-SA"/>
              </w:rPr>
              <w:t>取1/4</w:t>
            </w:r>
            <w:r>
              <w:rPr>
                <w:rFonts w:hint="default" w:ascii="Times New Roman" w:hAnsi="Times New Roman" w:eastAsia="宋体" w:cs="Times New Roman"/>
                <w:snapToGrid w:val="0"/>
                <w:color w:val="auto"/>
                <w:kern w:val="0"/>
                <w:sz w:val="24"/>
                <w:szCs w:val="24"/>
                <w:lang w:val="en-US" w:eastAsia="zh-CN" w:bidi="ar-SA"/>
              </w:rPr>
              <w:t>，则公众人员年附加剂量估算为0.</w:t>
            </w:r>
            <w:r>
              <w:rPr>
                <w:rFonts w:hint="eastAsia" w:ascii="Times New Roman" w:hAnsi="Times New Roman" w:eastAsia="宋体" w:cs="Times New Roman"/>
                <w:snapToGrid w:val="0"/>
                <w:color w:val="auto"/>
                <w:kern w:val="0"/>
                <w:sz w:val="24"/>
                <w:szCs w:val="24"/>
                <w:lang w:val="en-US" w:eastAsia="zh-CN" w:bidi="ar-SA"/>
              </w:rPr>
              <w:t>14</w:t>
            </w:r>
            <w:r>
              <w:rPr>
                <w:rFonts w:hint="default" w:ascii="Times New Roman" w:hAnsi="Times New Roman" w:eastAsia="宋体" w:cs="Times New Roman"/>
                <w:snapToGrid w:val="0"/>
                <w:color w:val="auto"/>
                <w:kern w:val="0"/>
                <w:sz w:val="24"/>
                <w:szCs w:val="24"/>
                <w:lang w:val="en-US" w:eastAsia="zh-CN" w:bidi="ar-SA"/>
              </w:rPr>
              <w:t>×</w:t>
            </w:r>
            <w:r>
              <w:rPr>
                <w:rFonts w:hint="eastAsia" w:ascii="Times New Roman" w:hAnsi="Times New Roman" w:eastAsia="宋体" w:cs="Times New Roman"/>
                <w:snapToGrid w:val="0"/>
                <w:color w:val="auto"/>
                <w:kern w:val="0"/>
                <w:sz w:val="24"/>
                <w:szCs w:val="24"/>
                <w:lang w:val="en-US" w:eastAsia="zh-CN" w:bidi="ar-SA"/>
              </w:rPr>
              <w:t>3</w:t>
            </w:r>
            <w:r>
              <w:rPr>
                <w:rFonts w:hint="default" w:ascii="Times New Roman" w:hAnsi="Times New Roman" w:eastAsia="宋体" w:cs="Times New Roman"/>
                <w:snapToGrid w:val="0"/>
                <w:color w:val="auto"/>
                <w:kern w:val="0"/>
                <w:sz w:val="24"/>
                <w:szCs w:val="24"/>
                <w:lang w:val="en-US" w:eastAsia="zh-CN" w:bidi="ar-SA"/>
              </w:rPr>
              <w:t>00×</w:t>
            </w:r>
            <w:r>
              <w:rPr>
                <w:rFonts w:hint="eastAsia" w:ascii="Times New Roman" w:hAnsi="Times New Roman" w:eastAsia="宋体" w:cs="Times New Roman"/>
                <w:snapToGrid w:val="0"/>
                <w:color w:val="auto"/>
                <w:kern w:val="0"/>
                <w:sz w:val="24"/>
                <w:szCs w:val="24"/>
                <w:lang w:val="en-US" w:eastAsia="zh-CN" w:bidi="ar-SA"/>
              </w:rPr>
              <w:t>15</w:t>
            </w:r>
            <w:r>
              <w:rPr>
                <w:rFonts w:hint="default" w:ascii="Times New Roman" w:hAnsi="Times New Roman" w:eastAsia="宋体" w:cs="Times New Roman"/>
                <w:snapToGrid w:val="0"/>
                <w:color w:val="auto"/>
                <w:kern w:val="0"/>
                <w:sz w:val="24"/>
                <w:szCs w:val="24"/>
                <w:lang w:val="en-US" w:eastAsia="zh-CN" w:bidi="ar-SA"/>
              </w:rPr>
              <w:t>/60×10</w:t>
            </w:r>
            <w:r>
              <w:rPr>
                <w:rFonts w:hint="default" w:ascii="Times New Roman" w:hAnsi="Times New Roman" w:eastAsia="宋体" w:cs="Times New Roman"/>
                <w:snapToGrid w:val="0"/>
                <w:color w:val="auto"/>
                <w:kern w:val="0"/>
                <w:sz w:val="24"/>
                <w:szCs w:val="24"/>
                <w:vertAlign w:val="superscript"/>
                <w:lang w:val="en-US" w:eastAsia="zh-CN" w:bidi="ar-SA"/>
              </w:rPr>
              <w:t>-3</w:t>
            </w:r>
            <w:r>
              <w:rPr>
                <w:rFonts w:hint="default" w:ascii="Times New Roman" w:hAnsi="Times New Roman" w:eastAsia="宋体" w:cs="Times New Roman"/>
                <w:snapToGrid w:val="0"/>
                <w:color w:val="auto"/>
                <w:kern w:val="0"/>
                <w:sz w:val="24"/>
                <w:szCs w:val="24"/>
                <w:lang w:val="en-US" w:eastAsia="zh-CN" w:bidi="ar-SA"/>
              </w:rPr>
              <w:t>×</w:t>
            </w:r>
            <w:r>
              <w:rPr>
                <w:rFonts w:hint="eastAsia" w:ascii="Times New Roman" w:hAnsi="Times New Roman" w:eastAsia="宋体" w:cs="Times New Roman"/>
                <w:snapToGrid w:val="0"/>
                <w:color w:val="auto"/>
                <w:kern w:val="0"/>
                <w:sz w:val="24"/>
                <w:szCs w:val="24"/>
                <w:lang w:val="en-US" w:eastAsia="zh-CN" w:bidi="ar-SA"/>
              </w:rPr>
              <w:t>1/4</w:t>
            </w:r>
            <w:r>
              <w:rPr>
                <w:rFonts w:hint="default" w:ascii="Times New Roman" w:hAnsi="Times New Roman" w:eastAsia="宋体" w:cs="Times New Roman"/>
                <w:snapToGrid w:val="0"/>
                <w:color w:val="auto"/>
                <w:kern w:val="0"/>
                <w:sz w:val="24"/>
                <w:szCs w:val="24"/>
                <w:lang w:val="en-US" w:eastAsia="zh-CN" w:bidi="ar-SA"/>
              </w:rPr>
              <w:t>=0.0</w:t>
            </w:r>
            <w:r>
              <w:rPr>
                <w:rFonts w:hint="eastAsia" w:ascii="Times New Roman" w:hAnsi="Times New Roman" w:eastAsia="宋体" w:cs="Times New Roman"/>
                <w:snapToGrid w:val="0"/>
                <w:color w:val="auto"/>
                <w:kern w:val="0"/>
                <w:sz w:val="24"/>
                <w:szCs w:val="24"/>
                <w:lang w:val="en-US" w:eastAsia="zh-CN" w:bidi="ar-SA"/>
              </w:rPr>
              <w:t>02625</w:t>
            </w:r>
            <w:r>
              <w:rPr>
                <w:rFonts w:hint="default" w:ascii="Times New Roman" w:hAnsi="Times New Roman" w:eastAsia="宋体" w:cs="Times New Roman"/>
                <w:snapToGrid w:val="0"/>
                <w:color w:val="auto"/>
                <w:kern w:val="0"/>
                <w:sz w:val="24"/>
                <w:szCs w:val="24"/>
                <w:lang w:val="en-US" w:eastAsia="zh-CN" w:bidi="ar-SA"/>
              </w:rPr>
              <w:t>mSv，能满足公众人员剂量管理限值0.25mSv的要求。能满足公众人员剂量管理限值0.25mSv的要求。</w:t>
            </w:r>
          </w:p>
          <w:p w14:paraId="2F577BF5">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b/>
                <w:snapToGrid w:val="0"/>
                <w:color w:val="auto"/>
                <w:kern w:val="0"/>
                <w:sz w:val="24"/>
                <w:szCs w:val="24"/>
                <w:lang w:val="en-US" w:eastAsia="zh-CN" w:bidi="ar-SA"/>
              </w:rPr>
              <w:t>2.3介入治疗其他注意事项</w:t>
            </w:r>
          </w:p>
          <w:p w14:paraId="5C873068">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介入治疗需要长时间的透视和大量的摄片，对病人和医务人员来说辐射剂量较高，因此在评估介入的效应和操作时，其辐射损伤</w:t>
            </w:r>
            <w:r>
              <w:rPr>
                <w:rFonts w:hint="eastAsia" w:ascii="Times New Roman" w:hAnsi="Times New Roman" w:eastAsia="宋体" w:cs="Times New Roman"/>
                <w:snapToGrid w:val="0"/>
                <w:color w:val="auto"/>
                <w:kern w:val="0"/>
                <w:sz w:val="24"/>
                <w:szCs w:val="24"/>
                <w:lang w:val="en-US" w:eastAsia="zh-CN" w:bidi="ar-SA"/>
              </w:rPr>
              <w:t>必须</w:t>
            </w:r>
            <w:r>
              <w:rPr>
                <w:rFonts w:hint="default" w:ascii="Times New Roman" w:hAnsi="Times New Roman" w:eastAsia="宋体" w:cs="Times New Roman"/>
                <w:snapToGrid w:val="0"/>
                <w:color w:val="auto"/>
                <w:kern w:val="0"/>
                <w:sz w:val="24"/>
                <w:szCs w:val="24"/>
                <w:lang w:val="en-US" w:eastAsia="zh-CN" w:bidi="ar-SA"/>
              </w:rPr>
              <w:t>加以考虑。由于需要医务人员在机房内，X线球管工作时产生的散射线对医务人员有较大影响，为此医院应为工作人员配备</w:t>
            </w:r>
            <w:r>
              <w:rPr>
                <w:rFonts w:hint="eastAsia" w:ascii="Times New Roman" w:hAnsi="Times New Roman" w:eastAsia="宋体" w:cs="Times New Roman"/>
                <w:snapToGrid w:val="0"/>
                <w:color w:val="auto"/>
                <w:kern w:val="0"/>
                <w:sz w:val="24"/>
                <w:szCs w:val="24"/>
                <w:lang w:val="en-US" w:eastAsia="zh-CN" w:bidi="ar-SA"/>
              </w:rPr>
              <w:t>裙式铅衣</w:t>
            </w:r>
            <w:r>
              <w:rPr>
                <w:rFonts w:hint="default" w:ascii="Times New Roman" w:hAnsi="Times New Roman" w:eastAsia="宋体" w:cs="Times New Roman"/>
                <w:snapToGrid w:val="0"/>
                <w:color w:val="auto"/>
                <w:kern w:val="0"/>
                <w:sz w:val="24"/>
                <w:szCs w:val="24"/>
                <w:lang w:val="en-US" w:eastAsia="zh-CN" w:bidi="ar-SA"/>
              </w:rPr>
              <w:t>、</w:t>
            </w:r>
            <w:r>
              <w:rPr>
                <w:rFonts w:hint="eastAsia" w:ascii="Times New Roman" w:hAnsi="Times New Roman" w:eastAsia="宋体" w:cs="Times New Roman"/>
                <w:snapToGrid w:val="0"/>
                <w:color w:val="auto"/>
                <w:kern w:val="0"/>
                <w:sz w:val="24"/>
                <w:szCs w:val="24"/>
                <w:lang w:val="en-US" w:eastAsia="zh-CN" w:bidi="ar-SA"/>
              </w:rPr>
              <w:t>铅橡胶手套、</w:t>
            </w:r>
            <w:r>
              <w:rPr>
                <w:rFonts w:hint="default" w:ascii="Times New Roman" w:hAnsi="Times New Roman" w:eastAsia="宋体" w:cs="Times New Roman"/>
                <w:snapToGrid w:val="0"/>
                <w:color w:val="auto"/>
                <w:kern w:val="0"/>
                <w:sz w:val="24"/>
                <w:szCs w:val="24"/>
                <w:lang w:val="en-US" w:eastAsia="zh-CN" w:bidi="ar-SA"/>
              </w:rPr>
              <w:t>铅橡胶围裙、铅橡胶颈套、铅防护眼镜等防护用品。医院除应加强对从事介入手术医务工作人员的个人剂量管理工作，确保每名</w:t>
            </w:r>
            <w:r>
              <w:rPr>
                <w:rFonts w:hint="eastAsia" w:ascii="Times New Roman" w:hAnsi="Times New Roman" w:eastAsia="宋体" w:cs="Times New Roman"/>
                <w:snapToGrid w:val="0"/>
                <w:color w:val="auto"/>
                <w:kern w:val="0"/>
                <w:sz w:val="24"/>
                <w:szCs w:val="24"/>
                <w:lang w:val="en-US" w:eastAsia="zh-CN" w:bidi="ar-SA"/>
              </w:rPr>
              <w:t>介入手术</w:t>
            </w:r>
            <w:r>
              <w:rPr>
                <w:rFonts w:hint="default" w:ascii="Times New Roman" w:hAnsi="Times New Roman" w:eastAsia="宋体" w:cs="Times New Roman"/>
                <w:snapToGrid w:val="0"/>
                <w:color w:val="auto"/>
                <w:kern w:val="0"/>
                <w:sz w:val="24"/>
                <w:szCs w:val="24"/>
                <w:lang w:val="en-US" w:eastAsia="zh-CN" w:bidi="ar-SA"/>
              </w:rPr>
              <w:t>医护人员年有效剂量不超过10mSv的目标管理限值，还应在以下方面加强对介入治疗的防护工作：</w:t>
            </w:r>
          </w:p>
          <w:p w14:paraId="73C81DD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①</w:t>
            </w:r>
            <w:r>
              <w:rPr>
                <w:rFonts w:hint="default" w:ascii="Times New Roman" w:hAnsi="Times New Roman" w:eastAsia="宋体" w:cs="Times New Roman"/>
                <w:snapToGrid w:val="0"/>
                <w:color w:val="auto"/>
                <w:kern w:val="0"/>
                <w:sz w:val="24"/>
                <w:szCs w:val="24"/>
                <w:lang w:val="en-US" w:eastAsia="zh-CN" w:bidi="ar-SA"/>
              </w:rPr>
              <w:t>操作中减少透视时间和次数可以显著降低工作人员的辐射剂量，介入人员在操作时应尽量远离检查床。</w:t>
            </w:r>
          </w:p>
          <w:p w14:paraId="7C9C808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②</w:t>
            </w:r>
            <w:r>
              <w:rPr>
                <w:rFonts w:hint="default" w:ascii="Times New Roman" w:hAnsi="Times New Roman" w:eastAsia="宋体" w:cs="Times New Roman"/>
                <w:snapToGrid w:val="0"/>
                <w:color w:val="auto"/>
                <w:kern w:val="0"/>
                <w:sz w:val="24"/>
                <w:szCs w:val="24"/>
                <w:lang w:val="en-US" w:eastAsia="zh-CN" w:bidi="ar-SA"/>
              </w:rPr>
              <w:t>一般说来，降低病人的剂量的措施可以同时降低工作人员的辐射剂量，应加强对介入人员的培训，包括放射防护的培训，参与介入的人员应技术熟练，以减少病人和介入人员的剂量。</w:t>
            </w:r>
          </w:p>
          <w:p w14:paraId="7366239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③</w:t>
            </w:r>
            <w:r>
              <w:rPr>
                <w:rFonts w:hint="default" w:ascii="Times New Roman" w:hAnsi="Times New Roman" w:eastAsia="宋体" w:cs="Times New Roman"/>
                <w:snapToGrid w:val="0"/>
                <w:color w:val="auto"/>
                <w:kern w:val="0"/>
                <w:sz w:val="24"/>
                <w:szCs w:val="24"/>
                <w:lang w:val="en-US" w:eastAsia="zh-CN" w:bidi="ar-SA"/>
              </w:rPr>
              <w:t>所有在介入放射手术室内的工作人员都应开展个人剂量监测，医院应结合工作人员个人剂量监测的数据采取措施，不断减少工作人员的受照剂量。</w:t>
            </w:r>
          </w:p>
          <w:p w14:paraId="58198EA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④</w:t>
            </w:r>
            <w:r>
              <w:rPr>
                <w:rFonts w:hint="default" w:ascii="Times New Roman" w:hAnsi="Times New Roman" w:eastAsia="宋体" w:cs="Times New Roman"/>
                <w:snapToGrid w:val="0"/>
                <w:color w:val="auto"/>
                <w:kern w:val="0"/>
                <w:sz w:val="24"/>
                <w:szCs w:val="24"/>
                <w:lang w:val="en-US" w:eastAsia="zh-CN" w:bidi="ar-SA"/>
              </w:rPr>
              <w:t>设备必须符合国际或者国家标准，满足各种特殊操作的要求，其性能必须与操作性质相符合，应该常规调节到满足低剂量的有效范围内，尽可能提高图像质量。</w:t>
            </w:r>
          </w:p>
          <w:p w14:paraId="68394ED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⑤</w:t>
            </w:r>
            <w:r>
              <w:rPr>
                <w:rFonts w:hint="default" w:ascii="Times New Roman" w:hAnsi="Times New Roman" w:eastAsia="宋体" w:cs="Times New Roman"/>
                <w:snapToGrid w:val="0"/>
                <w:color w:val="auto"/>
                <w:kern w:val="0"/>
                <w:sz w:val="24"/>
                <w:szCs w:val="24"/>
                <w:lang w:val="en-US" w:eastAsia="zh-CN" w:bidi="ar-SA"/>
              </w:rPr>
              <w:t>加强DSA设备的质量保证工作，设备的球管与发生器、透视和数字成像的性能</w:t>
            </w:r>
            <w:r>
              <w:rPr>
                <w:rFonts w:hint="eastAsia" w:ascii="Times New Roman" w:hAnsi="Times New Roman" w:eastAsia="宋体" w:cs="Times New Roman"/>
                <w:snapToGrid w:val="0"/>
                <w:color w:val="auto"/>
                <w:kern w:val="0"/>
                <w:sz w:val="24"/>
                <w:szCs w:val="24"/>
                <w:lang w:val="en-US" w:eastAsia="zh-CN" w:bidi="ar-SA"/>
              </w:rPr>
              <w:t>以及其他相关</w:t>
            </w:r>
            <w:r>
              <w:rPr>
                <w:rFonts w:hint="default" w:ascii="Times New Roman" w:hAnsi="Times New Roman" w:eastAsia="宋体" w:cs="Times New Roman"/>
                <w:snapToGrid w:val="0"/>
                <w:color w:val="auto"/>
                <w:kern w:val="0"/>
                <w:sz w:val="24"/>
                <w:szCs w:val="24"/>
                <w:lang w:val="en-US" w:eastAsia="zh-CN" w:bidi="ar-SA"/>
              </w:rPr>
              <w:t>设备应该定期进行检测。</w:t>
            </w:r>
          </w:p>
          <w:p w14:paraId="22A72E36">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⑥</w:t>
            </w:r>
            <w:r>
              <w:rPr>
                <w:rFonts w:hint="default" w:ascii="Times New Roman" w:hAnsi="Times New Roman" w:eastAsia="宋体" w:cs="Times New Roman"/>
                <w:snapToGrid w:val="0"/>
                <w:color w:val="auto"/>
                <w:kern w:val="0"/>
                <w:sz w:val="24"/>
                <w:szCs w:val="24"/>
                <w:lang w:val="en-US" w:eastAsia="zh-CN" w:bidi="ar-SA"/>
              </w:rPr>
              <w:t>为介入手术医护人员配备的个人防护用品应符合《放射诊断放射防护要求》（GBZ130-2020）的要求，其中除介入防护手套外，防护用品和辅助防护设施的铅当量应不小于</w:t>
            </w:r>
            <w:r>
              <w:rPr>
                <w:rFonts w:hint="eastAsia" w:ascii="Times New Roman" w:hAnsi="Times New Roman" w:eastAsia="宋体" w:cs="Times New Roman"/>
                <w:snapToGrid w:val="0"/>
                <w:color w:val="auto"/>
                <w:kern w:val="0"/>
                <w:sz w:val="24"/>
                <w:szCs w:val="24"/>
                <w:lang w:val="en-US" w:eastAsia="zh-CN" w:bidi="ar-SA"/>
              </w:rPr>
              <w:t>0.35mm</w:t>
            </w:r>
            <w:r>
              <w:rPr>
                <w:rFonts w:hint="default" w:ascii="Times New Roman" w:hAnsi="Times New Roman" w:eastAsia="宋体" w:cs="Times New Roman"/>
                <w:snapToGrid w:val="0"/>
                <w:color w:val="auto"/>
                <w:kern w:val="0"/>
                <w:sz w:val="24"/>
                <w:szCs w:val="24"/>
                <w:lang w:val="en-US" w:eastAsia="zh-CN" w:bidi="ar-SA"/>
              </w:rPr>
              <w:t>Pb，介入防护手套铅当量应不少于0.025mmPb，甲状腺、性腺防护用品铅当量应不小于0.5mmPb，移动铅防护屏风铅当量应不小于2mmPb。</w:t>
            </w:r>
          </w:p>
          <w:p w14:paraId="71C2924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⑦</w:t>
            </w:r>
            <w:r>
              <w:rPr>
                <w:rFonts w:hint="default" w:ascii="Times New Roman" w:hAnsi="Times New Roman" w:eastAsia="宋体" w:cs="Times New Roman"/>
                <w:snapToGrid w:val="0"/>
                <w:color w:val="auto"/>
                <w:kern w:val="0"/>
                <w:sz w:val="24"/>
                <w:szCs w:val="24"/>
                <w:lang w:val="en-US" w:eastAsia="zh-CN" w:bidi="ar-SA"/>
              </w:rPr>
              <w:t>介入人员应该结合设备的特点，了解一些降低剂量的方法。</w:t>
            </w:r>
          </w:p>
          <w:p w14:paraId="4E181BB3">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ja-JP" w:bidi="ar-SA"/>
              </w:rPr>
              <w:t>⑧</w:t>
            </w:r>
            <w:r>
              <w:rPr>
                <w:rFonts w:hint="default" w:ascii="Times New Roman" w:hAnsi="Times New Roman" w:eastAsia="宋体" w:cs="Times New Roman"/>
                <w:snapToGrid w:val="0"/>
                <w:color w:val="auto"/>
                <w:kern w:val="0"/>
                <w:sz w:val="24"/>
                <w:szCs w:val="24"/>
                <w:lang w:val="en-US" w:eastAsia="zh-CN" w:bidi="ar-SA"/>
              </w:rPr>
              <w:t>介入操作时个人剂量计的佩戴方式应在铅围裙外锁骨对应的领口位置佩戴剂量计，采用双剂量计监测方法（在铅围裙内躯干上再佩戴另一个剂量计），且宜在身体可能受到较大照射的部位佩戴局部剂量计（如头箍剂量计、腕部剂量计、指环剂量计等）。当佩戴铅围裙内、外两个剂量计时，有效剂量估算计算公式为（出自《职业性外照射个人监测规范》（GBZ128-2019））：</w:t>
            </w:r>
          </w:p>
          <w:p w14:paraId="03B62DF9">
            <w:pPr>
              <w:keepNext w:val="0"/>
              <w:keepLines w:val="0"/>
              <w:widowControl w:val="0"/>
              <w:suppressLineNumbers w:val="0"/>
              <w:spacing w:before="0" w:beforeAutospacing="0" w:after="0" w:afterAutospacing="0" w:line="360" w:lineRule="auto"/>
              <w:ind w:left="0" w:right="0" w:firstLine="480" w:firstLineChars="200"/>
              <w:jc w:val="center"/>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object>
                <v:shape id="_x0000_i1026" o:spt="75" type="#_x0000_t75" style="height:18.6pt;width:79.6pt;" o:ole="t" filled="f" o:preferrelative="t" stroked="f" coordsize="21600,21600">
                  <v:path/>
                  <v:fill on="f" focussize="0,0"/>
                  <v:stroke on="f" joinstyle="miter"/>
                  <v:imagedata r:id="rId26" o:title=""/>
                  <o:lock v:ext="edit" aspectratio="t"/>
                  <w10:wrap type="none"/>
                  <w10:anchorlock/>
                </v:shape>
                <o:OLEObject Type="Embed" ProgID="Equations" ShapeID="_x0000_i1026" DrawAspect="Content" ObjectID="_1468075726" r:id="rId25">
                  <o:LockedField>false</o:LockedField>
                </o:OLEObject>
              </w:object>
            </w:r>
          </w:p>
          <w:p w14:paraId="00529982">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式中：E—有效剂量中的外照射分量；</w:t>
            </w:r>
          </w:p>
          <w:p w14:paraId="0471FAF1">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object>
                <v:shape id="_x0000_i1027" o:spt="75" type="#_x0000_t75" style="height:10.45pt;width:12.2pt;" o:ole="t" filled="f" o:preferrelative="t" stroked="f" coordsize="21600,21600">
                  <v:path/>
                  <v:fill on="f" focussize="0,0"/>
                  <v:stroke on="f" joinstyle="miter"/>
                  <v:imagedata r:id="rId28" o:title=""/>
                  <o:lock v:ext="edit" aspectratio="t"/>
                  <w10:wrap type="none"/>
                  <w10:anchorlock/>
                </v:shape>
                <o:OLEObject Type="Embed" ProgID="Equations" ShapeID="_x0000_i1027" DrawAspect="Content" ObjectID="_1468075727" r:id="rId27">
                  <o:LockedField>false</o:LockedField>
                </o:OLEObject>
              </w:object>
            </w:r>
            <w:r>
              <w:rPr>
                <w:rFonts w:hint="default" w:ascii="Times New Roman" w:hAnsi="Times New Roman" w:eastAsia="宋体" w:cs="Times New Roman"/>
                <w:snapToGrid w:val="0"/>
                <w:color w:val="auto"/>
                <w:kern w:val="0"/>
                <w:sz w:val="24"/>
                <w:szCs w:val="24"/>
                <w:lang w:val="en-US" w:eastAsia="zh-CN" w:bidi="ar-SA"/>
              </w:rPr>
              <w:t>—系数，有甲状腺屏蔽时，取0.79，无屏蔽时，取0.84；</w:t>
            </w:r>
          </w:p>
          <w:p w14:paraId="3B73DCEE">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object>
                <v:shape id="_x0000_i1028" o:spt="75" type="#_x0000_t75" style="height:18.6pt;width:18.6pt;" o:ole="t" filled="f" o:preferrelative="t" stroked="f" coordsize="21600,21600">
                  <v:path/>
                  <v:fill on="f" focussize="0,0"/>
                  <v:stroke on="f" joinstyle="miter"/>
                  <v:imagedata r:id="rId30" o:title=""/>
                  <o:lock v:ext="edit" aspectratio="t"/>
                  <w10:wrap type="none"/>
                  <w10:anchorlock/>
                </v:shape>
                <o:OLEObject Type="Embed" ProgID="Equations" ShapeID="_x0000_i1028" DrawAspect="Content" ObjectID="_1468075728" r:id="rId29">
                  <o:LockedField>false</o:LockedField>
                </o:OLEObject>
              </w:object>
            </w:r>
            <w:r>
              <w:rPr>
                <w:rFonts w:hint="default" w:ascii="Times New Roman" w:hAnsi="Times New Roman" w:eastAsia="宋体" w:cs="Times New Roman"/>
                <w:snapToGrid w:val="0"/>
                <w:color w:val="auto"/>
                <w:kern w:val="0"/>
                <w:sz w:val="24"/>
                <w:szCs w:val="24"/>
                <w:lang w:val="en-US" w:eastAsia="zh-CN" w:bidi="ar-SA"/>
              </w:rPr>
              <w:t>—铅围裙内佩戴的个人剂量计测得的</w:t>
            </w:r>
            <w:r>
              <w:rPr>
                <w:rFonts w:hint="default" w:ascii="Times New Roman" w:hAnsi="Times New Roman" w:eastAsia="宋体" w:cs="Times New Roman"/>
                <w:snapToGrid w:val="0"/>
                <w:color w:val="auto"/>
                <w:kern w:val="0"/>
                <w:sz w:val="24"/>
                <w:szCs w:val="24"/>
                <w:lang w:val="en-US" w:eastAsia="zh-CN" w:bidi="ar-SA"/>
              </w:rPr>
              <w:object>
                <v:shape id="_x0000_i1029" o:spt="75" type="#_x0000_t75" style="height:19.75pt;width:37.15pt;" o:ole="t" filled="f" o:preferrelative="t" stroked="f" coordsize="21600,21600">
                  <v:path/>
                  <v:fill on="f" focussize="0,0"/>
                  <v:stroke on="f" joinstyle="miter"/>
                  <v:imagedata r:id="rId32" o:title=""/>
                  <o:lock v:ext="edit" aspectratio="t"/>
                  <w10:wrap type="none"/>
                  <w10:anchorlock/>
                </v:shape>
                <o:OLEObject Type="Embed" ProgID="Equations" ShapeID="_x0000_i1029" DrawAspect="Content" ObjectID="_1468075729" r:id="rId31">
                  <o:LockedField>false</o:LockedField>
                </o:OLEObject>
              </w:object>
            </w:r>
            <w:r>
              <w:rPr>
                <w:rFonts w:hint="default" w:ascii="Times New Roman" w:hAnsi="Times New Roman" w:eastAsia="宋体" w:cs="Times New Roman"/>
                <w:snapToGrid w:val="0"/>
                <w:color w:val="auto"/>
                <w:kern w:val="0"/>
                <w:sz w:val="24"/>
                <w:szCs w:val="24"/>
                <w:lang w:val="en-US" w:eastAsia="zh-CN" w:bidi="ar-SA"/>
              </w:rPr>
              <w:t>；</w:t>
            </w:r>
          </w:p>
          <w:p w14:paraId="4F51B22A">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object>
                <v:shape id="_x0000_i1030" o:spt="75" type="#_x0000_t75" style="height:16.25pt;width:12.2pt;" o:ole="t" filled="f" o:preferrelative="t" stroked="f" coordsize="21600,21600">
                  <v:path/>
                  <v:fill on="f" focussize="0,0"/>
                  <v:stroke on="f" joinstyle="miter"/>
                  <v:imagedata r:id="rId34" o:title=""/>
                  <o:lock v:ext="edit" aspectratio="t"/>
                  <w10:wrap type="none"/>
                  <w10:anchorlock/>
                </v:shape>
                <o:OLEObject Type="Embed" ProgID="Equations" ShapeID="_x0000_i1030" DrawAspect="Content" ObjectID="_1468075730" r:id="rId33">
                  <o:LockedField>false</o:LockedField>
                </o:OLEObject>
              </w:object>
            </w:r>
            <w:r>
              <w:rPr>
                <w:rFonts w:hint="default" w:ascii="Times New Roman" w:hAnsi="Times New Roman" w:eastAsia="宋体" w:cs="Times New Roman"/>
                <w:snapToGrid w:val="0"/>
                <w:color w:val="auto"/>
                <w:kern w:val="0"/>
                <w:sz w:val="24"/>
                <w:szCs w:val="24"/>
                <w:lang w:val="en-US" w:eastAsia="zh-CN" w:bidi="ar-SA"/>
              </w:rPr>
              <w:t>—系数，有甲状腺屏蔽时，取0.051，无屏蔽时，取0.100；</w:t>
            </w:r>
          </w:p>
          <w:p w14:paraId="4C0AED94">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object>
                <v:shape id="_x0000_i1031" o:spt="75" type="#_x0000_t75" style="height:18.6pt;width:18.6pt;" o:ole="t" filled="f" o:preferrelative="t" stroked="f" coordsize="21600,21600">
                  <v:path/>
                  <v:fill on="f" focussize="0,0"/>
                  <v:stroke on="f" joinstyle="miter"/>
                  <v:imagedata r:id="rId36" o:title=""/>
                  <o:lock v:ext="edit" aspectratio="t"/>
                  <w10:wrap type="none"/>
                  <w10:anchorlock/>
                </v:shape>
                <o:OLEObject Type="Embed" ProgID="Equations" ShapeID="_x0000_i1031" DrawAspect="Content" ObjectID="_1468075731" r:id="rId35">
                  <o:LockedField>false</o:LockedField>
                </o:OLEObject>
              </w:object>
            </w:r>
            <w:r>
              <w:rPr>
                <w:rFonts w:hint="default" w:ascii="Times New Roman" w:hAnsi="Times New Roman" w:eastAsia="宋体" w:cs="Times New Roman"/>
                <w:snapToGrid w:val="0"/>
                <w:color w:val="auto"/>
                <w:kern w:val="0"/>
                <w:sz w:val="24"/>
                <w:szCs w:val="24"/>
                <w:lang w:val="en-US" w:eastAsia="zh-CN" w:bidi="ar-SA"/>
              </w:rPr>
              <w:t>—铅围裙外锁骨对应的衣领位置佩戴的个人剂量计测得的</w:t>
            </w:r>
            <w:r>
              <w:rPr>
                <w:rFonts w:hint="default" w:ascii="Times New Roman" w:hAnsi="Times New Roman" w:eastAsia="宋体" w:cs="Times New Roman"/>
                <w:snapToGrid w:val="0"/>
                <w:color w:val="auto"/>
                <w:kern w:val="0"/>
                <w:sz w:val="24"/>
                <w:szCs w:val="24"/>
                <w:lang w:val="en-US" w:eastAsia="zh-CN" w:bidi="ar-SA"/>
              </w:rPr>
              <w:object>
                <v:shape id="_x0000_i1032" o:spt="75" type="#_x0000_t75" style="height:16.65pt;width:33.25pt;" o:ole="t" filled="f" o:preferrelative="t" stroked="f" coordsize="21600,21600">
                  <v:path/>
                  <v:fill on="f" focussize="0,0"/>
                  <v:stroke on="f"/>
                  <v:imagedata r:id="rId38" o:title=""/>
                  <o:lock v:ext="edit" aspectratio="t"/>
                  <w10:wrap type="none"/>
                  <w10:anchorlock/>
                </v:shape>
                <o:OLEObject Type="Embed" ProgID="Equations" ShapeID="_x0000_i1032" DrawAspect="Content" ObjectID="_1468075732" r:id="rId37">
                  <o:LockedField>false</o:LockedField>
                </o:OLEObject>
              </w:object>
            </w:r>
            <w:r>
              <w:rPr>
                <w:rFonts w:hint="default" w:ascii="Times New Roman" w:hAnsi="Times New Roman" w:eastAsia="宋体" w:cs="Times New Roman"/>
                <w:snapToGrid w:val="0"/>
                <w:color w:val="auto"/>
                <w:kern w:val="0"/>
                <w:sz w:val="24"/>
                <w:szCs w:val="24"/>
                <w:lang w:val="en-US" w:eastAsia="zh-CN" w:bidi="ar-SA"/>
              </w:rPr>
              <w:t>。</w:t>
            </w:r>
          </w:p>
          <w:p w14:paraId="038E55F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⑨介入放射学工作人员个人剂量监测值当年累积达到10mSv或超过时，该年度剩余时间内不得从事介入放射学工作。</w:t>
            </w:r>
          </w:p>
          <w:p w14:paraId="25CC8684">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4"/>
                <w:lang w:val="en-US" w:eastAsia="zh-CN" w:bidi="ar-SA"/>
              </w:rPr>
            </w:pPr>
            <w:r>
              <w:rPr>
                <w:rFonts w:hint="default" w:ascii="Times New Roman" w:hAnsi="Times New Roman" w:eastAsia="宋体" w:cs="Times New Roman"/>
                <w:b/>
                <w:bCs/>
                <w:snapToGrid w:val="0"/>
                <w:color w:val="auto"/>
                <w:kern w:val="0"/>
                <w:sz w:val="24"/>
                <w:szCs w:val="24"/>
                <w:lang w:val="en-US" w:eastAsia="zh-CN" w:bidi="ar-SA"/>
              </w:rPr>
              <w:t>2.4事故影响分析</w:t>
            </w:r>
          </w:p>
          <w:p w14:paraId="5B91A4FF">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DSA受开机和关机控制，关机时没有X射线发出，一般不易发生事故，在意外情况下，可能发生的辐射事故为一般辐射事故，具体为射线装置失控导致人员受到超过年剂量限值的照射。从理论上讲，发生上述这种事故的</w:t>
            </w:r>
            <w:r>
              <w:rPr>
                <w:rFonts w:hint="eastAsia" w:ascii="Times New Roman" w:hAnsi="Times New Roman" w:eastAsia="宋体" w:cs="Times New Roman"/>
                <w:snapToGrid w:val="0"/>
                <w:color w:val="auto"/>
                <w:kern w:val="0"/>
                <w:sz w:val="24"/>
                <w:szCs w:val="24"/>
                <w:lang w:val="en-US" w:eastAsia="zh-CN" w:bidi="ar-SA"/>
              </w:rPr>
              <w:t>概率</w:t>
            </w:r>
            <w:r>
              <w:rPr>
                <w:rFonts w:hint="default" w:ascii="Times New Roman" w:hAnsi="Times New Roman" w:eastAsia="宋体" w:cs="Times New Roman"/>
                <w:snapToGrid w:val="0"/>
                <w:color w:val="auto"/>
                <w:kern w:val="0"/>
                <w:sz w:val="24"/>
                <w:szCs w:val="24"/>
                <w:lang w:val="en-US" w:eastAsia="zh-CN" w:bidi="ar-SA"/>
              </w:rPr>
              <w:t>极小，为防止事故的发生，在购置设备时要注意安全联锁设施的可靠性与稳定性的设计水平，使用过程中要经常定期检查和维护联锁系统及安全保障系统，设备操作人员应严格按照操作规程进行运行操作，每次开机前</w:t>
            </w:r>
            <w:r>
              <w:rPr>
                <w:rFonts w:hint="eastAsia" w:ascii="Times New Roman" w:hAnsi="Times New Roman" w:eastAsia="宋体" w:cs="Times New Roman"/>
                <w:snapToGrid w:val="0"/>
                <w:color w:val="auto"/>
                <w:kern w:val="0"/>
                <w:sz w:val="24"/>
                <w:szCs w:val="24"/>
                <w:lang w:val="en-US" w:eastAsia="zh-CN" w:bidi="ar-SA"/>
              </w:rPr>
              <w:t>必须</w:t>
            </w:r>
            <w:r>
              <w:rPr>
                <w:rFonts w:hint="default" w:ascii="Times New Roman" w:hAnsi="Times New Roman" w:eastAsia="宋体" w:cs="Times New Roman"/>
                <w:snapToGrid w:val="0"/>
                <w:color w:val="auto"/>
                <w:kern w:val="0"/>
                <w:sz w:val="24"/>
                <w:szCs w:val="24"/>
                <w:lang w:val="en-US" w:eastAsia="zh-CN" w:bidi="ar-SA"/>
              </w:rPr>
              <w:t>确认机房内无非必要人员时，才能进行开机运行。</w:t>
            </w:r>
          </w:p>
          <w:p w14:paraId="7F6A5D07">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4"/>
                <w:lang w:val="en-US" w:eastAsia="zh-CN" w:bidi="ar-SA"/>
              </w:rPr>
            </w:pPr>
            <w:r>
              <w:rPr>
                <w:rFonts w:hint="default" w:ascii="Times New Roman" w:hAnsi="Times New Roman" w:eastAsia="宋体" w:cs="Times New Roman"/>
                <w:snapToGrid w:val="0"/>
                <w:color w:val="auto"/>
                <w:kern w:val="0"/>
                <w:sz w:val="24"/>
                <w:szCs w:val="24"/>
                <w:lang w:val="en-US" w:eastAsia="zh-CN" w:bidi="ar-SA"/>
              </w:rPr>
              <w:t>医务人员必须严格按照操作程序进行设备使用，防止事故照射的发生，避免工作人员和公众接受不必要的辐射照射，工作人员每次上班时首先要检查防护措施是否正常，若存在安全隐患，应立即修理，恢复正常。</w:t>
            </w:r>
            <w:r>
              <w:rPr>
                <w:rFonts w:hint="eastAsia" w:ascii="Times New Roman" w:hAnsi="Times New Roman" w:eastAsia="宋体" w:cs="Times New Roman"/>
                <w:snapToGrid w:val="0"/>
                <w:color w:val="auto"/>
                <w:kern w:val="0"/>
                <w:sz w:val="24"/>
                <w:szCs w:val="24"/>
                <w:lang w:val="en-US" w:eastAsia="zh-CN" w:bidi="ar-SA"/>
              </w:rPr>
              <w:t>寿县安康医院</w:t>
            </w:r>
            <w:r>
              <w:rPr>
                <w:rFonts w:hint="default" w:ascii="Times New Roman" w:hAnsi="Times New Roman" w:eastAsia="宋体" w:cs="Times New Roman"/>
                <w:snapToGrid w:val="0"/>
                <w:color w:val="auto"/>
                <w:kern w:val="0"/>
                <w:sz w:val="24"/>
                <w:szCs w:val="24"/>
                <w:highlight w:val="none"/>
                <w:lang w:val="en-US" w:eastAsia="zh-CN" w:bidi="ar-SA"/>
              </w:rPr>
              <w:t>已制定</w:t>
            </w:r>
            <w:r>
              <w:rPr>
                <w:rFonts w:hint="eastAsia" w:ascii="Times New Roman" w:hAnsi="Times New Roman" w:eastAsia="宋体" w:cs="Times New Roman"/>
                <w:color w:val="auto"/>
                <w:kern w:val="2"/>
                <w:sz w:val="24"/>
                <w:szCs w:val="22"/>
                <w:highlight w:val="none"/>
                <w:lang w:val="en-US" w:eastAsia="zh-CN" w:bidi="ar-SA"/>
              </w:rPr>
              <w:t>《辐射事故应急预案》</w:t>
            </w:r>
            <w:r>
              <w:rPr>
                <w:rFonts w:hint="default" w:ascii="Times New Roman" w:hAnsi="Times New Roman" w:eastAsia="宋体" w:cs="Times New Roman"/>
                <w:snapToGrid w:val="0"/>
                <w:color w:val="auto"/>
                <w:kern w:val="0"/>
                <w:sz w:val="24"/>
                <w:szCs w:val="24"/>
                <w:highlight w:val="none"/>
                <w:lang w:val="en-US" w:eastAsia="zh-CN" w:bidi="ar-SA"/>
              </w:rPr>
              <w:t>，应急预案中规定了辐射事故应急工作原则，明确了应急机构与职责，并对</w:t>
            </w:r>
            <w:r>
              <w:rPr>
                <w:rFonts w:hint="default" w:ascii="Times New Roman" w:hAnsi="Times New Roman" w:eastAsia="宋体" w:cs="Times New Roman"/>
                <w:snapToGrid w:val="0"/>
                <w:color w:val="auto"/>
                <w:kern w:val="0"/>
                <w:sz w:val="24"/>
                <w:szCs w:val="24"/>
                <w:lang w:val="en-US" w:eastAsia="zh-CN" w:bidi="ar-SA"/>
              </w:rPr>
              <w:t>辐射事故应急处理程序等进行规定，可以基本满足医院辐射事故应急处理的需要。</w:t>
            </w:r>
          </w:p>
          <w:p w14:paraId="4EE5809D">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color w:val="auto"/>
                <w:sz w:val="24"/>
                <w:szCs w:val="24"/>
                <w:vertAlign w:val="baseline"/>
                <w:lang w:val="en-US" w:eastAsia="zh-CN"/>
              </w:rPr>
            </w:pPr>
            <w:r>
              <w:rPr>
                <w:rFonts w:hint="default" w:ascii="Times New Roman" w:hAnsi="Times New Roman" w:eastAsia="宋体" w:cs="Times New Roman"/>
                <w:snapToGrid w:val="0"/>
                <w:color w:val="auto"/>
                <w:kern w:val="0"/>
                <w:sz w:val="24"/>
                <w:szCs w:val="24"/>
                <w:lang w:val="en-US" w:eastAsia="zh-CN" w:bidi="ar-SA"/>
              </w:rPr>
              <w:t>按照《放射性同位素与射线装置安全和防护条例》第四十二条和原国家环境保护总局环发</w:t>
            </w:r>
            <w:r>
              <w:rPr>
                <w:rFonts w:hint="eastAsia" w:ascii="Times New Roman" w:hAnsi="Times New Roman" w:eastAsia="宋体" w:cs="Times New Roman"/>
                <w:snapToGrid w:val="0"/>
                <w:color w:val="auto"/>
                <w:kern w:val="0"/>
                <w:sz w:val="24"/>
                <w:szCs w:val="24"/>
                <w:lang w:val="en-US" w:eastAsia="zh-CN" w:bidi="ar-SA"/>
              </w:rPr>
              <w:t>〔</w:t>
            </w:r>
            <w:r>
              <w:rPr>
                <w:rFonts w:hint="default" w:ascii="Times New Roman" w:hAnsi="Times New Roman" w:eastAsia="宋体" w:cs="Times New Roman"/>
                <w:snapToGrid w:val="0"/>
                <w:color w:val="auto"/>
                <w:kern w:val="0"/>
                <w:sz w:val="24"/>
                <w:szCs w:val="24"/>
                <w:lang w:val="en-US" w:eastAsia="zh-CN" w:bidi="ar-SA"/>
              </w:rPr>
              <w:t>2006</w:t>
            </w:r>
            <w:r>
              <w:rPr>
                <w:rFonts w:hint="eastAsia" w:ascii="Times New Roman" w:hAnsi="Times New Roman" w:eastAsia="宋体" w:cs="Times New Roman"/>
                <w:snapToGrid w:val="0"/>
                <w:color w:val="auto"/>
                <w:kern w:val="0"/>
                <w:sz w:val="24"/>
                <w:szCs w:val="24"/>
                <w:lang w:val="en-US" w:eastAsia="zh-CN" w:bidi="ar-SA"/>
              </w:rPr>
              <w:t>〕</w:t>
            </w:r>
            <w:r>
              <w:rPr>
                <w:rFonts w:hint="default" w:ascii="Times New Roman" w:hAnsi="Times New Roman" w:eastAsia="宋体" w:cs="Times New Roman"/>
                <w:snapToGrid w:val="0"/>
                <w:color w:val="auto"/>
                <w:kern w:val="0"/>
                <w:sz w:val="24"/>
                <w:szCs w:val="24"/>
                <w:lang w:val="en-US" w:eastAsia="zh-CN" w:bidi="ar-SA"/>
              </w:rPr>
              <w:t>145号文件的规定，发生辐射事故时，事故单位应当立即启动本单位的辐射事故应急方案，采取必要防范措施，并在2小时内填写《辐射事故初始报告表》，向当地生态环境部门报告，涉及人为故意破坏的还应向公安部门报告，造成或可能造成人员超剂量照射的，还应同时向当地卫生行政部门报告。</w:t>
            </w:r>
          </w:p>
        </w:tc>
      </w:tr>
    </w:tbl>
    <w:p w14:paraId="7A13CB17">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7F907A7F">
      <w:pPr>
        <w:pStyle w:val="29"/>
        <w:rPr>
          <w:color w:val="auto"/>
        </w:rPr>
      </w:pPr>
      <w:bookmarkStart w:id="71" w:name="_Toc11493"/>
      <w:bookmarkStart w:id="72" w:name="_Toc56003446"/>
      <w:bookmarkStart w:id="73" w:name="_Toc5855"/>
      <w:bookmarkStart w:id="74" w:name="_Toc56004484"/>
      <w:bookmarkStart w:id="75" w:name="_Toc67739918"/>
      <w:r>
        <w:rPr>
          <w:color w:val="auto"/>
        </w:rPr>
        <w:t xml:space="preserve">表12 </w:t>
      </w:r>
      <w:r>
        <w:rPr>
          <w:rFonts w:hint="eastAsia"/>
          <w:color w:val="auto"/>
        </w:rPr>
        <w:t>辐射安全管理</w:t>
      </w:r>
      <w:bookmarkEnd w:id="71"/>
      <w:bookmarkEnd w:id="72"/>
      <w:bookmarkEnd w:id="73"/>
      <w:bookmarkEnd w:id="74"/>
      <w:bookmarkEnd w:id="75"/>
    </w:p>
    <w:tbl>
      <w:tblPr>
        <w:tblStyle w:val="18"/>
        <w:tblW w:w="9751" w:type="dxa"/>
        <w:tblInd w:w="92" w:type="dxa"/>
        <w:tblBorders>
          <w:top w:val="single" w:color="auto" w:sz="12" w:space="0"/>
          <w:left w:val="single" w:color="auto" w:sz="12" w:space="0"/>
          <w:bottom w:val="single" w:color="auto" w:sz="12" w:space="0"/>
          <w:right w:val="single" w:color="auto" w:sz="12" w:space="0"/>
          <w:insideH w:val="single" w:color="auto" w:sz="4" w:space="0"/>
          <w:insideV w:val="none" w:color="auto" w:sz="0" w:space="0"/>
        </w:tblBorders>
        <w:tblLayout w:type="fixed"/>
        <w:tblCellMar>
          <w:top w:w="0" w:type="dxa"/>
          <w:left w:w="108" w:type="dxa"/>
          <w:bottom w:w="0" w:type="dxa"/>
          <w:right w:w="108" w:type="dxa"/>
        </w:tblCellMar>
      </w:tblPr>
      <w:tblGrid>
        <w:gridCol w:w="9751"/>
      </w:tblGrid>
      <w:tr w14:paraId="1C457B0D">
        <w:tblPrEx>
          <w:tblBorders>
            <w:top w:val="single" w:color="auto" w:sz="12" w:space="0"/>
            <w:left w:val="single" w:color="auto" w:sz="12" w:space="0"/>
            <w:bottom w:val="single" w:color="auto" w:sz="12" w:space="0"/>
            <w:right w:val="single" w:color="auto" w:sz="12" w:space="0"/>
            <w:insideH w:val="single" w:color="auto" w:sz="4" w:space="0"/>
            <w:insideV w:val="none" w:color="auto" w:sz="0" w:space="0"/>
          </w:tblBorders>
          <w:tblCellMar>
            <w:top w:w="0" w:type="dxa"/>
            <w:left w:w="108" w:type="dxa"/>
            <w:bottom w:w="0" w:type="dxa"/>
            <w:right w:w="108" w:type="dxa"/>
          </w:tblCellMar>
        </w:tblPrEx>
        <w:trPr>
          <w:trHeight w:val="9289" w:hRule="atLeast"/>
        </w:trPr>
        <w:tc>
          <w:tcPr>
            <w:tcW w:w="9751" w:type="dxa"/>
            <w:tcBorders>
              <w:tl2br w:val="nil"/>
              <w:tr2bl w:val="nil"/>
            </w:tcBorders>
          </w:tcPr>
          <w:p w14:paraId="7820894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snapToGrid/>
                <w:color w:val="auto"/>
                <w:kern w:val="2"/>
                <w:sz w:val="24"/>
                <w:szCs w:val="24"/>
                <w:lang w:val="en-US" w:eastAsia="zh-CN" w:bidi="ar-SA"/>
              </w:rPr>
            </w:pPr>
            <w:r>
              <w:rPr>
                <w:rFonts w:hint="default" w:ascii="Times New Roman" w:hAnsi="Times New Roman" w:eastAsia="宋体" w:cs="Times New Roman"/>
                <w:snapToGrid/>
                <w:color w:val="auto"/>
                <w:kern w:val="2"/>
                <w:sz w:val="24"/>
                <w:szCs w:val="24"/>
                <w:lang w:val="en-US" w:eastAsia="zh-CN" w:bidi="ar-SA"/>
              </w:rPr>
              <w:t>根据《中华人民共和国放射性污染防治法》和《放射性同位素与射线装置安全许可管理办法》（2021年1月4日修订），</w:t>
            </w:r>
            <w:r>
              <w:rPr>
                <w:rFonts w:hint="eastAsia" w:ascii="Times New Roman" w:hAnsi="Times New Roman" w:eastAsia="宋体" w:cs="Times New Roman"/>
                <w:snapToGrid/>
                <w:color w:val="auto"/>
                <w:kern w:val="2"/>
                <w:sz w:val="24"/>
                <w:szCs w:val="24"/>
                <w:lang w:val="en-US" w:eastAsia="zh-CN" w:bidi="ar-SA"/>
              </w:rPr>
              <w:t>寿县安康医院</w:t>
            </w:r>
            <w:r>
              <w:rPr>
                <w:rFonts w:hint="default" w:ascii="Times New Roman" w:hAnsi="Times New Roman" w:eastAsia="宋体" w:cs="Times New Roman"/>
                <w:snapToGrid/>
                <w:color w:val="auto"/>
                <w:kern w:val="2"/>
                <w:sz w:val="24"/>
                <w:szCs w:val="24"/>
                <w:lang w:val="en-US" w:eastAsia="zh-CN" w:bidi="ar-SA"/>
              </w:rPr>
              <w:t>为满足公司辐射安全与环境保护管理的需求，已成立了以</w:t>
            </w:r>
            <w:r>
              <w:rPr>
                <w:rFonts w:hint="eastAsia" w:ascii="Times New Roman" w:hAnsi="Times New Roman" w:eastAsia="宋体" w:cs="Times New Roman"/>
                <w:snapToGrid/>
                <w:color w:val="auto"/>
                <w:kern w:val="2"/>
                <w:sz w:val="24"/>
                <w:szCs w:val="24"/>
                <w:lang w:val="en-US" w:eastAsia="zh-CN" w:bidi="ar-SA"/>
              </w:rPr>
              <w:t>院</w:t>
            </w:r>
            <w:r>
              <w:rPr>
                <w:rFonts w:hint="default" w:ascii="Times New Roman" w:hAnsi="Times New Roman" w:eastAsia="宋体" w:cs="Times New Roman"/>
                <w:snapToGrid/>
                <w:color w:val="auto"/>
                <w:kern w:val="2"/>
                <w:sz w:val="24"/>
                <w:szCs w:val="24"/>
                <w:lang w:val="en-US" w:eastAsia="zh-CN" w:bidi="ar-SA"/>
              </w:rPr>
              <w:t>领导为第一责任人的辐射安全与环境保护管理领导小组，全面负责公司辐射安全与环境保护管理工作，详见附件</w:t>
            </w:r>
            <w:r>
              <w:rPr>
                <w:rFonts w:hint="eastAsia" w:ascii="Times New Roman" w:hAnsi="Times New Roman" w:eastAsia="宋体" w:cs="Times New Roman"/>
                <w:snapToGrid/>
                <w:color w:val="auto"/>
                <w:kern w:val="2"/>
                <w:sz w:val="24"/>
                <w:szCs w:val="24"/>
                <w:lang w:val="en-US" w:eastAsia="zh-CN" w:bidi="ar-SA"/>
              </w:rPr>
              <w:t>6</w:t>
            </w:r>
            <w:r>
              <w:rPr>
                <w:rFonts w:hint="default" w:ascii="Times New Roman" w:hAnsi="Times New Roman" w:eastAsia="宋体" w:cs="Times New Roman"/>
                <w:snapToGrid/>
                <w:color w:val="auto"/>
                <w:kern w:val="2"/>
                <w:sz w:val="24"/>
                <w:szCs w:val="24"/>
                <w:lang w:val="en-US" w:eastAsia="zh-CN" w:bidi="ar-SA"/>
              </w:rPr>
              <w:t>。</w:t>
            </w:r>
          </w:p>
          <w:p w14:paraId="6C3DA4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snapToGrid/>
                <w:color w:val="auto"/>
                <w:kern w:val="2"/>
                <w:sz w:val="24"/>
                <w:szCs w:val="24"/>
                <w:lang w:val="en-US" w:eastAsia="zh-CN" w:bidi="ar-SA"/>
              </w:rPr>
            </w:pPr>
            <w:r>
              <w:rPr>
                <w:rFonts w:hint="eastAsia" w:ascii="Times New Roman" w:hAnsi="Times New Roman" w:eastAsia="宋体" w:cs="Times New Roman"/>
                <w:snapToGrid/>
                <w:color w:val="auto"/>
                <w:kern w:val="2"/>
                <w:sz w:val="24"/>
                <w:szCs w:val="24"/>
                <w:lang w:val="en-US" w:eastAsia="zh-CN" w:bidi="ar-SA"/>
              </w:rPr>
              <w:t>领导小组全面负责医院的放射诊疗、辐射安全管理工作；秦智同志为专职的放射诊疗管理人员，具体负责放射防护工作。主要职责是落实放射诊疗和辐射防护管理制度；定期组织对放射诊疗工作场所、设备和人员进行放射防护检测、监测；组织放射诊疗工作人员接受专业技术、放射防护知识及有关规定的培训和健康检查；记录发生的辐射安全不良事件，并及时上报。</w:t>
            </w:r>
          </w:p>
          <w:p w14:paraId="741D348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snapToGrid/>
                <w:color w:val="auto"/>
                <w:kern w:val="2"/>
                <w:sz w:val="24"/>
                <w:szCs w:val="24"/>
                <w:lang w:val="en-US" w:eastAsia="zh-CN" w:bidi="ar-SA"/>
              </w:rPr>
            </w:pPr>
            <w:r>
              <w:rPr>
                <w:rFonts w:hint="eastAsia" w:ascii="Times New Roman" w:hAnsi="Times New Roman" w:eastAsia="宋体" w:cs="Times New Roman"/>
                <w:snapToGrid/>
                <w:color w:val="auto"/>
                <w:kern w:val="2"/>
                <w:sz w:val="24"/>
                <w:szCs w:val="24"/>
                <w:lang w:val="en-US" w:eastAsia="zh-CN" w:bidi="ar-SA"/>
              </w:rPr>
              <w:t>寿县安康医院新成立的辐射安全与环境保护管理机构为辐射安全与环境保护管理领导小组，符合《放射性同位素与射线装置安全许可管理办法》（</w:t>
            </w:r>
            <w:r>
              <w:rPr>
                <w:rFonts w:hint="default" w:ascii="Times New Roman" w:hAnsi="Times New Roman" w:eastAsia="宋体" w:cs="Times New Roman"/>
                <w:snapToGrid/>
                <w:color w:val="auto"/>
                <w:kern w:val="2"/>
                <w:sz w:val="24"/>
                <w:szCs w:val="24"/>
                <w:lang w:val="en-US" w:eastAsia="zh-CN" w:bidi="ar-SA"/>
              </w:rPr>
              <w:t>2021</w:t>
            </w:r>
            <w:r>
              <w:rPr>
                <w:rFonts w:hint="eastAsia" w:ascii="Times New Roman" w:hAnsi="Times New Roman" w:eastAsia="宋体" w:cs="Times New Roman"/>
                <w:snapToGrid/>
                <w:color w:val="auto"/>
                <w:kern w:val="2"/>
                <w:sz w:val="24"/>
                <w:szCs w:val="24"/>
                <w:lang w:val="en-US" w:eastAsia="zh-CN" w:bidi="ar-SA"/>
              </w:rPr>
              <w:t>年</w:t>
            </w:r>
            <w:r>
              <w:rPr>
                <w:rFonts w:hint="default" w:ascii="Times New Roman" w:hAnsi="Times New Roman" w:eastAsia="宋体" w:cs="Times New Roman"/>
                <w:snapToGrid/>
                <w:color w:val="auto"/>
                <w:kern w:val="2"/>
                <w:sz w:val="24"/>
                <w:szCs w:val="24"/>
                <w:lang w:val="en-US" w:eastAsia="zh-CN" w:bidi="ar-SA"/>
              </w:rPr>
              <w:t>1</w:t>
            </w:r>
            <w:r>
              <w:rPr>
                <w:rFonts w:hint="eastAsia" w:ascii="Times New Roman" w:hAnsi="Times New Roman" w:eastAsia="宋体" w:cs="Times New Roman"/>
                <w:snapToGrid/>
                <w:color w:val="auto"/>
                <w:kern w:val="2"/>
                <w:sz w:val="24"/>
                <w:szCs w:val="24"/>
                <w:lang w:val="en-US" w:eastAsia="zh-CN" w:bidi="ar-SA"/>
              </w:rPr>
              <w:t>月</w:t>
            </w:r>
            <w:r>
              <w:rPr>
                <w:rFonts w:hint="default" w:ascii="Times New Roman" w:hAnsi="Times New Roman" w:eastAsia="宋体" w:cs="Times New Roman"/>
                <w:snapToGrid/>
                <w:color w:val="auto"/>
                <w:kern w:val="2"/>
                <w:sz w:val="24"/>
                <w:szCs w:val="24"/>
                <w:lang w:val="en-US" w:eastAsia="zh-CN" w:bidi="ar-SA"/>
              </w:rPr>
              <w:t>4</w:t>
            </w:r>
            <w:r>
              <w:rPr>
                <w:rFonts w:hint="eastAsia" w:ascii="Times New Roman" w:hAnsi="Times New Roman" w:eastAsia="宋体" w:cs="Times New Roman"/>
                <w:snapToGrid/>
                <w:color w:val="auto"/>
                <w:kern w:val="2"/>
                <w:sz w:val="24"/>
                <w:szCs w:val="24"/>
                <w:lang w:val="en-US" w:eastAsia="zh-CN" w:bidi="ar-SA"/>
              </w:rPr>
              <w:t>日修订）中“使用</w:t>
            </w:r>
            <w:r>
              <w:rPr>
                <w:rFonts w:hint="default" w:ascii="Times New Roman" w:hAnsi="Times New Roman" w:eastAsia="宋体" w:cs="Times New Roman"/>
                <w:snapToGrid/>
                <w:color w:val="auto"/>
                <w:kern w:val="2"/>
                <w:sz w:val="24"/>
                <w:szCs w:val="24"/>
                <w:lang w:val="en-US" w:eastAsia="zh-CN" w:bidi="ar-SA"/>
              </w:rPr>
              <w:t>Ⅰ</w:t>
            </w:r>
            <w:r>
              <w:rPr>
                <w:rFonts w:hint="eastAsia" w:ascii="Times New Roman" w:hAnsi="Times New Roman" w:eastAsia="宋体" w:cs="Times New Roman"/>
                <w:snapToGrid/>
                <w:color w:val="auto"/>
                <w:kern w:val="2"/>
                <w:sz w:val="24"/>
                <w:szCs w:val="24"/>
                <w:lang w:val="en-US" w:eastAsia="zh-CN" w:bidi="ar-SA"/>
              </w:rPr>
              <w:t>类、</w:t>
            </w:r>
            <w:r>
              <w:rPr>
                <w:rFonts w:hint="default" w:ascii="Times New Roman" w:hAnsi="Times New Roman" w:eastAsia="宋体" w:cs="Times New Roman"/>
                <w:snapToGrid/>
                <w:color w:val="auto"/>
                <w:kern w:val="2"/>
                <w:sz w:val="24"/>
                <w:szCs w:val="24"/>
                <w:lang w:val="en-US" w:eastAsia="zh-CN" w:bidi="ar-SA"/>
              </w:rPr>
              <w:t>Ⅱ</w:t>
            </w:r>
            <w:r>
              <w:rPr>
                <w:rFonts w:hint="eastAsia" w:ascii="Times New Roman" w:hAnsi="Times New Roman" w:eastAsia="宋体" w:cs="Times New Roman"/>
                <w:snapToGrid/>
                <w:color w:val="auto"/>
                <w:kern w:val="2"/>
                <w:sz w:val="24"/>
                <w:szCs w:val="24"/>
                <w:lang w:val="en-US" w:eastAsia="zh-CN" w:bidi="ar-SA"/>
              </w:rPr>
              <w:t>类、</w:t>
            </w:r>
            <w:r>
              <w:rPr>
                <w:rFonts w:hint="default" w:ascii="Times New Roman" w:hAnsi="Times New Roman" w:eastAsia="宋体" w:cs="Times New Roman"/>
                <w:snapToGrid/>
                <w:color w:val="auto"/>
                <w:kern w:val="2"/>
                <w:sz w:val="24"/>
                <w:szCs w:val="24"/>
                <w:lang w:val="en-US" w:eastAsia="zh-CN" w:bidi="ar-SA"/>
              </w:rPr>
              <w:t>Ⅲ</w:t>
            </w:r>
            <w:r>
              <w:rPr>
                <w:rFonts w:hint="eastAsia" w:ascii="Times New Roman" w:hAnsi="Times New Roman" w:eastAsia="宋体" w:cs="Times New Roman"/>
                <w:snapToGrid/>
                <w:color w:val="auto"/>
                <w:kern w:val="2"/>
                <w:sz w:val="24"/>
                <w:szCs w:val="24"/>
                <w:lang w:val="en-US" w:eastAsia="zh-CN" w:bidi="ar-SA"/>
              </w:rPr>
              <w:t>类放射源，使用</w:t>
            </w:r>
            <w:r>
              <w:rPr>
                <w:rFonts w:hint="default" w:ascii="Times New Roman" w:hAnsi="Times New Roman" w:eastAsia="宋体" w:cs="Times New Roman"/>
                <w:snapToGrid/>
                <w:color w:val="auto"/>
                <w:kern w:val="2"/>
                <w:sz w:val="24"/>
                <w:szCs w:val="24"/>
                <w:lang w:val="en-US" w:eastAsia="zh-CN" w:bidi="ar-SA"/>
              </w:rPr>
              <w:t>Ⅰ</w:t>
            </w:r>
            <w:r>
              <w:rPr>
                <w:rFonts w:hint="eastAsia" w:ascii="Times New Roman" w:hAnsi="Times New Roman" w:eastAsia="宋体" w:cs="Times New Roman"/>
                <w:snapToGrid/>
                <w:color w:val="auto"/>
                <w:kern w:val="2"/>
                <w:sz w:val="24"/>
                <w:szCs w:val="24"/>
                <w:lang w:val="en-US" w:eastAsia="zh-CN" w:bidi="ar-SA"/>
              </w:rPr>
              <w:t>类、</w:t>
            </w:r>
            <w:r>
              <w:rPr>
                <w:rFonts w:hint="default" w:ascii="Times New Roman" w:hAnsi="Times New Roman" w:eastAsia="宋体" w:cs="Times New Roman"/>
                <w:snapToGrid/>
                <w:color w:val="auto"/>
                <w:kern w:val="2"/>
                <w:sz w:val="24"/>
                <w:szCs w:val="24"/>
                <w:lang w:val="en-US" w:eastAsia="zh-CN" w:bidi="ar-SA"/>
              </w:rPr>
              <w:t>Ⅱ</w:t>
            </w:r>
            <w:r>
              <w:rPr>
                <w:rFonts w:hint="eastAsia" w:ascii="Times New Roman" w:hAnsi="Times New Roman" w:eastAsia="宋体" w:cs="Times New Roman"/>
                <w:snapToGrid/>
                <w:color w:val="auto"/>
                <w:kern w:val="2"/>
                <w:sz w:val="24"/>
                <w:szCs w:val="24"/>
                <w:lang w:val="en-US" w:eastAsia="zh-CN" w:bidi="ar-SA"/>
              </w:rPr>
              <w:t>类射线装置的，应当设有专门的辐射安全与环境保护管理机构，或者至少有</w:t>
            </w:r>
            <w:r>
              <w:rPr>
                <w:rFonts w:hint="default" w:ascii="Times New Roman" w:hAnsi="Times New Roman" w:eastAsia="宋体" w:cs="Times New Roman"/>
                <w:snapToGrid/>
                <w:color w:val="auto"/>
                <w:kern w:val="2"/>
                <w:sz w:val="24"/>
                <w:szCs w:val="24"/>
                <w:lang w:val="en-US" w:eastAsia="zh-CN" w:bidi="ar-SA"/>
              </w:rPr>
              <w:t>1</w:t>
            </w:r>
            <w:r>
              <w:rPr>
                <w:rFonts w:hint="eastAsia" w:ascii="Times New Roman" w:hAnsi="Times New Roman" w:eastAsia="宋体" w:cs="Times New Roman"/>
                <w:snapToGrid/>
                <w:color w:val="auto"/>
                <w:kern w:val="2"/>
                <w:sz w:val="24"/>
                <w:szCs w:val="24"/>
                <w:lang w:val="en-US" w:eastAsia="zh-CN" w:bidi="ar-SA"/>
              </w:rPr>
              <w:t>名具有本科以上学历的技术人员专职负责辐射安全与环境保护管理工作”的要求，可以满足医院日常辐射安全与环境保护管理的要求。</w:t>
            </w:r>
          </w:p>
          <w:p w14:paraId="34B27A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eastAsia="宋体" w:cs="Times New Roman"/>
                <w:color w:val="auto"/>
                <w:kern w:val="0"/>
                <w:sz w:val="24"/>
                <w:szCs w:val="24"/>
                <w:vertAlign w:val="baseline"/>
                <w:lang w:val="en-US" w:eastAsia="zh-CN" w:bidi="ar"/>
              </w:rPr>
            </w:pPr>
            <w:r>
              <w:rPr>
                <w:rFonts w:hint="eastAsia" w:ascii="Times New Roman" w:hAnsi="Times New Roman" w:eastAsia="宋体" w:cs="Times New Roman"/>
                <w:snapToGrid/>
                <w:color w:val="auto"/>
                <w:kern w:val="2"/>
                <w:sz w:val="24"/>
                <w:szCs w:val="24"/>
                <w:lang w:val="en-US" w:eastAsia="zh-CN" w:bidi="ar-SA"/>
              </w:rPr>
              <w:t>寿县安康医院已制定的辐射安全与环境保护管理制度包括：《放射工作人员从业和防护培训制度》《放射防护管理制度》《放射工作人员职业健康管理制度》《放射工作人员个人剂量监测制度》《放射科档案管理制度》《放射科工作人员岗位职责》《放射科工作制度》《影像质量保证方案》《辐射安全监测方案》《辐射事故应急预案》。寿县安康医院建立的辐射安全管理制度基本能满足医院核技术应用项目的管理需要，基本符合《放射性同位素与射线装置安全许可管理办法》（</w:t>
            </w:r>
            <w:r>
              <w:rPr>
                <w:rFonts w:hint="default" w:ascii="Times New Roman" w:hAnsi="Times New Roman" w:eastAsia="宋体" w:cs="Times New Roman"/>
                <w:snapToGrid/>
                <w:color w:val="auto"/>
                <w:kern w:val="2"/>
                <w:sz w:val="24"/>
                <w:szCs w:val="24"/>
                <w:lang w:val="en-US" w:eastAsia="zh-CN" w:bidi="ar-SA"/>
              </w:rPr>
              <w:t>2021</w:t>
            </w:r>
            <w:r>
              <w:rPr>
                <w:rFonts w:hint="eastAsia" w:ascii="Times New Roman" w:hAnsi="Times New Roman" w:eastAsia="宋体" w:cs="Times New Roman"/>
                <w:snapToGrid/>
                <w:color w:val="auto"/>
                <w:kern w:val="2"/>
                <w:sz w:val="24"/>
                <w:szCs w:val="24"/>
                <w:lang w:val="en-US" w:eastAsia="zh-CN" w:bidi="ar-SA"/>
              </w:rPr>
              <w:t>年</w:t>
            </w:r>
            <w:r>
              <w:rPr>
                <w:rFonts w:hint="default" w:ascii="Times New Roman" w:hAnsi="Times New Roman" w:eastAsia="宋体" w:cs="Times New Roman"/>
                <w:snapToGrid/>
                <w:color w:val="auto"/>
                <w:kern w:val="2"/>
                <w:sz w:val="24"/>
                <w:szCs w:val="24"/>
                <w:lang w:val="en-US" w:eastAsia="zh-CN" w:bidi="ar-SA"/>
              </w:rPr>
              <w:t>1</w:t>
            </w:r>
            <w:r>
              <w:rPr>
                <w:rFonts w:hint="eastAsia" w:ascii="Times New Roman" w:hAnsi="Times New Roman" w:eastAsia="宋体" w:cs="Times New Roman"/>
                <w:snapToGrid/>
                <w:color w:val="auto"/>
                <w:kern w:val="2"/>
                <w:sz w:val="24"/>
                <w:szCs w:val="24"/>
                <w:lang w:val="en-US" w:eastAsia="zh-CN" w:bidi="ar-SA"/>
              </w:rPr>
              <w:t>月</w:t>
            </w:r>
            <w:r>
              <w:rPr>
                <w:rFonts w:hint="default" w:ascii="Times New Roman" w:hAnsi="Times New Roman" w:eastAsia="宋体" w:cs="Times New Roman"/>
                <w:snapToGrid/>
                <w:color w:val="auto"/>
                <w:kern w:val="2"/>
                <w:sz w:val="24"/>
                <w:szCs w:val="24"/>
                <w:lang w:val="en-US" w:eastAsia="zh-CN" w:bidi="ar-SA"/>
              </w:rPr>
              <w:t>4</w:t>
            </w:r>
            <w:r>
              <w:rPr>
                <w:rFonts w:hint="eastAsia" w:ascii="Times New Roman" w:hAnsi="Times New Roman" w:eastAsia="宋体" w:cs="Times New Roman"/>
                <w:snapToGrid/>
                <w:color w:val="auto"/>
                <w:kern w:val="2"/>
                <w:sz w:val="24"/>
                <w:szCs w:val="24"/>
                <w:lang w:val="en-US" w:eastAsia="zh-CN" w:bidi="ar-SA"/>
              </w:rPr>
              <w:t>日修订）中“应当有健全的操作规程、岗位职责、辐射防护和安全保卫制度、设备检修维护制度、人员培训计划、监测方案、辐射事故应急措施”的要求。相关辐射安全管理制度详见附件7。</w:t>
            </w:r>
            <w:r>
              <w:rPr>
                <w:rFonts w:hint="eastAsia" w:ascii="Times New Roman" w:hAnsi="Times New Roman" w:eastAsia="宋体" w:cs="Times New Roman"/>
                <w:color w:val="auto"/>
                <w:kern w:val="0"/>
                <w:sz w:val="24"/>
                <w:szCs w:val="24"/>
                <w:vertAlign w:val="baseline"/>
                <w:lang w:val="en-US" w:eastAsia="zh-CN" w:bidi="ar"/>
              </w:rPr>
              <w:t>因此，本次环评按照《放射性同位素与射线装置安全许可管理办法》（</w:t>
            </w:r>
            <w:r>
              <w:rPr>
                <w:rFonts w:hint="default" w:ascii="Times New Roman" w:hAnsi="Times New Roman" w:eastAsia="宋体" w:cs="Times New Roman"/>
                <w:color w:val="auto"/>
                <w:kern w:val="0"/>
                <w:sz w:val="24"/>
                <w:szCs w:val="24"/>
                <w:vertAlign w:val="baseline"/>
                <w:lang w:val="en-US" w:eastAsia="zh-CN" w:bidi="ar"/>
              </w:rPr>
              <w:t>2021</w:t>
            </w:r>
            <w:r>
              <w:rPr>
                <w:rFonts w:hint="eastAsia" w:ascii="Times New Roman" w:hAnsi="Times New Roman" w:eastAsia="宋体" w:cs="Times New Roman"/>
                <w:color w:val="auto"/>
                <w:kern w:val="0"/>
                <w:sz w:val="24"/>
                <w:szCs w:val="24"/>
                <w:vertAlign w:val="baseline"/>
                <w:lang w:val="en-US" w:eastAsia="zh-CN" w:bidi="ar"/>
              </w:rPr>
              <w:t>年</w:t>
            </w:r>
            <w:r>
              <w:rPr>
                <w:rFonts w:hint="default" w:ascii="Times New Roman" w:hAnsi="Times New Roman" w:eastAsia="宋体" w:cs="Times New Roman"/>
                <w:color w:val="auto"/>
                <w:kern w:val="0"/>
                <w:sz w:val="24"/>
                <w:szCs w:val="24"/>
                <w:vertAlign w:val="baseline"/>
                <w:lang w:val="en-US" w:eastAsia="zh-CN" w:bidi="ar"/>
              </w:rPr>
              <w:t>1</w:t>
            </w:r>
            <w:r>
              <w:rPr>
                <w:rFonts w:hint="eastAsia" w:ascii="Times New Roman" w:hAnsi="Times New Roman" w:eastAsia="宋体" w:cs="Times New Roman"/>
                <w:color w:val="auto"/>
                <w:kern w:val="0"/>
                <w:sz w:val="24"/>
                <w:szCs w:val="24"/>
                <w:vertAlign w:val="baseline"/>
                <w:lang w:val="en-US" w:eastAsia="zh-CN" w:bidi="ar"/>
              </w:rPr>
              <w:t>月</w:t>
            </w:r>
            <w:r>
              <w:rPr>
                <w:rFonts w:hint="default" w:ascii="Times New Roman" w:hAnsi="Times New Roman" w:eastAsia="宋体" w:cs="Times New Roman"/>
                <w:color w:val="auto"/>
                <w:kern w:val="0"/>
                <w:sz w:val="24"/>
                <w:szCs w:val="24"/>
                <w:vertAlign w:val="baseline"/>
                <w:lang w:val="en-US" w:eastAsia="zh-CN" w:bidi="ar"/>
              </w:rPr>
              <w:t>4</w:t>
            </w:r>
            <w:r>
              <w:rPr>
                <w:rFonts w:hint="eastAsia" w:ascii="Times New Roman" w:hAnsi="Times New Roman" w:eastAsia="宋体" w:cs="Times New Roman"/>
                <w:color w:val="auto"/>
                <w:kern w:val="0"/>
                <w:sz w:val="24"/>
                <w:szCs w:val="24"/>
                <w:vertAlign w:val="baseline"/>
                <w:lang w:val="en-US" w:eastAsia="zh-CN" w:bidi="ar"/>
              </w:rPr>
              <w:t>日修订）和《放射性同位素与射线装置安全和防护管理办法》（环境保护部第</w:t>
            </w:r>
            <w:r>
              <w:rPr>
                <w:rFonts w:hint="default" w:ascii="Times New Roman" w:hAnsi="Times New Roman" w:eastAsia="宋体" w:cs="Times New Roman"/>
                <w:color w:val="auto"/>
                <w:kern w:val="0"/>
                <w:sz w:val="24"/>
                <w:szCs w:val="24"/>
                <w:vertAlign w:val="baseline"/>
                <w:lang w:val="en-US" w:eastAsia="zh-CN" w:bidi="ar"/>
              </w:rPr>
              <w:t>18</w:t>
            </w:r>
            <w:r>
              <w:rPr>
                <w:rFonts w:hint="eastAsia" w:ascii="Times New Roman" w:hAnsi="Times New Roman" w:eastAsia="宋体" w:cs="Times New Roman"/>
                <w:color w:val="auto"/>
                <w:kern w:val="0"/>
                <w:sz w:val="24"/>
                <w:szCs w:val="24"/>
                <w:vertAlign w:val="baseline"/>
                <w:lang w:val="en-US" w:eastAsia="zh-CN" w:bidi="ar"/>
              </w:rPr>
              <w:t>号令）的要求提出以下建议：</w:t>
            </w:r>
          </w:p>
          <w:p w14:paraId="117C911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2" w:firstLineChars="200"/>
              <w:jc w:val="both"/>
              <w:textAlignment w:val="auto"/>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1、关于</w:t>
            </w:r>
            <w:r>
              <w:rPr>
                <w:rFonts w:hint="default" w:ascii="Times New Roman" w:hAnsi="Times New Roman" w:eastAsia="宋体" w:cs="Times New Roman"/>
                <w:b/>
                <w:bCs/>
                <w:snapToGrid w:val="0"/>
                <w:color w:val="auto"/>
                <w:kern w:val="0"/>
                <w:sz w:val="24"/>
                <w:szCs w:val="21"/>
                <w:lang w:val="en-US" w:eastAsia="zh-CN" w:bidi="ar-SA"/>
              </w:rPr>
              <w:t>辐射安全与环境保护管理机构</w:t>
            </w:r>
          </w:p>
          <w:p w14:paraId="093018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在本项目今后的运营过程中，</w:t>
            </w:r>
            <w:r>
              <w:rPr>
                <w:rFonts w:hint="eastAsia" w:ascii="Times New Roman" w:hAnsi="宋体" w:eastAsia="宋体" w:cs="Times New Roman"/>
                <w:bCs/>
                <w:snapToGrid w:val="0"/>
                <w:color w:val="auto"/>
                <w:kern w:val="0"/>
                <w:sz w:val="24"/>
                <w:szCs w:val="21"/>
                <w:lang w:val="en-US" w:eastAsia="zh-CN" w:bidi="ar-SA"/>
              </w:rPr>
              <w:t>寿县安康医院</w:t>
            </w:r>
            <w:r>
              <w:rPr>
                <w:rFonts w:hint="eastAsia" w:ascii="Times New Roman" w:hAnsi="Times New Roman" w:eastAsia="宋体" w:cs="Times New Roman"/>
                <w:snapToGrid w:val="0"/>
                <w:color w:val="auto"/>
                <w:kern w:val="0"/>
                <w:sz w:val="24"/>
                <w:szCs w:val="21"/>
                <w:lang w:val="en-US" w:eastAsia="zh-CN" w:bidi="ar-SA"/>
              </w:rPr>
              <w:t>应结合医院核技术应用过程中的相关变化情况，及时对</w:t>
            </w:r>
            <w:r>
              <w:rPr>
                <w:rFonts w:hint="eastAsia" w:ascii="宋体" w:hAnsi="宋体" w:eastAsia="宋体" w:cs="宋体"/>
                <w:snapToGrid w:val="0"/>
                <w:color w:val="auto"/>
                <w:kern w:val="0"/>
                <w:sz w:val="24"/>
                <w:szCs w:val="24"/>
                <w:vertAlign w:val="baseline"/>
                <w:lang w:val="en-US" w:eastAsia="zh-CN" w:bidi="ar-SA"/>
              </w:rPr>
              <w:t>辐射安全防护管理领导小组</w:t>
            </w:r>
            <w:r>
              <w:rPr>
                <w:rFonts w:hint="eastAsia" w:ascii="Times New Roman" w:hAnsi="Times New Roman" w:eastAsia="宋体" w:cs="Times New Roman"/>
                <w:snapToGrid w:val="0"/>
                <w:color w:val="auto"/>
                <w:kern w:val="0"/>
                <w:sz w:val="24"/>
                <w:szCs w:val="21"/>
                <w:lang w:val="en-US" w:eastAsia="zh-CN" w:bidi="ar-SA"/>
              </w:rPr>
              <w:t>成员作相应调整，调整后的</w:t>
            </w:r>
            <w:r>
              <w:rPr>
                <w:rFonts w:hint="eastAsia" w:ascii="宋体" w:hAnsi="宋体" w:eastAsia="宋体" w:cs="宋体"/>
                <w:snapToGrid w:val="0"/>
                <w:color w:val="auto"/>
                <w:kern w:val="0"/>
                <w:sz w:val="24"/>
                <w:szCs w:val="24"/>
                <w:vertAlign w:val="baseline"/>
                <w:lang w:val="en-US" w:eastAsia="zh-CN" w:bidi="ar-SA"/>
              </w:rPr>
              <w:t>辐射安全与环境保护管理小组</w:t>
            </w:r>
            <w:r>
              <w:rPr>
                <w:rFonts w:hint="eastAsia" w:ascii="Times New Roman" w:hAnsi="Times New Roman" w:eastAsia="宋体" w:cs="Times New Roman"/>
                <w:snapToGrid w:val="0"/>
                <w:color w:val="auto"/>
                <w:kern w:val="0"/>
                <w:sz w:val="24"/>
                <w:szCs w:val="21"/>
                <w:lang w:val="en-US" w:eastAsia="zh-CN" w:bidi="ar-SA"/>
              </w:rPr>
              <w:t>的</w:t>
            </w:r>
            <w:r>
              <w:rPr>
                <w:rFonts w:hint="default" w:ascii="Times New Roman" w:hAnsi="Times New Roman" w:eastAsia="宋体" w:cs="Times New Roman"/>
                <w:snapToGrid w:val="0"/>
                <w:color w:val="auto"/>
                <w:kern w:val="0"/>
                <w:sz w:val="24"/>
                <w:szCs w:val="21"/>
                <w:lang w:val="en-US" w:eastAsia="zh-CN" w:bidi="ar-SA"/>
              </w:rPr>
              <w:t>组成涵盖</w:t>
            </w:r>
            <w:r>
              <w:rPr>
                <w:rFonts w:hint="eastAsia" w:ascii="Times New Roman" w:hAnsi="Times New Roman" w:eastAsia="宋体" w:cs="Times New Roman"/>
                <w:snapToGrid w:val="0"/>
                <w:color w:val="auto"/>
                <w:kern w:val="0"/>
                <w:sz w:val="24"/>
                <w:szCs w:val="21"/>
                <w:lang w:val="en-US" w:eastAsia="zh-CN" w:bidi="ar-SA"/>
              </w:rPr>
              <w:t>医院核技术利用所涉及的</w:t>
            </w:r>
            <w:r>
              <w:rPr>
                <w:rFonts w:hint="default" w:ascii="Times New Roman" w:hAnsi="Times New Roman" w:eastAsia="宋体" w:cs="Times New Roman"/>
                <w:snapToGrid w:val="0"/>
                <w:color w:val="auto"/>
                <w:kern w:val="0"/>
                <w:sz w:val="24"/>
                <w:szCs w:val="21"/>
                <w:lang w:val="en-US" w:eastAsia="zh-CN" w:bidi="ar-SA"/>
              </w:rPr>
              <w:t>相关部门</w:t>
            </w:r>
            <w:r>
              <w:rPr>
                <w:rFonts w:hint="eastAsia" w:ascii="Times New Roman" w:hAnsi="Times New Roman" w:eastAsia="宋体" w:cs="Times New Roman"/>
                <w:snapToGrid w:val="0"/>
                <w:color w:val="auto"/>
                <w:kern w:val="0"/>
                <w:sz w:val="24"/>
                <w:szCs w:val="21"/>
                <w:lang w:val="en-US" w:eastAsia="zh-CN" w:bidi="ar-SA"/>
              </w:rPr>
              <w:t>和</w:t>
            </w:r>
            <w:r>
              <w:rPr>
                <w:rFonts w:hint="default" w:ascii="Times New Roman" w:hAnsi="Times New Roman" w:eastAsia="宋体" w:cs="Times New Roman"/>
                <w:snapToGrid w:val="0"/>
                <w:color w:val="auto"/>
                <w:kern w:val="0"/>
                <w:sz w:val="24"/>
                <w:szCs w:val="21"/>
                <w:lang w:val="en-US" w:eastAsia="zh-CN" w:bidi="ar-SA"/>
              </w:rPr>
              <w:t>科室</w:t>
            </w:r>
            <w:r>
              <w:rPr>
                <w:rFonts w:hint="eastAsia" w:ascii="Times New Roman" w:hAnsi="Times New Roman" w:eastAsia="宋体" w:cs="Times New Roman"/>
                <w:snapToGrid w:val="0"/>
                <w:color w:val="auto"/>
                <w:kern w:val="0"/>
                <w:sz w:val="24"/>
                <w:szCs w:val="21"/>
                <w:lang w:val="en-US" w:eastAsia="zh-CN" w:bidi="ar-SA"/>
              </w:rPr>
              <w:t>。</w:t>
            </w:r>
          </w:p>
          <w:p w14:paraId="3E6F5B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2" w:firstLineChars="200"/>
              <w:jc w:val="both"/>
              <w:textAlignment w:val="auto"/>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2、关于监测计划和监测仪器</w:t>
            </w:r>
          </w:p>
          <w:p w14:paraId="0CF4E1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68" w:firstLineChars="200"/>
              <w:jc w:val="both"/>
              <w:textAlignment w:val="auto"/>
              <w:rPr>
                <w:rFonts w:hint="default" w:ascii="Times New Roman" w:hAnsi="Times New Roman" w:eastAsia="宋体" w:cs="Times New Roman"/>
                <w:snapToGrid w:val="0"/>
                <w:color w:val="auto"/>
                <w:spacing w:val="-3"/>
                <w:kern w:val="0"/>
                <w:sz w:val="24"/>
                <w:szCs w:val="21"/>
                <w:lang w:val="en-US" w:eastAsia="zh-CN" w:bidi="ar-SA"/>
              </w:rPr>
            </w:pPr>
            <w:r>
              <w:rPr>
                <w:rFonts w:hint="eastAsia" w:ascii="Times New Roman" w:hAnsi="Times New Roman" w:eastAsia="宋体" w:cs="Times New Roman"/>
                <w:snapToGrid w:val="0"/>
                <w:color w:val="auto"/>
                <w:spacing w:val="-3"/>
                <w:kern w:val="0"/>
                <w:sz w:val="24"/>
                <w:szCs w:val="21"/>
                <w:lang w:val="en-US" w:eastAsia="zh-CN" w:bidi="ar-SA"/>
              </w:rPr>
              <w:t>寿县安康医院已制定</w:t>
            </w:r>
            <w:r>
              <w:rPr>
                <w:rFonts w:hint="eastAsia" w:ascii="Times New Roman" w:hAnsi="Times New Roman" w:eastAsia="宋体" w:cs="Times New Roman"/>
                <w:snapToGrid w:val="0"/>
                <w:color w:val="auto"/>
                <w:spacing w:val="-3"/>
                <w:kern w:val="0"/>
                <w:sz w:val="24"/>
                <w:szCs w:val="21"/>
                <w:highlight w:val="none"/>
                <w:lang w:val="en-US" w:eastAsia="zh-CN" w:bidi="ar-SA"/>
              </w:rPr>
              <w:t>了</w:t>
            </w:r>
            <w:r>
              <w:rPr>
                <w:rFonts w:hint="eastAsia" w:ascii="Times New Roman" w:hAnsi="Times New Roman" w:eastAsia="宋体" w:cs="Times New Roman"/>
                <w:snapToGrid/>
                <w:color w:val="auto"/>
                <w:kern w:val="2"/>
                <w:sz w:val="24"/>
                <w:szCs w:val="24"/>
                <w:lang w:val="en-US" w:eastAsia="zh-CN" w:bidi="ar-SA"/>
              </w:rPr>
              <w:t>《辐射安全监测方案》</w:t>
            </w:r>
            <w:r>
              <w:rPr>
                <w:rFonts w:hint="eastAsia" w:ascii="Times New Roman" w:hAnsi="Times New Roman" w:eastAsia="宋体" w:cs="Times New Roman"/>
                <w:snapToGrid w:val="0"/>
                <w:color w:val="auto"/>
                <w:spacing w:val="-3"/>
                <w:kern w:val="0"/>
                <w:sz w:val="24"/>
                <w:szCs w:val="21"/>
                <w:highlight w:val="none"/>
                <w:lang w:val="en-US" w:eastAsia="zh-CN" w:bidi="ar-SA"/>
              </w:rPr>
              <w:t>，配备了</w:t>
            </w:r>
            <w:r>
              <w:rPr>
                <w:rFonts w:hint="default" w:ascii="Times New Roman" w:hAnsi="Times New Roman" w:eastAsia="宋体" w:cs="Times New Roman"/>
                <w:snapToGrid w:val="0"/>
                <w:color w:val="auto"/>
                <w:kern w:val="0"/>
                <w:sz w:val="24"/>
                <w:szCs w:val="21"/>
                <w:highlight w:val="none"/>
                <w:lang w:val="en-US" w:eastAsia="zh-CN" w:bidi="ar-SA"/>
              </w:rPr>
              <w:t>X-γ剂量率仪</w:t>
            </w:r>
            <w:r>
              <w:rPr>
                <w:rFonts w:hint="eastAsia" w:ascii="Times New Roman" w:hAnsi="Times New Roman" w:eastAsia="宋体" w:cs="Times New Roman"/>
                <w:snapToGrid w:val="0"/>
                <w:color w:val="auto"/>
                <w:kern w:val="0"/>
                <w:sz w:val="24"/>
                <w:szCs w:val="21"/>
                <w:lang w:val="en-US" w:eastAsia="zh-CN" w:bidi="ar-SA"/>
              </w:rPr>
              <w:t>等监测设备</w:t>
            </w:r>
            <w:r>
              <w:rPr>
                <w:rFonts w:hint="eastAsia" w:ascii="Times New Roman" w:hAnsi="Times New Roman" w:eastAsia="宋体" w:cs="Times New Roman"/>
                <w:snapToGrid w:val="0"/>
                <w:color w:val="auto"/>
                <w:spacing w:val="-3"/>
                <w:kern w:val="0"/>
                <w:sz w:val="24"/>
                <w:szCs w:val="21"/>
                <w:lang w:val="en-US" w:eastAsia="zh-CN" w:bidi="ar-SA"/>
              </w:rPr>
              <w:t>，日常定期对各辐射工作场所进行监督检查和自行监测，并每年委托</w:t>
            </w:r>
            <w:r>
              <w:rPr>
                <w:rFonts w:hint="eastAsia" w:ascii="Times New Roman" w:hAnsi="Times New Roman" w:eastAsia="宋体" w:cs="Times New Roman"/>
                <w:snapToGrid w:val="0"/>
                <w:color w:val="auto"/>
                <w:kern w:val="0"/>
                <w:sz w:val="24"/>
                <w:szCs w:val="21"/>
                <w:lang w:val="en-US" w:eastAsia="zh-CN" w:bidi="ar-SA"/>
              </w:rPr>
              <w:t>具有相应资质能力的单位对医院现有</w:t>
            </w:r>
            <w:r>
              <w:rPr>
                <w:rFonts w:hint="eastAsia" w:ascii="Times New Roman" w:hAnsi="Times New Roman" w:eastAsia="宋体" w:cs="Times New Roman"/>
                <w:snapToGrid w:val="0"/>
                <w:color w:val="auto"/>
                <w:spacing w:val="-3"/>
                <w:kern w:val="0"/>
                <w:sz w:val="24"/>
                <w:szCs w:val="21"/>
                <w:lang w:val="en-US" w:eastAsia="zh-CN" w:bidi="ar-SA"/>
              </w:rPr>
              <w:t>各辐射工作场所的设备性能和防护进行年度检测。本项目实施后，医院应将本项目纳入医院环境辐射监测方案及辐射工作场所防护监测制度之中，明确相应监测点位、监测项目和频次，按监测方案对核技术应用场所及周围辐射水平进行监测，同时做好记录分析工作。</w:t>
            </w:r>
          </w:p>
          <w:p w14:paraId="748AF16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68" w:firstLineChars="200"/>
              <w:jc w:val="both"/>
              <w:textAlignment w:val="auto"/>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spacing w:val="-3"/>
                <w:kern w:val="0"/>
                <w:sz w:val="24"/>
                <w:szCs w:val="21"/>
                <w:lang w:val="en-US" w:eastAsia="zh-CN" w:bidi="ar-SA"/>
              </w:rPr>
              <w:t>寿县安康医院</w:t>
            </w:r>
            <w:r>
              <w:rPr>
                <w:rFonts w:hint="eastAsia" w:ascii="Times New Roman" w:hAnsi="Times New Roman" w:eastAsia="宋体" w:cs="Times New Roman"/>
                <w:bCs/>
                <w:snapToGrid w:val="0"/>
                <w:color w:val="auto"/>
                <w:spacing w:val="-2"/>
                <w:kern w:val="0"/>
                <w:sz w:val="24"/>
                <w:szCs w:val="21"/>
                <w:lang w:val="en-US" w:eastAsia="zh-CN" w:bidi="ar-SA"/>
              </w:rPr>
              <w:t>辐射工作人员在从事辐射工作时应按规定正确佩戴个人剂量计，个人剂量计应定期委托具有相应资质能力的单位进行监测，送检周期一般为一个月，最长不应超过三个月，并做好个人剂量档案管理工作。对于个人剂量异常情况应做到自查自纠，及时采取补救措施，自查自纠结果当事人、相关管理人员应签字、医院盖章后存档，对于个人剂量超标的情况医院还应立即向生态主管部门和卫生行政主管部门报告。</w:t>
            </w:r>
          </w:p>
          <w:p w14:paraId="454059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68" w:firstLineChars="200"/>
              <w:textAlignment w:val="auto"/>
              <w:rPr>
                <w:rFonts w:hint="eastAsia" w:ascii="宋体" w:hAnsi="宋体" w:eastAsia="宋体" w:cs="宋体"/>
                <w:color w:val="auto"/>
                <w:spacing w:val="-3"/>
                <w:sz w:val="24"/>
                <w:szCs w:val="24"/>
              </w:rPr>
            </w:pPr>
            <w:r>
              <w:rPr>
                <w:rFonts w:hint="eastAsia" w:ascii="Times New Roman" w:hAnsi="Times New Roman" w:eastAsia="宋体" w:cs="Times New Roman"/>
                <w:snapToGrid w:val="0"/>
                <w:color w:val="auto"/>
                <w:spacing w:val="-3"/>
                <w:kern w:val="0"/>
                <w:sz w:val="24"/>
                <w:szCs w:val="21"/>
                <w:lang w:val="en-US" w:eastAsia="zh-CN" w:bidi="ar-SA"/>
              </w:rPr>
              <w:t>寿县安康医院</w:t>
            </w:r>
            <w:r>
              <w:rPr>
                <w:rFonts w:hint="eastAsia" w:ascii="宋体" w:hAnsi="宋体" w:eastAsia="宋体" w:cs="宋体"/>
                <w:color w:val="auto"/>
                <w:spacing w:val="-3"/>
                <w:sz w:val="24"/>
                <w:szCs w:val="24"/>
                <w:highlight w:val="none"/>
                <w:lang w:eastAsia="zh-CN"/>
              </w:rPr>
              <w:t>已</w:t>
            </w:r>
            <w:r>
              <w:rPr>
                <w:rFonts w:hint="eastAsia" w:ascii="宋体" w:hAnsi="宋体" w:eastAsia="宋体" w:cs="宋体"/>
                <w:color w:val="auto"/>
                <w:spacing w:val="-3"/>
                <w:sz w:val="24"/>
                <w:szCs w:val="24"/>
                <w:highlight w:val="none"/>
              </w:rPr>
              <w:t>配置1台</w:t>
            </w:r>
            <w:r>
              <w:rPr>
                <w:rFonts w:hint="default" w:ascii="Times New Roman" w:hAnsi="Times New Roman" w:eastAsia="宋体" w:cs="Times New Roman"/>
                <w:color w:val="auto"/>
                <w:spacing w:val="-3"/>
                <w:sz w:val="24"/>
                <w:szCs w:val="24"/>
                <w:highlight w:val="none"/>
              </w:rPr>
              <w:t>X-γ</w:t>
            </w:r>
            <w:r>
              <w:rPr>
                <w:rFonts w:hint="eastAsia" w:ascii="宋体" w:hAnsi="宋体" w:eastAsia="宋体" w:cs="宋体"/>
                <w:color w:val="auto"/>
                <w:spacing w:val="-3"/>
                <w:sz w:val="24"/>
                <w:szCs w:val="24"/>
                <w:highlight w:val="none"/>
              </w:rPr>
              <w:t>辐射剂量巡测仪</w:t>
            </w:r>
            <w:r>
              <w:rPr>
                <w:rFonts w:hint="eastAsia" w:ascii="宋体" w:hAnsi="宋体" w:eastAsia="宋体" w:cs="宋体"/>
                <w:color w:val="auto"/>
                <w:spacing w:val="-3"/>
                <w:sz w:val="24"/>
                <w:szCs w:val="24"/>
              </w:rPr>
              <w:t>，能满足本项目自行监测需求。</w:t>
            </w:r>
          </w:p>
          <w:p w14:paraId="48C4BC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68" w:firstLineChars="200"/>
              <w:textAlignment w:val="auto"/>
              <w:rPr>
                <w:rFonts w:hint="eastAsia" w:ascii="Times New Roman" w:hAnsi="Times New Roman" w:eastAsia="宋体" w:cs="Times New Roman"/>
                <w:b/>
                <w:snapToGrid w:val="0"/>
                <w:color w:val="auto"/>
                <w:kern w:val="0"/>
                <w:sz w:val="24"/>
                <w:szCs w:val="21"/>
                <w:lang w:val="en-US" w:eastAsia="zh-CN" w:bidi="ar-SA"/>
              </w:rPr>
            </w:pPr>
            <w:r>
              <w:rPr>
                <w:rFonts w:hint="eastAsia" w:ascii="宋体" w:hAnsi="宋体" w:eastAsia="宋体" w:cs="宋体"/>
                <w:color w:val="auto"/>
                <w:spacing w:val="-3"/>
                <w:sz w:val="24"/>
                <w:szCs w:val="24"/>
              </w:rPr>
              <w:t>本项目监测计划详见下表</w:t>
            </w:r>
            <w:r>
              <w:rPr>
                <w:rFonts w:hint="eastAsia" w:ascii="宋体" w:hAnsi="宋体" w:eastAsia="宋体" w:cs="宋体"/>
                <w:color w:val="auto"/>
                <w:spacing w:val="-3"/>
                <w:sz w:val="24"/>
                <w:szCs w:val="24"/>
                <w:lang w:eastAsia="zh-CN"/>
              </w:rPr>
              <w:t>：</w:t>
            </w:r>
          </w:p>
          <w:p w14:paraId="129AF41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宋体" w:cs="Times New Roman"/>
                <w:b/>
                <w:snapToGrid w:val="0"/>
                <w:color w:val="auto"/>
                <w:kern w:val="0"/>
                <w:sz w:val="24"/>
                <w:szCs w:val="21"/>
                <w:lang w:val="en-US" w:eastAsia="zh-CN" w:bidi="ar-SA"/>
              </w:rPr>
            </w:pPr>
            <w:r>
              <w:rPr>
                <w:rFonts w:hint="eastAsia" w:ascii="Times New Roman" w:hAnsi="Times New Roman" w:eastAsia="宋体" w:cs="Times New Roman"/>
                <w:b/>
                <w:snapToGrid w:val="0"/>
                <w:color w:val="auto"/>
                <w:kern w:val="0"/>
                <w:sz w:val="24"/>
                <w:szCs w:val="21"/>
                <w:lang w:val="en-US" w:eastAsia="zh-CN" w:bidi="ar-SA"/>
              </w:rPr>
              <w:t>表1</w:t>
            </w:r>
            <w:r>
              <w:rPr>
                <w:rFonts w:hint="default" w:ascii="Times New Roman" w:hAnsi="Times New Roman" w:eastAsia="宋体" w:cs="Times New Roman"/>
                <w:b/>
                <w:snapToGrid w:val="0"/>
                <w:color w:val="auto"/>
                <w:kern w:val="0"/>
                <w:sz w:val="24"/>
                <w:szCs w:val="21"/>
                <w:lang w:val="en-US" w:eastAsia="zh-CN" w:bidi="ar-SA"/>
              </w:rPr>
              <w:t xml:space="preserve">2-1  </w:t>
            </w:r>
            <w:r>
              <w:rPr>
                <w:rFonts w:hint="eastAsia" w:ascii="Times New Roman" w:hAnsi="Times New Roman" w:eastAsia="宋体" w:cs="Times New Roman"/>
                <w:b/>
                <w:snapToGrid w:val="0"/>
                <w:color w:val="auto"/>
                <w:kern w:val="0"/>
                <w:sz w:val="24"/>
                <w:szCs w:val="21"/>
                <w:lang w:val="en-US" w:eastAsia="zh-CN" w:bidi="ar-SA"/>
              </w:rPr>
              <w:t>本项目监测计划一览表</w:t>
            </w:r>
          </w:p>
          <w:tbl>
            <w:tblPr>
              <w:tblStyle w:val="18"/>
              <w:tblW w:w="9704"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725"/>
              <w:gridCol w:w="1310"/>
              <w:gridCol w:w="1453"/>
              <w:gridCol w:w="3310"/>
              <w:gridCol w:w="2906"/>
            </w:tblGrid>
            <w:tr w14:paraId="73234FD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41" w:hRule="atLeast"/>
                <w:jc w:val="center"/>
              </w:trPr>
              <w:tc>
                <w:tcPr>
                  <w:tcW w:w="2035" w:type="dxa"/>
                  <w:gridSpan w:val="2"/>
                  <w:vAlign w:val="center"/>
                </w:tcPr>
                <w:p w14:paraId="74100545">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bCs/>
                      <w:snapToGrid w:val="0"/>
                      <w:color w:val="auto"/>
                      <w:kern w:val="0"/>
                      <w:sz w:val="21"/>
                      <w:szCs w:val="21"/>
                      <w:lang w:val="en-US" w:eastAsia="zh-CN" w:bidi="ar-SA"/>
                    </w:rPr>
                  </w:pPr>
                  <w:r>
                    <w:rPr>
                      <w:rFonts w:hint="default" w:ascii="Times New Roman" w:hAnsi="Times New Roman" w:eastAsia="宋体" w:cs="Times New Roman"/>
                      <w:b/>
                      <w:bCs/>
                      <w:snapToGrid w:val="0"/>
                      <w:color w:val="auto"/>
                      <w:kern w:val="0"/>
                      <w:sz w:val="21"/>
                      <w:szCs w:val="21"/>
                      <w:lang w:val="en-US" w:eastAsia="zh-CN" w:bidi="ar-SA"/>
                    </w:rPr>
                    <w:t>监测场所</w:t>
                  </w:r>
                </w:p>
              </w:tc>
              <w:tc>
                <w:tcPr>
                  <w:tcW w:w="1453" w:type="dxa"/>
                  <w:vAlign w:val="center"/>
                </w:tcPr>
                <w:p w14:paraId="1C67C3F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bCs/>
                      <w:snapToGrid w:val="0"/>
                      <w:color w:val="auto"/>
                      <w:kern w:val="0"/>
                      <w:sz w:val="21"/>
                      <w:szCs w:val="21"/>
                      <w:lang w:val="en-US" w:eastAsia="zh-CN" w:bidi="ar-SA"/>
                    </w:rPr>
                  </w:pPr>
                  <w:r>
                    <w:rPr>
                      <w:rFonts w:hint="default" w:ascii="Times New Roman" w:hAnsi="Times New Roman" w:eastAsia="宋体" w:cs="Times New Roman"/>
                      <w:b/>
                      <w:bCs/>
                      <w:snapToGrid w:val="0"/>
                      <w:color w:val="auto"/>
                      <w:kern w:val="0"/>
                      <w:sz w:val="21"/>
                      <w:szCs w:val="21"/>
                      <w:lang w:val="en-US" w:eastAsia="zh-CN" w:bidi="ar-SA"/>
                    </w:rPr>
                    <w:t>监测项目</w:t>
                  </w:r>
                </w:p>
              </w:tc>
              <w:tc>
                <w:tcPr>
                  <w:tcW w:w="3310" w:type="dxa"/>
                  <w:vAlign w:val="center"/>
                </w:tcPr>
                <w:p w14:paraId="48D4453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bCs/>
                      <w:snapToGrid w:val="0"/>
                      <w:color w:val="auto"/>
                      <w:kern w:val="0"/>
                      <w:sz w:val="21"/>
                      <w:szCs w:val="21"/>
                      <w:lang w:val="en-US" w:eastAsia="zh-CN" w:bidi="ar-SA"/>
                    </w:rPr>
                  </w:pPr>
                  <w:r>
                    <w:rPr>
                      <w:rFonts w:hint="default" w:ascii="Times New Roman" w:hAnsi="Times New Roman" w:eastAsia="宋体" w:cs="Times New Roman"/>
                      <w:b/>
                      <w:bCs/>
                      <w:snapToGrid w:val="0"/>
                      <w:color w:val="auto"/>
                      <w:kern w:val="0"/>
                      <w:sz w:val="21"/>
                      <w:szCs w:val="21"/>
                      <w:lang w:val="en-US" w:eastAsia="zh-CN" w:bidi="ar-SA"/>
                    </w:rPr>
                    <w:t>评价指标</w:t>
                  </w:r>
                </w:p>
              </w:tc>
              <w:tc>
                <w:tcPr>
                  <w:tcW w:w="2906" w:type="dxa"/>
                  <w:vAlign w:val="center"/>
                </w:tcPr>
                <w:p w14:paraId="19716F8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bCs/>
                      <w:snapToGrid w:val="0"/>
                      <w:color w:val="auto"/>
                      <w:kern w:val="0"/>
                      <w:sz w:val="21"/>
                      <w:szCs w:val="21"/>
                      <w:lang w:val="en-US" w:eastAsia="zh-CN" w:bidi="ar-SA"/>
                    </w:rPr>
                  </w:pPr>
                  <w:r>
                    <w:rPr>
                      <w:rFonts w:hint="default" w:ascii="Times New Roman" w:hAnsi="Times New Roman" w:eastAsia="宋体" w:cs="Times New Roman"/>
                      <w:b/>
                      <w:bCs/>
                      <w:snapToGrid w:val="0"/>
                      <w:color w:val="auto"/>
                      <w:kern w:val="0"/>
                      <w:sz w:val="21"/>
                      <w:szCs w:val="21"/>
                      <w:lang w:val="en-US" w:eastAsia="zh-CN" w:bidi="ar-SA"/>
                    </w:rPr>
                    <w:t>监测频次</w:t>
                  </w:r>
                </w:p>
              </w:tc>
            </w:tr>
            <w:tr w14:paraId="1933D32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96" w:hRule="atLeast"/>
                <w:jc w:val="center"/>
              </w:trPr>
              <w:tc>
                <w:tcPr>
                  <w:tcW w:w="725" w:type="dxa"/>
                  <w:vAlign w:val="center"/>
                </w:tcPr>
                <w:p w14:paraId="1FAAF71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DSA机房</w:t>
                  </w:r>
                </w:p>
              </w:tc>
              <w:tc>
                <w:tcPr>
                  <w:tcW w:w="1310" w:type="dxa"/>
                  <w:vAlign w:val="center"/>
                </w:tcPr>
                <w:p w14:paraId="7048F73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机房屏蔽墙外30cm人员可达处</w:t>
                  </w:r>
                </w:p>
              </w:tc>
              <w:tc>
                <w:tcPr>
                  <w:tcW w:w="1453" w:type="dxa"/>
                  <w:vAlign w:val="center"/>
                </w:tcPr>
                <w:p w14:paraId="40D4122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 xml:space="preserve">X-γ辐射空气吸收剂量率 </w:t>
                  </w:r>
                </w:p>
              </w:tc>
              <w:tc>
                <w:tcPr>
                  <w:tcW w:w="3310" w:type="dxa"/>
                  <w:vAlign w:val="center"/>
                </w:tcPr>
                <w:p w14:paraId="10C6212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参考验收监测结果，不应明显升高</w:t>
                  </w:r>
                </w:p>
              </w:tc>
              <w:tc>
                <w:tcPr>
                  <w:tcW w:w="2906" w:type="dxa"/>
                  <w:vAlign w:val="center"/>
                </w:tcPr>
                <w:p w14:paraId="1F5A687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每季度1次，出现异常时适当增加监测频次。另外，每年委托有资质的单位检测一次。</w:t>
                  </w:r>
                </w:p>
              </w:tc>
            </w:tr>
            <w:tr w14:paraId="1323738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2035" w:type="dxa"/>
                  <w:gridSpan w:val="2"/>
                  <w:vMerge w:val="restart"/>
                  <w:vAlign w:val="center"/>
                </w:tcPr>
                <w:p w14:paraId="0D037A0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工作人员</w:t>
                  </w:r>
                </w:p>
              </w:tc>
              <w:tc>
                <w:tcPr>
                  <w:tcW w:w="1453" w:type="dxa"/>
                  <w:vAlign w:val="center"/>
                </w:tcPr>
                <w:p w14:paraId="27EF038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个人累计剂量</w:t>
                  </w:r>
                </w:p>
              </w:tc>
              <w:tc>
                <w:tcPr>
                  <w:tcW w:w="3310" w:type="dxa"/>
                  <w:vAlign w:val="center"/>
                </w:tcPr>
                <w:p w14:paraId="5B468303">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介入手术医护人员年有效剂量不超过10mSv；</w:t>
                  </w:r>
                </w:p>
                <w:p w14:paraId="4D047532">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其他辐射工作人员年有效剂量不超过5mSv</w:t>
                  </w:r>
                </w:p>
              </w:tc>
              <w:tc>
                <w:tcPr>
                  <w:tcW w:w="2906" w:type="dxa"/>
                  <w:vAlign w:val="center"/>
                </w:tcPr>
                <w:p w14:paraId="54D0911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一般为1个月，最长不应超过3个月送检一次。</w:t>
                  </w:r>
                </w:p>
              </w:tc>
            </w:tr>
            <w:tr w14:paraId="79BBFD0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2035" w:type="dxa"/>
                  <w:gridSpan w:val="2"/>
                  <w:vMerge w:val="continue"/>
                  <w:vAlign w:val="center"/>
                </w:tcPr>
                <w:p w14:paraId="50E1137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c>
                <w:tcPr>
                  <w:tcW w:w="1453" w:type="dxa"/>
                  <w:vAlign w:val="center"/>
                </w:tcPr>
                <w:p w14:paraId="365A4900">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职业健康体检</w:t>
                  </w:r>
                </w:p>
              </w:tc>
              <w:tc>
                <w:tcPr>
                  <w:tcW w:w="3310" w:type="dxa"/>
                  <w:vAlign w:val="center"/>
                </w:tcPr>
                <w:p w14:paraId="276D2971">
                  <w:pPr>
                    <w:keepNext w:val="0"/>
                    <w:keepLines w:val="0"/>
                    <w:widowControl w:val="0"/>
                    <w:suppressLineNumbers w:val="0"/>
                    <w:spacing w:before="0" w:beforeAutospacing="0" w:after="0" w:afterAutospacing="0" w:line="240" w:lineRule="auto"/>
                    <w:ind w:left="0" w:right="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放射工作人员职业健康管理办法规定的项目</w:t>
                  </w:r>
                </w:p>
              </w:tc>
              <w:tc>
                <w:tcPr>
                  <w:tcW w:w="2906" w:type="dxa"/>
                  <w:vAlign w:val="center"/>
                </w:tcPr>
                <w:p w14:paraId="2E53386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每2年一次</w:t>
                  </w:r>
                </w:p>
              </w:tc>
            </w:tr>
            <w:tr w14:paraId="0491F5A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2035" w:type="dxa"/>
                  <w:gridSpan w:val="2"/>
                  <w:vMerge w:val="restart"/>
                  <w:vAlign w:val="center"/>
                </w:tcPr>
                <w:p w14:paraId="3F21877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安全防护设施</w:t>
                  </w:r>
                </w:p>
              </w:tc>
              <w:tc>
                <w:tcPr>
                  <w:tcW w:w="1453" w:type="dxa"/>
                  <w:vAlign w:val="center"/>
                </w:tcPr>
                <w:p w14:paraId="7A90EFA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动力排风</w:t>
                  </w:r>
                </w:p>
              </w:tc>
              <w:tc>
                <w:tcPr>
                  <w:tcW w:w="3310" w:type="dxa"/>
                  <w:vAlign w:val="center"/>
                </w:tcPr>
                <w:p w14:paraId="4299335C">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 xml:space="preserve">DSA </w:t>
                  </w:r>
                  <w:r>
                    <w:rPr>
                      <w:rFonts w:hint="eastAsia" w:ascii="Times New Roman" w:hAnsi="Times New Roman" w:eastAsia="宋体" w:cs="Times New Roman"/>
                      <w:b w:val="0"/>
                      <w:snapToGrid w:val="0"/>
                      <w:color w:val="auto"/>
                      <w:kern w:val="0"/>
                      <w:sz w:val="21"/>
                      <w:szCs w:val="21"/>
                      <w:lang w:val="en-US" w:eastAsia="zh-CN" w:bidi="ar-SA"/>
                    </w:rPr>
                    <w:t>手术室动力排风装置应确保正常运行，机房应保持良好通风</w:t>
                  </w:r>
                </w:p>
              </w:tc>
              <w:tc>
                <w:tcPr>
                  <w:tcW w:w="2906" w:type="dxa"/>
                  <w:vMerge w:val="restart"/>
                  <w:vAlign w:val="center"/>
                </w:tcPr>
                <w:p w14:paraId="6164CEF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每次开机前均</w:t>
                  </w:r>
                  <w:r>
                    <w:rPr>
                      <w:rFonts w:hint="eastAsia" w:ascii="Times New Roman" w:hAnsi="Times New Roman" w:eastAsia="宋体" w:cs="Times New Roman"/>
                      <w:b w:val="0"/>
                      <w:snapToGrid w:val="0"/>
                      <w:color w:val="auto"/>
                      <w:kern w:val="0"/>
                      <w:sz w:val="21"/>
                      <w:szCs w:val="21"/>
                      <w:lang w:val="en-US" w:eastAsia="zh-CN" w:bidi="ar-SA"/>
                    </w:rPr>
                    <w:t>检查</w:t>
                  </w:r>
                  <w:r>
                    <w:rPr>
                      <w:rFonts w:hint="default" w:ascii="Times New Roman" w:hAnsi="Times New Roman" w:eastAsia="宋体" w:cs="Times New Roman"/>
                      <w:b w:val="0"/>
                      <w:snapToGrid w:val="0"/>
                      <w:color w:val="auto"/>
                      <w:kern w:val="0"/>
                      <w:sz w:val="21"/>
                      <w:szCs w:val="21"/>
                      <w:lang w:val="en-US" w:eastAsia="zh-CN" w:bidi="ar-SA"/>
                    </w:rPr>
                    <w:t>测试</w:t>
                  </w:r>
                </w:p>
              </w:tc>
            </w:tr>
            <w:tr w14:paraId="527BF25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2035" w:type="dxa"/>
                  <w:gridSpan w:val="2"/>
                  <w:vMerge w:val="continue"/>
                  <w:vAlign w:val="center"/>
                </w:tcPr>
                <w:p w14:paraId="7331824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c>
                <w:tcPr>
                  <w:tcW w:w="1453" w:type="dxa"/>
                  <w:vAlign w:val="center"/>
                </w:tcPr>
                <w:p w14:paraId="67C1720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门灯关联</w:t>
                  </w:r>
                </w:p>
              </w:tc>
              <w:tc>
                <w:tcPr>
                  <w:tcW w:w="3310" w:type="dxa"/>
                  <w:vAlign w:val="center"/>
                </w:tcPr>
                <w:p w14:paraId="40498CF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机房应设有闭门装置，且工作状态 指示灯和与机房相通的门能有效关联</w:t>
                  </w:r>
                </w:p>
              </w:tc>
              <w:tc>
                <w:tcPr>
                  <w:tcW w:w="2906" w:type="dxa"/>
                  <w:vMerge w:val="continue"/>
                  <w:vAlign w:val="center"/>
                </w:tcPr>
                <w:p w14:paraId="7E2449C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r>
            <w:tr w14:paraId="0371788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2035" w:type="dxa"/>
                  <w:gridSpan w:val="2"/>
                  <w:vMerge w:val="continue"/>
                  <w:vAlign w:val="center"/>
                </w:tcPr>
                <w:p w14:paraId="30520B04">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c>
                <w:tcPr>
                  <w:tcW w:w="1453" w:type="dxa"/>
                  <w:vAlign w:val="center"/>
                </w:tcPr>
                <w:p w14:paraId="4BB0FC6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警告标志</w:t>
                  </w:r>
                </w:p>
              </w:tc>
              <w:tc>
                <w:tcPr>
                  <w:tcW w:w="3310" w:type="dxa"/>
                  <w:vAlign w:val="center"/>
                </w:tcPr>
                <w:p w14:paraId="2DF94E8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机房外均张贴电离辐射警告标志、放射防护注意事项，安装醒目的工作状态指示灯，灯箱处应设警示标语：射线有害，灯亮勿入</w:t>
                  </w:r>
                </w:p>
              </w:tc>
              <w:tc>
                <w:tcPr>
                  <w:tcW w:w="2906" w:type="dxa"/>
                  <w:vMerge w:val="continue"/>
                  <w:vAlign w:val="center"/>
                </w:tcPr>
                <w:p w14:paraId="3E41BF5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p>
              </w:tc>
            </w:tr>
          </w:tbl>
          <w:p w14:paraId="5CD93C7A">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2" w:firstLineChars="200"/>
              <w:jc w:val="both"/>
              <w:textAlignment w:val="auto"/>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3、关于辐射安全与防护考核</w:t>
            </w:r>
          </w:p>
          <w:p w14:paraId="2F5257F3">
            <w:pPr>
              <w:pStyle w:val="2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80" w:firstLineChars="200"/>
              <w:textAlignment w:val="auto"/>
              <w:rPr>
                <w:rFonts w:hint="default" w:cs="Times New Roman"/>
                <w:color w:val="auto"/>
                <w:highlight w:val="none"/>
              </w:rPr>
            </w:pPr>
            <w:r>
              <w:rPr>
                <w:rFonts w:hint="eastAsia" w:ascii="Times New Roman" w:hAnsi="Times New Roman" w:eastAsia="宋体" w:cs="Times New Roman"/>
                <w:snapToGrid w:val="0"/>
                <w:color w:val="auto"/>
                <w:kern w:val="0"/>
                <w:sz w:val="24"/>
                <w:szCs w:val="21"/>
                <w:lang w:val="en-US" w:eastAsia="zh-CN" w:bidi="ar-SA"/>
              </w:rPr>
              <w:t>医院应制定完善的辐射安全与防护学习及考核计划，明确学习及考核对象、周期和要求。按计划组织辐射工作人员参加辐射安全与防护考核，考核不合格的不得上岗。在取得考核合格证后每五年还应再组织安排一次考核，考核不合格的不得继续从事辐射相关工作。</w:t>
            </w:r>
            <w:r>
              <w:rPr>
                <w:rFonts w:hint="eastAsia" w:cs="Times New Roman"/>
                <w:color w:val="auto"/>
              </w:rPr>
              <w:t>仅从事Ⅲ类</w:t>
            </w:r>
            <w:r>
              <w:rPr>
                <w:rFonts w:hint="eastAsia" w:cs="Times New Roman"/>
                <w:color w:val="auto"/>
                <w:highlight w:val="none"/>
              </w:rPr>
              <w:t>射线装置使用活动的辐射工作人员无需参加集中考核，由</w:t>
            </w:r>
            <w:r>
              <w:rPr>
                <w:rFonts w:hint="eastAsia" w:cs="Times New Roman"/>
                <w:color w:val="auto"/>
                <w:highlight w:val="none"/>
                <w:lang w:val="en-US" w:eastAsia="zh-CN"/>
              </w:rPr>
              <w:t>医院</w:t>
            </w:r>
            <w:r>
              <w:rPr>
                <w:rFonts w:hint="eastAsia" w:cs="Times New Roman"/>
                <w:color w:val="auto"/>
                <w:highlight w:val="none"/>
              </w:rPr>
              <w:t>自行组织考核。</w:t>
            </w:r>
          </w:p>
          <w:p w14:paraId="307EA012">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460" w:lineRule="exact"/>
              <w:ind w:left="0" w:right="0" w:firstLine="480" w:firstLineChars="200"/>
              <w:jc w:val="left"/>
              <w:textAlignment w:val="auto"/>
              <w:rPr>
                <w:rFonts w:hint="default" w:ascii="Times New Roman" w:hAnsi="Times New Roman" w:eastAsia="宋体" w:cs="Times New Roman"/>
                <w:snapToGrid w:val="0"/>
                <w:color w:val="auto"/>
                <w:kern w:val="0"/>
                <w:sz w:val="24"/>
                <w:szCs w:val="21"/>
                <w:highlight w:val="none"/>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本项目拟配备5名辐射工作人员，从医院现有辐射工作和医护人员之中调剂。根据《关于核技术利用辐射安全与防护培训和考核有关事项的公告》（生态环境部公告</w:t>
            </w:r>
            <w:r>
              <w:rPr>
                <w:rFonts w:hint="default" w:ascii="Times New Roman" w:hAnsi="Times New Roman" w:eastAsia="宋体" w:cs="Times New Roman"/>
                <w:snapToGrid w:val="0"/>
                <w:color w:val="auto"/>
                <w:kern w:val="0"/>
                <w:sz w:val="24"/>
                <w:szCs w:val="21"/>
                <w:highlight w:val="none"/>
                <w:lang w:val="en-US" w:eastAsia="zh-CN" w:bidi="ar-SA"/>
              </w:rPr>
              <w:t>2019年第57号</w:t>
            </w:r>
            <w:r>
              <w:rPr>
                <w:rFonts w:hint="eastAsia" w:ascii="Times New Roman" w:hAnsi="Times New Roman" w:eastAsia="宋体" w:cs="Times New Roman"/>
                <w:snapToGrid w:val="0"/>
                <w:color w:val="auto"/>
                <w:kern w:val="0"/>
                <w:sz w:val="24"/>
                <w:szCs w:val="21"/>
                <w:highlight w:val="none"/>
                <w:lang w:val="en-US" w:eastAsia="zh-CN" w:bidi="ar-SA"/>
              </w:rPr>
              <w:t>）的要求，有相关学习需求的人员可通过生态环境部组织开发的国家核技术利用辐射安全与防护培训平台（网址：http:</w:t>
            </w:r>
            <w:r>
              <w:rPr>
                <w:rFonts w:hint="eastAsia" w:ascii="Times New Roman" w:hAnsi="Times New Roman" w:eastAsia="宋体" w:cs="Times New Roman"/>
                <w:snapToGrid w:val="0"/>
                <w:color w:val="auto"/>
                <w:kern w:val="0"/>
                <w:sz w:val="24"/>
                <w:szCs w:val="24"/>
                <w:highlight w:val="none"/>
                <w:lang w:val="en-US" w:eastAsia="zh-CN" w:bidi="ar-SA"/>
              </w:rPr>
              <w:t>//fushe.mee.gov.cn</w:t>
            </w:r>
            <w:r>
              <w:rPr>
                <w:rFonts w:hint="eastAsia" w:ascii="Times New Roman" w:hAnsi="Times New Roman" w:eastAsia="宋体" w:cs="Times New Roman"/>
                <w:snapToGrid w:val="0"/>
                <w:color w:val="auto"/>
                <w:kern w:val="0"/>
                <w:sz w:val="24"/>
                <w:szCs w:val="21"/>
                <w:highlight w:val="none"/>
                <w:lang w:val="en-US" w:eastAsia="zh-CN" w:bidi="ar-SA"/>
              </w:rPr>
              <w:t>）免费学习相关知识。医院今后如新增从事辐射活动的人员，以及原持有的辐射安全考核合格证书到期的人员，应当通过生态环境部国家核技术利用辐射安全与防护培训平台报名并参加考核。</w:t>
            </w:r>
          </w:p>
          <w:p w14:paraId="722D4A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70" w:firstLineChars="200"/>
              <w:textAlignment w:val="auto"/>
              <w:rPr>
                <w:rFonts w:hint="eastAsia" w:ascii="宋体" w:hAnsi="宋体" w:eastAsia="宋体" w:cs="宋体"/>
                <w:color w:val="auto"/>
                <w:spacing w:val="-3"/>
                <w:sz w:val="24"/>
                <w:szCs w:val="24"/>
                <w:highlight w:val="none"/>
                <w:lang w:eastAsia="zh-CN"/>
              </w:rPr>
            </w:pPr>
            <w:r>
              <w:rPr>
                <w:rFonts w:hint="eastAsia" w:ascii="宋体" w:hAnsi="宋体" w:eastAsia="宋体" w:cs="宋体"/>
                <w:b/>
                <w:bCs/>
                <w:color w:val="auto"/>
                <w:spacing w:val="-3"/>
                <w:sz w:val="24"/>
                <w:szCs w:val="24"/>
                <w:highlight w:val="none"/>
                <w:lang w:eastAsia="zh-CN"/>
              </w:rPr>
              <w:t>4、关于职业健康体检</w:t>
            </w:r>
          </w:p>
          <w:p w14:paraId="566999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60" w:lineRule="exact"/>
              <w:ind w:left="0" w:right="0" w:firstLine="468" w:firstLineChars="200"/>
              <w:textAlignment w:val="auto"/>
              <w:rPr>
                <w:rFonts w:hint="default" w:ascii="Times New Roman" w:hAnsi="Times New Roman" w:eastAsia="宋体" w:cs="Times New Roman"/>
                <w:color w:val="auto"/>
                <w:spacing w:val="-3"/>
                <w:sz w:val="24"/>
                <w:szCs w:val="24"/>
                <w:lang w:eastAsia="zh-CN"/>
              </w:rPr>
            </w:pPr>
            <w:r>
              <w:rPr>
                <w:rFonts w:hint="default" w:ascii="Times New Roman" w:hAnsi="Times New Roman" w:eastAsia="宋体" w:cs="Times New Roman"/>
                <w:color w:val="auto"/>
                <w:spacing w:val="-3"/>
                <w:sz w:val="24"/>
                <w:szCs w:val="24"/>
                <w:highlight w:val="none"/>
                <w:lang w:eastAsia="zh-CN"/>
              </w:rPr>
              <w:t>医院</w:t>
            </w:r>
            <w:r>
              <w:rPr>
                <w:rFonts w:hint="eastAsia" w:ascii="Times New Roman" w:hAnsi="Times New Roman" w:eastAsia="宋体" w:cs="Times New Roman"/>
                <w:snapToGrid w:val="0"/>
                <w:color w:val="auto"/>
                <w:kern w:val="0"/>
                <w:sz w:val="24"/>
                <w:szCs w:val="21"/>
                <w:lang w:val="en-US" w:eastAsia="zh-CN" w:bidi="ar-SA"/>
              </w:rPr>
              <w:t>应</w:t>
            </w:r>
            <w:r>
              <w:rPr>
                <w:rFonts w:hint="default" w:ascii="Times New Roman" w:hAnsi="Times New Roman" w:eastAsia="宋体" w:cs="Times New Roman"/>
                <w:color w:val="auto"/>
                <w:spacing w:val="-3"/>
                <w:sz w:val="24"/>
                <w:szCs w:val="24"/>
                <w:highlight w:val="none"/>
                <w:lang w:eastAsia="zh-CN"/>
              </w:rPr>
              <w:t>制定完善的职业健康体检计划，明确体检对象、体检周期和指标，并按计划组织辐射工作人员开展岗前、岗中（两次检查的时间间隔不应超过</w:t>
            </w:r>
            <w:r>
              <w:rPr>
                <w:rFonts w:hint="eastAsia" w:ascii="Times New Roman" w:hAnsi="Times New Roman" w:eastAsia="宋体" w:cs="Times New Roman"/>
                <w:color w:val="auto"/>
                <w:spacing w:val="-3"/>
                <w:sz w:val="24"/>
                <w:szCs w:val="24"/>
                <w:highlight w:val="none"/>
                <w:lang w:val="en-US" w:eastAsia="zh-CN"/>
              </w:rPr>
              <w:t>2</w:t>
            </w:r>
            <w:r>
              <w:rPr>
                <w:rFonts w:hint="default" w:ascii="Times New Roman" w:hAnsi="Times New Roman" w:eastAsia="宋体" w:cs="Times New Roman"/>
                <w:color w:val="auto"/>
                <w:spacing w:val="-3"/>
                <w:sz w:val="24"/>
                <w:szCs w:val="24"/>
                <w:highlight w:val="none"/>
                <w:lang w:eastAsia="zh-CN"/>
              </w:rPr>
              <w:t>年）和</w:t>
            </w:r>
            <w:r>
              <w:rPr>
                <w:rFonts w:hint="eastAsia" w:ascii="Times New Roman" w:hAnsi="Times New Roman" w:eastAsia="宋体" w:cs="Times New Roman"/>
                <w:color w:val="auto"/>
                <w:spacing w:val="-3"/>
                <w:sz w:val="24"/>
                <w:szCs w:val="24"/>
                <w:highlight w:val="none"/>
                <w:lang w:eastAsia="zh-CN"/>
              </w:rPr>
              <w:t>离</w:t>
            </w:r>
            <w:r>
              <w:rPr>
                <w:rFonts w:hint="default" w:ascii="Times New Roman" w:hAnsi="Times New Roman" w:eastAsia="宋体" w:cs="Times New Roman"/>
                <w:color w:val="auto"/>
                <w:spacing w:val="-3"/>
                <w:sz w:val="24"/>
                <w:szCs w:val="24"/>
                <w:highlight w:val="none"/>
                <w:lang w:eastAsia="zh-CN"/>
              </w:rPr>
              <w:t>岗职业健康体检，</w:t>
            </w:r>
            <w:r>
              <w:rPr>
                <w:rFonts w:hint="eastAsia" w:ascii="Times New Roman" w:hAnsi="Times New Roman" w:eastAsia="宋体" w:cs="Times New Roman"/>
                <w:snapToGrid w:val="0"/>
                <w:color w:val="auto"/>
                <w:kern w:val="0"/>
                <w:sz w:val="24"/>
                <w:szCs w:val="21"/>
                <w:highlight w:val="none"/>
                <w:lang w:val="en-US" w:eastAsia="zh-CN" w:bidi="ar-SA"/>
              </w:rPr>
              <w:t>对职业健康检查中发现不宜从事辐射工作的人员应及时调整工作岗位</w:t>
            </w:r>
            <w:r>
              <w:rPr>
                <w:rFonts w:hint="default" w:ascii="Times New Roman" w:hAnsi="Times New Roman" w:eastAsia="宋体" w:cs="Times New Roman"/>
                <w:color w:val="auto"/>
                <w:spacing w:val="-3"/>
                <w:sz w:val="24"/>
                <w:szCs w:val="24"/>
                <w:highlight w:val="none"/>
                <w:lang w:eastAsia="zh-CN"/>
              </w:rPr>
              <w:t>，不得安排</w:t>
            </w:r>
            <w:r>
              <w:rPr>
                <w:rFonts w:hint="default" w:ascii="Times New Roman" w:hAnsi="Times New Roman" w:eastAsia="宋体" w:cs="Times New Roman"/>
                <w:color w:val="auto"/>
                <w:spacing w:val="-3"/>
                <w:sz w:val="24"/>
                <w:szCs w:val="24"/>
                <w:lang w:eastAsia="zh-CN"/>
              </w:rPr>
              <w:t>从事辐射相关工作</w:t>
            </w:r>
            <w:r>
              <w:rPr>
                <w:rFonts w:hint="eastAsia" w:ascii="Times New Roman" w:hAnsi="Times New Roman" w:eastAsia="宋体" w:cs="Times New Roman"/>
                <w:color w:val="auto"/>
                <w:spacing w:val="-3"/>
                <w:sz w:val="24"/>
                <w:szCs w:val="24"/>
                <w:lang w:eastAsia="zh-CN"/>
              </w:rPr>
              <w:t>，对于离岗人员严格执行离岗体检要求</w:t>
            </w:r>
            <w:r>
              <w:rPr>
                <w:rFonts w:hint="default" w:ascii="Times New Roman" w:hAnsi="Times New Roman" w:eastAsia="宋体" w:cs="Times New Roman"/>
                <w:color w:val="auto"/>
                <w:spacing w:val="-3"/>
                <w:sz w:val="24"/>
                <w:szCs w:val="24"/>
                <w:lang w:eastAsia="zh-CN"/>
              </w:rPr>
              <w:t>。</w:t>
            </w:r>
          </w:p>
          <w:p w14:paraId="017AC089">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default"/>
                <w:color w:val="auto"/>
                <w:lang w:eastAsia="zh-CN"/>
              </w:rPr>
            </w:pPr>
            <w:r>
              <w:rPr>
                <w:rFonts w:hint="eastAsia" w:ascii="Times New Roman" w:hAnsi="Times New Roman" w:eastAsia="宋体" w:cs="Times New Roman"/>
                <w:snapToGrid w:val="0"/>
                <w:color w:val="auto"/>
                <w:kern w:val="0"/>
                <w:sz w:val="24"/>
                <w:szCs w:val="21"/>
                <w:lang w:val="en-US" w:eastAsia="zh-CN" w:bidi="ar-SA"/>
              </w:rPr>
              <w:t>本项目辐射工作人员应按规定进行岗前、在岗和离岗体检，</w:t>
            </w:r>
            <w:r>
              <w:rPr>
                <w:rFonts w:hint="default" w:ascii="Times New Roman" w:hAnsi="Times New Roman" w:eastAsia="宋体" w:cs="Times New Roman"/>
                <w:snapToGrid w:val="0"/>
                <w:color w:val="auto"/>
                <w:kern w:val="0"/>
                <w:sz w:val="24"/>
                <w:szCs w:val="21"/>
                <w:lang w:val="en-US" w:eastAsia="zh-CN" w:bidi="ar-SA"/>
              </w:rPr>
              <w:t>对于体检结果出现异常的，不得安排从事辐射相关工作</w:t>
            </w:r>
            <w:r>
              <w:rPr>
                <w:rFonts w:hint="eastAsia" w:ascii="Times New Roman" w:hAnsi="Times New Roman" w:eastAsia="宋体" w:cs="Times New Roman"/>
                <w:snapToGrid w:val="0"/>
                <w:color w:val="auto"/>
                <w:kern w:val="0"/>
                <w:sz w:val="24"/>
                <w:szCs w:val="21"/>
                <w:lang w:val="en-US" w:eastAsia="zh-CN" w:bidi="ar-SA"/>
              </w:rPr>
              <w:t>。</w:t>
            </w:r>
          </w:p>
          <w:p w14:paraId="36832531">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70" w:firstLineChars="200"/>
              <w:jc w:val="both"/>
              <w:textAlignment w:val="auto"/>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spacing w:val="-3"/>
                <w:kern w:val="0"/>
                <w:sz w:val="24"/>
                <w:szCs w:val="21"/>
                <w:lang w:val="en-US" w:eastAsia="zh-CN" w:bidi="ar-SA"/>
              </w:rPr>
              <w:t>5、</w:t>
            </w:r>
            <w:r>
              <w:rPr>
                <w:rFonts w:hint="eastAsia" w:ascii="Times New Roman" w:hAnsi="Times New Roman" w:eastAsia="宋体" w:cs="Times New Roman"/>
                <w:b/>
                <w:bCs/>
                <w:snapToGrid w:val="0"/>
                <w:color w:val="auto"/>
                <w:kern w:val="0"/>
                <w:sz w:val="24"/>
                <w:szCs w:val="21"/>
                <w:lang w:val="en-US" w:eastAsia="zh-CN" w:bidi="ar-SA"/>
              </w:rPr>
              <w:t>关于年度安全状况评估</w:t>
            </w:r>
          </w:p>
          <w:p w14:paraId="6A9579A6">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eastAsia"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医院应在每年1月31日前填</w:t>
            </w:r>
            <w:r>
              <w:rPr>
                <w:rFonts w:hint="default" w:ascii="Times New Roman" w:hAnsi="Times New Roman" w:eastAsia="宋体" w:cs="Times New Roman"/>
                <w:snapToGrid w:val="0"/>
                <w:color w:val="auto"/>
                <w:kern w:val="0"/>
                <w:sz w:val="24"/>
                <w:szCs w:val="21"/>
                <w:lang w:val="en-US" w:eastAsia="zh-CN" w:bidi="ar-SA"/>
              </w:rPr>
              <w:t>报</w:t>
            </w:r>
            <w:r>
              <w:rPr>
                <w:rFonts w:hint="eastAsia" w:ascii="Times New Roman" w:hAnsi="Times New Roman" w:eastAsia="宋体" w:cs="Times New Roman"/>
                <w:snapToGrid w:val="0"/>
                <w:color w:val="auto"/>
                <w:kern w:val="0"/>
                <w:sz w:val="24"/>
                <w:szCs w:val="21"/>
                <w:lang w:val="en-US" w:eastAsia="zh-CN" w:bidi="ar-SA"/>
              </w:rPr>
              <w:t>上一年</w:t>
            </w:r>
            <w:r>
              <w:rPr>
                <w:rFonts w:hint="default" w:ascii="Times New Roman" w:hAnsi="Times New Roman" w:eastAsia="宋体" w:cs="Times New Roman"/>
                <w:snapToGrid w:val="0"/>
                <w:color w:val="auto"/>
                <w:kern w:val="0"/>
                <w:sz w:val="24"/>
                <w:szCs w:val="21"/>
                <w:lang w:val="en-US" w:eastAsia="zh-CN" w:bidi="ar-SA"/>
              </w:rPr>
              <w:t>度评估报告。</w:t>
            </w:r>
            <w:r>
              <w:rPr>
                <w:rFonts w:hint="default" w:ascii="宋体" w:hAnsi="Times New Roman" w:eastAsia="宋体" w:cs="宋体"/>
                <w:snapToGrid w:val="0"/>
                <w:color w:val="auto"/>
                <w:kern w:val="0"/>
                <w:sz w:val="24"/>
                <w:szCs w:val="21"/>
                <w:lang w:val="en-US" w:eastAsia="zh-CN" w:bidi="ar-SA"/>
              </w:rPr>
              <w:t>年度评估报告应包括</w:t>
            </w:r>
            <w:r>
              <w:rPr>
                <w:rFonts w:hint="default" w:ascii="Times New Roman" w:hAnsi="Times New Roman" w:eastAsia="宋体" w:cs="Times New Roman"/>
                <w:snapToGrid w:val="0"/>
                <w:color w:val="auto"/>
                <w:kern w:val="0"/>
                <w:sz w:val="24"/>
                <w:szCs w:val="21"/>
                <w:lang w:val="en-US" w:eastAsia="zh-CN" w:bidi="ar-SA"/>
              </w:rPr>
              <w:t>辐射安全和防护设施</w:t>
            </w:r>
            <w:r>
              <w:rPr>
                <w:rFonts w:hint="eastAsia" w:ascii="Times New Roman" w:hAnsi="Times New Roman" w:eastAsia="宋体" w:cs="Times New Roman"/>
                <w:snapToGrid w:val="0"/>
                <w:color w:val="auto"/>
                <w:kern w:val="0"/>
                <w:sz w:val="24"/>
                <w:szCs w:val="21"/>
                <w:lang w:val="en-US" w:eastAsia="zh-CN" w:bidi="ar-SA"/>
              </w:rPr>
              <w:t>的</w:t>
            </w:r>
            <w:r>
              <w:rPr>
                <w:rFonts w:hint="default" w:ascii="Times New Roman" w:hAnsi="Times New Roman" w:eastAsia="宋体" w:cs="Times New Roman"/>
                <w:snapToGrid w:val="0"/>
                <w:color w:val="auto"/>
                <w:kern w:val="0"/>
                <w:sz w:val="24"/>
                <w:szCs w:val="21"/>
                <w:lang w:val="en-US" w:eastAsia="zh-CN" w:bidi="ar-SA"/>
              </w:rPr>
              <w:t>运行与维护情况；辐射安全和防护制度及措施的制定与落实情况；辐射工作人员变动及接受辐射安全和防护知识教育培训情况；射线装置台账；场所辐射环境监测和个人剂量监测情况及监测数据；辐射事故及应急响应情况；核技术利用项目新建、改扩建和退役情况；存在的安全隐患及其整改情况；其他有关</w:t>
            </w:r>
            <w:r>
              <w:rPr>
                <w:rFonts w:hint="eastAsia" w:ascii="Times New Roman" w:hAnsi="Times New Roman" w:eastAsia="宋体" w:cs="Times New Roman"/>
                <w:snapToGrid w:val="0"/>
                <w:color w:val="auto"/>
                <w:kern w:val="0"/>
                <w:sz w:val="24"/>
                <w:szCs w:val="21"/>
                <w:lang w:val="en-US" w:eastAsia="zh-CN" w:bidi="ar-SA"/>
              </w:rPr>
              <w:t>法律法规</w:t>
            </w:r>
            <w:r>
              <w:rPr>
                <w:rFonts w:hint="default" w:ascii="Times New Roman" w:hAnsi="Times New Roman" w:eastAsia="宋体" w:cs="Times New Roman"/>
                <w:snapToGrid w:val="0"/>
                <w:color w:val="auto"/>
                <w:kern w:val="0"/>
                <w:sz w:val="24"/>
                <w:szCs w:val="21"/>
                <w:lang w:val="en-US" w:eastAsia="zh-CN" w:bidi="ar-SA"/>
              </w:rPr>
              <w:t>规定</w:t>
            </w:r>
            <w:r>
              <w:rPr>
                <w:rFonts w:hint="eastAsia" w:ascii="Times New Roman" w:hAnsi="Times New Roman" w:eastAsia="宋体" w:cs="Times New Roman"/>
                <w:snapToGrid w:val="0"/>
                <w:color w:val="auto"/>
                <w:kern w:val="0"/>
                <w:sz w:val="24"/>
                <w:szCs w:val="21"/>
                <w:lang w:val="en-US" w:eastAsia="zh-CN" w:bidi="ar-SA"/>
              </w:rPr>
              <w:t>的</w:t>
            </w:r>
            <w:r>
              <w:rPr>
                <w:rFonts w:hint="default" w:ascii="Times New Roman" w:hAnsi="Times New Roman" w:eastAsia="宋体" w:cs="Times New Roman"/>
                <w:snapToGrid w:val="0"/>
                <w:color w:val="auto"/>
                <w:kern w:val="0"/>
                <w:sz w:val="24"/>
                <w:szCs w:val="21"/>
                <w:lang w:val="en-US" w:eastAsia="zh-CN" w:bidi="ar-SA"/>
              </w:rPr>
              <w:t>落实情况</w:t>
            </w:r>
            <w:r>
              <w:rPr>
                <w:rFonts w:hint="default" w:ascii="宋体" w:hAnsi="Times New Roman" w:eastAsia="宋体" w:cs="宋体"/>
                <w:snapToGrid w:val="0"/>
                <w:color w:val="auto"/>
                <w:kern w:val="0"/>
                <w:sz w:val="24"/>
                <w:szCs w:val="21"/>
                <w:lang w:val="en-US" w:eastAsia="zh-CN" w:bidi="ar-SA"/>
              </w:rPr>
              <w:t>等方面的内</w:t>
            </w:r>
            <w:r>
              <w:rPr>
                <w:rFonts w:hint="default" w:ascii="Times New Roman" w:hAnsi="Times New Roman" w:eastAsia="宋体" w:cs="Times New Roman"/>
                <w:snapToGrid w:val="0"/>
                <w:color w:val="auto"/>
                <w:kern w:val="0"/>
                <w:sz w:val="24"/>
                <w:szCs w:val="21"/>
                <w:lang w:val="en-US" w:eastAsia="zh-CN" w:bidi="ar-SA"/>
              </w:rPr>
              <w:t>容</w:t>
            </w:r>
            <w:r>
              <w:rPr>
                <w:rFonts w:hint="eastAsia" w:ascii="Times New Roman" w:hAnsi="Times New Roman" w:eastAsia="宋体" w:cs="Times New Roman"/>
                <w:snapToGrid w:val="0"/>
                <w:color w:val="auto"/>
                <w:kern w:val="0"/>
                <w:sz w:val="24"/>
                <w:szCs w:val="21"/>
                <w:lang w:val="en-US" w:eastAsia="zh-CN" w:bidi="ar-SA"/>
              </w:rPr>
              <w:t>。</w:t>
            </w:r>
          </w:p>
          <w:p w14:paraId="65608177">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2" w:firstLineChars="200"/>
              <w:jc w:val="both"/>
              <w:textAlignment w:val="auto"/>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6、</w:t>
            </w:r>
            <w:r>
              <w:rPr>
                <w:rFonts w:hint="default" w:ascii="Times New Roman" w:hAnsi="Times New Roman" w:eastAsia="宋体" w:cs="Times New Roman"/>
                <w:b/>
                <w:bCs/>
                <w:snapToGrid w:val="0"/>
                <w:color w:val="auto"/>
                <w:kern w:val="0"/>
                <w:sz w:val="24"/>
                <w:szCs w:val="21"/>
                <w:lang w:val="en-US" w:eastAsia="zh-CN" w:bidi="ar-SA"/>
              </w:rPr>
              <w:t>关于</w:t>
            </w:r>
            <w:r>
              <w:rPr>
                <w:rFonts w:hint="eastAsia" w:ascii="Times New Roman" w:hAnsi="Times New Roman" w:eastAsia="宋体" w:cs="Times New Roman"/>
                <w:b/>
                <w:bCs/>
                <w:snapToGrid w:val="0"/>
                <w:color w:val="auto"/>
                <w:kern w:val="0"/>
                <w:sz w:val="24"/>
                <w:szCs w:val="21"/>
                <w:lang w:val="en-US" w:eastAsia="zh-CN" w:bidi="ar-SA"/>
              </w:rPr>
              <w:t>辐射安全与环境保护管理</w:t>
            </w:r>
            <w:r>
              <w:rPr>
                <w:rFonts w:hint="default" w:ascii="Times New Roman" w:hAnsi="Times New Roman" w:eastAsia="宋体" w:cs="Times New Roman"/>
                <w:b/>
                <w:bCs/>
                <w:snapToGrid w:val="0"/>
                <w:color w:val="auto"/>
                <w:kern w:val="0"/>
                <w:sz w:val="24"/>
                <w:szCs w:val="21"/>
                <w:lang w:val="en-US" w:eastAsia="zh-CN" w:bidi="ar-SA"/>
              </w:rPr>
              <w:t>制度</w:t>
            </w:r>
          </w:p>
          <w:p w14:paraId="57494155">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default" w:ascii="Times New Roman" w:hAnsi="Times New Roman" w:eastAsia="宋体" w:cs="Times New Roman"/>
                <w:b/>
                <w:bCs/>
                <w:snapToGrid w:val="0"/>
                <w:color w:val="auto"/>
                <w:kern w:val="0"/>
                <w:sz w:val="24"/>
                <w:szCs w:val="21"/>
                <w:highlight w:val="none"/>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在今后的运营过程中，寿县人民医院辐射安全防护领导小组应根据医院核技术应用项目的实际变化情况及时牵头对辐射安全相关制度进行系统修订，</w:t>
            </w:r>
            <w:r>
              <w:rPr>
                <w:rFonts w:hint="eastAsia" w:ascii="Times New Roman" w:hAnsi="Times New Roman" w:eastAsia="宋体" w:cs="Times New Roman"/>
                <w:bCs/>
                <w:snapToGrid w:val="0"/>
                <w:color w:val="auto"/>
                <w:spacing w:val="-3"/>
                <w:kern w:val="0"/>
                <w:sz w:val="24"/>
                <w:szCs w:val="21"/>
                <w:highlight w:val="none"/>
                <w:lang w:val="en-US" w:eastAsia="zh-CN" w:bidi="ar-SA"/>
              </w:rPr>
              <w:t>提高制度可操作性，</w:t>
            </w:r>
            <w:r>
              <w:rPr>
                <w:rFonts w:hint="eastAsia" w:ascii="Times New Roman" w:hAnsi="Times New Roman" w:eastAsia="宋体" w:cs="Times New Roman"/>
                <w:bCs/>
                <w:snapToGrid w:val="0"/>
                <w:color w:val="auto"/>
                <w:kern w:val="0"/>
                <w:sz w:val="24"/>
                <w:szCs w:val="21"/>
                <w:highlight w:val="none"/>
                <w:lang w:val="en-US" w:eastAsia="zh-CN" w:bidi="ar-SA"/>
              </w:rPr>
              <w:t>做到所有辐射工作都有章可循，有制度保障。</w:t>
            </w:r>
          </w:p>
          <w:p w14:paraId="40A5F5A6">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2" w:firstLineChars="200"/>
              <w:jc w:val="both"/>
              <w:textAlignment w:val="auto"/>
              <w:rPr>
                <w:rFonts w:hint="default" w:ascii="Times New Roman" w:hAnsi="Times New Roman" w:eastAsia="宋体" w:cs="Times New Roman"/>
                <w:b/>
                <w:bCs/>
                <w:snapToGrid w:val="0"/>
                <w:color w:val="auto"/>
                <w:kern w:val="0"/>
                <w:sz w:val="24"/>
                <w:szCs w:val="21"/>
                <w:highlight w:val="none"/>
                <w:lang w:val="en-US" w:eastAsia="zh-CN" w:bidi="ar-SA"/>
              </w:rPr>
            </w:pPr>
            <w:r>
              <w:rPr>
                <w:rFonts w:hint="eastAsia" w:ascii="Times New Roman" w:hAnsi="Times New Roman" w:eastAsia="宋体" w:cs="Times New Roman"/>
                <w:b/>
                <w:bCs/>
                <w:snapToGrid w:val="0"/>
                <w:color w:val="auto"/>
                <w:kern w:val="0"/>
                <w:sz w:val="24"/>
                <w:szCs w:val="20"/>
                <w:highlight w:val="none"/>
                <w:lang w:val="en-US" w:eastAsia="zh-CN" w:bidi="ar-SA"/>
              </w:rPr>
              <w:t>7、</w:t>
            </w:r>
            <w:r>
              <w:rPr>
                <w:rFonts w:hint="eastAsia" w:ascii="Times New Roman" w:hAnsi="Times New Roman" w:eastAsia="宋体" w:cs="Times New Roman"/>
                <w:b/>
                <w:bCs/>
                <w:snapToGrid w:val="0"/>
                <w:color w:val="auto"/>
                <w:kern w:val="0"/>
                <w:sz w:val="24"/>
                <w:szCs w:val="21"/>
                <w:highlight w:val="none"/>
                <w:lang w:val="en-US" w:eastAsia="zh-CN" w:bidi="ar-SA"/>
              </w:rPr>
              <w:t>辐射</w:t>
            </w:r>
            <w:r>
              <w:rPr>
                <w:rFonts w:hint="default" w:ascii="Times New Roman" w:hAnsi="Times New Roman" w:eastAsia="宋体" w:cs="Times New Roman"/>
                <w:b/>
                <w:bCs/>
                <w:snapToGrid w:val="0"/>
                <w:color w:val="auto"/>
                <w:kern w:val="0"/>
                <w:sz w:val="24"/>
                <w:szCs w:val="21"/>
                <w:highlight w:val="none"/>
                <w:lang w:val="en-US" w:eastAsia="zh-CN" w:bidi="ar-SA"/>
              </w:rPr>
              <w:t>事故应急</w:t>
            </w:r>
          </w:p>
          <w:p w14:paraId="3724124A">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寿县安康医院已制定《辐射事故应急预案》</w:t>
            </w:r>
            <w:r>
              <w:rPr>
                <w:rFonts w:hint="eastAsia" w:ascii="Times New Roman" w:hAnsi="Times New Roman" w:eastAsia="宋体" w:cs="Times New Roman"/>
                <w:snapToGrid w:val="0"/>
                <w:color w:val="auto"/>
                <w:kern w:val="0"/>
                <w:sz w:val="24"/>
                <w:szCs w:val="21"/>
                <w:lang w:val="en-US" w:eastAsia="zh-CN" w:bidi="ar-SA"/>
              </w:rPr>
              <w:t>，明确了放射事故应急救援应遵循的工作原则和放射事故应急处理程序</w:t>
            </w:r>
            <w:r>
              <w:rPr>
                <w:rFonts w:hint="eastAsia" w:ascii="Times New Roman" w:hAnsi="Times New Roman" w:eastAsia="宋体" w:cs="Times New Roman"/>
                <w:snapToGrid w:val="0"/>
                <w:color w:val="auto"/>
                <w:kern w:val="0"/>
                <w:sz w:val="24"/>
                <w:szCs w:val="21"/>
                <w:highlight w:val="none"/>
                <w:lang w:val="en-US" w:eastAsia="zh-CN" w:bidi="ar-SA"/>
              </w:rPr>
              <w:t>，还应在应急预案中明确了辐射事故应急处理领导小组成员及工作职责</w:t>
            </w:r>
            <w:r>
              <w:rPr>
                <w:rFonts w:hint="eastAsia" w:ascii="Times New Roman" w:hAnsi="Times New Roman" w:eastAsia="宋体" w:cs="Times New Roman"/>
                <w:snapToGrid w:val="0"/>
                <w:color w:val="auto"/>
                <w:kern w:val="0"/>
                <w:sz w:val="24"/>
                <w:szCs w:val="21"/>
                <w:lang w:val="en-US" w:eastAsia="zh-CN" w:bidi="ar-SA"/>
              </w:rPr>
              <w:t>。</w:t>
            </w:r>
          </w:p>
          <w:p w14:paraId="0B5A1BFB">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default" w:ascii="Times New Roman" w:hAnsi="Times New Roman" w:eastAsia="宋体" w:cs="Times New Roman"/>
                <w:b/>
                <w:bCs/>
                <w:snapToGrid w:val="0"/>
                <w:color w:val="auto"/>
                <w:kern w:val="0"/>
                <w:sz w:val="28"/>
                <w:szCs w:val="28"/>
                <w:lang w:val="en-US" w:eastAsia="zh-CN" w:bidi="ar-SA"/>
              </w:rPr>
            </w:pPr>
            <w:r>
              <w:rPr>
                <w:rFonts w:hint="eastAsia" w:ascii="Times New Roman" w:hAnsi="Times New Roman" w:eastAsia="宋体" w:cs="Times New Roman"/>
                <w:snapToGrid w:val="0"/>
                <w:color w:val="auto"/>
                <w:kern w:val="0"/>
                <w:sz w:val="24"/>
                <w:szCs w:val="21"/>
                <w:lang w:val="en-US" w:eastAsia="zh-CN" w:bidi="ar-SA"/>
              </w:rPr>
              <w:t>发生辐射事故时，医院应立即启动本单位的辐射事故应急预案，采取必要防范措施，并在2小时内填写《辐射事故初始报告表》，</w:t>
            </w:r>
            <w:r>
              <w:rPr>
                <w:rFonts w:hint="default" w:ascii="Times New Roman" w:hAnsi="Times New Roman" w:eastAsia="宋体" w:cs="Times New Roman"/>
                <w:snapToGrid w:val="0"/>
                <w:color w:val="auto"/>
                <w:kern w:val="0"/>
                <w:sz w:val="24"/>
                <w:szCs w:val="21"/>
                <w:lang w:val="en-US" w:eastAsia="zh-CN" w:bidi="ar-SA"/>
              </w:rPr>
              <w:t>向当地</w:t>
            </w:r>
            <w:r>
              <w:rPr>
                <w:rFonts w:hint="eastAsia" w:ascii="Times New Roman" w:hAnsi="Times New Roman" w:eastAsia="宋体" w:cs="Times New Roman"/>
                <w:snapToGrid w:val="0"/>
                <w:color w:val="auto"/>
                <w:kern w:val="0"/>
                <w:sz w:val="24"/>
                <w:szCs w:val="21"/>
                <w:lang w:val="en-US" w:eastAsia="zh-CN" w:bidi="ar-SA"/>
              </w:rPr>
              <w:t>生态环境</w:t>
            </w:r>
            <w:r>
              <w:rPr>
                <w:rFonts w:hint="default" w:ascii="Times New Roman" w:hAnsi="Times New Roman" w:eastAsia="宋体" w:cs="Times New Roman"/>
                <w:snapToGrid w:val="0"/>
                <w:color w:val="auto"/>
                <w:kern w:val="0"/>
                <w:sz w:val="24"/>
                <w:szCs w:val="21"/>
                <w:lang w:val="en-US" w:eastAsia="zh-CN" w:bidi="ar-SA"/>
              </w:rPr>
              <w:t>部门报告，涉及人为故意破坏的还应向公安部门报告，造成或可能造成人员超剂量照射的，还应同时向当地卫生行政部门报告。</w:t>
            </w:r>
          </w:p>
          <w:p w14:paraId="70E68F89">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在今后的运营过程中，</w:t>
            </w:r>
            <w:r>
              <w:rPr>
                <w:rFonts w:hint="eastAsia" w:ascii="Times New Roman" w:hAnsi="Times New Roman" w:eastAsia="宋体" w:cs="Times New Roman"/>
                <w:snapToGrid w:val="0"/>
                <w:color w:val="auto"/>
                <w:kern w:val="0"/>
                <w:sz w:val="24"/>
                <w:szCs w:val="20"/>
                <w:lang w:val="en-US" w:eastAsia="zh-CN" w:bidi="ar-SA"/>
              </w:rPr>
              <w:t>医院应</w:t>
            </w:r>
            <w:r>
              <w:rPr>
                <w:rFonts w:hint="eastAsia" w:ascii="Times New Roman" w:hAnsi="Times New Roman" w:eastAsia="宋体" w:cs="Times New Roman"/>
                <w:snapToGrid w:val="0"/>
                <w:color w:val="auto"/>
                <w:kern w:val="0"/>
                <w:sz w:val="24"/>
                <w:szCs w:val="21"/>
                <w:lang w:val="en-US" w:eastAsia="zh-CN" w:bidi="ar-SA"/>
              </w:rPr>
              <w:t>结合医院核技术应用项目的实际变化情况及时</w:t>
            </w:r>
            <w:r>
              <w:rPr>
                <w:rFonts w:hint="eastAsia" w:ascii="Times New Roman" w:hAnsi="Times New Roman" w:eastAsia="宋体" w:cs="Times New Roman"/>
                <w:snapToGrid w:val="0"/>
                <w:color w:val="auto"/>
                <w:kern w:val="0"/>
                <w:sz w:val="24"/>
                <w:szCs w:val="20"/>
                <w:lang w:val="en-US" w:eastAsia="zh-CN" w:bidi="ar-SA"/>
              </w:rPr>
              <w:t>对</w:t>
            </w:r>
            <w:r>
              <w:rPr>
                <w:rFonts w:hint="eastAsia" w:ascii="Times New Roman" w:hAnsi="Times New Roman" w:eastAsia="宋体" w:cs="Times New Roman"/>
                <w:snapToGrid w:val="0"/>
                <w:color w:val="auto"/>
                <w:kern w:val="0"/>
                <w:sz w:val="24"/>
                <w:szCs w:val="21"/>
                <w:lang w:val="en-US" w:eastAsia="zh-CN" w:bidi="ar-SA"/>
              </w:rPr>
              <w:t>辐射事故应急预案进行修订，完善医院辐射事故应急预案体系。</w:t>
            </w:r>
          </w:p>
          <w:p w14:paraId="32018D51">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2" w:firstLineChars="200"/>
              <w:jc w:val="both"/>
              <w:textAlignment w:val="auto"/>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8、建设单位辐射安全管理能力评述</w:t>
            </w:r>
          </w:p>
          <w:p w14:paraId="1FEBA814">
            <w:pPr>
              <w:keepNext w:val="0"/>
              <w:keepLines w:val="0"/>
              <w:pageBreakBefore w:val="0"/>
              <w:widowControl w:val="0"/>
              <w:suppressLineNumbers w:val="0"/>
              <w:kinsoku/>
              <w:wordWrap/>
              <w:overflowPunct/>
              <w:topLinePunct w:val="0"/>
              <w:autoSpaceDE/>
              <w:autoSpaceDN/>
              <w:bidi w:val="0"/>
              <w:spacing w:before="0" w:beforeAutospacing="0" w:after="0" w:afterAutospacing="0" w:line="460" w:lineRule="exact"/>
              <w:ind w:left="0" w:right="0" w:firstLine="480" w:firstLineChars="200"/>
              <w:jc w:val="both"/>
              <w:textAlignment w:val="auto"/>
              <w:rPr>
                <w:rFonts w:hint="eastAsia"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结合本项目拟采取的辐射安全管理措施，对建设单位辐射安全管理能力进行分析评估，建设单位辐射安全管理能力评价见下表。</w:t>
            </w:r>
          </w:p>
          <w:p w14:paraId="7608923F">
            <w:pPr>
              <w:keepNext w:val="0"/>
              <w:keepLines w:val="0"/>
              <w:widowControl w:val="0"/>
              <w:suppressLineNumbers w:val="0"/>
              <w:spacing w:before="0" w:beforeAutospacing="0" w:after="0" w:afterAutospacing="0" w:line="240" w:lineRule="auto"/>
              <w:ind w:left="0" w:right="0" w:firstLine="482" w:firstLineChars="200"/>
              <w:jc w:val="center"/>
              <w:rPr>
                <w:rFonts w:hint="default" w:ascii="Times New Roman" w:hAnsi="Times New Roman" w:eastAsia="宋体" w:cs="Times New Roman"/>
                <w:b/>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表</w:t>
            </w:r>
            <w:r>
              <w:rPr>
                <w:rFonts w:hint="default" w:ascii="Times New Roman" w:hAnsi="Times New Roman" w:eastAsia="宋体" w:cs="Times New Roman"/>
                <w:b/>
                <w:bCs/>
                <w:snapToGrid w:val="0"/>
                <w:color w:val="auto"/>
                <w:kern w:val="0"/>
                <w:sz w:val="24"/>
                <w:szCs w:val="21"/>
                <w:lang w:val="en-US" w:eastAsia="zh-CN" w:bidi="ar-SA"/>
              </w:rPr>
              <w:t>12-2  建设单位辐射管理能力评价一览表</w:t>
            </w:r>
          </w:p>
          <w:tbl>
            <w:tblPr>
              <w:tblStyle w:val="18"/>
              <w:tblW w:w="9525" w:type="dxa"/>
              <w:tblInd w:w="-5"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662"/>
              <w:gridCol w:w="3181"/>
              <w:gridCol w:w="4996"/>
              <w:gridCol w:w="686"/>
            </w:tblGrid>
            <w:tr w14:paraId="705A6CD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92" w:hRule="atLeast"/>
              </w:trPr>
              <w:tc>
                <w:tcPr>
                  <w:tcW w:w="662" w:type="dxa"/>
                  <w:vAlign w:val="center"/>
                </w:tcPr>
                <w:p w14:paraId="6FF4724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序号</w:t>
                  </w:r>
                </w:p>
              </w:tc>
              <w:tc>
                <w:tcPr>
                  <w:tcW w:w="3181" w:type="dxa"/>
                  <w:vAlign w:val="center"/>
                </w:tcPr>
                <w:p w14:paraId="302AC80E">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相关要求</w:t>
                  </w:r>
                </w:p>
              </w:tc>
              <w:tc>
                <w:tcPr>
                  <w:tcW w:w="4996" w:type="dxa"/>
                  <w:vAlign w:val="center"/>
                </w:tcPr>
                <w:p w14:paraId="2BB0EDD6">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已（拟）采取的辐射安全管理措施</w:t>
                  </w:r>
                </w:p>
              </w:tc>
              <w:tc>
                <w:tcPr>
                  <w:tcW w:w="686" w:type="dxa"/>
                  <w:vAlign w:val="center"/>
                </w:tcPr>
                <w:p w14:paraId="4D8350F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符合性</w:t>
                  </w:r>
                </w:p>
              </w:tc>
            </w:tr>
            <w:tr w14:paraId="35EFEE9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12" w:hRule="atLeast"/>
              </w:trPr>
              <w:tc>
                <w:tcPr>
                  <w:tcW w:w="662" w:type="dxa"/>
                  <w:vAlign w:val="center"/>
                </w:tcPr>
                <w:p w14:paraId="38818BD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1</w:t>
                  </w:r>
                </w:p>
              </w:tc>
              <w:tc>
                <w:tcPr>
                  <w:tcW w:w="3181" w:type="dxa"/>
                  <w:vAlign w:val="center"/>
                </w:tcPr>
                <w:p w14:paraId="73D5C51D">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设有专门的辐射安全与环境保护管理机构，或至少有1名具有本科以上学历的技术人员专职负责辐射安全与环境保护管理工作。</w:t>
                  </w:r>
                </w:p>
              </w:tc>
              <w:tc>
                <w:tcPr>
                  <w:tcW w:w="4996" w:type="dxa"/>
                  <w:vAlign w:val="center"/>
                </w:tcPr>
                <w:p w14:paraId="6CB4F3B7">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lang w:val="en-US" w:eastAsia="zh-CN" w:bidi="ar-SA"/>
                    </w:rPr>
                  </w:pPr>
                  <w:r>
                    <w:rPr>
                      <w:rFonts w:hint="eastAsia" w:ascii="Times New Roman" w:hAnsi="Times New Roman" w:eastAsia="宋体" w:cs="Times New Roman"/>
                      <w:b w:val="0"/>
                      <w:snapToGrid w:val="0"/>
                      <w:color w:val="auto"/>
                      <w:kern w:val="0"/>
                      <w:sz w:val="21"/>
                      <w:szCs w:val="21"/>
                      <w:lang w:val="en-US" w:eastAsia="zh-CN" w:bidi="ar-SA"/>
                    </w:rPr>
                    <w:t>寿县安康医院</w:t>
                  </w:r>
                  <w:r>
                    <w:rPr>
                      <w:rFonts w:hint="default" w:ascii="Times New Roman" w:hAnsi="Times New Roman" w:eastAsia="宋体" w:cs="Times New Roman"/>
                      <w:b w:val="0"/>
                      <w:snapToGrid w:val="0"/>
                      <w:color w:val="auto"/>
                      <w:kern w:val="0"/>
                      <w:sz w:val="21"/>
                      <w:szCs w:val="21"/>
                      <w:lang w:val="en-US" w:eastAsia="zh-CN" w:bidi="ar-SA"/>
                    </w:rPr>
                    <w:t>已建立以院领导为第一责任人的辐射安全防护管理领导小组，全面负责医院辐射安全与环境保护管理工作</w:t>
                  </w:r>
                  <w:r>
                    <w:rPr>
                      <w:rFonts w:hint="eastAsia" w:ascii="Times New Roman" w:hAnsi="Times New Roman" w:eastAsia="宋体" w:cs="Times New Roman"/>
                      <w:b w:val="0"/>
                      <w:snapToGrid w:val="0"/>
                      <w:color w:val="auto"/>
                      <w:kern w:val="0"/>
                      <w:sz w:val="21"/>
                      <w:szCs w:val="21"/>
                      <w:lang w:val="en-US" w:eastAsia="zh-CN" w:bidi="ar-SA"/>
                    </w:rPr>
                    <w:t>，并任命汤伟为医院辐射安全负责人，负责医院日常辐射防护管理工作</w:t>
                  </w:r>
                  <w:r>
                    <w:rPr>
                      <w:rFonts w:hint="default" w:ascii="Times New Roman" w:hAnsi="Times New Roman" w:eastAsia="宋体" w:cs="Times New Roman"/>
                      <w:b w:val="0"/>
                      <w:snapToGrid w:val="0"/>
                      <w:color w:val="auto"/>
                      <w:kern w:val="0"/>
                      <w:sz w:val="21"/>
                      <w:szCs w:val="21"/>
                      <w:lang w:val="en-US" w:eastAsia="zh-CN" w:bidi="ar-SA"/>
                    </w:rPr>
                    <w:t>。</w:t>
                  </w:r>
                </w:p>
              </w:tc>
              <w:tc>
                <w:tcPr>
                  <w:tcW w:w="686" w:type="dxa"/>
                  <w:vAlign w:val="center"/>
                </w:tcPr>
                <w:p w14:paraId="6FB5383A">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符合</w:t>
                  </w:r>
                </w:p>
              </w:tc>
            </w:tr>
            <w:tr w14:paraId="640F71A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70" w:hRule="atLeast"/>
              </w:trPr>
              <w:tc>
                <w:tcPr>
                  <w:tcW w:w="662" w:type="dxa"/>
                  <w:vAlign w:val="center"/>
                </w:tcPr>
                <w:p w14:paraId="60F26C79">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2</w:t>
                  </w:r>
                </w:p>
              </w:tc>
              <w:tc>
                <w:tcPr>
                  <w:tcW w:w="3181" w:type="dxa"/>
                  <w:vAlign w:val="center"/>
                </w:tcPr>
                <w:p w14:paraId="3E2B0830">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从事辐射工作的人员必须通过辐射安全和防护专业知识及相关法律法规的培训和考核。</w:t>
                  </w:r>
                </w:p>
              </w:tc>
              <w:tc>
                <w:tcPr>
                  <w:tcW w:w="4996" w:type="dxa"/>
                  <w:vAlign w:val="center"/>
                </w:tcPr>
                <w:p w14:paraId="3B745281">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寿县安康医院</w:t>
                  </w:r>
                  <w:r>
                    <w:rPr>
                      <w:rFonts w:hint="default" w:ascii="Times New Roman" w:hAnsi="Times New Roman" w:eastAsia="宋体" w:cs="Times New Roman"/>
                      <w:color w:val="auto"/>
                      <w:sz w:val="21"/>
                      <w:szCs w:val="21"/>
                      <w:highlight w:val="none"/>
                      <w:lang w:val="en-US" w:eastAsia="zh-CN"/>
                    </w:rPr>
                    <w:t>现有辐射工作人员</w:t>
                  </w:r>
                  <w:r>
                    <w:rPr>
                      <w:rFonts w:hint="eastAsia" w:ascii="Times New Roman" w:hAnsi="Times New Roman" w:eastAsia="宋体" w:cs="Times New Roman"/>
                      <w:color w:val="auto"/>
                      <w:sz w:val="21"/>
                      <w:szCs w:val="21"/>
                      <w:highlight w:val="none"/>
                      <w:lang w:val="en-US" w:eastAsia="zh-CN"/>
                    </w:rPr>
                    <w:t>8</w:t>
                  </w:r>
                  <w:r>
                    <w:rPr>
                      <w:rFonts w:hint="default" w:ascii="Times New Roman" w:hAnsi="Times New Roman" w:eastAsia="宋体" w:cs="Times New Roman"/>
                      <w:color w:val="auto"/>
                      <w:sz w:val="21"/>
                      <w:szCs w:val="21"/>
                      <w:highlight w:val="none"/>
                      <w:lang w:val="en-US" w:eastAsia="zh-CN"/>
                    </w:rPr>
                    <w:t>人，均已通过</w:t>
                  </w:r>
                  <w:r>
                    <w:rPr>
                      <w:rFonts w:hint="eastAsia" w:ascii="Times New Roman" w:hAnsi="Times New Roman" w:eastAsia="宋体" w:cs="Times New Roman"/>
                      <w:color w:val="auto"/>
                      <w:sz w:val="21"/>
                      <w:szCs w:val="21"/>
                      <w:highlight w:val="none"/>
                      <w:lang w:val="en-US" w:eastAsia="zh-CN"/>
                    </w:rPr>
                    <w:t>辐射安全防护</w:t>
                  </w:r>
                  <w:r>
                    <w:rPr>
                      <w:rFonts w:hint="default" w:ascii="Times New Roman" w:hAnsi="Times New Roman" w:eastAsia="宋体" w:cs="Times New Roman"/>
                      <w:color w:val="auto"/>
                      <w:sz w:val="21"/>
                      <w:szCs w:val="21"/>
                      <w:highlight w:val="none"/>
                      <w:lang w:val="en-US" w:eastAsia="zh-CN"/>
                    </w:rPr>
                    <w:t>考核</w:t>
                  </w:r>
                  <w:r>
                    <w:rPr>
                      <w:rFonts w:hint="eastAsia" w:ascii="Times New Roman" w:hAnsi="Times New Roman" w:eastAsia="宋体" w:cs="Times New Roman"/>
                      <w:color w:val="auto"/>
                      <w:sz w:val="21"/>
                      <w:szCs w:val="21"/>
                      <w:highlight w:val="none"/>
                      <w:lang w:val="en-US" w:eastAsia="zh-CN"/>
                    </w:rPr>
                    <w:t>及自主考核</w:t>
                  </w:r>
                  <w:r>
                    <w:rPr>
                      <w:rFonts w:hint="default" w:ascii="Times New Roman" w:hAnsi="Times New Roman" w:eastAsia="宋体" w:cs="Times New Roman"/>
                      <w:color w:val="auto"/>
                      <w:sz w:val="21"/>
                      <w:szCs w:val="21"/>
                      <w:highlight w:val="none"/>
                      <w:lang w:val="en-US" w:eastAsia="zh-CN"/>
                    </w:rPr>
                    <w:t>。</w:t>
                  </w:r>
                  <w:r>
                    <w:rPr>
                      <w:rFonts w:hint="default" w:ascii="Times New Roman" w:hAnsi="Times New Roman" w:eastAsia="宋体" w:cs="Times New Roman"/>
                      <w:snapToGrid w:val="0"/>
                      <w:color w:val="auto"/>
                      <w:kern w:val="0"/>
                      <w:sz w:val="21"/>
                      <w:szCs w:val="21"/>
                      <w:lang w:val="en-US" w:eastAsia="zh-CN" w:bidi="ar-SA"/>
                    </w:rPr>
                    <w:t>本项目工作人员上岗前需参加生态环境主管部门组织的辐射安全与防护集中考核，取得考核合格证后方能上岗。</w:t>
                  </w:r>
                </w:p>
              </w:tc>
              <w:tc>
                <w:tcPr>
                  <w:tcW w:w="686" w:type="dxa"/>
                  <w:vAlign w:val="center"/>
                </w:tcPr>
                <w:p w14:paraId="5D47EDE8">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符合</w:t>
                  </w:r>
                </w:p>
              </w:tc>
            </w:tr>
            <w:tr w14:paraId="7189C94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631" w:hRule="atLeast"/>
              </w:trPr>
              <w:tc>
                <w:tcPr>
                  <w:tcW w:w="662" w:type="dxa"/>
                  <w:vAlign w:val="center"/>
                </w:tcPr>
                <w:p w14:paraId="66806C92">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3</w:t>
                  </w:r>
                </w:p>
              </w:tc>
              <w:tc>
                <w:tcPr>
                  <w:tcW w:w="3181" w:type="dxa"/>
                  <w:vAlign w:val="center"/>
                </w:tcPr>
                <w:p w14:paraId="5EE185D5">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从事辐射工作的人员必须开展个人剂量监测。</w:t>
                  </w:r>
                </w:p>
              </w:tc>
              <w:tc>
                <w:tcPr>
                  <w:tcW w:w="4996" w:type="dxa"/>
                  <w:vAlign w:val="center"/>
                </w:tcPr>
                <w:p w14:paraId="0AA7799E">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420" w:firstLineChars="200"/>
                    <w:textAlignment w:val="auto"/>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为加强辐射工作人员个人剂量管理，医院已将个人剂量监测仪佩戴规定印发给各科室并进行学习，要求所有辐射工作人员在从事放射工作时按规定正确佩戴个人剂量计。</w:t>
                  </w:r>
                </w:p>
                <w:p w14:paraId="78E6AAC5">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420" w:firstLineChars="200"/>
                    <w:textAlignment w:val="auto"/>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医院的个人剂量计每季度委托</w:t>
                  </w:r>
                  <w:r>
                    <w:rPr>
                      <w:rFonts w:hint="eastAsia" w:cs="Times New Roman"/>
                      <w:color w:val="auto"/>
                      <w:sz w:val="21"/>
                      <w:szCs w:val="21"/>
                      <w:highlight w:val="none"/>
                      <w:lang w:val="en-US" w:eastAsia="zh-CN"/>
                    </w:rPr>
                    <w:t>合肥金浩峰检测研究院有限公司</w:t>
                  </w:r>
                  <w:r>
                    <w:rPr>
                      <w:rFonts w:hint="default" w:ascii="Times New Roman" w:hAnsi="Times New Roman" w:eastAsia="宋体" w:cs="Times New Roman"/>
                      <w:b w:val="0"/>
                      <w:snapToGrid w:val="0"/>
                      <w:color w:val="auto"/>
                      <w:kern w:val="0"/>
                      <w:sz w:val="21"/>
                      <w:szCs w:val="21"/>
                      <w:highlight w:val="none"/>
                      <w:lang w:val="en-US" w:eastAsia="zh-CN" w:bidi="ar-SA"/>
                    </w:rPr>
                    <w:t>进行统一检测。根据医院提供辐射工作人员</w:t>
                  </w:r>
                  <w:r>
                    <w:rPr>
                      <w:rFonts w:hint="default" w:ascii="Times New Roman" w:hAnsi="Times New Roman" w:eastAsia="宋体" w:cs="Times New Roman"/>
                      <w:snapToGrid w:val="0"/>
                      <w:color w:val="auto"/>
                      <w:kern w:val="0"/>
                      <w:sz w:val="21"/>
                      <w:szCs w:val="21"/>
                      <w:highlight w:val="none"/>
                      <w:lang w:val="en-US" w:eastAsia="zh-CN" w:bidi="ar-SA"/>
                    </w:rPr>
                    <w:t>202</w:t>
                  </w:r>
                  <w:r>
                    <w:rPr>
                      <w:rFonts w:hint="eastAsia" w:cs="Times New Roman"/>
                      <w:snapToGrid w:val="0"/>
                      <w:color w:val="auto"/>
                      <w:kern w:val="0"/>
                      <w:sz w:val="21"/>
                      <w:szCs w:val="21"/>
                      <w:highlight w:val="none"/>
                      <w:lang w:val="en-US" w:eastAsia="zh-CN" w:bidi="ar-SA"/>
                    </w:rPr>
                    <w:t>3</w:t>
                  </w:r>
                  <w:r>
                    <w:rPr>
                      <w:rFonts w:hint="default" w:ascii="Times New Roman" w:hAnsi="Times New Roman" w:eastAsia="宋体" w:cs="Times New Roman"/>
                      <w:snapToGrid w:val="0"/>
                      <w:color w:val="auto"/>
                      <w:kern w:val="0"/>
                      <w:sz w:val="21"/>
                      <w:szCs w:val="21"/>
                      <w:highlight w:val="none"/>
                      <w:lang w:val="en-US" w:eastAsia="zh-CN" w:bidi="ar-SA"/>
                    </w:rPr>
                    <w:t>年</w:t>
                  </w:r>
                  <w:r>
                    <w:rPr>
                      <w:rFonts w:hint="eastAsia" w:cs="Times New Roman"/>
                      <w:snapToGrid w:val="0"/>
                      <w:color w:val="auto"/>
                      <w:kern w:val="0"/>
                      <w:sz w:val="21"/>
                      <w:szCs w:val="21"/>
                      <w:highlight w:val="none"/>
                      <w:lang w:val="en-US" w:eastAsia="zh-CN" w:bidi="ar-SA"/>
                    </w:rPr>
                    <w:t>6</w:t>
                  </w:r>
                  <w:r>
                    <w:rPr>
                      <w:rFonts w:hint="default" w:ascii="Times New Roman" w:hAnsi="Times New Roman" w:eastAsia="宋体" w:cs="Times New Roman"/>
                      <w:snapToGrid w:val="0"/>
                      <w:color w:val="auto"/>
                      <w:kern w:val="0"/>
                      <w:sz w:val="21"/>
                      <w:szCs w:val="21"/>
                      <w:highlight w:val="none"/>
                      <w:lang w:val="en-US" w:eastAsia="zh-CN" w:bidi="ar-SA"/>
                    </w:rPr>
                    <w:t>月-202</w:t>
                  </w:r>
                  <w:r>
                    <w:rPr>
                      <w:rFonts w:hint="eastAsia" w:cs="Times New Roman"/>
                      <w:snapToGrid w:val="0"/>
                      <w:color w:val="auto"/>
                      <w:kern w:val="0"/>
                      <w:sz w:val="21"/>
                      <w:szCs w:val="21"/>
                      <w:highlight w:val="none"/>
                      <w:lang w:val="en-US" w:eastAsia="zh-CN" w:bidi="ar-SA"/>
                    </w:rPr>
                    <w:t>4</w:t>
                  </w:r>
                  <w:r>
                    <w:rPr>
                      <w:rFonts w:hint="default" w:ascii="Times New Roman" w:hAnsi="Times New Roman" w:eastAsia="宋体" w:cs="Times New Roman"/>
                      <w:snapToGrid w:val="0"/>
                      <w:color w:val="auto"/>
                      <w:kern w:val="0"/>
                      <w:sz w:val="21"/>
                      <w:szCs w:val="21"/>
                      <w:highlight w:val="none"/>
                      <w:lang w:val="en-US" w:eastAsia="zh-CN" w:bidi="ar-SA"/>
                    </w:rPr>
                    <w:t>年</w:t>
                  </w:r>
                  <w:r>
                    <w:rPr>
                      <w:rFonts w:hint="eastAsia" w:cs="Times New Roman"/>
                      <w:snapToGrid w:val="0"/>
                      <w:color w:val="auto"/>
                      <w:kern w:val="0"/>
                      <w:sz w:val="21"/>
                      <w:szCs w:val="21"/>
                      <w:highlight w:val="none"/>
                      <w:lang w:val="en-US" w:eastAsia="zh-CN" w:bidi="ar-SA"/>
                    </w:rPr>
                    <w:t>6</w:t>
                  </w:r>
                  <w:r>
                    <w:rPr>
                      <w:rFonts w:hint="default" w:ascii="Times New Roman" w:hAnsi="Times New Roman" w:eastAsia="宋体" w:cs="Times New Roman"/>
                      <w:snapToGrid w:val="0"/>
                      <w:color w:val="auto"/>
                      <w:kern w:val="0"/>
                      <w:sz w:val="21"/>
                      <w:szCs w:val="21"/>
                      <w:highlight w:val="none"/>
                      <w:lang w:val="en-US" w:eastAsia="zh-CN" w:bidi="ar-SA"/>
                    </w:rPr>
                    <w:t>月</w:t>
                  </w:r>
                  <w:r>
                    <w:rPr>
                      <w:rFonts w:hint="default" w:ascii="Times New Roman" w:hAnsi="Times New Roman" w:eastAsia="宋体" w:cs="Times New Roman"/>
                      <w:b w:val="0"/>
                      <w:snapToGrid w:val="0"/>
                      <w:color w:val="auto"/>
                      <w:kern w:val="0"/>
                      <w:sz w:val="21"/>
                      <w:szCs w:val="21"/>
                      <w:highlight w:val="none"/>
                      <w:lang w:val="en-US" w:eastAsia="zh-CN" w:bidi="ar-SA"/>
                    </w:rPr>
                    <w:t>个人剂量检测报告，所有参加辐射工作的人员个人剂量均未超过剂量管理限值。</w:t>
                  </w:r>
                </w:p>
              </w:tc>
              <w:tc>
                <w:tcPr>
                  <w:tcW w:w="686" w:type="dxa"/>
                  <w:vAlign w:val="center"/>
                </w:tcPr>
                <w:p w14:paraId="4A05852D">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符合</w:t>
                  </w:r>
                </w:p>
              </w:tc>
            </w:tr>
            <w:tr w14:paraId="2A06B6A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662" w:type="dxa"/>
                  <w:vAlign w:val="center"/>
                </w:tcPr>
                <w:p w14:paraId="47A43A9B">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4</w:t>
                  </w:r>
                </w:p>
              </w:tc>
              <w:tc>
                <w:tcPr>
                  <w:tcW w:w="3181" w:type="dxa"/>
                  <w:vAlign w:val="center"/>
                </w:tcPr>
                <w:p w14:paraId="2612F1CE">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从事辐射工作的人员必须开展人员职业健康检查。</w:t>
                  </w:r>
                </w:p>
              </w:tc>
              <w:tc>
                <w:tcPr>
                  <w:tcW w:w="4996" w:type="dxa"/>
                  <w:vAlign w:val="center"/>
                </w:tcPr>
                <w:p w14:paraId="6D74BBEB">
                  <w:pPr>
                    <w:keepNext w:val="0"/>
                    <w:keepLines w:val="0"/>
                    <w:widowControl w:val="0"/>
                    <w:suppressLineNumbers w:val="0"/>
                    <w:spacing w:before="0" w:beforeAutospacing="0" w:after="0" w:afterAutospacing="0" w:line="240" w:lineRule="auto"/>
                    <w:ind w:left="0" w:right="0" w:firstLine="420" w:firstLineChars="200"/>
                    <w:jc w:val="both"/>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b w:val="0"/>
                      <w:snapToGrid w:val="0"/>
                      <w:color w:val="auto"/>
                      <w:kern w:val="0"/>
                      <w:sz w:val="21"/>
                      <w:szCs w:val="21"/>
                      <w:highlight w:val="none"/>
                      <w:lang w:val="en-US" w:eastAsia="zh-CN" w:bidi="ar-SA"/>
                    </w:rPr>
                    <w:t>医院已严格按照《放射工作人员职业健康管理办法》规定，对辐射工作人员进行定期健康体检并建立职业健康监护档案。</w:t>
                  </w:r>
                  <w:r>
                    <w:rPr>
                      <w:rFonts w:hint="default" w:ascii="Times New Roman" w:hAnsi="Times New Roman" w:eastAsia="宋体" w:cs="Times New Roman"/>
                      <w:color w:val="auto"/>
                      <w:sz w:val="21"/>
                      <w:szCs w:val="21"/>
                      <w:highlight w:val="none"/>
                      <w:lang w:eastAsia="zh-CN"/>
                    </w:rPr>
                    <w:t>医院</w:t>
                  </w:r>
                  <w:r>
                    <w:rPr>
                      <w:rFonts w:hint="default" w:ascii="Times New Roman" w:hAnsi="Times New Roman" w:eastAsia="宋体" w:cs="Times New Roman"/>
                      <w:color w:val="auto"/>
                      <w:sz w:val="21"/>
                      <w:szCs w:val="21"/>
                      <w:highlight w:val="none"/>
                    </w:rPr>
                    <w:t>现有辐射工作人员</w:t>
                  </w:r>
                  <w:r>
                    <w:rPr>
                      <w:rFonts w:hint="eastAsia" w:ascii="Times New Roman" w:hAnsi="Times New Roman" w:eastAsia="宋体" w:cs="Times New Roman"/>
                      <w:color w:val="auto"/>
                      <w:sz w:val="21"/>
                      <w:szCs w:val="21"/>
                      <w:highlight w:val="none"/>
                      <w:lang w:val="en-US" w:eastAsia="zh-CN"/>
                    </w:rPr>
                    <w:t>8</w:t>
                  </w:r>
                  <w:r>
                    <w:rPr>
                      <w:rFonts w:hint="default" w:ascii="Times New Roman" w:hAnsi="Times New Roman" w:eastAsia="宋体" w:cs="Times New Roman"/>
                      <w:color w:val="auto"/>
                      <w:sz w:val="21"/>
                      <w:szCs w:val="21"/>
                      <w:highlight w:val="none"/>
                      <w:lang w:val="en-US" w:eastAsia="zh-CN"/>
                    </w:rPr>
                    <w:t>人</w:t>
                  </w:r>
                  <w:r>
                    <w:rPr>
                      <w:rFonts w:hint="default" w:ascii="Times New Roman" w:hAnsi="Times New Roman" w:eastAsia="宋体" w:cs="Times New Roman"/>
                      <w:color w:val="auto"/>
                      <w:sz w:val="21"/>
                      <w:szCs w:val="21"/>
                      <w:highlight w:val="none"/>
                    </w:rPr>
                    <w:t>，所有辐射工作人员均已</w:t>
                  </w:r>
                  <w:r>
                    <w:rPr>
                      <w:rFonts w:hint="default" w:ascii="Times New Roman" w:hAnsi="Times New Roman" w:eastAsia="宋体" w:cs="Times New Roman"/>
                      <w:color w:val="auto"/>
                      <w:sz w:val="21"/>
                      <w:szCs w:val="21"/>
                      <w:highlight w:val="none"/>
                      <w:lang w:eastAsia="zh-CN"/>
                    </w:rPr>
                    <w:t>参加职业健康体检，全部可以从事放射工作。</w:t>
                  </w:r>
                </w:p>
                <w:p w14:paraId="39AED65B">
                  <w:pPr>
                    <w:keepNext w:val="0"/>
                    <w:keepLines w:val="0"/>
                    <w:widowControl w:val="0"/>
                    <w:suppressLineNumbers w:val="0"/>
                    <w:spacing w:before="0" w:beforeAutospacing="0" w:after="0" w:afterAutospacing="0" w:line="240" w:lineRule="auto"/>
                    <w:ind w:left="0" w:right="0" w:firstLine="420" w:firstLineChars="200"/>
                    <w:jc w:val="both"/>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color w:val="auto"/>
                      <w:sz w:val="21"/>
                      <w:szCs w:val="21"/>
                      <w:highlight w:val="none"/>
                    </w:rPr>
                    <w:t>本项目拟配备辐射工作人员</w:t>
                  </w:r>
                  <w:r>
                    <w:rPr>
                      <w:rFonts w:hint="default" w:ascii="Times New Roman" w:hAnsi="Times New Roman" w:eastAsia="宋体" w:cs="Times New Roman"/>
                      <w:color w:val="auto"/>
                      <w:sz w:val="21"/>
                      <w:szCs w:val="21"/>
                      <w:highlight w:val="none"/>
                      <w:lang w:val="en-US" w:eastAsia="zh-CN"/>
                    </w:rPr>
                    <w:t>应按规定参加岗前、岗中（两次检查的时间间隔不应超过2年）和离岗职业健康体检，对于体检结果出现异常的，不得安排从事辐射相关工作，体检合格方能从事辐射工作。</w:t>
                  </w:r>
                </w:p>
              </w:tc>
              <w:tc>
                <w:tcPr>
                  <w:tcW w:w="686" w:type="dxa"/>
                  <w:vAlign w:val="center"/>
                </w:tcPr>
                <w:p w14:paraId="20684683">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符合</w:t>
                  </w:r>
                </w:p>
              </w:tc>
            </w:tr>
            <w:tr w14:paraId="2B81685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662" w:type="dxa"/>
                  <w:vAlign w:val="center"/>
                </w:tcPr>
                <w:p w14:paraId="062C406F">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5</w:t>
                  </w:r>
                </w:p>
              </w:tc>
              <w:tc>
                <w:tcPr>
                  <w:tcW w:w="3181" w:type="dxa"/>
                  <w:vAlign w:val="center"/>
                </w:tcPr>
                <w:p w14:paraId="6C58CD97">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有健全的操作规程、岗位职责、辐射防护和安全保卫制度、设备检修维护制度、人员培训计划、监测方案、放射性同位素和射线装置台账制度、辐射事故应急措施。</w:t>
                  </w:r>
                </w:p>
              </w:tc>
              <w:tc>
                <w:tcPr>
                  <w:tcW w:w="4996" w:type="dxa"/>
                  <w:vAlign w:val="center"/>
                </w:tcPr>
                <w:p w14:paraId="13789BED">
                  <w:pPr>
                    <w:keepNext w:val="0"/>
                    <w:keepLines w:val="0"/>
                    <w:widowControl w:val="0"/>
                    <w:suppressLineNumbers w:val="0"/>
                    <w:spacing w:before="0" w:beforeAutospacing="0" w:after="0" w:afterAutospacing="0" w:line="240" w:lineRule="auto"/>
                    <w:ind w:left="0" w:right="0" w:firstLine="0" w:firstLineChars="0"/>
                    <w:jc w:val="both"/>
                    <w:rPr>
                      <w:rFonts w:hint="default" w:ascii="Times New Roman" w:hAnsi="Times New Roman" w:eastAsia="宋体" w:cs="Times New Roman"/>
                      <w:b w:val="0"/>
                      <w:snapToGrid w:val="0"/>
                      <w:color w:val="auto"/>
                      <w:kern w:val="0"/>
                      <w:sz w:val="21"/>
                      <w:szCs w:val="21"/>
                      <w:highlight w:val="none"/>
                      <w:lang w:val="en-US" w:eastAsia="zh-CN" w:bidi="ar-SA"/>
                    </w:rPr>
                  </w:pPr>
                  <w:r>
                    <w:rPr>
                      <w:rFonts w:hint="eastAsia" w:ascii="Times New Roman" w:hAnsi="Times New Roman" w:eastAsia="宋体" w:cs="Times New Roman"/>
                      <w:b w:val="0"/>
                      <w:snapToGrid w:val="0"/>
                      <w:color w:val="auto"/>
                      <w:kern w:val="0"/>
                      <w:sz w:val="21"/>
                      <w:szCs w:val="21"/>
                      <w:highlight w:val="none"/>
                      <w:lang w:val="en-US" w:eastAsia="zh-CN" w:bidi="ar-SA"/>
                    </w:rPr>
                    <w:t>寿县安康医院</w:t>
                  </w:r>
                  <w:r>
                    <w:rPr>
                      <w:rFonts w:hint="default" w:ascii="Times New Roman" w:hAnsi="Times New Roman" w:eastAsia="宋体" w:cs="Times New Roman"/>
                      <w:b w:val="0"/>
                      <w:snapToGrid w:val="0"/>
                      <w:color w:val="auto"/>
                      <w:kern w:val="0"/>
                      <w:sz w:val="21"/>
                      <w:szCs w:val="21"/>
                      <w:highlight w:val="none"/>
                      <w:lang w:val="en-US" w:eastAsia="zh-CN" w:bidi="ar-SA"/>
                    </w:rPr>
                    <w:t>已建立以院领导为第一责任人的辐射安全防护管理领导小组，全面负责医院辐射安全与环境保护管理工作。现已制定的辐射安全与环境保护管理制度包括：</w:t>
                  </w:r>
                  <w:r>
                    <w:rPr>
                      <w:rFonts w:hint="eastAsia" w:ascii="Times New Roman" w:hAnsi="Times New Roman" w:eastAsia="宋体" w:cs="Times New Roman"/>
                      <w:b w:val="0"/>
                      <w:snapToGrid w:val="0"/>
                      <w:color w:val="auto"/>
                      <w:kern w:val="0"/>
                      <w:sz w:val="21"/>
                      <w:szCs w:val="21"/>
                      <w:highlight w:val="none"/>
                      <w:lang w:val="en-US" w:eastAsia="zh-CN" w:bidi="ar-SA"/>
                    </w:rPr>
                    <w:t>《放射工作人员从业和防护培训制度》《放射防护管理制度》《放射工作人员职业健康管理制度》《放射工作人员个人剂量监测制度》《放射科档案管理制度》《放射科工作人员岗位职责》《放射科工作制度》《影像质量保证方案》《辐射安全监测方案》《辐射事故应急预案》</w:t>
                  </w:r>
                  <w:r>
                    <w:rPr>
                      <w:rFonts w:hint="default" w:ascii="Times New Roman" w:hAnsi="Times New Roman" w:eastAsia="宋体" w:cs="Times New Roman"/>
                      <w:color w:val="auto"/>
                      <w:kern w:val="2"/>
                      <w:sz w:val="21"/>
                      <w:szCs w:val="21"/>
                      <w:highlight w:val="none"/>
                      <w:lang w:val="en-US" w:eastAsia="zh-CN" w:bidi="ar-SA"/>
                    </w:rPr>
                    <w:t>。</w:t>
                  </w:r>
                </w:p>
              </w:tc>
              <w:tc>
                <w:tcPr>
                  <w:tcW w:w="686" w:type="dxa"/>
                  <w:vAlign w:val="center"/>
                </w:tcPr>
                <w:p w14:paraId="081C7C01">
                  <w:pPr>
                    <w:keepNext w:val="0"/>
                    <w:keepLines w:val="0"/>
                    <w:widowControl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val="0"/>
                      <w:snapToGrid w:val="0"/>
                      <w:color w:val="auto"/>
                      <w:kern w:val="0"/>
                      <w:sz w:val="21"/>
                      <w:szCs w:val="21"/>
                      <w:highlight w:val="none"/>
                      <w:lang w:val="en-US" w:eastAsia="zh-CN" w:bidi="ar-SA"/>
                    </w:rPr>
                  </w:pPr>
                  <w:r>
                    <w:rPr>
                      <w:rFonts w:hint="default" w:ascii="Times New Roman" w:hAnsi="Times New Roman" w:eastAsia="宋体" w:cs="Times New Roman"/>
                      <w:b w:val="0"/>
                      <w:snapToGrid w:val="0"/>
                      <w:color w:val="auto"/>
                      <w:kern w:val="0"/>
                      <w:sz w:val="21"/>
                      <w:szCs w:val="21"/>
                      <w:highlight w:val="none"/>
                      <w:lang w:val="en-US" w:eastAsia="zh-CN" w:bidi="ar-SA"/>
                    </w:rPr>
                    <w:t>符合</w:t>
                  </w:r>
                </w:p>
              </w:tc>
            </w:tr>
          </w:tbl>
          <w:p w14:paraId="60EA7F0C">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highlight w:val="none"/>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综上，医院具有较好的辐射管理能力，可以满足本项目的辐射管理需求。</w:t>
            </w:r>
          </w:p>
          <w:p w14:paraId="14221511">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highlight w:val="none"/>
                <w:lang w:val="en-US" w:eastAsia="zh-CN" w:bidi="ar-SA"/>
              </w:rPr>
            </w:pPr>
            <w:r>
              <w:rPr>
                <w:rFonts w:hint="eastAsia" w:ascii="Times New Roman" w:hAnsi="Times New Roman" w:eastAsia="宋体" w:cs="Times New Roman"/>
                <w:b/>
                <w:bCs/>
                <w:snapToGrid w:val="0"/>
                <w:color w:val="auto"/>
                <w:kern w:val="0"/>
                <w:sz w:val="24"/>
                <w:szCs w:val="21"/>
                <w:highlight w:val="none"/>
                <w:lang w:val="en-US" w:eastAsia="zh-CN" w:bidi="ar-SA"/>
              </w:rPr>
              <w:t>9、环境保护投资</w:t>
            </w:r>
          </w:p>
          <w:p w14:paraId="2BB41DA9">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highlight w:val="none"/>
                <w:lang w:val="en-US" w:eastAsia="zh-CN" w:bidi="ar-SA"/>
              </w:rPr>
              <w:t>本项目总投资</w:t>
            </w:r>
            <w:r>
              <w:rPr>
                <w:rFonts w:hint="eastAsia" w:ascii="Times New Roman" w:hAnsi="Times New Roman" w:eastAsia="宋体" w:cs="Times New Roman"/>
                <w:snapToGrid w:val="0"/>
                <w:color w:val="auto"/>
                <w:kern w:val="0"/>
                <w:sz w:val="24"/>
                <w:szCs w:val="24"/>
                <w:highlight w:val="none"/>
                <w:lang w:val="en-US" w:eastAsia="zh-CN" w:bidi="ar-SA"/>
              </w:rPr>
              <w:t>400</w:t>
            </w:r>
            <w:r>
              <w:rPr>
                <w:rFonts w:hint="eastAsia" w:ascii="Times New Roman" w:hAnsi="Times New Roman" w:eastAsia="宋体" w:cs="Times New Roman"/>
                <w:snapToGrid w:val="0"/>
                <w:color w:val="auto"/>
                <w:kern w:val="0"/>
                <w:sz w:val="24"/>
                <w:szCs w:val="21"/>
                <w:highlight w:val="none"/>
                <w:lang w:val="en-US" w:eastAsia="zh-CN" w:bidi="ar-SA"/>
              </w:rPr>
              <w:t>万元，主要用于设备采购、屏蔽防护工</w:t>
            </w:r>
            <w:r>
              <w:rPr>
                <w:rFonts w:hint="eastAsia" w:ascii="Times New Roman" w:hAnsi="Times New Roman" w:eastAsia="宋体" w:cs="Times New Roman"/>
                <w:snapToGrid w:val="0"/>
                <w:color w:val="auto"/>
                <w:kern w:val="0"/>
                <w:sz w:val="24"/>
                <w:szCs w:val="21"/>
                <w:lang w:val="en-US" w:eastAsia="zh-CN" w:bidi="ar-SA"/>
              </w:rPr>
              <w:t>程建设、防护用品购置等，其中安排用于环境保护方面的投资约</w:t>
            </w:r>
            <w:r>
              <w:rPr>
                <w:rFonts w:hint="eastAsia" w:ascii="Times New Roman" w:hAnsi="Times New Roman" w:eastAsia="宋体" w:cs="Times New Roman"/>
                <w:snapToGrid w:val="0"/>
                <w:color w:val="auto"/>
                <w:kern w:val="0"/>
                <w:sz w:val="24"/>
                <w:szCs w:val="24"/>
                <w:lang w:val="en-US" w:eastAsia="zh-CN" w:bidi="ar-SA"/>
              </w:rPr>
              <w:t>30</w:t>
            </w:r>
            <w:r>
              <w:rPr>
                <w:rFonts w:hint="eastAsia" w:ascii="Times New Roman" w:hAnsi="Times New Roman" w:eastAsia="宋体" w:cs="Times New Roman"/>
                <w:snapToGrid w:val="0"/>
                <w:color w:val="auto"/>
                <w:kern w:val="0"/>
                <w:sz w:val="24"/>
                <w:szCs w:val="21"/>
                <w:lang w:val="en-US" w:eastAsia="zh-CN" w:bidi="ar-SA"/>
              </w:rPr>
              <w:t>万元，占项目总投资的</w:t>
            </w:r>
            <w:r>
              <w:rPr>
                <w:rFonts w:hint="eastAsia" w:ascii="Times New Roman" w:hAnsi="Times New Roman" w:eastAsia="宋体" w:cs="Times New Roman"/>
                <w:snapToGrid w:val="0"/>
                <w:color w:val="auto"/>
                <w:kern w:val="0"/>
                <w:sz w:val="24"/>
                <w:szCs w:val="24"/>
                <w:highlight w:val="none"/>
                <w:lang w:val="en-US" w:eastAsia="zh-CN" w:bidi="ar-SA"/>
              </w:rPr>
              <w:t>7.5%</w:t>
            </w:r>
            <w:r>
              <w:rPr>
                <w:rFonts w:hint="eastAsia" w:ascii="Times New Roman" w:hAnsi="Times New Roman" w:eastAsia="宋体" w:cs="Times New Roman"/>
                <w:snapToGrid w:val="0"/>
                <w:color w:val="auto"/>
                <w:kern w:val="0"/>
                <w:sz w:val="24"/>
                <w:szCs w:val="21"/>
                <w:lang w:val="en-US" w:eastAsia="zh-CN" w:bidi="ar-SA"/>
              </w:rPr>
              <w:t>。该项目具体环保投资估算详见下表。</w:t>
            </w:r>
          </w:p>
          <w:p w14:paraId="4CEAB687">
            <w:pPr>
              <w:keepNext w:val="0"/>
              <w:keepLines w:val="0"/>
              <w:widowControl w:val="0"/>
              <w:suppressLineNumbers w:val="0"/>
              <w:spacing w:before="0" w:beforeAutospacing="0" w:after="0" w:afterAutospacing="0" w:line="240" w:lineRule="auto"/>
              <w:ind w:left="0" w:right="0" w:firstLine="482" w:firstLineChars="200"/>
              <w:jc w:val="center"/>
              <w:rPr>
                <w:rFonts w:hint="eastAsia" w:ascii="宋体" w:hAnsi="宋体" w:eastAsia="宋体" w:cs="宋体"/>
                <w:b/>
                <w:bCs/>
                <w:snapToGrid w:val="0"/>
                <w:color w:val="auto"/>
                <w:kern w:val="0"/>
                <w:sz w:val="24"/>
                <w:szCs w:val="21"/>
                <w:lang w:val="en-US" w:eastAsia="zh-CN" w:bidi="ar-SA"/>
              </w:rPr>
            </w:pPr>
            <w:bookmarkStart w:id="76" w:name="_Toc56003449"/>
            <w:bookmarkStart w:id="77" w:name="_Toc56004487"/>
            <w:r>
              <w:rPr>
                <w:rFonts w:hint="eastAsia" w:ascii="宋体" w:hAnsi="宋体" w:eastAsia="宋体" w:cs="宋体"/>
                <w:b/>
                <w:bCs/>
                <w:snapToGrid w:val="0"/>
                <w:color w:val="auto"/>
                <w:kern w:val="0"/>
                <w:sz w:val="24"/>
                <w:szCs w:val="21"/>
                <w:lang w:val="en-US" w:eastAsia="zh-CN" w:bidi="ar-SA"/>
              </w:rPr>
              <w:t>表12-3  环保投资估算一览表</w:t>
            </w:r>
            <w:bookmarkEnd w:id="76"/>
            <w:bookmarkEnd w:id="77"/>
          </w:p>
          <w:tbl>
            <w:tblPr>
              <w:tblStyle w:val="18"/>
              <w:tblW w:w="9525"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292"/>
              <w:gridCol w:w="5057"/>
              <w:gridCol w:w="3176"/>
            </w:tblGrid>
            <w:tr w14:paraId="17570CD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92" w:type="dxa"/>
                  <w:vAlign w:val="center"/>
                </w:tcPr>
                <w:p w14:paraId="0CC0246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lang w:val="en-US" w:eastAsia="zh-CN" w:bidi="ar-SA"/>
                    </w:rPr>
                  </w:pPr>
                  <w:r>
                    <w:rPr>
                      <w:rFonts w:hint="eastAsia" w:ascii="宋体" w:hAnsi="宋体" w:eastAsia="宋体" w:cs="宋体"/>
                      <w:b w:val="0"/>
                      <w:snapToGrid w:val="0"/>
                      <w:color w:val="auto"/>
                      <w:kern w:val="0"/>
                      <w:sz w:val="21"/>
                      <w:szCs w:val="21"/>
                      <w:lang w:val="en-US" w:eastAsia="zh-CN" w:bidi="ar-SA"/>
                    </w:rPr>
                    <w:t>序号</w:t>
                  </w:r>
                </w:p>
              </w:tc>
              <w:tc>
                <w:tcPr>
                  <w:tcW w:w="5057" w:type="dxa"/>
                  <w:vAlign w:val="center"/>
                </w:tcPr>
                <w:p w14:paraId="4586BF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lang w:val="en-US" w:eastAsia="zh-CN" w:bidi="ar-SA"/>
                    </w:rPr>
                  </w:pPr>
                  <w:r>
                    <w:rPr>
                      <w:rFonts w:hint="eastAsia" w:ascii="宋体" w:hAnsi="宋体" w:eastAsia="宋体" w:cs="宋体"/>
                      <w:b w:val="0"/>
                      <w:snapToGrid w:val="0"/>
                      <w:color w:val="auto"/>
                      <w:kern w:val="0"/>
                      <w:sz w:val="21"/>
                      <w:szCs w:val="21"/>
                      <w:lang w:val="en-US" w:eastAsia="zh-CN" w:bidi="ar-SA"/>
                    </w:rPr>
                    <w:t>环保措施</w:t>
                  </w:r>
                </w:p>
              </w:tc>
              <w:tc>
                <w:tcPr>
                  <w:tcW w:w="3176" w:type="dxa"/>
                  <w:vAlign w:val="center"/>
                </w:tcPr>
                <w:p w14:paraId="51DA1C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lang w:val="en-US" w:eastAsia="zh-CN" w:bidi="ar-SA"/>
                    </w:rPr>
                  </w:pPr>
                  <w:r>
                    <w:rPr>
                      <w:rFonts w:hint="eastAsia" w:ascii="宋体" w:hAnsi="宋体" w:eastAsia="宋体" w:cs="宋体"/>
                      <w:b w:val="0"/>
                      <w:snapToGrid w:val="0"/>
                      <w:color w:val="auto"/>
                      <w:kern w:val="0"/>
                      <w:sz w:val="21"/>
                      <w:szCs w:val="21"/>
                      <w:lang w:val="en-US" w:eastAsia="zh-CN" w:bidi="ar-SA"/>
                    </w:rPr>
                    <w:t>投资（万元）</w:t>
                  </w:r>
                </w:p>
              </w:tc>
            </w:tr>
            <w:tr w14:paraId="1DFCBCC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92" w:type="dxa"/>
                  <w:vAlign w:val="center"/>
                </w:tcPr>
                <w:p w14:paraId="77D4A4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1</w:t>
                  </w:r>
                </w:p>
              </w:tc>
              <w:tc>
                <w:tcPr>
                  <w:tcW w:w="5057" w:type="dxa"/>
                  <w:vAlign w:val="center"/>
                </w:tcPr>
                <w:p w14:paraId="0EC6A0B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机房屏蔽防护工程</w:t>
                  </w:r>
                </w:p>
              </w:tc>
              <w:tc>
                <w:tcPr>
                  <w:tcW w:w="3176" w:type="dxa"/>
                  <w:vAlign w:val="center"/>
                </w:tcPr>
                <w:p w14:paraId="59EA228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18</w:t>
                  </w:r>
                </w:p>
              </w:tc>
            </w:tr>
            <w:tr w14:paraId="3013BE6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92" w:type="dxa"/>
                  <w:vAlign w:val="center"/>
                </w:tcPr>
                <w:p w14:paraId="0120099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2</w:t>
                  </w:r>
                </w:p>
              </w:tc>
              <w:tc>
                <w:tcPr>
                  <w:tcW w:w="5057" w:type="dxa"/>
                  <w:vAlign w:val="center"/>
                </w:tcPr>
                <w:p w14:paraId="037542C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防护门窗、标识、警示灯及对讲系统</w:t>
                  </w:r>
                </w:p>
              </w:tc>
              <w:tc>
                <w:tcPr>
                  <w:tcW w:w="3176" w:type="dxa"/>
                  <w:vAlign w:val="center"/>
                </w:tcPr>
                <w:p w14:paraId="2B6B7D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3</w:t>
                  </w:r>
                </w:p>
              </w:tc>
            </w:tr>
            <w:tr w14:paraId="2FAC8FE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92" w:type="dxa"/>
                  <w:vAlign w:val="center"/>
                </w:tcPr>
                <w:p w14:paraId="069CDD1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3</w:t>
                  </w:r>
                </w:p>
              </w:tc>
              <w:tc>
                <w:tcPr>
                  <w:tcW w:w="5057" w:type="dxa"/>
                  <w:vAlign w:val="center"/>
                </w:tcPr>
                <w:p w14:paraId="09A71E3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监测仪器、防护用品</w:t>
                  </w:r>
                </w:p>
              </w:tc>
              <w:tc>
                <w:tcPr>
                  <w:tcW w:w="3176" w:type="dxa"/>
                  <w:vAlign w:val="center"/>
                </w:tcPr>
                <w:p w14:paraId="0DA5CBD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2</w:t>
                  </w:r>
                </w:p>
              </w:tc>
            </w:tr>
            <w:tr w14:paraId="0D4FE91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2" w:hRule="atLeast"/>
                <w:jc w:val="center"/>
              </w:trPr>
              <w:tc>
                <w:tcPr>
                  <w:tcW w:w="1292" w:type="dxa"/>
                  <w:vAlign w:val="center"/>
                </w:tcPr>
                <w:p w14:paraId="6365C03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4</w:t>
                  </w:r>
                </w:p>
              </w:tc>
              <w:tc>
                <w:tcPr>
                  <w:tcW w:w="5057" w:type="dxa"/>
                  <w:vAlign w:val="center"/>
                </w:tcPr>
                <w:p w14:paraId="2D5DD44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辐射工作人员体检及个人剂量定期送检</w:t>
                  </w:r>
                </w:p>
              </w:tc>
              <w:tc>
                <w:tcPr>
                  <w:tcW w:w="3176" w:type="dxa"/>
                  <w:vAlign w:val="center"/>
                </w:tcPr>
                <w:p w14:paraId="444005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1</w:t>
                  </w:r>
                </w:p>
              </w:tc>
            </w:tr>
            <w:tr w14:paraId="7F2ED5B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92" w:type="dxa"/>
                  <w:vAlign w:val="center"/>
                </w:tcPr>
                <w:p w14:paraId="119872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5</w:t>
                  </w:r>
                </w:p>
              </w:tc>
              <w:tc>
                <w:tcPr>
                  <w:tcW w:w="5057" w:type="dxa"/>
                  <w:vAlign w:val="center"/>
                </w:tcPr>
                <w:p w14:paraId="5D7DA4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highlight w:val="none"/>
                      <w:lang w:val="en-US" w:eastAsia="zh-CN" w:bidi="ar-SA"/>
                    </w:rPr>
                  </w:pPr>
                  <w:r>
                    <w:rPr>
                      <w:rFonts w:hint="eastAsia" w:ascii="宋体" w:hAnsi="宋体" w:eastAsia="宋体" w:cs="宋体"/>
                      <w:b w:val="0"/>
                      <w:snapToGrid w:val="0"/>
                      <w:color w:val="auto"/>
                      <w:kern w:val="0"/>
                      <w:sz w:val="21"/>
                      <w:szCs w:val="21"/>
                      <w:highlight w:val="none"/>
                      <w:lang w:val="en-US" w:eastAsia="zh-CN" w:bidi="ar-SA"/>
                    </w:rPr>
                    <w:t>环评及验收</w:t>
                  </w:r>
                </w:p>
              </w:tc>
              <w:tc>
                <w:tcPr>
                  <w:tcW w:w="3176" w:type="dxa"/>
                  <w:vAlign w:val="center"/>
                </w:tcPr>
                <w:p w14:paraId="62ABAD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6</w:t>
                  </w:r>
                </w:p>
              </w:tc>
            </w:tr>
            <w:tr w14:paraId="03B30F4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349" w:type="dxa"/>
                  <w:gridSpan w:val="2"/>
                  <w:vAlign w:val="center"/>
                </w:tcPr>
                <w:p w14:paraId="23F96A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宋体" w:hAnsi="宋体" w:eastAsia="宋体" w:cs="宋体"/>
                      <w:b w:val="0"/>
                      <w:snapToGrid w:val="0"/>
                      <w:color w:val="auto"/>
                      <w:kern w:val="0"/>
                      <w:sz w:val="21"/>
                      <w:szCs w:val="21"/>
                      <w:lang w:val="en-US" w:eastAsia="zh-CN" w:bidi="ar-SA"/>
                    </w:rPr>
                  </w:pPr>
                  <w:r>
                    <w:rPr>
                      <w:rFonts w:hint="eastAsia" w:ascii="宋体" w:hAnsi="宋体" w:eastAsia="宋体" w:cs="宋体"/>
                      <w:b w:val="0"/>
                      <w:snapToGrid w:val="0"/>
                      <w:color w:val="auto"/>
                      <w:kern w:val="0"/>
                      <w:sz w:val="21"/>
                      <w:szCs w:val="21"/>
                      <w:lang w:val="en-US" w:eastAsia="zh-CN" w:bidi="ar-SA"/>
                    </w:rPr>
                    <w:t>合计</w:t>
                  </w:r>
                </w:p>
              </w:tc>
              <w:tc>
                <w:tcPr>
                  <w:tcW w:w="3176" w:type="dxa"/>
                  <w:vAlign w:val="center"/>
                </w:tcPr>
                <w:p w14:paraId="51FFCF4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30</w:t>
                  </w:r>
                </w:p>
              </w:tc>
            </w:tr>
          </w:tbl>
          <w:p w14:paraId="7B11ECDB">
            <w:pPr>
              <w:keepNext w:val="0"/>
              <w:keepLines w:val="0"/>
              <w:widowControl w:val="0"/>
              <w:suppressLineNumbers w:val="0"/>
              <w:spacing w:before="0" w:beforeAutospacing="0" w:after="0" w:afterAutospacing="0" w:line="360" w:lineRule="auto"/>
              <w:ind w:left="0" w:right="0" w:firstLine="482" w:firstLineChars="200"/>
              <w:jc w:val="both"/>
              <w:rPr>
                <w:rFonts w:hint="default" w:ascii="Times New Roman" w:hAnsi="Times New Roman" w:eastAsia="宋体" w:cs="Times New Roman"/>
                <w:b/>
                <w:bCs/>
                <w:snapToGrid w:val="0"/>
                <w:color w:val="auto"/>
                <w:kern w:val="0"/>
                <w:sz w:val="24"/>
                <w:szCs w:val="21"/>
                <w:lang w:val="en-US" w:eastAsia="zh-CN" w:bidi="ar-SA"/>
              </w:rPr>
            </w:pPr>
            <w:r>
              <w:rPr>
                <w:rFonts w:hint="eastAsia" w:ascii="Times New Roman" w:hAnsi="Times New Roman" w:eastAsia="宋体" w:cs="Times New Roman"/>
                <w:b/>
                <w:bCs/>
                <w:snapToGrid w:val="0"/>
                <w:color w:val="auto"/>
                <w:kern w:val="0"/>
                <w:sz w:val="24"/>
                <w:szCs w:val="21"/>
                <w:lang w:val="en-US" w:eastAsia="zh-CN" w:bidi="ar-SA"/>
              </w:rPr>
              <w:t>10、“</w:t>
            </w:r>
            <w:r>
              <w:rPr>
                <w:rFonts w:hint="default" w:ascii="Times New Roman" w:hAnsi="Times New Roman" w:eastAsia="宋体" w:cs="Times New Roman"/>
                <w:b/>
                <w:bCs/>
                <w:snapToGrid w:val="0"/>
                <w:color w:val="auto"/>
                <w:kern w:val="0"/>
                <w:sz w:val="24"/>
                <w:szCs w:val="21"/>
                <w:lang w:val="en-US" w:eastAsia="zh-CN" w:bidi="ar-SA"/>
              </w:rPr>
              <w:t>三同时</w:t>
            </w:r>
            <w:r>
              <w:rPr>
                <w:rFonts w:hint="eastAsia" w:ascii="Times New Roman" w:hAnsi="Times New Roman" w:eastAsia="宋体" w:cs="Times New Roman"/>
                <w:b/>
                <w:bCs/>
                <w:snapToGrid w:val="0"/>
                <w:color w:val="auto"/>
                <w:kern w:val="0"/>
                <w:sz w:val="24"/>
                <w:szCs w:val="21"/>
                <w:lang w:val="en-US" w:eastAsia="zh-CN" w:bidi="ar-SA"/>
              </w:rPr>
              <w:t>”验收一览表</w:t>
            </w:r>
          </w:p>
          <w:p w14:paraId="14801B1B">
            <w:pPr>
              <w:keepNext w:val="0"/>
              <w:keepLines w:val="0"/>
              <w:widowControl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根据《建设项目环境保护管理条例》，本项目需执行污染治理设施与主体工程同时设计、同时施工、同时投产使用的“三同时”制度。项目正式投产运行前，建设单位应当按照国务院生态环境行政主管部门规定的标准和程序，组织对配套建设的环境保护设施进行验收，在验收过程中应如实查验、监测、记载建设项目环境保护设施的建设和调试情况，不得弄虚作假，编制验收报告，并依法向社会公开验收报告。</w:t>
            </w:r>
          </w:p>
          <w:p w14:paraId="06C80C67">
            <w:pPr>
              <w:keepNext w:val="0"/>
              <w:keepLines w:val="0"/>
              <w:widowControl w:val="0"/>
              <w:suppressLineNumbers w:val="0"/>
              <w:spacing w:before="0" w:beforeAutospacing="0" w:after="0" w:afterAutospacing="0" w:line="360" w:lineRule="auto"/>
              <w:ind w:left="0" w:right="0" w:firstLine="480" w:firstLineChars="200"/>
              <w:jc w:val="both"/>
              <w:rPr>
                <w:rFonts w:hint="eastAsia"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本工程“三同时”竣工环境保护验收一览表见表</w:t>
            </w:r>
            <w:r>
              <w:rPr>
                <w:rFonts w:hint="default" w:ascii="Times New Roman" w:hAnsi="Times New Roman" w:eastAsia="宋体" w:cs="Times New Roman"/>
                <w:snapToGrid w:val="0"/>
                <w:color w:val="auto"/>
                <w:kern w:val="0"/>
                <w:sz w:val="24"/>
                <w:szCs w:val="21"/>
                <w:lang w:val="en-US" w:eastAsia="zh-CN" w:bidi="ar-SA"/>
              </w:rPr>
              <w:t>12-</w:t>
            </w:r>
            <w:r>
              <w:rPr>
                <w:rFonts w:hint="eastAsia" w:ascii="Times New Roman" w:hAnsi="Times New Roman" w:eastAsia="宋体" w:cs="Times New Roman"/>
                <w:snapToGrid w:val="0"/>
                <w:color w:val="auto"/>
                <w:kern w:val="0"/>
                <w:sz w:val="24"/>
                <w:szCs w:val="21"/>
                <w:lang w:val="en-US" w:eastAsia="zh-CN" w:bidi="ar-SA"/>
              </w:rPr>
              <w:t>4。</w:t>
            </w:r>
          </w:p>
          <w:p w14:paraId="34D6D60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4788B46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611602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1E7F719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4515A9B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43DF1D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60E8649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057C93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5A69BD0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3EBD09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3FA9258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4"/>
                <w:szCs w:val="21"/>
                <w:lang w:val="en-US" w:eastAsia="zh-CN" w:bidi="ar-SA"/>
              </w:rPr>
            </w:pPr>
          </w:p>
          <w:p w14:paraId="298337B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snapToGrid w:val="0"/>
                <w:color w:val="auto"/>
                <w:spacing w:val="-3"/>
                <w:kern w:val="0"/>
                <w:sz w:val="24"/>
                <w:szCs w:val="24"/>
                <w:lang w:val="en-US" w:eastAsia="zh-CN" w:bidi="ar-SA"/>
              </w:rPr>
            </w:pPr>
            <w:r>
              <w:rPr>
                <w:rFonts w:hint="default" w:ascii="Times New Roman" w:hAnsi="Times New Roman" w:eastAsia="宋体" w:cs="Times New Roman"/>
                <w:b/>
                <w:bCs/>
                <w:snapToGrid w:val="0"/>
                <w:color w:val="auto"/>
                <w:kern w:val="0"/>
                <w:sz w:val="24"/>
                <w:szCs w:val="21"/>
                <w:lang w:val="en-US" w:eastAsia="zh-CN" w:bidi="ar-SA"/>
              </w:rPr>
              <w:t xml:space="preserve">表12-4  </w:t>
            </w:r>
            <w:r>
              <w:rPr>
                <w:rFonts w:hint="eastAsia" w:ascii="宋体" w:hAnsi="宋体" w:eastAsia="宋体" w:cs="宋体"/>
                <w:b/>
                <w:bCs/>
                <w:snapToGrid w:val="0"/>
                <w:color w:val="auto"/>
                <w:kern w:val="0"/>
                <w:sz w:val="24"/>
                <w:szCs w:val="21"/>
                <w:lang w:val="en-US" w:eastAsia="zh-CN" w:bidi="ar-SA"/>
              </w:rPr>
              <w:t>“</w:t>
            </w:r>
            <w:r>
              <w:rPr>
                <w:rFonts w:hint="default" w:ascii="Times New Roman" w:hAnsi="Times New Roman" w:eastAsia="宋体" w:cs="Times New Roman"/>
                <w:b/>
                <w:bCs/>
                <w:snapToGrid w:val="0"/>
                <w:color w:val="auto"/>
                <w:kern w:val="0"/>
                <w:sz w:val="24"/>
                <w:szCs w:val="21"/>
                <w:lang w:val="en-US" w:eastAsia="zh-CN" w:bidi="ar-SA"/>
              </w:rPr>
              <w:t>三同时</w:t>
            </w:r>
            <w:r>
              <w:rPr>
                <w:rFonts w:hint="eastAsia" w:ascii="宋体" w:hAnsi="宋体" w:eastAsia="宋体" w:cs="宋体"/>
                <w:b/>
                <w:bCs/>
                <w:snapToGrid w:val="0"/>
                <w:color w:val="auto"/>
                <w:kern w:val="0"/>
                <w:sz w:val="24"/>
                <w:szCs w:val="21"/>
                <w:lang w:val="en-US" w:eastAsia="zh-CN" w:bidi="ar-SA"/>
              </w:rPr>
              <w:t>”</w:t>
            </w:r>
            <w:r>
              <w:rPr>
                <w:rFonts w:hint="default" w:ascii="Times New Roman" w:hAnsi="Times New Roman" w:eastAsia="宋体" w:cs="Times New Roman"/>
                <w:b/>
                <w:bCs/>
                <w:snapToGrid w:val="0"/>
                <w:color w:val="auto"/>
                <w:kern w:val="0"/>
                <w:sz w:val="24"/>
                <w:szCs w:val="21"/>
                <w:lang w:val="en-US" w:eastAsia="zh-CN" w:bidi="ar-SA"/>
              </w:rPr>
              <w:t>验收一览表</w:t>
            </w:r>
          </w:p>
          <w:tbl>
            <w:tblPr>
              <w:tblStyle w:val="18"/>
              <w:tblW w:w="9525" w:type="dxa"/>
              <w:tblInd w:w="-5"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726"/>
              <w:gridCol w:w="747"/>
              <w:gridCol w:w="6366"/>
              <w:gridCol w:w="1686"/>
            </w:tblGrid>
            <w:tr w14:paraId="3CE2404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4" w:hRule="atLeast"/>
              </w:trPr>
              <w:tc>
                <w:tcPr>
                  <w:tcW w:w="1473" w:type="dxa"/>
                  <w:gridSpan w:val="2"/>
                  <w:vAlign w:val="center"/>
                </w:tcPr>
                <w:p w14:paraId="36F93A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1"/>
                      <w:szCs w:val="21"/>
                      <w:lang w:val="en-US" w:eastAsia="zh-CN" w:bidi="ar-SA"/>
                    </w:rPr>
                  </w:pPr>
                  <w:r>
                    <w:rPr>
                      <w:rFonts w:hint="default" w:ascii="Times New Roman" w:hAnsi="Times New Roman" w:eastAsia="宋体" w:cs="Times New Roman"/>
                      <w:b/>
                      <w:bCs/>
                      <w:snapToGrid w:val="0"/>
                      <w:color w:val="auto"/>
                      <w:kern w:val="0"/>
                      <w:sz w:val="21"/>
                      <w:szCs w:val="21"/>
                      <w:lang w:val="en-US" w:eastAsia="zh-CN" w:bidi="ar-SA"/>
                    </w:rPr>
                    <w:t>项目</w:t>
                  </w:r>
                </w:p>
              </w:tc>
              <w:tc>
                <w:tcPr>
                  <w:tcW w:w="6366" w:type="dxa"/>
                  <w:vAlign w:val="center"/>
                </w:tcPr>
                <w:p w14:paraId="73D370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1"/>
                      <w:szCs w:val="21"/>
                      <w:lang w:val="en-US" w:eastAsia="zh-CN" w:bidi="ar-SA"/>
                    </w:rPr>
                  </w:pPr>
                  <w:r>
                    <w:rPr>
                      <w:rFonts w:hint="eastAsia" w:ascii="宋体" w:hAnsi="宋体" w:eastAsia="宋体" w:cs="宋体"/>
                      <w:b/>
                      <w:bCs/>
                      <w:snapToGrid w:val="0"/>
                      <w:color w:val="auto"/>
                      <w:kern w:val="0"/>
                      <w:sz w:val="21"/>
                      <w:szCs w:val="21"/>
                      <w:lang w:val="en-US" w:eastAsia="zh-CN" w:bidi="ar-SA"/>
                    </w:rPr>
                    <w:t>“三同时”</w:t>
                  </w:r>
                  <w:r>
                    <w:rPr>
                      <w:rFonts w:hint="default" w:ascii="Times New Roman" w:hAnsi="Times New Roman" w:eastAsia="宋体" w:cs="Times New Roman"/>
                      <w:b/>
                      <w:bCs/>
                      <w:snapToGrid w:val="0"/>
                      <w:color w:val="auto"/>
                      <w:kern w:val="0"/>
                      <w:sz w:val="21"/>
                      <w:szCs w:val="21"/>
                      <w:lang w:val="en-US" w:eastAsia="zh-CN" w:bidi="ar-SA"/>
                    </w:rPr>
                    <w:t>验收内容</w:t>
                  </w:r>
                </w:p>
              </w:tc>
              <w:tc>
                <w:tcPr>
                  <w:tcW w:w="1686" w:type="dxa"/>
                  <w:vAlign w:val="center"/>
                </w:tcPr>
                <w:p w14:paraId="7DA7465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snapToGrid w:val="0"/>
                      <w:color w:val="auto"/>
                      <w:kern w:val="0"/>
                      <w:sz w:val="21"/>
                      <w:szCs w:val="21"/>
                      <w:lang w:val="en-US" w:eastAsia="zh-CN" w:bidi="ar-SA"/>
                    </w:rPr>
                  </w:pPr>
                  <w:r>
                    <w:rPr>
                      <w:rFonts w:hint="default" w:ascii="Times New Roman" w:hAnsi="Times New Roman" w:eastAsia="宋体" w:cs="Times New Roman"/>
                      <w:b/>
                      <w:bCs/>
                      <w:snapToGrid w:val="0"/>
                      <w:color w:val="auto"/>
                      <w:kern w:val="0"/>
                      <w:sz w:val="21"/>
                      <w:szCs w:val="21"/>
                      <w:lang w:val="en-US" w:eastAsia="zh-CN" w:bidi="ar-SA"/>
                    </w:rPr>
                    <w:t>验收要求</w:t>
                  </w:r>
                </w:p>
              </w:tc>
            </w:tr>
            <w:tr w14:paraId="225A293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66" w:hRule="atLeast"/>
              </w:trPr>
              <w:tc>
                <w:tcPr>
                  <w:tcW w:w="726" w:type="dxa"/>
                  <w:vMerge w:val="restart"/>
                  <w:vAlign w:val="center"/>
                </w:tcPr>
                <w:p w14:paraId="6540B3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管理措施</w:t>
                  </w:r>
                </w:p>
              </w:tc>
              <w:tc>
                <w:tcPr>
                  <w:tcW w:w="747" w:type="dxa"/>
                  <w:vAlign w:val="center"/>
                </w:tcPr>
                <w:p w14:paraId="5A0354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管理机构</w:t>
                  </w:r>
                </w:p>
              </w:tc>
              <w:tc>
                <w:tcPr>
                  <w:tcW w:w="6366" w:type="dxa"/>
                  <w:vAlign w:val="center"/>
                </w:tcPr>
                <w:p w14:paraId="1CEE916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成立以院领导为第一责任人的辐射安全管理领导小组，后期根据医院实际情况进行调整修订。</w:t>
                  </w:r>
                </w:p>
              </w:tc>
              <w:tc>
                <w:tcPr>
                  <w:tcW w:w="1686" w:type="dxa"/>
                  <w:vAlign w:val="center"/>
                </w:tcPr>
                <w:p w14:paraId="3F9BF48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按要求落实</w:t>
                  </w:r>
                  <w:r>
                    <w:rPr>
                      <w:rFonts w:hint="eastAsia" w:ascii="Times New Roman" w:hAnsi="Times New Roman" w:eastAsia="宋体" w:cs="Times New Roman"/>
                      <w:b w:val="0"/>
                      <w:snapToGrid w:val="0"/>
                      <w:color w:val="auto"/>
                      <w:kern w:val="0"/>
                      <w:sz w:val="21"/>
                      <w:szCs w:val="21"/>
                      <w:lang w:val="en-US" w:eastAsia="zh-CN" w:bidi="ar-SA"/>
                    </w:rPr>
                    <w:t>，</w:t>
                  </w:r>
                  <w:r>
                    <w:rPr>
                      <w:rFonts w:hint="default" w:ascii="Times New Roman" w:hAnsi="Times New Roman" w:eastAsia="宋体" w:cs="Times New Roman"/>
                      <w:b w:val="0"/>
                      <w:snapToGrid w:val="0"/>
                      <w:color w:val="auto"/>
                      <w:kern w:val="0"/>
                      <w:sz w:val="21"/>
                      <w:szCs w:val="21"/>
                      <w:lang w:val="en-US" w:eastAsia="zh-CN" w:bidi="ar-SA"/>
                    </w:rPr>
                    <w:t>辐射安全负责人通过辐射安全与防护知识考核</w:t>
                  </w:r>
                </w:p>
              </w:tc>
            </w:tr>
            <w:tr w14:paraId="6AE0DAF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152" w:hRule="atLeast"/>
              </w:trPr>
              <w:tc>
                <w:tcPr>
                  <w:tcW w:w="726" w:type="dxa"/>
                  <w:vMerge w:val="continue"/>
                  <w:vAlign w:val="center"/>
                </w:tcPr>
                <w:p w14:paraId="6A6BDE3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747" w:type="dxa"/>
                  <w:vAlign w:val="center"/>
                </w:tcPr>
                <w:p w14:paraId="424260D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管理措施</w:t>
                  </w:r>
                </w:p>
              </w:tc>
              <w:tc>
                <w:tcPr>
                  <w:tcW w:w="6366" w:type="dxa"/>
                  <w:vAlign w:val="center"/>
                </w:tcPr>
                <w:p w14:paraId="26FB4E3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定期修订</w:t>
                  </w:r>
                  <w:r>
                    <w:rPr>
                      <w:rFonts w:hint="eastAsia" w:ascii="Times New Roman" w:hAnsi="Times New Roman" w:eastAsia="宋体" w:cs="Times New Roman"/>
                      <w:color w:val="auto"/>
                      <w:kern w:val="2"/>
                      <w:sz w:val="21"/>
                      <w:szCs w:val="21"/>
                      <w:highlight w:val="none"/>
                      <w:lang w:val="en-US" w:eastAsia="zh-CN" w:bidi="ar-SA"/>
                    </w:rPr>
                    <w:t>《放射工作人员从业和防护培训制度》《放射防护管理制度》《放射工作人员职业健康管理制度》《放射工作人员个人剂量监测制度》《放射科档案管理制度》《放射科工作人员岗位职责》《放射科工作制度》《影像质量保证方案》《辐射安全监测方案》《辐射事故应急预案》</w:t>
                  </w:r>
                  <w:r>
                    <w:rPr>
                      <w:rFonts w:hint="default" w:ascii="Times New Roman" w:hAnsi="Times New Roman" w:eastAsia="宋体" w:cs="Times New Roman"/>
                      <w:b w:val="0"/>
                      <w:snapToGrid w:val="0"/>
                      <w:color w:val="auto"/>
                      <w:kern w:val="0"/>
                      <w:sz w:val="21"/>
                      <w:szCs w:val="21"/>
                      <w:highlight w:val="none"/>
                      <w:lang w:val="en-US" w:eastAsia="zh-CN" w:bidi="ar-SA"/>
                    </w:rPr>
                    <w:t>等辐射安全与环境保护管理制度，上述制度应包括本项目的内</w:t>
                  </w:r>
                  <w:r>
                    <w:rPr>
                      <w:rFonts w:hint="default" w:ascii="Times New Roman" w:hAnsi="Times New Roman" w:eastAsia="宋体" w:cs="Times New Roman"/>
                      <w:b w:val="0"/>
                      <w:snapToGrid w:val="0"/>
                      <w:color w:val="auto"/>
                      <w:kern w:val="0"/>
                      <w:sz w:val="21"/>
                      <w:szCs w:val="21"/>
                      <w:lang w:val="en-US" w:eastAsia="zh-CN" w:bidi="ar-SA"/>
                    </w:rPr>
                    <w:t>容。</w:t>
                  </w:r>
                </w:p>
              </w:tc>
              <w:tc>
                <w:tcPr>
                  <w:tcW w:w="1686" w:type="dxa"/>
                  <w:vAlign w:val="center"/>
                </w:tcPr>
                <w:p w14:paraId="14E12C9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根据要求落实</w:t>
                  </w:r>
                </w:p>
              </w:tc>
            </w:tr>
            <w:tr w14:paraId="7F53905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14" w:hRule="atLeast"/>
              </w:trPr>
              <w:tc>
                <w:tcPr>
                  <w:tcW w:w="726" w:type="dxa"/>
                  <w:vAlign w:val="center"/>
                </w:tcPr>
                <w:p w14:paraId="49F3D8F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防护措施</w:t>
                  </w:r>
                </w:p>
              </w:tc>
              <w:tc>
                <w:tcPr>
                  <w:tcW w:w="747" w:type="dxa"/>
                  <w:vAlign w:val="center"/>
                </w:tcPr>
                <w:p w14:paraId="42B3F36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DSA机房</w:t>
                  </w:r>
                </w:p>
              </w:tc>
              <w:tc>
                <w:tcPr>
                  <w:tcW w:w="6366" w:type="dxa"/>
                  <w:vAlign w:val="center"/>
                </w:tcPr>
                <w:p w14:paraId="04135F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DSA机房有效面积</w:t>
                  </w:r>
                  <w:r>
                    <w:rPr>
                      <w:rFonts w:hint="default" w:ascii="Times New Roman" w:hAnsi="Times New Roman" w:eastAsia="宋体" w:cs="Times New Roman"/>
                      <w:color w:val="auto"/>
                      <w:sz w:val="21"/>
                      <w:szCs w:val="21"/>
                      <w:highlight w:val="none"/>
                      <w:lang w:val="en-US" w:eastAsia="zh-CN"/>
                    </w:rPr>
                    <w:t>为</w:t>
                  </w:r>
                  <w:r>
                    <w:rPr>
                      <w:rFonts w:hint="eastAsia" w:ascii="Times New Roman" w:hAnsi="Times New Roman" w:eastAsia="宋体" w:cs="Times New Roman"/>
                      <w:color w:val="auto"/>
                      <w:sz w:val="21"/>
                      <w:szCs w:val="21"/>
                      <w:highlight w:val="none"/>
                      <w:lang w:val="en-US" w:eastAsia="zh-CN"/>
                    </w:rPr>
                    <w:t>38.82</w:t>
                  </w:r>
                  <w:r>
                    <w:rPr>
                      <w:rFonts w:hint="default" w:ascii="Times New Roman" w:hAnsi="Times New Roman" w:eastAsia="宋体" w:cs="Times New Roman"/>
                      <w:color w:val="auto"/>
                      <w:sz w:val="21"/>
                      <w:szCs w:val="21"/>
                      <w:highlight w:val="none"/>
                      <w:lang w:val="en-US" w:eastAsia="zh-CN"/>
                    </w:rPr>
                    <w:t>m</w:t>
                  </w:r>
                  <w:r>
                    <w:rPr>
                      <w:rFonts w:hint="default" w:ascii="Times New Roman" w:hAnsi="Times New Roman" w:eastAsia="宋体" w:cs="Times New Roman"/>
                      <w:color w:val="auto"/>
                      <w:sz w:val="21"/>
                      <w:szCs w:val="21"/>
                      <w:highlight w:val="none"/>
                      <w:vertAlign w:val="superscript"/>
                      <w:lang w:val="en-US" w:eastAsia="zh-CN"/>
                    </w:rPr>
                    <w:t>2</w:t>
                  </w:r>
                  <w:r>
                    <w:rPr>
                      <w:rFonts w:hint="default" w:ascii="Times New Roman" w:hAnsi="Times New Roman" w:eastAsia="宋体" w:cs="Times New Roman"/>
                      <w:color w:val="auto"/>
                      <w:sz w:val="21"/>
                      <w:szCs w:val="21"/>
                      <w:highlight w:val="none"/>
                      <w:lang w:val="en-US" w:eastAsia="zh-CN"/>
                    </w:rPr>
                    <w:t>（</w:t>
                  </w:r>
                  <w:r>
                    <w:rPr>
                      <w:rFonts w:hint="eastAsia" w:ascii="Times New Roman" w:hAnsi="Times New Roman" w:eastAsia="宋体" w:cs="Times New Roman"/>
                      <w:color w:val="auto"/>
                      <w:sz w:val="21"/>
                      <w:szCs w:val="21"/>
                      <w:lang w:val="en-US" w:eastAsia="zh-CN"/>
                    </w:rPr>
                    <w:t>7.38</w:t>
                  </w:r>
                  <w:r>
                    <w:rPr>
                      <w:rFonts w:hint="default" w:ascii="Times New Roman" w:hAnsi="Times New Roman" w:eastAsia="宋体" w:cs="Times New Roman"/>
                      <w:color w:val="auto"/>
                      <w:sz w:val="21"/>
                      <w:szCs w:val="21"/>
                      <w:lang w:val="en-US" w:eastAsia="zh-CN"/>
                    </w:rPr>
                    <w:t>m×</w:t>
                  </w:r>
                  <w:r>
                    <w:rPr>
                      <w:rFonts w:hint="eastAsia" w:ascii="Times New Roman" w:hAnsi="Times New Roman" w:eastAsia="宋体" w:cs="Times New Roman"/>
                      <w:color w:val="auto"/>
                      <w:sz w:val="21"/>
                      <w:szCs w:val="21"/>
                      <w:lang w:val="en-US" w:eastAsia="zh-CN"/>
                    </w:rPr>
                    <w:t>5.26</w:t>
                  </w:r>
                  <w:r>
                    <w:rPr>
                      <w:rFonts w:hint="default" w:ascii="Times New Roman" w:hAnsi="Times New Roman" w:eastAsia="宋体" w:cs="Times New Roman"/>
                      <w:color w:val="auto"/>
                      <w:sz w:val="21"/>
                      <w:szCs w:val="21"/>
                      <w:lang w:val="en-US" w:eastAsia="zh-CN"/>
                    </w:rPr>
                    <w:t>m）；机房改建前：计划作为DSA机房区域的闲置房间四侧墙体为200mm的空心砖墙，顶部为150mm混凝土（密度不小于2.35g/cm³），地面为混凝土地基加土壤层，无地下工程。</w:t>
                  </w:r>
                </w:p>
                <w:p w14:paraId="1CFB7F3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防护改造建设内容为：机房南侧内部新建240mm厚实心砖墙(机房与设备间隔断)+粉刷30mm厚硫酸钡水泥+墙面装饰板；东、西、北三面墙加砌120mm厚实心砖墙+粉刷30mm厚硫酸钡水泥+墙面装饰板；北侧墙面玻璃窗拆除用200mm厚实心砖封堵；顶部离地面3.4m高度制钢架龙骨+15mm厚硫酸钡防辐射板+1mmPb铅板，然后离地面2.9m高度铝扣板吊顶；</w:t>
                  </w:r>
                  <w:r>
                    <w:rPr>
                      <w:rFonts w:hint="eastAsia" w:ascii="Times New Roman" w:hAnsi="Times New Roman" w:eastAsia="宋体" w:cs="Times New Roman"/>
                      <w:color w:val="auto"/>
                      <w:sz w:val="21"/>
                      <w:szCs w:val="21"/>
                      <w:lang w:val="en-US" w:eastAsia="zh-CN"/>
                    </w:rPr>
                    <w:t>控制室</w:t>
                  </w:r>
                  <w:r>
                    <w:rPr>
                      <w:rFonts w:hint="default" w:ascii="Times New Roman" w:hAnsi="Times New Roman" w:eastAsia="宋体" w:cs="Times New Roman"/>
                      <w:color w:val="auto"/>
                      <w:sz w:val="21"/>
                      <w:szCs w:val="21"/>
                      <w:lang w:val="en-US" w:eastAsia="zh-CN"/>
                    </w:rPr>
                    <w:t>平推铅门、污物通道铅门以及缓冲间电动铅门防护当量均为3mmPb，观察窗铅玻璃防护当量为4 mmPb；机房设置动力通风系统，安装低噪音进、排风机</w:t>
                  </w:r>
                  <w:r>
                    <w:rPr>
                      <w:rFonts w:hint="default" w:ascii="Times New Roman" w:hAnsi="Times New Roman" w:eastAsia="宋体" w:cs="Times New Roman"/>
                      <w:color w:val="auto"/>
                      <w:sz w:val="21"/>
                      <w:szCs w:val="21"/>
                      <w:highlight w:val="none"/>
                      <w:lang w:val="en-US" w:eastAsia="zh-CN"/>
                    </w:rPr>
                    <w:t>(700m</w:t>
                  </w:r>
                  <w:r>
                    <w:rPr>
                      <w:rFonts w:hint="default" w:ascii="Times New Roman" w:hAnsi="Times New Roman" w:eastAsia="宋体" w:cs="Times New Roman"/>
                      <w:color w:val="auto"/>
                      <w:sz w:val="21"/>
                      <w:szCs w:val="21"/>
                      <w:highlight w:val="none"/>
                      <w:vertAlign w:val="superscript"/>
                      <w:lang w:val="en-US" w:eastAsia="zh-CN"/>
                    </w:rPr>
                    <w:t>3</w:t>
                  </w:r>
                  <w:r>
                    <w:rPr>
                      <w:rFonts w:hint="default" w:ascii="Times New Roman" w:hAnsi="Times New Roman" w:eastAsia="宋体" w:cs="Times New Roman"/>
                      <w:color w:val="auto"/>
                      <w:sz w:val="21"/>
                      <w:szCs w:val="21"/>
                      <w:highlight w:val="none"/>
                      <w:lang w:val="en-US" w:eastAsia="zh-CN"/>
                    </w:rPr>
                    <w:t>/h)</w:t>
                  </w:r>
                  <w:r>
                    <w:rPr>
                      <w:rFonts w:hint="default" w:ascii="Times New Roman" w:hAnsi="Times New Roman" w:eastAsia="宋体" w:cs="Times New Roman"/>
                      <w:color w:val="auto"/>
                      <w:sz w:val="21"/>
                      <w:szCs w:val="21"/>
                      <w:lang w:val="en-US" w:eastAsia="zh-CN"/>
                    </w:rPr>
                    <w:t>一套，进、出风口孔位置离地3.5m以上，倾斜进墙，墙内风管用2mmPb铅板包围防护；</w:t>
                  </w:r>
                </w:p>
              </w:tc>
              <w:tc>
                <w:tcPr>
                  <w:tcW w:w="1686" w:type="dxa"/>
                  <w:vAlign w:val="center"/>
                </w:tcPr>
                <w:p w14:paraId="532208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屏蔽墙体外瞬时剂量率不超过2.5μSv/h；</w:t>
                  </w:r>
                </w:p>
                <w:p w14:paraId="160E136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介入手术医护人员年有效剂量不超过10mSv；其他辐射工作人员不超过5mSv；</w:t>
                  </w:r>
                </w:p>
                <w:p w14:paraId="7334F41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公众年有效剂量不超过0.25mSv</w:t>
                  </w:r>
                </w:p>
              </w:tc>
            </w:tr>
            <w:tr w14:paraId="7AEA89E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47" w:hRule="atLeast"/>
              </w:trPr>
              <w:tc>
                <w:tcPr>
                  <w:tcW w:w="1473" w:type="dxa"/>
                  <w:gridSpan w:val="2"/>
                  <w:vMerge w:val="restart"/>
                  <w:vAlign w:val="center"/>
                </w:tcPr>
                <w:p w14:paraId="73D2FB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安全措施</w:t>
                  </w:r>
                </w:p>
              </w:tc>
              <w:tc>
                <w:tcPr>
                  <w:tcW w:w="6366" w:type="dxa"/>
                  <w:vAlign w:val="top"/>
                </w:tcPr>
                <w:p w14:paraId="74998BFA">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合理设置X射线设备、机房的门、窗和管线口位置，应尽量避免有用线束直接照射门、窗、管线口和工作人员操作位</w:t>
                  </w:r>
                  <w:r>
                    <w:rPr>
                      <w:rFonts w:hint="eastAsia" w:cs="Times New Roman"/>
                      <w:color w:val="auto"/>
                      <w:sz w:val="21"/>
                      <w:szCs w:val="21"/>
                      <w:lang w:val="en-US" w:eastAsia="zh-CN"/>
                    </w:rPr>
                    <w:t>；</w:t>
                  </w:r>
                </w:p>
              </w:tc>
              <w:tc>
                <w:tcPr>
                  <w:tcW w:w="1686" w:type="dxa"/>
                  <w:vMerge w:val="restart"/>
                  <w:vAlign w:val="center"/>
                </w:tcPr>
                <w:p w14:paraId="1C3BC24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按要求设置</w:t>
                  </w:r>
                </w:p>
              </w:tc>
            </w:tr>
            <w:tr w14:paraId="5D38AD6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36" w:hRule="atLeast"/>
              </w:trPr>
              <w:tc>
                <w:tcPr>
                  <w:tcW w:w="1473" w:type="dxa"/>
                  <w:gridSpan w:val="2"/>
                  <w:vMerge w:val="continue"/>
                  <w:vAlign w:val="center"/>
                </w:tcPr>
                <w:p w14:paraId="5007F9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6CB32810">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lang w:val="en-US" w:eastAsia="zh-CN"/>
                    </w:rPr>
                    <w:t>X 射线设备机房（照射室）的设置应充分考虑邻室（含楼上和楼下）及周围场所的人员防护与安全</w:t>
                  </w:r>
                  <w:r>
                    <w:rPr>
                      <w:rFonts w:hint="eastAsia" w:cs="Times New Roman"/>
                      <w:color w:val="auto"/>
                      <w:sz w:val="21"/>
                      <w:szCs w:val="21"/>
                      <w:lang w:val="en-US" w:eastAsia="zh-CN"/>
                    </w:rPr>
                    <w:t>；</w:t>
                  </w:r>
                </w:p>
              </w:tc>
              <w:tc>
                <w:tcPr>
                  <w:tcW w:w="1686" w:type="dxa"/>
                  <w:vMerge w:val="continue"/>
                  <w:vAlign w:val="center"/>
                </w:tcPr>
                <w:p w14:paraId="1F75B2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5A5A21F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473" w:type="dxa"/>
                  <w:gridSpan w:val="2"/>
                  <w:vMerge w:val="continue"/>
                  <w:vAlign w:val="center"/>
                </w:tcPr>
                <w:p w14:paraId="2E9E6FB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75A3D0C7">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机房外张贴电离辐射警告标志；机房门上方应有醒目的工作状态指示灯（</w:t>
                  </w:r>
                  <w:r>
                    <w:rPr>
                      <w:rFonts w:hint="default" w:ascii="Times New Roman" w:hAnsi="Times New Roman" w:eastAsia="宋体" w:cs="Times New Roman"/>
                      <w:color w:val="auto"/>
                      <w:sz w:val="21"/>
                      <w:szCs w:val="21"/>
                      <w:lang w:eastAsia="zh-CN"/>
                    </w:rPr>
                    <w:t>门灯关联</w:t>
                  </w:r>
                  <w:r>
                    <w:rPr>
                      <w:rFonts w:hint="default" w:ascii="Times New Roman" w:hAnsi="Times New Roman" w:eastAsia="宋体" w:cs="Times New Roman"/>
                      <w:color w:val="auto"/>
                      <w:sz w:val="21"/>
                      <w:szCs w:val="21"/>
                    </w:rPr>
                    <w:t>），灯箱上设置如</w:t>
                  </w:r>
                  <w:r>
                    <w:rPr>
                      <w:rFonts w:hint="eastAsia" w:ascii="宋体" w:hAnsi="宋体" w:eastAsia="宋体" w:cs="宋体"/>
                      <w:color w:val="auto"/>
                      <w:sz w:val="21"/>
                      <w:szCs w:val="21"/>
                    </w:rPr>
                    <w:t>“射线有害、灯亮勿入”</w:t>
                  </w:r>
                  <w:r>
                    <w:rPr>
                      <w:rFonts w:hint="default" w:ascii="Times New Roman" w:hAnsi="Times New Roman" w:eastAsia="宋体" w:cs="Times New Roman"/>
                      <w:color w:val="auto"/>
                      <w:sz w:val="21"/>
                      <w:szCs w:val="21"/>
                    </w:rPr>
                    <w:t>的可视警示语句；候诊区应设置放射防护注意事项告知栏。</w:t>
                  </w:r>
                </w:p>
              </w:tc>
              <w:tc>
                <w:tcPr>
                  <w:tcW w:w="1686" w:type="dxa"/>
                  <w:vMerge w:val="continue"/>
                  <w:vAlign w:val="center"/>
                </w:tcPr>
                <w:p w14:paraId="6A3507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6DB6A1A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17" w:hRule="atLeast"/>
              </w:trPr>
              <w:tc>
                <w:tcPr>
                  <w:tcW w:w="1473" w:type="dxa"/>
                  <w:gridSpan w:val="2"/>
                  <w:vMerge w:val="continue"/>
                  <w:vAlign w:val="center"/>
                </w:tcPr>
                <w:p w14:paraId="7BA5ABB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3E34BC03">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cs="Times New Roman"/>
                      <w:color w:val="auto"/>
                      <w:sz w:val="21"/>
                      <w:szCs w:val="21"/>
                      <w:lang w:eastAsia="zh-CN"/>
                    </w:rPr>
                    <w:t>机房拟设观察窗，其设置的位置便于观察到受检者状态及防护门开闭情况</w:t>
                  </w:r>
                  <w:r>
                    <w:rPr>
                      <w:rFonts w:hint="eastAsia" w:cs="Times New Roman"/>
                      <w:color w:val="auto"/>
                      <w:sz w:val="21"/>
                      <w:szCs w:val="21"/>
                      <w:lang w:eastAsia="zh-CN"/>
                    </w:rPr>
                    <w:t>；</w:t>
                  </w:r>
                </w:p>
              </w:tc>
              <w:tc>
                <w:tcPr>
                  <w:tcW w:w="1686" w:type="dxa"/>
                  <w:vMerge w:val="continue"/>
                  <w:vAlign w:val="center"/>
                </w:tcPr>
                <w:p w14:paraId="7D10856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24B175F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33" w:hRule="atLeast"/>
              </w:trPr>
              <w:tc>
                <w:tcPr>
                  <w:tcW w:w="1473" w:type="dxa"/>
                  <w:gridSpan w:val="2"/>
                  <w:vMerge w:val="continue"/>
                  <w:vAlign w:val="center"/>
                </w:tcPr>
                <w:p w14:paraId="4B410F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1F3CFADA">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eastAsia" w:cs="Times New Roman"/>
                      <w:color w:val="auto"/>
                      <w:sz w:val="21"/>
                      <w:szCs w:val="21"/>
                      <w:lang w:eastAsia="zh-CN"/>
                    </w:rPr>
                    <w:t>依托综合楼</w:t>
                  </w:r>
                  <w:r>
                    <w:rPr>
                      <w:rFonts w:hint="default" w:ascii="Times New Roman" w:hAnsi="Times New Roman" w:cs="Times New Roman"/>
                      <w:color w:val="auto"/>
                      <w:sz w:val="21"/>
                      <w:szCs w:val="21"/>
                      <w:lang w:eastAsia="zh-CN"/>
                    </w:rPr>
                    <w:t>通风系统</w:t>
                  </w:r>
                  <w:r>
                    <w:rPr>
                      <w:rFonts w:hint="eastAsia" w:cs="Times New Roman"/>
                      <w:color w:val="auto"/>
                      <w:sz w:val="21"/>
                      <w:szCs w:val="21"/>
                      <w:lang w:eastAsia="zh-CN"/>
                    </w:rPr>
                    <w:t>，</w:t>
                  </w:r>
                  <w:r>
                    <w:rPr>
                      <w:rFonts w:hint="eastAsia" w:cs="Times New Roman"/>
                      <w:color w:val="auto"/>
                      <w:sz w:val="21"/>
                      <w:szCs w:val="21"/>
                      <w:highlight w:val="none"/>
                      <w:lang w:eastAsia="zh-CN"/>
                    </w:rPr>
                    <w:t>机房</w:t>
                  </w:r>
                  <w:r>
                    <w:rPr>
                      <w:rFonts w:hint="default" w:ascii="Times New Roman" w:hAnsi="Times New Roman" w:cs="Times New Roman"/>
                      <w:color w:val="auto"/>
                      <w:sz w:val="21"/>
                      <w:szCs w:val="21"/>
                      <w:highlight w:val="none"/>
                    </w:rPr>
                    <w:t>内</w:t>
                  </w:r>
                  <w:r>
                    <w:rPr>
                      <w:rFonts w:hint="eastAsia" w:cs="Times New Roman"/>
                      <w:color w:val="auto"/>
                      <w:sz w:val="21"/>
                      <w:szCs w:val="21"/>
                      <w:highlight w:val="none"/>
                      <w:lang w:eastAsia="zh-CN"/>
                    </w:rPr>
                    <w:t>设置通风口，并保持良好的通风；</w:t>
                  </w:r>
                </w:p>
              </w:tc>
              <w:tc>
                <w:tcPr>
                  <w:tcW w:w="1686" w:type="dxa"/>
                  <w:vMerge w:val="continue"/>
                  <w:vAlign w:val="center"/>
                </w:tcPr>
                <w:p w14:paraId="7CAA10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43CE132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17" w:hRule="atLeast"/>
              </w:trPr>
              <w:tc>
                <w:tcPr>
                  <w:tcW w:w="1473" w:type="dxa"/>
                  <w:gridSpan w:val="2"/>
                  <w:vMerge w:val="continue"/>
                  <w:vAlign w:val="center"/>
                </w:tcPr>
                <w:p w14:paraId="6B9213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1F3B2338">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eastAsia" w:cs="Times New Roman"/>
                      <w:color w:val="auto"/>
                      <w:sz w:val="21"/>
                      <w:szCs w:val="21"/>
                      <w:lang w:eastAsia="zh-CN"/>
                    </w:rPr>
                    <w:t>推拉式机房门设有曝光时关闭机房门的管理措施；工作状态指示灯能与机房门有效关联；</w:t>
                  </w:r>
                </w:p>
              </w:tc>
              <w:tc>
                <w:tcPr>
                  <w:tcW w:w="1686" w:type="dxa"/>
                  <w:vMerge w:val="continue"/>
                  <w:vAlign w:val="center"/>
                </w:tcPr>
                <w:p w14:paraId="1F9B88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4DC677D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43" w:hRule="atLeast"/>
              </w:trPr>
              <w:tc>
                <w:tcPr>
                  <w:tcW w:w="1473" w:type="dxa"/>
                  <w:gridSpan w:val="2"/>
                  <w:vMerge w:val="continue"/>
                  <w:vAlign w:val="center"/>
                </w:tcPr>
                <w:p w14:paraId="2EA1CF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452CF02B">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cs="Times New Roman"/>
                      <w:color w:val="auto"/>
                      <w:sz w:val="21"/>
                      <w:szCs w:val="21"/>
                      <w:lang w:eastAsia="zh-CN"/>
                    </w:rPr>
                    <w:t>电动推拉</w:t>
                  </w:r>
                  <w:r>
                    <w:rPr>
                      <w:rFonts w:hint="default" w:ascii="Times New Roman" w:hAnsi="Times New Roman" w:eastAsia="宋体" w:cs="Times New Roman"/>
                      <w:color w:val="auto"/>
                      <w:sz w:val="21"/>
                      <w:szCs w:val="21"/>
                      <w:lang w:eastAsia="zh-CN"/>
                    </w:rPr>
                    <w:t>大门</w:t>
                  </w:r>
                  <w:r>
                    <w:rPr>
                      <w:rFonts w:hint="default" w:ascii="Times New Roman" w:hAnsi="Times New Roman" w:cs="Times New Roman"/>
                      <w:color w:val="auto"/>
                      <w:sz w:val="21"/>
                      <w:szCs w:val="21"/>
                      <w:lang w:eastAsia="zh-CN"/>
                    </w:rPr>
                    <w:t>设置</w:t>
                  </w:r>
                  <w:r>
                    <w:rPr>
                      <w:rFonts w:hint="default" w:ascii="Times New Roman" w:hAnsi="Times New Roman" w:eastAsia="宋体" w:cs="Times New Roman"/>
                      <w:color w:val="auto"/>
                      <w:sz w:val="21"/>
                      <w:szCs w:val="21"/>
                      <w:lang w:eastAsia="zh-CN"/>
                    </w:rPr>
                    <w:t>防夹装置</w:t>
                  </w:r>
                  <w:r>
                    <w:rPr>
                      <w:rFonts w:hint="eastAsia" w:cs="Times New Roman"/>
                      <w:color w:val="auto"/>
                      <w:sz w:val="21"/>
                      <w:szCs w:val="21"/>
                      <w:lang w:eastAsia="zh-CN"/>
                    </w:rPr>
                    <w:t>；</w:t>
                  </w:r>
                </w:p>
              </w:tc>
              <w:tc>
                <w:tcPr>
                  <w:tcW w:w="1686" w:type="dxa"/>
                  <w:vMerge w:val="continue"/>
                  <w:vAlign w:val="center"/>
                </w:tcPr>
                <w:p w14:paraId="3EAF8B4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362B81D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17" w:hRule="atLeast"/>
              </w:trPr>
              <w:tc>
                <w:tcPr>
                  <w:tcW w:w="1473" w:type="dxa"/>
                  <w:gridSpan w:val="2"/>
                  <w:vMerge w:val="continue"/>
                  <w:vAlign w:val="center"/>
                </w:tcPr>
                <w:p w14:paraId="04E744F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2D06D959">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cs="Times New Roman"/>
                      <w:color w:val="auto"/>
                      <w:sz w:val="21"/>
                      <w:szCs w:val="21"/>
                      <w:lang w:eastAsia="zh-CN"/>
                    </w:rPr>
                    <w:t>受检者不应在机房内候诊；非特殊情况，检查过程中陪检者不应滞留在机房内</w:t>
                  </w:r>
                  <w:r>
                    <w:rPr>
                      <w:rFonts w:hint="eastAsia" w:cs="Times New Roman"/>
                      <w:color w:val="auto"/>
                      <w:sz w:val="21"/>
                      <w:szCs w:val="21"/>
                      <w:lang w:eastAsia="zh-CN"/>
                    </w:rPr>
                    <w:t>；</w:t>
                  </w:r>
                </w:p>
              </w:tc>
              <w:tc>
                <w:tcPr>
                  <w:tcW w:w="1686" w:type="dxa"/>
                  <w:vMerge w:val="continue"/>
                  <w:vAlign w:val="center"/>
                </w:tcPr>
                <w:p w14:paraId="5A3178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7F2E24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5" w:hRule="atLeast"/>
              </w:trPr>
              <w:tc>
                <w:tcPr>
                  <w:tcW w:w="1473" w:type="dxa"/>
                  <w:gridSpan w:val="2"/>
                  <w:vMerge w:val="continue"/>
                  <w:vAlign w:val="center"/>
                </w:tcPr>
                <w:p w14:paraId="7127B8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6BC424FE">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cs="Times New Roman"/>
                      <w:color w:val="auto"/>
                      <w:sz w:val="21"/>
                      <w:szCs w:val="21"/>
                      <w:lang w:val="en-US" w:eastAsia="zh-CN"/>
                    </w:rPr>
                    <w:t>机房出入门宜处于散射辐射相对低的位置</w:t>
                  </w:r>
                  <w:r>
                    <w:rPr>
                      <w:rFonts w:hint="eastAsia" w:cs="Times New Roman"/>
                      <w:color w:val="auto"/>
                      <w:sz w:val="21"/>
                      <w:szCs w:val="21"/>
                      <w:lang w:val="en-US" w:eastAsia="zh-CN"/>
                    </w:rPr>
                    <w:t>；</w:t>
                  </w:r>
                </w:p>
              </w:tc>
              <w:tc>
                <w:tcPr>
                  <w:tcW w:w="1686" w:type="dxa"/>
                  <w:vMerge w:val="continue"/>
                  <w:vAlign w:val="center"/>
                </w:tcPr>
                <w:p w14:paraId="06D3F1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r>
            <w:tr w14:paraId="3575BEA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17" w:hRule="atLeast"/>
              </w:trPr>
              <w:tc>
                <w:tcPr>
                  <w:tcW w:w="1473" w:type="dxa"/>
                  <w:gridSpan w:val="2"/>
                  <w:vMerge w:val="continue"/>
                  <w:vAlign w:val="center"/>
                </w:tcPr>
                <w:p w14:paraId="55AEE33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top"/>
                </w:tcPr>
                <w:p w14:paraId="60156033">
                  <w:pPr>
                    <w:pStyle w:val="26"/>
                    <w:keepNext w:val="0"/>
                    <w:keepLines w:val="0"/>
                    <w:suppressLineNumbers w:val="0"/>
                    <w:spacing w:before="0" w:beforeAutospacing="0" w:after="0" w:afterAutospacing="0"/>
                    <w:ind w:left="0" w:leftChars="0" w:right="0" w:rightChars="0" w:firstLine="0" w:firstLineChars="0"/>
                    <w:jc w:val="left"/>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color w:val="auto"/>
                      <w:sz w:val="21"/>
                      <w:szCs w:val="21"/>
                    </w:rPr>
                    <w:t>岗位职责、操作规程和管理制度等张贴上墙。</w:t>
                  </w:r>
                </w:p>
              </w:tc>
              <w:tc>
                <w:tcPr>
                  <w:tcW w:w="1686" w:type="dxa"/>
                  <w:vAlign w:val="center"/>
                </w:tcPr>
                <w:p w14:paraId="56FE27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按要求张贴</w:t>
                  </w:r>
                </w:p>
              </w:tc>
            </w:tr>
            <w:tr w14:paraId="0AA065E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59" w:hRule="atLeast"/>
              </w:trPr>
              <w:tc>
                <w:tcPr>
                  <w:tcW w:w="1473" w:type="dxa"/>
                  <w:gridSpan w:val="2"/>
                  <w:vMerge w:val="restart"/>
                  <w:vAlign w:val="center"/>
                </w:tcPr>
                <w:p w14:paraId="0E5FFF9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个人防护</w:t>
                  </w:r>
                </w:p>
              </w:tc>
              <w:tc>
                <w:tcPr>
                  <w:tcW w:w="6366" w:type="dxa"/>
                  <w:vAlign w:val="center"/>
                </w:tcPr>
                <w:p w14:paraId="5E85F0C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本项目辐射工作人员在参加辐射工作前必须通过辐射安全与防护考核。</w:t>
                  </w:r>
                </w:p>
              </w:tc>
              <w:tc>
                <w:tcPr>
                  <w:tcW w:w="1686" w:type="dxa"/>
                  <w:vAlign w:val="center"/>
                </w:tcPr>
                <w:p w14:paraId="701792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按要求落实</w:t>
                  </w:r>
                </w:p>
              </w:tc>
            </w:tr>
            <w:tr w14:paraId="0ABEF25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36" w:hRule="atLeast"/>
              </w:trPr>
              <w:tc>
                <w:tcPr>
                  <w:tcW w:w="1473" w:type="dxa"/>
                  <w:gridSpan w:val="2"/>
                  <w:vMerge w:val="continue"/>
                  <w:vAlign w:val="center"/>
                </w:tcPr>
                <w:p w14:paraId="73CB9C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center"/>
                </w:tcPr>
                <w:p w14:paraId="68A7C37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辐射工作人员均佩戴个人剂量计（介入手术医师应佩戴不同颜色的内外片），开展个人剂量监测（一般为1个月，最长不应超过3个月送检一次）。</w:t>
                  </w:r>
                </w:p>
              </w:tc>
              <w:tc>
                <w:tcPr>
                  <w:tcW w:w="1686" w:type="dxa"/>
                  <w:vAlign w:val="center"/>
                </w:tcPr>
                <w:p w14:paraId="4FF4C28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按要求佩戴/送检</w:t>
                  </w:r>
                </w:p>
              </w:tc>
            </w:tr>
            <w:tr w14:paraId="4A50C6A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08" w:hRule="atLeast"/>
              </w:trPr>
              <w:tc>
                <w:tcPr>
                  <w:tcW w:w="1473" w:type="dxa"/>
                  <w:gridSpan w:val="2"/>
                  <w:vMerge w:val="continue"/>
                  <w:vAlign w:val="center"/>
                </w:tcPr>
                <w:p w14:paraId="4C2232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center"/>
                </w:tcPr>
                <w:p w14:paraId="6248D4C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辐射工作人员开展岗前体检、岗中</w:t>
                  </w:r>
                  <w:r>
                    <w:rPr>
                      <w:rFonts w:hint="default" w:ascii="Times New Roman" w:hAnsi="Times New Roman" w:eastAsia="宋体" w:cs="Times New Roman"/>
                      <w:b w:val="0"/>
                      <w:snapToGrid w:val="0"/>
                      <w:color w:val="auto"/>
                      <w:kern w:val="0"/>
                      <w:sz w:val="21"/>
                      <w:szCs w:val="21"/>
                      <w:highlight w:val="none"/>
                      <w:lang w:val="en-US" w:eastAsia="zh-CN" w:bidi="ar-SA"/>
                    </w:rPr>
                    <w:t>（周期不大于2年/次）</w:t>
                  </w:r>
                  <w:r>
                    <w:rPr>
                      <w:rFonts w:hint="default" w:ascii="Times New Roman" w:hAnsi="Times New Roman" w:eastAsia="宋体" w:cs="Times New Roman"/>
                      <w:b w:val="0"/>
                      <w:snapToGrid w:val="0"/>
                      <w:color w:val="auto"/>
                      <w:kern w:val="0"/>
                      <w:sz w:val="21"/>
                      <w:szCs w:val="21"/>
                      <w:lang w:val="en-US" w:eastAsia="zh-CN" w:bidi="ar-SA"/>
                    </w:rPr>
                    <w:t>及离岗职业健康体检，体检合格方能上岗。</w:t>
                  </w:r>
                </w:p>
              </w:tc>
              <w:tc>
                <w:tcPr>
                  <w:tcW w:w="1686" w:type="dxa"/>
                  <w:vAlign w:val="center"/>
                </w:tcPr>
                <w:p w14:paraId="51455BD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按要求落实</w:t>
                  </w:r>
                </w:p>
              </w:tc>
            </w:tr>
            <w:tr w14:paraId="6E182AB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74" w:hRule="atLeast"/>
              </w:trPr>
              <w:tc>
                <w:tcPr>
                  <w:tcW w:w="1473" w:type="dxa"/>
                  <w:gridSpan w:val="2"/>
                  <w:vMerge w:val="continue"/>
                  <w:vAlign w:val="center"/>
                </w:tcPr>
                <w:p w14:paraId="1CDFA83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p>
              </w:tc>
              <w:tc>
                <w:tcPr>
                  <w:tcW w:w="6366" w:type="dxa"/>
                  <w:vAlign w:val="center"/>
                </w:tcPr>
                <w:p w14:paraId="3F24A8A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为工作人员、患者和受检者配置不低于0.35mm铅当量的铅橡胶手套、铅橡胶围裙、铅橡胶颈套、铅防护眼镜、铅悬挂防护屏、铅防护吊帘、床侧防护帘、床侧防护屏等个人防护用品及辅助防护设施；应为不同年龄儿童的不同检查，配备有保护相应组织和器官的防护用品，防护用品和辅助防护设施的铅当量应不低于0.5mmPb。</w:t>
                  </w:r>
                </w:p>
              </w:tc>
              <w:tc>
                <w:tcPr>
                  <w:tcW w:w="1686" w:type="dxa"/>
                  <w:vAlign w:val="center"/>
                </w:tcPr>
                <w:p w14:paraId="44B9B67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val="0"/>
                      <w:snapToGrid w:val="0"/>
                      <w:color w:val="auto"/>
                      <w:kern w:val="0"/>
                      <w:sz w:val="21"/>
                      <w:szCs w:val="21"/>
                      <w:lang w:val="en-US" w:eastAsia="zh-CN" w:bidi="ar-SA"/>
                    </w:rPr>
                  </w:pPr>
                  <w:r>
                    <w:rPr>
                      <w:rFonts w:hint="default" w:ascii="Times New Roman" w:hAnsi="Times New Roman" w:eastAsia="宋体" w:cs="Times New Roman"/>
                      <w:b w:val="0"/>
                      <w:snapToGrid w:val="0"/>
                      <w:color w:val="auto"/>
                      <w:kern w:val="0"/>
                      <w:sz w:val="21"/>
                      <w:szCs w:val="21"/>
                      <w:lang w:val="en-US" w:eastAsia="zh-CN" w:bidi="ar-SA"/>
                    </w:rPr>
                    <w:t>按要求配置/佩戴</w:t>
                  </w:r>
                </w:p>
              </w:tc>
            </w:tr>
          </w:tbl>
          <w:p w14:paraId="3F90AF42">
            <w:pPr>
              <w:keepNext w:val="0"/>
              <w:keepLines w:val="0"/>
              <w:widowControl w:val="0"/>
              <w:suppressLineNumbers w:val="0"/>
              <w:spacing w:before="0" w:beforeAutospacing="0" w:after="0" w:afterAutospacing="0" w:line="240" w:lineRule="auto"/>
              <w:ind w:left="0" w:right="0" w:firstLine="360" w:firstLineChars="200"/>
              <w:jc w:val="both"/>
              <w:rPr>
                <w:rFonts w:hint="eastAsia" w:ascii="宋体" w:hAnsi="宋体" w:eastAsia="宋体" w:cs="宋体"/>
                <w:color w:val="auto"/>
                <w:spacing w:val="-3"/>
                <w:sz w:val="24"/>
                <w:szCs w:val="24"/>
                <w:lang w:eastAsia="zh-CN"/>
              </w:rPr>
            </w:pPr>
            <w:r>
              <w:rPr>
                <w:rFonts w:hint="default" w:ascii="Times New Roman" w:hAnsi="Times New Roman" w:eastAsia="宋体" w:cs="Times New Roman"/>
                <w:snapToGrid w:val="0"/>
                <w:color w:val="auto"/>
                <w:kern w:val="0"/>
                <w:sz w:val="18"/>
                <w:szCs w:val="18"/>
                <w:lang w:val="en-US" w:eastAsia="zh-CN" w:bidi="ar-SA"/>
              </w:rPr>
              <w:t>注：以上</w:t>
            </w:r>
            <w:r>
              <w:rPr>
                <w:rFonts w:hint="eastAsia" w:ascii="Times New Roman" w:hAnsi="Times New Roman" w:eastAsia="宋体" w:cs="Times New Roman"/>
                <w:snapToGrid w:val="0"/>
                <w:color w:val="auto"/>
                <w:kern w:val="0"/>
                <w:sz w:val="18"/>
                <w:szCs w:val="18"/>
                <w:lang w:val="en-US" w:eastAsia="zh-CN" w:bidi="ar-SA"/>
              </w:rPr>
              <w:t>措施应在项目“三同时”验收</w:t>
            </w:r>
            <w:r>
              <w:rPr>
                <w:rFonts w:hint="default" w:ascii="Times New Roman" w:hAnsi="Times New Roman" w:eastAsia="宋体" w:cs="Times New Roman"/>
                <w:snapToGrid w:val="0"/>
                <w:color w:val="auto"/>
                <w:kern w:val="0"/>
                <w:sz w:val="18"/>
                <w:szCs w:val="18"/>
                <w:lang w:val="en-US" w:eastAsia="zh-CN" w:bidi="ar-SA"/>
              </w:rPr>
              <w:t>时，</w:t>
            </w:r>
            <w:r>
              <w:rPr>
                <w:rFonts w:hint="eastAsia" w:ascii="Times New Roman" w:hAnsi="Times New Roman" w:eastAsia="宋体" w:cs="Times New Roman"/>
                <w:snapToGrid w:val="0"/>
                <w:color w:val="auto"/>
                <w:kern w:val="0"/>
                <w:sz w:val="18"/>
                <w:szCs w:val="18"/>
                <w:lang w:val="en-US" w:eastAsia="zh-CN" w:bidi="ar-SA"/>
              </w:rPr>
              <w:t>需</w:t>
            </w:r>
            <w:r>
              <w:rPr>
                <w:rFonts w:hint="default" w:ascii="Times New Roman" w:hAnsi="Times New Roman" w:eastAsia="宋体" w:cs="Times New Roman"/>
                <w:snapToGrid w:val="0"/>
                <w:color w:val="auto"/>
                <w:kern w:val="0"/>
                <w:sz w:val="18"/>
                <w:szCs w:val="18"/>
                <w:lang w:val="en-US" w:eastAsia="zh-CN" w:bidi="ar-SA"/>
              </w:rPr>
              <w:t>全部落实到位。</w:t>
            </w:r>
          </w:p>
        </w:tc>
      </w:tr>
    </w:tbl>
    <w:p w14:paraId="70CB41AF">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2EA8F9CA">
      <w:pPr>
        <w:pStyle w:val="3"/>
        <w:bidi w:val="0"/>
        <w:rPr>
          <w:color w:val="auto"/>
        </w:rPr>
      </w:pPr>
      <w:bookmarkStart w:id="78" w:name="_Toc84244215"/>
      <w:bookmarkStart w:id="79" w:name="_Toc30377"/>
      <w:bookmarkStart w:id="80" w:name="_Toc24446"/>
      <w:bookmarkStart w:id="81" w:name="_Toc30040"/>
      <w:r>
        <w:rPr>
          <w:color w:val="auto"/>
        </w:rPr>
        <w:t xml:space="preserve">表13 </w:t>
      </w:r>
      <w:r>
        <w:rPr>
          <w:rFonts w:hint="eastAsia"/>
          <w:color w:val="auto"/>
        </w:rPr>
        <w:t>结论与建议</w:t>
      </w:r>
      <w:bookmarkEnd w:id="78"/>
      <w:bookmarkEnd w:id="79"/>
      <w:bookmarkEnd w:id="80"/>
      <w:bookmarkEnd w:id="81"/>
    </w:p>
    <w:tbl>
      <w:tblPr>
        <w:tblStyle w:val="18"/>
        <w:tblW w:w="9778" w:type="dxa"/>
        <w:tblInd w:w="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78"/>
      </w:tblGrid>
      <w:tr w14:paraId="050F18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78" w:type="dxa"/>
          </w:tcPr>
          <w:p w14:paraId="054B4796">
            <w:pPr>
              <w:pStyle w:val="23"/>
              <w:keepNext w:val="0"/>
              <w:keepLines w:val="0"/>
              <w:suppressLineNumbers w:val="0"/>
              <w:spacing w:before="0" w:beforeAutospacing="0" w:after="0" w:afterAutospacing="0"/>
              <w:ind w:left="0" w:leftChars="0" w:right="0" w:firstLine="0" w:firstLineChars="0"/>
              <w:rPr>
                <w:rFonts w:hint="default" w:cs="Times New Roman"/>
                <w:b/>
                <w:bCs/>
                <w:color w:val="auto"/>
                <w:szCs w:val="22"/>
              </w:rPr>
            </w:pPr>
            <w:r>
              <w:rPr>
                <w:rFonts w:hint="eastAsia" w:cs="Times New Roman"/>
                <w:b/>
                <w:bCs/>
                <w:color w:val="auto"/>
                <w:szCs w:val="22"/>
              </w:rPr>
              <w:t>结论：</w:t>
            </w:r>
          </w:p>
          <w:p w14:paraId="49858DFB">
            <w:pPr>
              <w:pStyle w:val="23"/>
              <w:keepNext w:val="0"/>
              <w:keepLines w:val="0"/>
              <w:suppressLineNumbers w:val="0"/>
              <w:spacing w:before="0" w:beforeAutospacing="0" w:after="0" w:afterAutospacing="0"/>
              <w:ind w:left="0" w:right="0" w:firstLine="482" w:firstLineChars="200"/>
              <w:rPr>
                <w:rFonts w:hint="default" w:cs="Times New Roman"/>
                <w:b/>
                <w:bCs/>
                <w:color w:val="auto"/>
              </w:rPr>
            </w:pPr>
            <w:r>
              <w:rPr>
                <w:rFonts w:hint="eastAsia" w:cs="Times New Roman"/>
                <w:b/>
                <w:bCs/>
                <w:color w:val="auto"/>
              </w:rPr>
              <w:t>1、项目概况</w:t>
            </w:r>
          </w:p>
          <w:p w14:paraId="04ACE6B6">
            <w:pPr>
              <w:pStyle w:val="23"/>
              <w:keepNext w:val="0"/>
              <w:keepLines w:val="0"/>
              <w:numPr>
                <w:ilvl w:val="0"/>
                <w:numId w:val="6"/>
              </w:numPr>
              <w:suppressLineNumbers w:val="0"/>
              <w:spacing w:before="0" w:beforeAutospacing="0" w:after="0" w:afterAutospacing="0"/>
              <w:ind w:left="-60" w:leftChars="0" w:right="0" w:firstLine="480" w:firstLineChars="0"/>
              <w:rPr>
                <w:rFonts w:hint="eastAsia"/>
                <w:b w:val="0"/>
                <w:bCs w:val="0"/>
                <w:color w:val="auto"/>
                <w:highlight w:val="none"/>
                <w:lang w:val="en-US" w:eastAsia="zh-CN"/>
              </w:rPr>
            </w:pPr>
            <w:r>
              <w:rPr>
                <w:rFonts w:hint="eastAsia"/>
                <w:b w:val="0"/>
                <w:bCs w:val="0"/>
                <w:color w:val="auto"/>
                <w:lang w:val="en-US" w:eastAsia="zh-CN"/>
              </w:rPr>
              <w:t>项目名</w:t>
            </w:r>
            <w:r>
              <w:rPr>
                <w:rFonts w:hint="eastAsia"/>
                <w:b w:val="0"/>
                <w:bCs w:val="0"/>
                <w:color w:val="auto"/>
                <w:highlight w:val="none"/>
                <w:lang w:val="en-US" w:eastAsia="zh-CN"/>
              </w:rPr>
              <w:t>称：寿县安康医院新增DSA设备项目；</w:t>
            </w:r>
          </w:p>
          <w:p w14:paraId="3D9A0D75">
            <w:pPr>
              <w:pStyle w:val="23"/>
              <w:keepNext w:val="0"/>
              <w:keepLines w:val="0"/>
              <w:numPr>
                <w:ilvl w:val="0"/>
                <w:numId w:val="6"/>
              </w:numPr>
              <w:suppressLineNumbers w:val="0"/>
              <w:spacing w:before="0" w:beforeAutospacing="0" w:after="0" w:afterAutospacing="0"/>
              <w:ind w:left="-60" w:leftChars="0" w:right="0" w:firstLine="480" w:firstLineChars="0"/>
              <w:rPr>
                <w:rFonts w:hint="default"/>
                <w:b w:val="0"/>
                <w:bCs w:val="0"/>
                <w:color w:val="auto"/>
                <w:lang w:val="en-US" w:eastAsia="zh-CN"/>
              </w:rPr>
            </w:pPr>
            <w:r>
              <w:rPr>
                <w:rFonts w:hint="eastAsia"/>
                <w:b w:val="0"/>
                <w:bCs w:val="0"/>
                <w:color w:val="auto"/>
                <w:highlight w:val="none"/>
                <w:lang w:val="en-US" w:eastAsia="zh-CN"/>
              </w:rPr>
              <w:t>建设单位：寿县安康医院</w:t>
            </w:r>
            <w:r>
              <w:rPr>
                <w:rFonts w:hint="eastAsia"/>
                <w:b w:val="0"/>
                <w:bCs w:val="0"/>
                <w:color w:val="auto"/>
                <w:lang w:val="en-US" w:eastAsia="zh-CN"/>
              </w:rPr>
              <w:t>；</w:t>
            </w:r>
          </w:p>
          <w:p w14:paraId="4D307626">
            <w:pPr>
              <w:pStyle w:val="23"/>
              <w:keepNext w:val="0"/>
              <w:keepLines w:val="0"/>
              <w:numPr>
                <w:ilvl w:val="0"/>
                <w:numId w:val="6"/>
              </w:numPr>
              <w:suppressLineNumbers w:val="0"/>
              <w:spacing w:before="0" w:beforeAutospacing="0" w:after="0" w:afterAutospacing="0"/>
              <w:ind w:left="-60" w:leftChars="0" w:right="0" w:firstLine="480" w:firstLineChars="0"/>
              <w:rPr>
                <w:rFonts w:hint="default"/>
                <w:b w:val="0"/>
                <w:bCs w:val="0"/>
                <w:color w:val="auto"/>
                <w:lang w:val="en-US" w:eastAsia="zh-CN"/>
              </w:rPr>
            </w:pPr>
            <w:r>
              <w:rPr>
                <w:rFonts w:hint="eastAsia"/>
                <w:b w:val="0"/>
                <w:bCs w:val="0"/>
                <w:color w:val="auto"/>
                <w:lang w:val="en-US" w:eastAsia="zh-CN"/>
              </w:rPr>
              <w:t>建设地点：</w:t>
            </w:r>
            <w:r>
              <w:rPr>
                <w:rFonts w:hint="eastAsia"/>
                <w:color w:val="auto"/>
                <w:lang w:eastAsia="zh-CN"/>
              </w:rPr>
              <w:t>寿县安康医院综合楼</w:t>
            </w:r>
            <w:r>
              <w:rPr>
                <w:rFonts w:hint="eastAsia"/>
                <w:color w:val="auto"/>
                <w:lang w:val="en-US" w:eastAsia="zh-CN"/>
              </w:rPr>
              <w:t>1楼</w:t>
            </w:r>
            <w:r>
              <w:rPr>
                <w:rFonts w:hint="eastAsia"/>
                <w:b w:val="0"/>
                <w:bCs w:val="0"/>
                <w:color w:val="auto"/>
                <w:lang w:val="en-US" w:eastAsia="zh-CN"/>
              </w:rPr>
              <w:t>；</w:t>
            </w:r>
          </w:p>
          <w:p w14:paraId="0DB3C9D0">
            <w:pPr>
              <w:pStyle w:val="23"/>
              <w:keepNext w:val="0"/>
              <w:keepLines w:val="0"/>
              <w:numPr>
                <w:ilvl w:val="0"/>
                <w:numId w:val="6"/>
              </w:numPr>
              <w:suppressLineNumbers w:val="0"/>
              <w:spacing w:before="0" w:beforeAutospacing="0" w:after="0" w:afterAutospacing="0"/>
              <w:ind w:left="-60" w:leftChars="0" w:right="0" w:firstLine="480" w:firstLineChars="0"/>
              <w:rPr>
                <w:rFonts w:hint="default"/>
                <w:b w:val="0"/>
                <w:bCs w:val="0"/>
                <w:color w:val="auto"/>
                <w:lang w:val="en-US" w:eastAsia="zh-CN"/>
              </w:rPr>
            </w:pPr>
            <w:r>
              <w:rPr>
                <w:rFonts w:hint="eastAsia"/>
                <w:b w:val="0"/>
                <w:bCs w:val="0"/>
                <w:color w:val="auto"/>
                <w:lang w:val="en-US" w:eastAsia="zh-CN"/>
              </w:rPr>
              <w:t>建设性质：新建；</w:t>
            </w:r>
          </w:p>
          <w:p w14:paraId="0F51718D">
            <w:pPr>
              <w:pStyle w:val="23"/>
              <w:keepNext w:val="0"/>
              <w:keepLines w:val="0"/>
              <w:numPr>
                <w:ilvl w:val="0"/>
                <w:numId w:val="6"/>
              </w:numPr>
              <w:suppressLineNumbers w:val="0"/>
              <w:spacing w:before="0" w:beforeAutospacing="0" w:after="0" w:afterAutospacing="0"/>
              <w:ind w:left="-60" w:leftChars="0" w:right="0" w:firstLine="480" w:firstLineChars="0"/>
              <w:rPr>
                <w:rFonts w:hint="eastAsia" w:ascii="宋体" w:hAnsi="宋体" w:eastAsia="宋体" w:cs="宋体"/>
                <w:color w:val="auto"/>
                <w:sz w:val="24"/>
                <w:szCs w:val="24"/>
                <w:lang w:eastAsia="zh-CN"/>
              </w:rPr>
            </w:pPr>
            <w:r>
              <w:rPr>
                <w:rFonts w:hint="eastAsia"/>
                <w:b w:val="0"/>
                <w:bCs w:val="0"/>
                <w:color w:val="auto"/>
                <w:lang w:val="en-US" w:eastAsia="zh-CN"/>
              </w:rPr>
              <w:t>建设内容：</w:t>
            </w:r>
            <w:r>
              <w:rPr>
                <w:rFonts w:hint="eastAsia"/>
                <w:color w:val="auto"/>
                <w:lang w:val="en-US" w:eastAsia="zh-CN"/>
              </w:rPr>
              <w:t>拟对综合楼1层闲置房间</w:t>
            </w:r>
            <w:r>
              <w:rPr>
                <w:rFonts w:hint="default"/>
                <w:color w:val="auto"/>
                <w:lang w:val="en-US" w:eastAsia="zh-CN"/>
              </w:rPr>
              <w:t>进行防护</w:t>
            </w:r>
            <w:r>
              <w:rPr>
                <w:rFonts w:hint="eastAsia"/>
                <w:color w:val="auto"/>
                <w:lang w:val="en-US" w:eastAsia="zh-CN"/>
              </w:rPr>
              <w:t>改造，</w:t>
            </w:r>
            <w:r>
              <w:rPr>
                <w:rFonts w:hint="default"/>
                <w:color w:val="auto"/>
                <w:lang w:val="en-US" w:eastAsia="zh-CN"/>
              </w:rPr>
              <w:t>建设</w:t>
            </w:r>
            <w:r>
              <w:rPr>
                <w:rFonts w:hint="eastAsia"/>
                <w:color w:val="auto"/>
                <w:lang w:val="en-US" w:eastAsia="zh-CN"/>
              </w:rPr>
              <w:t>1间</w:t>
            </w:r>
            <w:r>
              <w:rPr>
                <w:rFonts w:hint="eastAsia"/>
                <w:b w:val="0"/>
                <w:bCs w:val="0"/>
                <w:color w:val="auto"/>
                <w:lang w:val="en-US" w:eastAsia="zh-CN"/>
              </w:rPr>
              <w:t>DSA机房，并购买一台DSA安装于DSA机房</w:t>
            </w:r>
            <w:r>
              <w:rPr>
                <w:rFonts w:hint="eastAsia" w:ascii="宋体" w:hAnsi="宋体" w:eastAsia="宋体" w:cs="宋体"/>
                <w:color w:val="auto"/>
                <w:sz w:val="24"/>
                <w:szCs w:val="24"/>
                <w:lang w:eastAsia="zh-CN"/>
              </w:rPr>
              <w:t>；</w:t>
            </w:r>
          </w:p>
          <w:p w14:paraId="6ABF5665">
            <w:pPr>
              <w:pStyle w:val="23"/>
              <w:keepNext w:val="0"/>
              <w:keepLines w:val="0"/>
              <w:numPr>
                <w:ilvl w:val="0"/>
                <w:numId w:val="6"/>
              </w:numPr>
              <w:suppressLineNumbers w:val="0"/>
              <w:spacing w:before="0" w:beforeAutospacing="0" w:after="0" w:afterAutospacing="0"/>
              <w:ind w:left="-60" w:leftChars="0" w:right="0" w:firstLine="480" w:firstLineChars="0"/>
              <w:rPr>
                <w:rFonts w:hint="default" w:ascii="Times New Roman" w:hAnsi="Times New Roman" w:eastAsia="宋体" w:cs="Times New Roman"/>
                <w:color w:val="auto"/>
                <w:sz w:val="24"/>
                <w:szCs w:val="24"/>
                <w:lang w:eastAsia="zh-CN"/>
              </w:rPr>
            </w:pPr>
            <w:r>
              <w:rPr>
                <w:rFonts w:hint="eastAsia" w:ascii="宋体" w:hAnsi="宋体" w:eastAsia="宋体" w:cs="宋体"/>
                <w:color w:val="auto"/>
                <w:sz w:val="24"/>
                <w:szCs w:val="24"/>
                <w:lang w:eastAsia="zh-CN"/>
              </w:rPr>
              <w:t>防护效果：</w:t>
            </w:r>
            <w:r>
              <w:rPr>
                <w:rFonts w:hint="default" w:ascii="Times New Roman" w:hAnsi="Times New Roman" w:eastAsia="宋体" w:cs="Times New Roman"/>
                <w:color w:val="auto"/>
                <w:sz w:val="24"/>
                <w:szCs w:val="24"/>
                <w:lang w:eastAsia="zh-CN"/>
              </w:rPr>
              <w:t>在原有顶部楼板层（</w:t>
            </w:r>
            <w:r>
              <w:rPr>
                <w:rFonts w:hint="eastAsia" w:cs="Times New Roman"/>
                <w:color w:val="auto"/>
                <w:sz w:val="24"/>
                <w:szCs w:val="24"/>
                <w:lang w:val="en-US" w:eastAsia="zh-CN"/>
              </w:rPr>
              <w:t>15</w:t>
            </w:r>
            <w:r>
              <w:rPr>
                <w:rFonts w:hint="default" w:ascii="Times New Roman" w:hAnsi="Times New Roman" w:eastAsia="宋体" w:cs="Times New Roman"/>
                <w:color w:val="auto"/>
                <w:sz w:val="24"/>
                <w:szCs w:val="24"/>
                <w:lang w:eastAsia="zh-CN"/>
              </w:rPr>
              <w:t>0mm混凝土）基础上，离地面3.4m高度制钢架龙骨+15mm厚硫酸钡防辐射板+1mmPb铅板，然后离地面2.9m高度铝扣板吊顶，防护当量</w:t>
            </w:r>
            <w:r>
              <w:rPr>
                <w:rFonts w:hint="eastAsia" w:ascii="Times New Roman" w:hAnsi="Times New Roman" w:cs="Times New Roman"/>
                <w:color w:val="auto"/>
                <w:sz w:val="24"/>
                <w:szCs w:val="24"/>
                <w:lang w:eastAsia="zh-CN"/>
              </w:rPr>
              <w:t>达</w:t>
            </w:r>
            <w:r>
              <w:rPr>
                <w:rFonts w:hint="eastAsia" w:cs="Times New Roman"/>
                <w:color w:val="auto"/>
                <w:sz w:val="24"/>
                <w:szCs w:val="24"/>
                <w:lang w:val="en-US" w:eastAsia="zh-CN"/>
              </w:rPr>
              <w:t>3.77</w:t>
            </w:r>
            <w:r>
              <w:rPr>
                <w:rFonts w:hint="default" w:ascii="Times New Roman" w:hAnsi="Times New Roman" w:eastAsia="宋体" w:cs="Times New Roman"/>
                <w:color w:val="auto"/>
                <w:sz w:val="24"/>
                <w:szCs w:val="24"/>
                <w:lang w:eastAsia="zh-CN"/>
              </w:rPr>
              <w:t>mmPb；</w:t>
            </w:r>
            <w:r>
              <w:rPr>
                <w:rFonts w:hint="eastAsia"/>
                <w:b w:val="0"/>
                <w:bCs w:val="0"/>
                <w:color w:val="auto"/>
                <w:lang w:val="en-US" w:eastAsia="zh-CN"/>
              </w:rPr>
              <w:t>DSA</w:t>
            </w:r>
            <w:r>
              <w:rPr>
                <w:rFonts w:hint="default" w:ascii="Times New Roman" w:hAnsi="Times New Roman" w:eastAsia="宋体" w:cs="Times New Roman"/>
                <w:color w:val="auto"/>
                <w:sz w:val="24"/>
                <w:szCs w:val="24"/>
                <w:vertAlign w:val="baseline"/>
                <w:lang w:val="en-US" w:eastAsia="zh-CN"/>
              </w:rPr>
              <w:t>机房机房南侧内部新建240mm厚实心砖墙(机房与设备间隔断)+粉刷30mm厚硫酸钡水泥+墙面装饰板</w:t>
            </w:r>
            <w:r>
              <w:rPr>
                <w:rFonts w:hint="default" w:ascii="Times New Roman" w:hAnsi="Times New Roman" w:eastAsia="宋体" w:cs="Times New Roman"/>
                <w:color w:val="auto"/>
                <w:sz w:val="24"/>
                <w:szCs w:val="24"/>
                <w:lang w:eastAsia="zh-CN"/>
              </w:rPr>
              <w:t>，防护当量</w:t>
            </w:r>
            <w:r>
              <w:rPr>
                <w:rFonts w:hint="eastAsia" w:ascii="Times New Roman" w:hAnsi="Times New Roman" w:cs="Times New Roman"/>
                <w:color w:val="auto"/>
                <w:sz w:val="24"/>
                <w:szCs w:val="24"/>
                <w:lang w:eastAsia="zh-CN"/>
              </w:rPr>
              <w:t>达</w:t>
            </w:r>
            <w:r>
              <w:rPr>
                <w:rFonts w:hint="eastAsia" w:cs="Times New Roman"/>
                <w:color w:val="auto"/>
                <w:sz w:val="24"/>
                <w:szCs w:val="24"/>
                <w:lang w:val="en-US" w:eastAsia="zh-CN"/>
              </w:rPr>
              <w:t>5.11</w:t>
            </w:r>
            <w:r>
              <w:rPr>
                <w:rFonts w:hint="default" w:ascii="Times New Roman" w:hAnsi="Times New Roman" w:eastAsia="宋体" w:cs="Times New Roman"/>
                <w:color w:val="auto"/>
                <w:sz w:val="24"/>
                <w:szCs w:val="24"/>
                <w:lang w:eastAsia="zh-CN"/>
              </w:rPr>
              <w:t>mmPb；</w:t>
            </w:r>
            <w:r>
              <w:rPr>
                <w:rFonts w:hint="eastAsia" w:cs="Times New Roman"/>
                <w:color w:val="auto"/>
                <w:highlight w:val="none"/>
                <w:lang w:val="en-US" w:eastAsia="zh-CN"/>
              </w:rPr>
              <w:t>东、西、北三面墙</w:t>
            </w:r>
            <w:r>
              <w:rPr>
                <w:rFonts w:hint="default" w:ascii="Times New Roman" w:hAnsi="Times New Roman" w:eastAsia="宋体" w:cs="Times New Roman"/>
                <w:color w:val="auto"/>
                <w:sz w:val="24"/>
                <w:szCs w:val="24"/>
                <w:vertAlign w:val="baseline"/>
                <w:lang w:val="en-US" w:eastAsia="zh-CN"/>
              </w:rPr>
              <w:t>现状为200mm厚加气块混凝土砖墙，</w:t>
            </w:r>
            <w:r>
              <w:rPr>
                <w:rFonts w:hint="eastAsia" w:cs="Times New Roman"/>
                <w:color w:val="auto"/>
                <w:highlight w:val="none"/>
                <w:lang w:val="en-US" w:eastAsia="zh-CN"/>
              </w:rPr>
              <w:t>加砌120mm厚实心砖墙+粉刷30mm厚硫酸钡水泥+墙面装饰板；北侧</w:t>
            </w:r>
            <w:r>
              <w:rPr>
                <w:rFonts w:hint="default" w:ascii="Times New Roman" w:hAnsi="Times New Roman" w:cs="Times New Roman"/>
                <w:color w:val="auto"/>
                <w:highlight w:val="none"/>
                <w:lang w:val="en-US" w:eastAsia="zh-CN"/>
              </w:rPr>
              <w:t>墙面玻璃窗拆除用200mm厚实心砖封堵</w:t>
            </w:r>
            <w:r>
              <w:rPr>
                <w:rFonts w:hint="default" w:ascii="Times New Roman" w:hAnsi="Times New Roman" w:eastAsia="宋体" w:cs="Times New Roman"/>
                <w:color w:val="auto"/>
                <w:sz w:val="24"/>
                <w:szCs w:val="24"/>
                <w:lang w:eastAsia="zh-CN"/>
              </w:rPr>
              <w:t>，防护当量</w:t>
            </w:r>
            <w:r>
              <w:rPr>
                <w:rFonts w:hint="eastAsia" w:cs="Times New Roman"/>
                <w:color w:val="auto"/>
                <w:sz w:val="24"/>
                <w:szCs w:val="24"/>
                <w:lang w:val="en-US" w:eastAsia="zh-CN"/>
              </w:rPr>
              <w:t>3.76</w:t>
            </w:r>
            <w:r>
              <w:rPr>
                <w:rFonts w:hint="default" w:ascii="Times New Roman" w:hAnsi="Times New Roman" w:eastAsia="宋体" w:cs="Times New Roman"/>
                <w:color w:val="auto"/>
                <w:sz w:val="24"/>
                <w:szCs w:val="24"/>
                <w:lang w:eastAsia="zh-CN"/>
              </w:rPr>
              <w:t>mmPb；</w:t>
            </w:r>
            <w:r>
              <w:rPr>
                <w:rFonts w:hint="eastAsia" w:cs="Times New Roman"/>
                <w:color w:val="auto"/>
                <w:sz w:val="24"/>
                <w:szCs w:val="24"/>
                <w:lang w:eastAsia="zh-CN"/>
              </w:rPr>
              <w:t>控制室</w:t>
            </w:r>
            <w:r>
              <w:rPr>
                <w:rFonts w:hint="eastAsia" w:ascii="Times New Roman" w:hAnsi="Times New Roman" w:cs="Times New Roman"/>
                <w:color w:val="auto"/>
                <w:sz w:val="24"/>
                <w:szCs w:val="24"/>
                <w:lang w:eastAsia="zh-CN"/>
              </w:rPr>
              <w:t>、病人缓冲间及</w:t>
            </w:r>
            <w:r>
              <w:rPr>
                <w:rFonts w:hint="eastAsia" w:cs="Times New Roman"/>
                <w:color w:val="auto"/>
                <w:sz w:val="24"/>
                <w:szCs w:val="24"/>
                <w:lang w:eastAsia="zh-CN"/>
              </w:rPr>
              <w:t>污物通道</w:t>
            </w:r>
            <w:r>
              <w:rPr>
                <w:rFonts w:hint="default" w:ascii="Times New Roman" w:hAnsi="Times New Roman" w:eastAsia="宋体" w:cs="Times New Roman"/>
                <w:color w:val="auto"/>
                <w:sz w:val="24"/>
                <w:szCs w:val="24"/>
                <w:lang w:eastAsia="zh-CN"/>
              </w:rPr>
              <w:t>防护门防护当量3mmPb；铅玻璃观察窗防护当量</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lang w:eastAsia="zh-CN"/>
              </w:rPr>
              <w:t>mmPb；</w:t>
            </w:r>
            <w:r>
              <w:rPr>
                <w:rFonts w:hint="default" w:ascii="Times New Roman" w:hAnsi="Times New Roman" w:cs="Times New Roman"/>
                <w:color w:val="auto"/>
                <w:highlight w:val="none"/>
                <w:lang w:val="en-US" w:eastAsia="zh-CN"/>
              </w:rPr>
              <w:t>机房</w:t>
            </w:r>
            <w:r>
              <w:rPr>
                <w:rFonts w:hint="eastAsia" w:ascii="Times New Roman" w:hAnsi="Times New Roman" w:cs="Times New Roman"/>
                <w:color w:val="auto"/>
                <w:highlight w:val="none"/>
                <w:lang w:val="en-US" w:eastAsia="zh-CN"/>
              </w:rPr>
              <w:t>设置</w:t>
            </w:r>
            <w:r>
              <w:rPr>
                <w:rFonts w:hint="default" w:ascii="Times New Roman" w:hAnsi="Times New Roman" w:cs="Times New Roman"/>
                <w:color w:val="auto"/>
                <w:highlight w:val="none"/>
                <w:lang w:val="en-US" w:eastAsia="zh-CN"/>
              </w:rPr>
              <w:t>动力通风系统，安装低噪音进、排风机(700m</w:t>
            </w:r>
            <w:r>
              <w:rPr>
                <w:rFonts w:hint="eastAsia" w:cs="Times New Roman"/>
                <w:color w:val="auto"/>
                <w:highlight w:val="none"/>
                <w:vertAlign w:val="superscript"/>
                <w:lang w:val="en-US" w:eastAsia="zh-CN"/>
              </w:rPr>
              <w:t>3</w:t>
            </w:r>
            <w:r>
              <w:rPr>
                <w:rFonts w:hint="default" w:ascii="Times New Roman" w:hAnsi="Times New Roman" w:cs="Times New Roman"/>
                <w:color w:val="auto"/>
                <w:highlight w:val="none"/>
                <w:lang w:val="en-US" w:eastAsia="zh-CN"/>
              </w:rPr>
              <w:t>/h)一套</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进、出风口孔位置离地3</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5m以上</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倾斜进墙</w:t>
            </w:r>
            <w:r>
              <w:rPr>
                <w:rFonts w:hint="eastAsia" w:cs="Times New Roman"/>
                <w:color w:val="auto"/>
                <w:highlight w:val="none"/>
                <w:lang w:val="en-US" w:eastAsia="zh-CN"/>
              </w:rPr>
              <w:t>，</w:t>
            </w:r>
            <w:r>
              <w:rPr>
                <w:rFonts w:hint="default" w:ascii="Times New Roman" w:hAnsi="Times New Roman" w:cs="Times New Roman"/>
                <w:color w:val="auto"/>
                <w:highlight w:val="none"/>
                <w:lang w:val="en-US" w:eastAsia="zh-CN"/>
              </w:rPr>
              <w:t>墙内风管用2mm</w:t>
            </w:r>
            <w:r>
              <w:rPr>
                <w:rFonts w:hint="eastAsia" w:cs="Times New Roman"/>
                <w:color w:val="auto"/>
                <w:highlight w:val="none"/>
                <w:lang w:val="en-US" w:eastAsia="zh-CN"/>
              </w:rPr>
              <w:t>P</w:t>
            </w:r>
            <w:r>
              <w:rPr>
                <w:rFonts w:hint="default" w:ascii="Times New Roman" w:hAnsi="Times New Roman" w:cs="Times New Roman"/>
                <w:color w:val="auto"/>
                <w:highlight w:val="none"/>
                <w:lang w:val="en-US" w:eastAsia="zh-CN"/>
              </w:rPr>
              <w:t>b铅板包围防护</w:t>
            </w:r>
            <w:r>
              <w:rPr>
                <w:rFonts w:hint="default" w:ascii="Times New Roman" w:hAnsi="Times New Roman" w:eastAsia="宋体" w:cs="Times New Roman"/>
                <w:color w:val="auto"/>
                <w:sz w:val="24"/>
                <w:szCs w:val="24"/>
                <w:lang w:eastAsia="zh-CN"/>
              </w:rPr>
              <w:t>。</w:t>
            </w:r>
          </w:p>
          <w:p w14:paraId="6D45C593">
            <w:pPr>
              <w:pStyle w:val="23"/>
              <w:keepNext w:val="0"/>
              <w:keepLines w:val="0"/>
              <w:numPr>
                <w:ilvl w:val="0"/>
                <w:numId w:val="6"/>
              </w:numPr>
              <w:suppressLineNumbers w:val="0"/>
              <w:spacing w:before="0" w:beforeAutospacing="0" w:after="0" w:afterAutospacing="0"/>
              <w:ind w:left="-60" w:leftChars="0" w:right="0" w:firstLine="480" w:firstLineChars="0"/>
              <w:rPr>
                <w:rFonts w:hint="eastAsia" w:ascii="宋体" w:hAnsi="宋体" w:eastAsia="宋体" w:cs="宋体"/>
                <w:b w:val="0"/>
                <w:bCs w:val="0"/>
                <w:color w:val="auto"/>
                <w:sz w:val="24"/>
                <w:szCs w:val="24"/>
                <w:lang w:val="en-US" w:eastAsia="zh-CN"/>
              </w:rPr>
            </w:pPr>
            <w:r>
              <w:rPr>
                <w:rFonts w:hint="eastAsia" w:ascii="宋体" w:hAnsi="宋体" w:eastAsia="宋体" w:cs="宋体"/>
                <w:color w:val="auto"/>
                <w:sz w:val="24"/>
                <w:szCs w:val="24"/>
                <w:lang w:eastAsia="zh-CN"/>
              </w:rPr>
              <w:t>项目投资：</w:t>
            </w:r>
            <w:r>
              <w:rPr>
                <w:rFonts w:hint="default" w:ascii="Times New Roman" w:hAnsi="Times New Roman" w:eastAsia="宋体" w:cs="Times New Roman"/>
                <w:color w:val="auto"/>
                <w:sz w:val="24"/>
                <w:szCs w:val="24"/>
                <w:lang w:eastAsia="zh-CN"/>
              </w:rPr>
              <w:t>总投资</w:t>
            </w:r>
            <w:r>
              <w:rPr>
                <w:rFonts w:hint="eastAsia" w:cs="Times New Roman"/>
                <w:color w:val="auto"/>
                <w:sz w:val="24"/>
                <w:szCs w:val="24"/>
                <w:highlight w:val="none"/>
                <w:lang w:val="en-US" w:eastAsia="zh-CN"/>
              </w:rPr>
              <w:t>40</w:t>
            </w:r>
            <w:r>
              <w:rPr>
                <w:rFonts w:hint="default" w:ascii="Times New Roman" w:hAnsi="Times New Roman" w:cs="Times New Roman"/>
                <w:color w:val="auto"/>
                <w:sz w:val="24"/>
                <w:szCs w:val="24"/>
                <w:highlight w:val="none"/>
                <w:lang w:val="en-US" w:eastAsia="zh-CN"/>
              </w:rPr>
              <w:t>0</w:t>
            </w:r>
            <w:r>
              <w:rPr>
                <w:rFonts w:hint="default" w:ascii="Times New Roman" w:hAnsi="Times New Roman" w:eastAsia="宋体" w:cs="Times New Roman"/>
                <w:color w:val="auto"/>
                <w:sz w:val="24"/>
                <w:szCs w:val="24"/>
                <w:lang w:eastAsia="zh-CN"/>
              </w:rPr>
              <w:t>万元，环保投资</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eastAsia="zh-CN"/>
              </w:rPr>
              <w:t>0万元</w:t>
            </w:r>
            <w:r>
              <w:rPr>
                <w:rFonts w:hint="eastAsia" w:ascii="宋体" w:hAnsi="宋体" w:eastAsia="宋体" w:cs="宋体"/>
                <w:color w:val="auto"/>
                <w:sz w:val="24"/>
                <w:szCs w:val="24"/>
                <w:lang w:eastAsia="zh-CN"/>
              </w:rPr>
              <w:t>。</w:t>
            </w:r>
          </w:p>
          <w:p w14:paraId="31C4D3F6">
            <w:pPr>
              <w:pStyle w:val="23"/>
              <w:keepNext w:val="0"/>
              <w:keepLines w:val="0"/>
              <w:suppressLineNumbers w:val="0"/>
              <w:spacing w:before="0" w:beforeAutospacing="0" w:after="0" w:afterAutospacing="0"/>
              <w:ind w:left="0" w:right="0"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2、产业政策符合性分析</w:t>
            </w:r>
          </w:p>
          <w:p w14:paraId="09AC2B47">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ascii="宋体" w:hAnsi="宋体" w:eastAsia="宋体" w:cs="宋体"/>
                <w:color w:val="auto"/>
                <w:sz w:val="24"/>
                <w:szCs w:val="24"/>
                <w:highlight w:val="none"/>
              </w:rPr>
              <w:t>对照《产业结构调整</w:t>
            </w:r>
            <w:r>
              <w:rPr>
                <w:rFonts w:hint="eastAsia" w:ascii="宋体" w:hAnsi="宋体" w:eastAsia="宋体" w:cs="宋体"/>
                <w:color w:val="auto"/>
                <w:sz w:val="24"/>
                <w:szCs w:val="24"/>
              </w:rPr>
              <w:t>指导目录（</w:t>
            </w:r>
            <w:r>
              <w:rPr>
                <w:rFonts w:hint="default" w:ascii="Times New Roman" w:hAnsi="Times New Roman" w:eastAsia="宋体" w:cs="Times New Roman"/>
                <w:color w:val="auto"/>
                <w:sz w:val="24"/>
                <w:szCs w:val="24"/>
              </w:rPr>
              <w:t>20</w:t>
            </w:r>
            <w:r>
              <w:rPr>
                <w:rFonts w:hint="default" w:ascii="Times New Roman" w:hAnsi="Times New Roman" w:cs="Times New Roman"/>
                <w:color w:val="auto"/>
                <w:sz w:val="24"/>
                <w:szCs w:val="24"/>
                <w:lang w:val="en-US" w:eastAsia="zh-CN"/>
              </w:rPr>
              <w:t>24</w:t>
            </w:r>
            <w:r>
              <w:rPr>
                <w:rFonts w:hint="eastAsia" w:ascii="宋体" w:hAnsi="宋体" w:eastAsia="宋体" w:cs="宋体"/>
                <w:color w:val="auto"/>
                <w:sz w:val="24"/>
                <w:szCs w:val="24"/>
              </w:rPr>
              <w:t>年</w:t>
            </w:r>
            <w:r>
              <w:rPr>
                <w:rFonts w:hint="eastAsia" w:ascii="宋体" w:hAnsi="宋体" w:cs="宋体"/>
                <w:color w:val="auto"/>
                <w:sz w:val="24"/>
                <w:szCs w:val="24"/>
                <w:lang w:eastAsia="zh-CN"/>
              </w:rPr>
              <w:t>本</w:t>
            </w:r>
            <w:r>
              <w:rPr>
                <w:rFonts w:hint="eastAsia" w:ascii="宋体" w:hAnsi="宋体" w:eastAsia="宋体" w:cs="宋体"/>
                <w:color w:val="auto"/>
                <w:sz w:val="24"/>
                <w:szCs w:val="24"/>
              </w:rPr>
              <w:t>）》，本项目属于其中鼓励类，</w:t>
            </w:r>
            <w:r>
              <w:rPr>
                <w:rFonts w:hint="default" w:ascii="Times New Roman" w:hAnsi="Times New Roman" w:eastAsia="宋体" w:cs="Times New Roman"/>
                <w:b w:val="0"/>
                <w:bCs w:val="0"/>
                <w:color w:val="auto"/>
                <w:sz w:val="24"/>
                <w:szCs w:val="24"/>
              </w:rPr>
              <w:t>第十三项的医药类第</w:t>
            </w:r>
            <w:r>
              <w:rPr>
                <w:rFonts w:hint="eastAsia" w:ascii="宋体" w:hAnsi="宋体" w:eastAsia="宋体" w:cs="宋体"/>
                <w:b w:val="0"/>
                <w:bCs w:val="0"/>
                <w:color w:val="auto"/>
                <w:sz w:val="24"/>
                <w:szCs w:val="24"/>
                <w:lang w:val="en-US" w:eastAsia="zh-CN"/>
              </w:rPr>
              <w:t>4</w:t>
            </w:r>
            <w:r>
              <w:rPr>
                <w:rFonts w:hint="eastAsia" w:ascii="宋体" w:hAnsi="宋体" w:eastAsia="宋体" w:cs="宋体"/>
                <w:b w:val="0"/>
                <w:bCs w:val="0"/>
                <w:color w:val="auto"/>
                <w:sz w:val="24"/>
                <w:szCs w:val="24"/>
              </w:rPr>
              <w:t>条</w:t>
            </w:r>
            <w:r>
              <w:rPr>
                <w:rFonts w:hint="eastAsia" w:ascii="宋体" w:hAnsi="宋体" w:eastAsia="宋体" w:cs="宋体"/>
                <w:color w:val="auto"/>
                <w:sz w:val="24"/>
                <w:szCs w:val="24"/>
              </w:rPr>
              <w:t>“高性能医学影像设备”</w:t>
            </w:r>
            <w:r>
              <w:rPr>
                <w:rFonts w:hint="eastAsia" w:cs="Times New Roman"/>
                <w:color w:val="auto"/>
              </w:rPr>
              <w:t>，为国家鼓励类项目，符合国家及地方产业政策。</w:t>
            </w:r>
          </w:p>
          <w:p w14:paraId="73A3B619">
            <w:pPr>
              <w:pStyle w:val="23"/>
              <w:keepNext w:val="0"/>
              <w:keepLines w:val="0"/>
              <w:suppressLineNumbers w:val="0"/>
              <w:spacing w:before="0" w:beforeAutospacing="0" w:after="0" w:afterAutospacing="0"/>
              <w:ind w:left="0" w:right="0" w:firstLine="482" w:firstLineChars="200"/>
              <w:rPr>
                <w:rFonts w:hint="default" w:cs="Times New Roman"/>
                <w:b/>
                <w:bCs/>
                <w:color w:val="auto"/>
              </w:rPr>
            </w:pPr>
            <w:r>
              <w:rPr>
                <w:rFonts w:hint="default" w:cs="Times New Roman"/>
                <w:b/>
                <w:bCs/>
                <w:color w:val="auto"/>
              </w:rPr>
              <w:t>3</w:t>
            </w:r>
            <w:r>
              <w:rPr>
                <w:rFonts w:hint="eastAsia" w:cs="Times New Roman"/>
                <w:b/>
                <w:bCs/>
                <w:color w:val="auto"/>
              </w:rPr>
              <w:t>、实践正当性分析</w:t>
            </w:r>
          </w:p>
          <w:p w14:paraId="2F8C9CD5">
            <w:pPr>
              <w:pStyle w:val="23"/>
              <w:keepNext w:val="0"/>
              <w:keepLines w:val="0"/>
              <w:suppressLineNumbers w:val="0"/>
              <w:spacing w:before="0" w:beforeAutospacing="0" w:after="0" w:afterAutospacing="0"/>
              <w:ind w:left="0" w:right="0" w:firstLine="480" w:firstLineChars="200"/>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4"/>
                <w:szCs w:val="21"/>
                <w:lang w:val="en-US" w:eastAsia="zh-CN" w:bidi="ar-SA"/>
              </w:rPr>
              <w:t>核技术在医学上的应用在我国是一门成熟的技术，它在医学诊断、治疗方面有其他技术无法替代的特点，对保障健康、拯救生命起了十分重要的作用。介入治疗是与内科、外科并列的临床三大学科，在治疗过程中对人体创伤小、治疗效果肯定且</w:t>
            </w:r>
            <w:r>
              <w:rPr>
                <w:rFonts w:hint="eastAsia" w:cs="Times New Roman"/>
                <w:snapToGrid w:val="0"/>
                <w:color w:val="auto"/>
                <w:kern w:val="0"/>
                <w:sz w:val="24"/>
                <w:szCs w:val="21"/>
                <w:lang w:val="en-US" w:eastAsia="zh-CN" w:bidi="ar-SA"/>
              </w:rPr>
              <w:t>立竿见影</w:t>
            </w: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cs="Times New Roman"/>
                <w:color w:val="auto"/>
                <w:sz w:val="24"/>
                <w:szCs w:val="24"/>
                <w:highlight w:val="none"/>
                <w:lang w:val="en-US" w:eastAsia="zh-CN"/>
              </w:rPr>
              <w:t>本项目DSA用于开展心血管介入手术</w:t>
            </w:r>
            <w:r>
              <w:rPr>
                <w:rFonts w:hint="default" w:ascii="Times New Roman" w:hAnsi="Times New Roman" w:eastAsia="宋体" w:cs="Times New Roman"/>
                <w:snapToGrid w:val="0"/>
                <w:color w:val="auto"/>
                <w:kern w:val="0"/>
                <w:sz w:val="24"/>
                <w:szCs w:val="21"/>
                <w:lang w:val="en-US" w:eastAsia="zh-CN" w:bidi="ar-SA"/>
              </w:rPr>
              <w:t>，符合医院以及所在地区的医疗服务需要。项目采取了符合国家标准要求的辐射防护措施，项目实施后，其对受照个人或社会所带来的利益足以弥补其可能引起的辐射危害。因此，该项目符合《电离辐射防护与辐射源安全基本标准》（</w:t>
            </w:r>
            <w:r>
              <w:rPr>
                <w:rFonts w:hint="default" w:ascii="Times New Roman" w:hAnsi="Times New Roman" w:eastAsia="宋体" w:cs="Times New Roman"/>
                <w:b w:val="0"/>
                <w:snapToGrid w:val="0"/>
                <w:color w:val="auto"/>
                <w:kern w:val="0"/>
                <w:sz w:val="24"/>
                <w:szCs w:val="24"/>
                <w:lang w:val="en-US" w:eastAsia="zh-CN" w:bidi="ar-SA"/>
              </w:rPr>
              <w:t>GB18871-2002</w:t>
            </w:r>
            <w:r>
              <w:rPr>
                <w:rFonts w:hint="default" w:ascii="Times New Roman" w:hAnsi="Times New Roman" w:eastAsia="宋体" w:cs="Times New Roman"/>
                <w:snapToGrid w:val="0"/>
                <w:color w:val="auto"/>
                <w:kern w:val="0"/>
                <w:sz w:val="24"/>
                <w:szCs w:val="21"/>
                <w:lang w:val="en-US" w:eastAsia="zh-CN" w:bidi="ar-SA"/>
              </w:rPr>
              <w:t>）中辐射防护</w:t>
            </w: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实践正当性</w:t>
            </w:r>
            <w:r>
              <w:rPr>
                <w:rFonts w:hint="eastAsia" w:ascii="Times New Roman" w:hAnsi="Times New Roman" w:eastAsia="宋体" w:cs="Times New Roman"/>
                <w:snapToGrid w:val="0"/>
                <w:color w:val="auto"/>
                <w:kern w:val="0"/>
                <w:sz w:val="24"/>
                <w:szCs w:val="21"/>
                <w:lang w:val="en-US" w:eastAsia="zh-CN" w:bidi="ar-SA"/>
              </w:rPr>
              <w:t>”</w:t>
            </w:r>
            <w:r>
              <w:rPr>
                <w:rFonts w:hint="default" w:ascii="Times New Roman" w:hAnsi="Times New Roman" w:eastAsia="宋体" w:cs="Times New Roman"/>
                <w:snapToGrid w:val="0"/>
                <w:color w:val="auto"/>
                <w:kern w:val="0"/>
                <w:sz w:val="24"/>
                <w:szCs w:val="21"/>
                <w:lang w:val="en-US" w:eastAsia="zh-CN" w:bidi="ar-SA"/>
              </w:rPr>
              <w:t>的要求，该医疗照射实践是正当的。</w:t>
            </w:r>
          </w:p>
          <w:p w14:paraId="6C5C0358">
            <w:pPr>
              <w:pStyle w:val="23"/>
              <w:keepNext w:val="0"/>
              <w:keepLines w:val="0"/>
              <w:suppressLineNumbers w:val="0"/>
              <w:spacing w:before="0" w:beforeAutospacing="0" w:after="0" w:afterAutospacing="0"/>
              <w:ind w:left="0" w:right="0" w:firstLine="482" w:firstLineChars="200"/>
              <w:rPr>
                <w:rFonts w:hint="default" w:cs="Times New Roman"/>
                <w:b/>
                <w:bCs/>
                <w:color w:val="auto"/>
              </w:rPr>
            </w:pPr>
            <w:r>
              <w:rPr>
                <w:rFonts w:hint="eastAsia" w:cs="Times New Roman"/>
                <w:b/>
                <w:color w:val="auto"/>
              </w:rPr>
              <w:t>4、</w:t>
            </w:r>
            <w:r>
              <w:rPr>
                <w:rFonts w:hint="eastAsia" w:cs="Times New Roman"/>
                <w:b/>
                <w:bCs/>
                <w:color w:val="auto"/>
              </w:rPr>
              <w:t>代价利益分析</w:t>
            </w:r>
          </w:p>
          <w:p w14:paraId="7BD7DCE4">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本项目</w:t>
            </w:r>
            <w:r>
              <w:rPr>
                <w:rFonts w:hint="default" w:cs="Times New Roman"/>
                <w:color w:val="auto"/>
              </w:rPr>
              <w:t>符合区域医疗服务需要，能有效提高区域医疗服务水平，核技术在医学上的应用有利于提高疾病诊断正确率和有效治疗方案的提出，能有效减少患者疼痛和对患者损伤，总体上大大节省了医疗费用，争取了宝贵的治疗时间，该项目在保障病人健康的同时也为医院创造更大的经济效益。</w:t>
            </w:r>
          </w:p>
          <w:p w14:paraId="552C14DD">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default" w:cs="Times New Roman"/>
                <w:color w:val="auto"/>
              </w:rPr>
              <w:t>为保护该项目周边其他科室工作人员和公众，</w:t>
            </w:r>
            <w:r>
              <w:rPr>
                <w:rFonts w:hint="eastAsia" w:cs="Times New Roman"/>
                <w:color w:val="auto"/>
                <w:lang w:val="en-US" w:eastAsia="zh-CN"/>
              </w:rPr>
              <w:t>机房</w:t>
            </w:r>
            <w:r>
              <w:rPr>
                <w:rFonts w:hint="default" w:cs="Times New Roman"/>
                <w:color w:val="auto"/>
              </w:rPr>
              <w:t>均加强了防护，从剂量预测结果可知，该项目</w:t>
            </w:r>
            <w:r>
              <w:rPr>
                <w:rFonts w:hint="eastAsia" w:cs="Times New Roman"/>
                <w:color w:val="auto"/>
              </w:rPr>
              <w:t>介入手术</w:t>
            </w:r>
            <w:r>
              <w:rPr>
                <w:rFonts w:hint="eastAsia" w:ascii="Times New Roman" w:hAnsi="Times New Roman" w:eastAsia="宋体" w:cs="Times New Roman"/>
                <w:snapToGrid w:val="0"/>
                <w:color w:val="auto"/>
                <w:kern w:val="0"/>
                <w:sz w:val="24"/>
                <w:szCs w:val="24"/>
                <w:lang w:val="en-US" w:eastAsia="zh-CN" w:bidi="ar-SA"/>
              </w:rPr>
              <w:t>医护人员</w:t>
            </w:r>
            <w:r>
              <w:rPr>
                <w:rFonts w:hint="default" w:cs="Times New Roman"/>
                <w:color w:val="auto"/>
              </w:rPr>
              <w:t>年所受附加剂量满足项目管理限值10mSv的要求</w:t>
            </w:r>
            <w:r>
              <w:rPr>
                <w:rFonts w:hint="eastAsia" w:cs="Times New Roman"/>
                <w:color w:val="auto"/>
              </w:rPr>
              <w:t>，一般辐射工作人员</w:t>
            </w:r>
            <w:r>
              <w:rPr>
                <w:rFonts w:hint="default" w:cs="Times New Roman"/>
                <w:color w:val="auto"/>
              </w:rPr>
              <w:t>年所受附加剂量满足项目管理限值5mSv的要求</w:t>
            </w:r>
            <w:r>
              <w:rPr>
                <w:rFonts w:hint="eastAsia" w:cs="Times New Roman"/>
                <w:color w:val="auto"/>
              </w:rPr>
              <w:t>，</w:t>
            </w:r>
            <w:r>
              <w:rPr>
                <w:rFonts w:hint="default" w:cs="Times New Roman"/>
                <w:color w:val="auto"/>
              </w:rPr>
              <w:t>周围公众年所受附加剂量满足项目管理限值0.25mSv的要求，符合《电离辐射防护与辐射源安全基本标准》（GB18871-2002）中关于</w:t>
            </w:r>
            <w:r>
              <w:rPr>
                <w:rFonts w:hint="eastAsia" w:cs="Times New Roman"/>
                <w:color w:val="auto"/>
              </w:rPr>
              <w:t>“</w:t>
            </w:r>
            <w:r>
              <w:rPr>
                <w:rFonts w:hint="default" w:cs="Times New Roman"/>
                <w:color w:val="auto"/>
              </w:rPr>
              <w:t>剂量限值</w:t>
            </w:r>
            <w:r>
              <w:rPr>
                <w:rFonts w:hint="eastAsia" w:cs="Times New Roman"/>
                <w:color w:val="auto"/>
              </w:rPr>
              <w:t>”</w:t>
            </w:r>
            <w:r>
              <w:rPr>
                <w:rFonts w:hint="default" w:cs="Times New Roman"/>
                <w:color w:val="auto"/>
              </w:rPr>
              <w:t>的要求。因此，从代价利益分析看，该项目是正当可行的。</w:t>
            </w:r>
          </w:p>
          <w:p w14:paraId="4DC8D863">
            <w:pPr>
              <w:pStyle w:val="23"/>
              <w:keepNext w:val="0"/>
              <w:keepLines w:val="0"/>
              <w:suppressLineNumbers w:val="0"/>
              <w:spacing w:before="0" w:beforeAutospacing="0" w:after="0" w:afterAutospacing="0"/>
              <w:ind w:left="0" w:right="0" w:firstLine="482" w:firstLineChars="200"/>
              <w:rPr>
                <w:rFonts w:hint="default" w:cs="Times New Roman"/>
                <w:color w:val="auto"/>
              </w:rPr>
            </w:pPr>
            <w:r>
              <w:rPr>
                <w:rFonts w:hint="default" w:cs="Times New Roman"/>
                <w:b/>
                <w:color w:val="auto"/>
              </w:rPr>
              <w:t>5</w:t>
            </w:r>
            <w:r>
              <w:rPr>
                <w:rFonts w:hint="eastAsia" w:cs="Times New Roman"/>
                <w:b/>
                <w:color w:val="auto"/>
              </w:rPr>
              <w:t>、</w:t>
            </w:r>
            <w:r>
              <w:rPr>
                <w:rFonts w:hint="eastAsia" w:cs="Times New Roman"/>
                <w:b/>
                <w:bCs/>
                <w:color w:val="auto"/>
              </w:rPr>
              <w:t>环境质量现状评价</w:t>
            </w:r>
          </w:p>
          <w:p w14:paraId="7E5BAA72">
            <w:pPr>
              <w:pStyle w:val="2"/>
              <w:keepNext w:val="0"/>
              <w:keepLines w:val="0"/>
              <w:suppressLineNumbers w:val="0"/>
              <w:bidi w:val="0"/>
              <w:spacing w:before="0" w:beforeAutospacing="0" w:after="0" w:afterAutospacing="0"/>
              <w:ind w:left="0" w:right="0" w:firstLine="480" w:firstLineChars="200"/>
              <w:rPr>
                <w:rFonts w:hint="eastAsia"/>
                <w:color w:val="auto"/>
                <w:highlight w:val="none"/>
              </w:rPr>
            </w:pPr>
            <w:r>
              <w:rPr>
                <w:rFonts w:hint="eastAsia" w:cs="Times New Roman"/>
                <w:color w:val="auto"/>
              </w:rPr>
              <w:t>本次评价委</w:t>
            </w:r>
            <w:r>
              <w:rPr>
                <w:rFonts w:hint="eastAsia" w:cs="Times New Roman"/>
                <w:color w:val="auto"/>
                <w:highlight w:val="none"/>
              </w:rPr>
              <w:t>托</w:t>
            </w:r>
            <w:r>
              <w:rPr>
                <w:rFonts w:hint="eastAsia" w:cs="Times New Roman"/>
                <w:color w:val="auto"/>
                <w:highlight w:val="none"/>
                <w:lang w:val="en-US" w:eastAsia="zh-CN"/>
              </w:rPr>
              <w:t>中国科学院合肥物质科学研究院计量与检测中心</w:t>
            </w:r>
            <w:r>
              <w:rPr>
                <w:rFonts w:hint="eastAsia" w:cs="Times New Roman"/>
                <w:color w:val="auto"/>
                <w:highlight w:val="none"/>
              </w:rPr>
              <w:t>于202</w:t>
            </w:r>
            <w:r>
              <w:rPr>
                <w:rFonts w:hint="eastAsia" w:cs="Times New Roman"/>
                <w:color w:val="auto"/>
                <w:highlight w:val="none"/>
                <w:lang w:val="en-US" w:eastAsia="zh-CN"/>
              </w:rPr>
              <w:t>4</w:t>
            </w:r>
            <w:r>
              <w:rPr>
                <w:rFonts w:hint="eastAsia" w:cs="Times New Roman"/>
                <w:color w:val="auto"/>
                <w:highlight w:val="none"/>
              </w:rPr>
              <w:t>年</w:t>
            </w:r>
            <w:r>
              <w:rPr>
                <w:rFonts w:hint="eastAsia" w:cs="Times New Roman"/>
                <w:color w:val="auto"/>
                <w:highlight w:val="none"/>
                <w:lang w:val="en-US" w:eastAsia="zh-CN"/>
              </w:rPr>
              <w:t>8</w:t>
            </w:r>
            <w:r>
              <w:rPr>
                <w:rFonts w:hint="eastAsia" w:cs="Times New Roman"/>
                <w:color w:val="auto"/>
                <w:highlight w:val="none"/>
              </w:rPr>
              <w:t>月</w:t>
            </w:r>
            <w:r>
              <w:rPr>
                <w:rFonts w:hint="eastAsia" w:cs="Times New Roman"/>
                <w:color w:val="auto"/>
                <w:highlight w:val="none"/>
                <w:lang w:val="en-US" w:eastAsia="zh-CN"/>
              </w:rPr>
              <w:t>5</w:t>
            </w:r>
            <w:r>
              <w:rPr>
                <w:rFonts w:hint="eastAsia" w:cs="Times New Roman"/>
                <w:color w:val="auto"/>
                <w:highlight w:val="none"/>
              </w:rPr>
              <w:t>日对本项目区域及周边环境进行了辐射环境</w:t>
            </w:r>
            <w:r>
              <w:rPr>
                <w:rFonts w:hint="eastAsia" w:cs="Times New Roman"/>
                <w:color w:val="auto"/>
                <w:highlight w:val="none"/>
                <w:lang w:eastAsia="zh-CN"/>
              </w:rPr>
              <w:t>和声环境本底</w:t>
            </w:r>
            <w:r>
              <w:rPr>
                <w:rFonts w:hint="eastAsia" w:cs="Times New Roman"/>
                <w:color w:val="auto"/>
                <w:highlight w:val="none"/>
              </w:rPr>
              <w:t>监测。监测结果表明，</w:t>
            </w:r>
            <w:r>
              <w:rPr>
                <w:rFonts w:hint="eastAsia"/>
                <w:color w:val="auto"/>
                <w:highlight w:val="none"/>
              </w:rPr>
              <w:t>本项目核技术应用场所及周边辐射环境现状本底在</w:t>
            </w:r>
            <w:r>
              <w:rPr>
                <w:rFonts w:hint="eastAsia" w:cs="Times New Roman"/>
                <w:color w:val="auto"/>
                <w:highlight w:val="none"/>
                <w:lang w:val="en-US" w:eastAsia="zh-CN"/>
              </w:rPr>
              <w:t>80.5±1.6～90.0±1.4</w:t>
            </w:r>
            <w:r>
              <w:rPr>
                <w:rFonts w:hint="default" w:ascii="Times New Roman" w:hAnsi="Times New Roman" w:cs="Times New Roman"/>
                <w:color w:val="auto"/>
                <w:highlight w:val="none"/>
                <w:lang w:val="en-US" w:eastAsia="zh-CN"/>
              </w:rPr>
              <w:t>nGy/h</w:t>
            </w:r>
            <w:r>
              <w:rPr>
                <w:rFonts w:hint="eastAsia"/>
                <w:color w:val="auto"/>
                <w:highlight w:val="none"/>
              </w:rPr>
              <w:t>范围内</w:t>
            </w:r>
            <w:r>
              <w:rPr>
                <w:rFonts w:hint="eastAsia"/>
                <w:color w:val="auto"/>
                <w:highlight w:val="none"/>
                <w:lang w:eastAsia="zh-CN"/>
              </w:rPr>
              <w:t>，</w:t>
            </w:r>
            <w:r>
              <w:rPr>
                <w:rFonts w:hint="eastAsia"/>
                <w:color w:val="auto"/>
                <w:highlight w:val="none"/>
              </w:rPr>
              <w:t>与安徽省天然贯穿辐射水平相当，属于正常本底范围</w:t>
            </w:r>
            <w:r>
              <w:rPr>
                <w:rFonts w:hint="eastAsia"/>
                <w:color w:val="auto"/>
                <w:highlight w:val="none"/>
                <w:lang w:eastAsia="zh-CN"/>
              </w:rPr>
              <w:t>，医院厂界四周声环境质量满足《声环境质量标准》（GB3096-2008）中</w:t>
            </w:r>
            <w:r>
              <w:rPr>
                <w:rFonts w:hint="eastAsia"/>
                <w:color w:val="auto"/>
                <w:highlight w:val="none"/>
                <w:lang w:val="en-US" w:eastAsia="zh-CN"/>
              </w:rPr>
              <w:t>2类区标准限值要求</w:t>
            </w:r>
            <w:r>
              <w:rPr>
                <w:rFonts w:hint="eastAsia"/>
                <w:color w:val="auto"/>
                <w:highlight w:val="none"/>
              </w:rPr>
              <w:t>。</w:t>
            </w:r>
          </w:p>
          <w:p w14:paraId="0B32A359">
            <w:pPr>
              <w:pStyle w:val="23"/>
              <w:keepNext w:val="0"/>
              <w:keepLines w:val="0"/>
              <w:suppressLineNumbers w:val="0"/>
              <w:spacing w:before="0" w:beforeAutospacing="0" w:after="0" w:afterAutospacing="0"/>
              <w:ind w:left="0" w:right="0" w:firstLine="482" w:firstLineChars="200"/>
              <w:rPr>
                <w:rFonts w:hint="default" w:cs="Times New Roman"/>
                <w:b/>
                <w:bCs/>
                <w:color w:val="auto"/>
              </w:rPr>
            </w:pPr>
            <w:r>
              <w:rPr>
                <w:rFonts w:hint="default" w:cs="Times New Roman"/>
                <w:b/>
                <w:bCs/>
                <w:color w:val="auto"/>
              </w:rPr>
              <w:t>6</w:t>
            </w:r>
            <w:r>
              <w:rPr>
                <w:rFonts w:hint="eastAsia" w:cs="Times New Roman"/>
                <w:b/>
                <w:bCs/>
                <w:color w:val="auto"/>
              </w:rPr>
              <w:t>、辐射环境影响评价</w:t>
            </w:r>
          </w:p>
          <w:p w14:paraId="4977CD2F">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ascii="宋体" w:cs="宋体"/>
                <w:color w:val="auto"/>
                <w:szCs w:val="24"/>
              </w:rPr>
              <w:t>由机房辐射屏蔽措施合理性分析可知，本项</w:t>
            </w:r>
            <w:r>
              <w:rPr>
                <w:rFonts w:hint="eastAsia" w:cs="Times New Roman"/>
                <w:color w:val="auto"/>
              </w:rPr>
              <w:t>目机</w:t>
            </w:r>
            <w:r>
              <w:rPr>
                <w:rFonts w:hint="eastAsia" w:ascii="宋体" w:cs="宋体"/>
                <w:color w:val="auto"/>
                <w:szCs w:val="24"/>
              </w:rPr>
              <w:t>房的屏蔽能力符合</w:t>
            </w:r>
            <w:r>
              <w:rPr>
                <w:rFonts w:hint="default" w:cs="Times New Roman"/>
                <w:color w:val="auto"/>
              </w:rPr>
              <w:t>《放射诊断放射防护要求》（GBZ130-2020）</w:t>
            </w:r>
            <w:r>
              <w:rPr>
                <w:rFonts w:hint="eastAsia" w:cs="Times New Roman"/>
                <w:color w:val="auto"/>
              </w:rPr>
              <w:t>的</w:t>
            </w:r>
            <w:r>
              <w:rPr>
                <w:rFonts w:hint="eastAsia" w:ascii="宋体" w:cs="宋体"/>
                <w:color w:val="auto"/>
                <w:szCs w:val="24"/>
              </w:rPr>
              <w:t>要求。</w:t>
            </w:r>
          </w:p>
          <w:p w14:paraId="1D9A5F6D">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default" w:cs="Times New Roman"/>
                <w:color w:val="auto"/>
              </w:rPr>
              <w:t>根据类比监测结果可以预测该项目</w:t>
            </w:r>
            <w:r>
              <w:rPr>
                <w:rFonts w:hint="eastAsia" w:cs="Times New Roman"/>
                <w:color w:val="auto"/>
                <w:lang w:val="en-US" w:eastAsia="zh-CN"/>
              </w:rPr>
              <w:t>设备</w:t>
            </w:r>
            <w:r>
              <w:rPr>
                <w:rFonts w:hint="default" w:cs="Times New Roman"/>
                <w:color w:val="auto"/>
              </w:rPr>
              <w:t>投运后，机房外辐射剂量率能满足《放射诊断放射防护要求》（GBZ130-2020）的要求</w:t>
            </w:r>
            <w:r>
              <w:rPr>
                <w:rFonts w:hint="eastAsia" w:cs="Times New Roman"/>
                <w:color w:val="auto"/>
                <w:lang w:eastAsia="zh-CN"/>
              </w:rPr>
              <w:t>，</w:t>
            </w:r>
            <w:r>
              <w:rPr>
                <w:rFonts w:hint="eastAsia" w:cs="Times New Roman"/>
                <w:color w:val="auto"/>
              </w:rPr>
              <w:t>均低于项目管理目标</w:t>
            </w:r>
            <w:r>
              <w:rPr>
                <w:rFonts w:hint="eastAsia" w:cs="Times New Roman"/>
                <w:color w:val="auto"/>
                <w:szCs w:val="24"/>
              </w:rPr>
              <w:t>（介入手术医护人员年有效剂量不超过10mSv，其他职业人员年有效剂量不超过5mSv，公众年有效剂量不超过0.25mSv）</w:t>
            </w:r>
            <w:r>
              <w:rPr>
                <w:rFonts w:hint="default" w:cs="Times New Roman"/>
                <w:color w:val="auto"/>
              </w:rPr>
              <w:t>，</w:t>
            </w:r>
            <w:r>
              <w:rPr>
                <w:rFonts w:hint="eastAsia" w:cs="Times New Roman"/>
                <w:color w:val="auto"/>
              </w:rPr>
              <w:t>符合</w:t>
            </w:r>
            <w:r>
              <w:rPr>
                <w:rFonts w:hint="default" w:cs="Times New Roman"/>
                <w:color w:val="auto"/>
              </w:rPr>
              <w:t>《电离辐射防护与辐射源安全基本标准》（GB18871-2002）中关于</w:t>
            </w:r>
            <w:r>
              <w:rPr>
                <w:rFonts w:hint="eastAsia" w:cs="Times New Roman"/>
                <w:color w:val="auto"/>
              </w:rPr>
              <w:t>“</w:t>
            </w:r>
            <w:r>
              <w:rPr>
                <w:rFonts w:hint="default" w:cs="Times New Roman"/>
                <w:color w:val="auto"/>
              </w:rPr>
              <w:t>剂量限值</w:t>
            </w:r>
            <w:r>
              <w:rPr>
                <w:rFonts w:hint="eastAsia" w:cs="Times New Roman"/>
                <w:color w:val="auto"/>
              </w:rPr>
              <w:t>”</w:t>
            </w:r>
            <w:r>
              <w:rPr>
                <w:rFonts w:hint="default" w:cs="Times New Roman"/>
                <w:color w:val="auto"/>
              </w:rPr>
              <w:t>的要求。</w:t>
            </w:r>
          </w:p>
          <w:p w14:paraId="7B2356EF">
            <w:pPr>
              <w:pStyle w:val="23"/>
              <w:keepNext w:val="0"/>
              <w:keepLines w:val="0"/>
              <w:suppressLineNumbers w:val="0"/>
              <w:spacing w:before="0" w:beforeAutospacing="0" w:after="0" w:afterAutospacing="0"/>
              <w:ind w:left="0" w:right="0" w:firstLine="482" w:firstLineChars="200"/>
              <w:rPr>
                <w:rFonts w:hint="default" w:cs="Times New Roman"/>
                <w:b/>
                <w:bCs/>
                <w:color w:val="auto"/>
              </w:rPr>
            </w:pPr>
            <w:r>
              <w:rPr>
                <w:rFonts w:hint="default" w:cs="Times New Roman"/>
                <w:b/>
                <w:bCs/>
                <w:color w:val="auto"/>
              </w:rPr>
              <w:t>7</w:t>
            </w:r>
            <w:r>
              <w:rPr>
                <w:rFonts w:hint="eastAsia" w:cs="Times New Roman"/>
                <w:b/>
                <w:bCs/>
                <w:color w:val="auto"/>
              </w:rPr>
              <w:t>、非辐射环境影响评价</w:t>
            </w:r>
          </w:p>
          <w:p w14:paraId="5A5FEE49">
            <w:pPr>
              <w:pStyle w:val="23"/>
              <w:keepNext w:val="0"/>
              <w:keepLines w:val="0"/>
              <w:suppressLineNumbers w:val="0"/>
              <w:spacing w:before="0" w:beforeAutospacing="0" w:after="0" w:afterAutospacing="0"/>
              <w:ind w:left="0" w:right="0" w:firstLine="480" w:firstLineChars="200"/>
              <w:rPr>
                <w:rFonts w:hint="eastAsia" w:cs="Times New Roman"/>
                <w:color w:val="auto"/>
              </w:rPr>
            </w:pPr>
            <w:r>
              <w:rPr>
                <w:rFonts w:hint="eastAsia" w:cs="Times New Roman"/>
                <w:color w:val="auto"/>
              </w:rPr>
              <w:t>（1）</w:t>
            </w:r>
            <w:r>
              <w:rPr>
                <w:rFonts w:hint="eastAsia" w:cs="Times New Roman"/>
                <w:color w:val="auto"/>
                <w:lang w:val="en-US" w:eastAsia="zh-CN"/>
              </w:rPr>
              <w:t>本项目设备</w:t>
            </w:r>
            <w:r>
              <w:rPr>
                <w:rFonts w:hint="eastAsia" w:cs="Times New Roman"/>
                <w:color w:val="auto"/>
              </w:rPr>
              <w:t>在开机时发出的X射线电离空气会产生</w:t>
            </w:r>
            <w:r>
              <w:rPr>
                <w:rFonts w:hint="eastAsia" w:cs="Times New Roman"/>
                <w:color w:val="auto"/>
                <w:lang w:eastAsia="zh-CN"/>
              </w:rPr>
              <w:t>极</w:t>
            </w:r>
            <w:r>
              <w:rPr>
                <w:rFonts w:hint="eastAsia" w:cs="Times New Roman"/>
                <w:color w:val="auto"/>
              </w:rPr>
              <w:t>少量</w:t>
            </w:r>
            <w:r>
              <w:rPr>
                <w:rFonts w:hint="eastAsia" w:cs="Times New Roman"/>
                <w:color w:val="auto"/>
                <w:lang w:eastAsia="zh-CN"/>
              </w:rPr>
              <w:t>的</w:t>
            </w:r>
            <w:r>
              <w:rPr>
                <w:rFonts w:hint="eastAsia" w:cs="Times New Roman"/>
                <w:color w:val="auto"/>
              </w:rPr>
              <w:t>臭氧和氮氧化物</w:t>
            </w:r>
            <w:r>
              <w:rPr>
                <w:rFonts w:hint="eastAsia" w:cs="Times New Roman"/>
                <w:color w:val="auto"/>
                <w:lang w:eastAsia="zh-CN"/>
              </w:rPr>
              <w:t>，</w:t>
            </w:r>
            <w:r>
              <w:rPr>
                <w:rFonts w:hint="eastAsia" w:cs="Times New Roman"/>
                <w:color w:val="auto"/>
              </w:rPr>
              <w:t>废气通过排</w:t>
            </w:r>
            <w:r>
              <w:rPr>
                <w:rFonts w:hint="eastAsia" w:cs="Times New Roman"/>
                <w:color w:val="auto"/>
                <w:lang w:eastAsia="zh-CN"/>
              </w:rPr>
              <w:t>风</w:t>
            </w:r>
            <w:r>
              <w:rPr>
                <w:rFonts w:hint="eastAsia" w:cs="Times New Roman"/>
                <w:color w:val="auto"/>
              </w:rPr>
              <w:t>系统排出房间，在空气中易于扩散，所以产生的废气对环境几乎没有影响，上述措施符合《放射诊断放射防护要求》（</w:t>
            </w:r>
            <w:r>
              <w:rPr>
                <w:rFonts w:hint="default" w:cs="Times New Roman"/>
                <w:color w:val="auto"/>
              </w:rPr>
              <w:t>GBZ130-2020）</w:t>
            </w:r>
            <w:r>
              <w:rPr>
                <w:rFonts w:hint="eastAsia" w:cs="Times New Roman"/>
                <w:color w:val="auto"/>
              </w:rPr>
              <w:t>的要求。</w:t>
            </w:r>
          </w:p>
          <w:p w14:paraId="6BC03A26">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（2）本项目运行后，产生的少量生活污水，</w:t>
            </w:r>
            <w:r>
              <w:rPr>
                <w:rFonts w:hint="eastAsia" w:cs="Times New Roman"/>
                <w:color w:val="auto"/>
                <w:lang w:eastAsia="zh-CN"/>
              </w:rPr>
              <w:t>经</w:t>
            </w:r>
            <w:r>
              <w:rPr>
                <w:rFonts w:hint="eastAsia" w:cs="Times New Roman"/>
                <w:color w:val="auto"/>
              </w:rPr>
              <w:t>医院污水处理站处理后接管市政污水管网，</w:t>
            </w:r>
            <w:r>
              <w:rPr>
                <w:rFonts w:hint="eastAsia" w:cs="Times New Roman"/>
                <w:color w:val="auto"/>
                <w:lang w:eastAsia="zh-CN"/>
              </w:rPr>
              <w:t>排入</w:t>
            </w:r>
            <w:r>
              <w:rPr>
                <w:rFonts w:hint="eastAsia" w:cs="Times New Roman"/>
                <w:color w:val="auto"/>
                <w:lang w:val="en-US" w:eastAsia="zh-CN"/>
              </w:rPr>
              <w:t>寿县安丰镇污水处理厂</w:t>
            </w:r>
            <w:r>
              <w:rPr>
                <w:rFonts w:hint="eastAsia" w:cs="Times New Roman"/>
                <w:color w:val="auto"/>
                <w:lang w:eastAsia="zh-CN"/>
              </w:rPr>
              <w:t>处理达标后排放</w:t>
            </w:r>
            <w:r>
              <w:rPr>
                <w:rFonts w:hint="eastAsia" w:cs="Times New Roman"/>
                <w:color w:val="auto"/>
                <w:lang w:val="en-US" w:eastAsia="zh-CN"/>
              </w:rPr>
              <w:t>，</w:t>
            </w:r>
            <w:r>
              <w:rPr>
                <w:rFonts w:hint="eastAsia" w:cs="Times New Roman"/>
                <w:color w:val="auto"/>
              </w:rPr>
              <w:t>不会对周围环境造成明显影响。</w:t>
            </w:r>
          </w:p>
          <w:p w14:paraId="1FF52ABD">
            <w:pPr>
              <w:pStyle w:val="23"/>
              <w:keepNext w:val="0"/>
              <w:keepLines w:val="0"/>
              <w:suppressLineNumbers w:val="0"/>
              <w:spacing w:before="0" w:beforeAutospacing="0" w:after="0" w:afterAutospacing="0"/>
              <w:ind w:left="0" w:right="0" w:firstLine="480" w:firstLineChars="200"/>
              <w:rPr>
                <w:rFonts w:hint="eastAsia"/>
                <w:color w:val="auto"/>
                <w:highlight w:val="none"/>
                <w:lang w:val="en-US" w:eastAsia="zh-CN"/>
              </w:rPr>
            </w:pPr>
            <w:r>
              <w:rPr>
                <w:rFonts w:hint="eastAsia" w:cs="Times New Roman"/>
                <w:color w:val="auto"/>
              </w:rPr>
              <w:t>（3）</w:t>
            </w:r>
            <w:r>
              <w:rPr>
                <w:rFonts w:hint="eastAsia" w:ascii="宋体" w:hAnsi="宋体" w:cs="宋体"/>
                <w:color w:val="auto"/>
                <w:sz w:val="24"/>
                <w:szCs w:val="24"/>
                <w:lang w:eastAsia="zh-CN"/>
              </w:rPr>
              <w:t>机房设置动力通风系统，安装低噪音进、排风机(</w:t>
            </w:r>
            <w:r>
              <w:rPr>
                <w:rFonts w:hint="default" w:ascii="Times New Roman" w:hAnsi="Times New Roman" w:cs="Times New Roman"/>
                <w:color w:val="auto"/>
                <w:sz w:val="24"/>
                <w:szCs w:val="24"/>
                <w:lang w:eastAsia="zh-CN"/>
              </w:rPr>
              <w:t>700m</w:t>
            </w:r>
            <w:r>
              <w:rPr>
                <w:rFonts w:hint="default" w:ascii="Times New Roman" w:hAnsi="Times New Roman" w:cs="Times New Roman"/>
                <w:color w:val="auto"/>
                <w:sz w:val="24"/>
                <w:szCs w:val="24"/>
                <w:vertAlign w:val="superscript"/>
                <w:lang w:eastAsia="zh-CN"/>
              </w:rPr>
              <w:t>3</w:t>
            </w:r>
            <w:r>
              <w:rPr>
                <w:rFonts w:hint="default" w:ascii="Times New Roman" w:hAnsi="Times New Roman" w:cs="Times New Roman"/>
                <w:color w:val="auto"/>
                <w:sz w:val="24"/>
                <w:szCs w:val="24"/>
                <w:lang w:eastAsia="zh-CN"/>
              </w:rPr>
              <w:t>/h</w:t>
            </w:r>
            <w:r>
              <w:rPr>
                <w:rFonts w:hint="eastAsia" w:ascii="宋体" w:hAnsi="宋体" w:cs="宋体"/>
                <w:color w:val="auto"/>
                <w:sz w:val="24"/>
                <w:szCs w:val="24"/>
                <w:lang w:eastAsia="zh-CN"/>
              </w:rPr>
              <w:t>)一套，</w:t>
            </w:r>
            <w:r>
              <w:rPr>
                <w:rFonts w:hint="eastAsia"/>
                <w:color w:val="auto"/>
                <w:lang w:eastAsia="zh-CN"/>
              </w:rPr>
              <w:t>通风系统</w:t>
            </w:r>
            <w:r>
              <w:rPr>
                <w:rFonts w:hint="eastAsia"/>
                <w:color w:val="auto"/>
              </w:rPr>
              <w:t>运行过程会产生机械噪声排放</w:t>
            </w:r>
            <w:r>
              <w:rPr>
                <w:rFonts w:hint="eastAsia"/>
                <w:color w:val="auto"/>
                <w:lang w:eastAsia="zh-CN"/>
              </w:rPr>
              <w:t>，</w:t>
            </w:r>
            <w:r>
              <w:rPr>
                <w:rFonts w:hint="default" w:ascii="Times New Roman" w:hAnsi="Times New Roman" w:eastAsia="宋体" w:cs="Times New Roman"/>
                <w:color w:val="auto"/>
                <w:sz w:val="24"/>
                <w:szCs w:val="24"/>
              </w:rPr>
              <w:t>经选取低噪声设备、减振、隔声等防治措施后，</w:t>
            </w:r>
            <w:r>
              <w:rPr>
                <w:rFonts w:hint="eastAsia"/>
                <w:color w:val="auto"/>
                <w:lang w:val="en-US" w:eastAsia="zh-CN"/>
              </w:rPr>
              <w:t>四周</w:t>
            </w:r>
            <w:r>
              <w:rPr>
                <w:rFonts w:hint="default" w:ascii="Times New Roman" w:hAnsi="Times New Roman" w:eastAsia="宋体" w:cs="Times New Roman"/>
                <w:color w:val="auto"/>
                <w:sz w:val="24"/>
                <w:szCs w:val="24"/>
              </w:rPr>
              <w:t>厂界均可达到</w:t>
            </w:r>
            <w:r>
              <w:rPr>
                <w:rFonts w:hint="eastAsia" w:cs="Times New Roman"/>
                <w:color w:val="auto"/>
                <w:sz w:val="24"/>
                <w:szCs w:val="24"/>
                <w:lang w:eastAsia="zh-CN"/>
              </w:rPr>
              <w:t>《</w:t>
            </w:r>
            <w:r>
              <w:rPr>
                <w:rFonts w:hint="eastAsia" w:cs="Times New Roman"/>
                <w:color w:val="auto"/>
                <w:sz w:val="24"/>
                <w:szCs w:val="24"/>
                <w:lang w:val="en-US" w:eastAsia="zh-CN"/>
              </w:rPr>
              <w:t>工业企业厂界环境噪声排放标准</w:t>
            </w:r>
            <w:r>
              <w:rPr>
                <w:rFonts w:hint="eastAsia" w:cs="Times New Roman"/>
                <w:color w:val="auto"/>
                <w:sz w:val="24"/>
                <w:szCs w:val="24"/>
                <w:lang w:eastAsia="zh-CN"/>
              </w:rPr>
              <w:t>》（</w:t>
            </w:r>
            <w:r>
              <w:rPr>
                <w:rFonts w:hint="eastAsia" w:cs="Times New Roman"/>
                <w:color w:val="auto"/>
                <w:sz w:val="24"/>
                <w:szCs w:val="24"/>
                <w:lang w:val="en-US" w:eastAsia="zh-CN"/>
              </w:rPr>
              <w:t>GB12348-2008</w:t>
            </w:r>
            <w:r>
              <w:rPr>
                <w:rFonts w:hint="eastAsia" w:cs="Times New Roman"/>
                <w:color w:val="auto"/>
                <w:sz w:val="24"/>
                <w:szCs w:val="24"/>
                <w:lang w:eastAsia="zh-CN"/>
              </w:rPr>
              <w:t>）</w:t>
            </w:r>
            <w:r>
              <w:rPr>
                <w:rFonts w:hint="eastAsia" w:cs="Times New Roman"/>
                <w:color w:val="auto"/>
                <w:sz w:val="24"/>
                <w:szCs w:val="24"/>
                <w:lang w:val="en-US" w:eastAsia="zh-CN"/>
              </w:rPr>
              <w:t>中的2类标准准</w:t>
            </w:r>
            <w:r>
              <w:rPr>
                <w:rFonts w:hint="eastAsia"/>
                <w:color w:val="auto"/>
                <w:lang w:val="en-US" w:eastAsia="zh-CN"/>
              </w:rPr>
              <w:t>，</w:t>
            </w:r>
            <w:r>
              <w:rPr>
                <w:rFonts w:hint="default" w:ascii="Times New Roman" w:hAnsi="Times New Roman" w:cs="Times New Roman"/>
                <w:color w:val="auto"/>
              </w:rPr>
              <w:t>对周围</w:t>
            </w:r>
            <w:r>
              <w:rPr>
                <w:rFonts w:hint="default" w:ascii="Times New Roman" w:hAnsi="Times New Roman" w:cs="Times New Roman"/>
                <w:color w:val="auto"/>
                <w:lang w:eastAsia="zh-CN"/>
              </w:rPr>
              <w:t>声</w:t>
            </w:r>
            <w:r>
              <w:rPr>
                <w:rFonts w:hint="default" w:ascii="Times New Roman" w:hAnsi="Times New Roman" w:cs="Times New Roman"/>
                <w:color w:val="auto"/>
              </w:rPr>
              <w:t>环境影响较小</w:t>
            </w:r>
            <w:r>
              <w:rPr>
                <w:rFonts w:hint="eastAsia"/>
                <w:color w:val="auto"/>
                <w:highlight w:val="none"/>
                <w:lang w:val="en-US" w:eastAsia="zh-CN"/>
              </w:rPr>
              <w:t>。</w:t>
            </w:r>
          </w:p>
          <w:p w14:paraId="226FB70D">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（4）本项目运营期主要固废为工作人员的生活垃圾以及少量医疗废物</w:t>
            </w:r>
            <w:r>
              <w:rPr>
                <w:rFonts w:hint="default" w:cs="Times New Roman"/>
                <w:color w:val="auto"/>
              </w:rPr>
              <w:t>。生活垃圾</w:t>
            </w:r>
            <w:r>
              <w:rPr>
                <w:rFonts w:hint="eastAsia" w:cs="Times New Roman"/>
                <w:color w:val="auto"/>
              </w:rPr>
              <w:t>和医疗废物的</w:t>
            </w:r>
            <w:r>
              <w:rPr>
                <w:rFonts w:hint="default" w:cs="Times New Roman"/>
                <w:color w:val="auto"/>
              </w:rPr>
              <w:t>产生量很小，</w:t>
            </w:r>
            <w:r>
              <w:rPr>
                <w:rFonts w:hint="eastAsia" w:cs="Times New Roman"/>
                <w:color w:val="auto"/>
              </w:rPr>
              <w:t>依托医院整体固废处置措施安全处置后</w:t>
            </w:r>
            <w:r>
              <w:rPr>
                <w:rFonts w:hint="default" w:cs="Times New Roman"/>
                <w:color w:val="auto"/>
              </w:rPr>
              <w:t>，不会对周围环境造成影响。</w:t>
            </w:r>
          </w:p>
          <w:p w14:paraId="23D55EFD">
            <w:pPr>
              <w:pStyle w:val="23"/>
              <w:keepNext w:val="0"/>
              <w:keepLines w:val="0"/>
              <w:suppressLineNumbers w:val="0"/>
              <w:spacing w:before="0" w:beforeAutospacing="0" w:after="0" w:afterAutospacing="0"/>
              <w:ind w:left="0" w:right="0" w:firstLine="482" w:firstLineChars="200"/>
              <w:rPr>
                <w:rFonts w:hint="default" w:cs="Times New Roman"/>
                <w:b/>
                <w:color w:val="auto"/>
              </w:rPr>
            </w:pPr>
            <w:r>
              <w:rPr>
                <w:rFonts w:hint="default" w:cs="Times New Roman"/>
                <w:b/>
                <w:color w:val="auto"/>
              </w:rPr>
              <w:t>8</w:t>
            </w:r>
            <w:r>
              <w:rPr>
                <w:rFonts w:hint="eastAsia" w:cs="Times New Roman"/>
                <w:b/>
                <w:color w:val="auto"/>
              </w:rPr>
              <w:t>、</w:t>
            </w:r>
            <w:r>
              <w:rPr>
                <w:rFonts w:hint="eastAsia" w:cs="Times New Roman"/>
                <w:b/>
                <w:bCs/>
                <w:color w:val="auto"/>
              </w:rPr>
              <w:t>辐射安全管理</w:t>
            </w:r>
          </w:p>
          <w:p w14:paraId="59E3EEE1">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lang w:val="en-US" w:eastAsia="zh-CN"/>
              </w:rPr>
              <w:t>寿县安康医院</w:t>
            </w:r>
            <w:r>
              <w:rPr>
                <w:rFonts w:hint="eastAsia" w:cs="Times New Roman"/>
                <w:color w:val="auto"/>
              </w:rPr>
              <w:t>已建立以院领导为第一责任人的医院</w:t>
            </w:r>
            <w:r>
              <w:rPr>
                <w:rFonts w:hint="eastAsia" w:cs="Times New Roman"/>
                <w:color w:val="auto"/>
                <w:lang w:eastAsia="zh-CN"/>
              </w:rPr>
              <w:t>辐射安全防护管理领导小组</w:t>
            </w:r>
            <w:r>
              <w:rPr>
                <w:rFonts w:hint="eastAsia" w:cs="Times New Roman"/>
                <w:color w:val="auto"/>
              </w:rPr>
              <w:t>，全面负责医院辐射安全与环境保护管理工作，并制定了一系列辐射安全与环境保护管理制度。在今后的运营过程中须根据医院核技术应用项目的实际变化情况及时对辐射安全相关制度进行系统修订，提高制度可操作性，做到所有辐射工作都有章可循，有制度保障。医院在严格落实本报告所提出的辐射安全管理措施并加强对辐射工作人员个人剂量、辐射安全与防护考核和职业健康体检的管理的情况下，可以满足辐射安全管理要求。</w:t>
            </w:r>
          </w:p>
          <w:p w14:paraId="4E4FF54F">
            <w:pPr>
              <w:pStyle w:val="23"/>
              <w:keepNext w:val="0"/>
              <w:keepLines w:val="0"/>
              <w:suppressLineNumbers w:val="0"/>
              <w:spacing w:before="0" w:beforeAutospacing="0" w:after="0" w:afterAutospacing="0"/>
              <w:ind w:left="0" w:right="0" w:firstLine="482" w:firstLineChars="200"/>
              <w:rPr>
                <w:rFonts w:hint="default" w:cs="Times New Roman"/>
                <w:b/>
                <w:color w:val="auto"/>
              </w:rPr>
            </w:pPr>
            <w:r>
              <w:rPr>
                <w:rFonts w:hint="default" w:cs="Times New Roman"/>
                <w:b/>
                <w:color w:val="auto"/>
              </w:rPr>
              <w:t>9</w:t>
            </w:r>
            <w:r>
              <w:rPr>
                <w:rFonts w:hint="eastAsia" w:cs="Times New Roman"/>
                <w:b/>
                <w:color w:val="auto"/>
              </w:rPr>
              <w:t>、评价结论</w:t>
            </w:r>
          </w:p>
          <w:p w14:paraId="2E322342">
            <w:pPr>
              <w:pStyle w:val="15"/>
              <w:keepNext w:val="0"/>
              <w:keepLines w:val="0"/>
              <w:suppressLineNumbers w:val="0"/>
              <w:spacing w:before="0" w:beforeAutospacing="0" w:after="0" w:afterAutospacing="0"/>
              <w:ind w:left="0" w:right="0" w:firstLine="482" w:firstLineChars="200"/>
              <w:rPr>
                <w:rFonts w:hint="eastAsia"/>
                <w:color w:val="auto"/>
                <w:vertAlign w:val="baseline"/>
                <w:lang w:val="en-US" w:eastAsia="zh-CN"/>
              </w:rPr>
            </w:pPr>
            <w:r>
              <w:rPr>
                <w:rFonts w:hint="eastAsia" w:cs="Times New Roman"/>
                <w:b/>
                <w:bCs/>
                <w:color w:val="auto"/>
              </w:rPr>
              <w:t>综上所述，在落实本报告提出的各项污染防治措施和管理措施的情况下，</w:t>
            </w:r>
            <w:r>
              <w:rPr>
                <w:rFonts w:hint="eastAsia" w:cs="Times New Roman"/>
                <w:b/>
                <w:bCs/>
                <w:color w:val="auto"/>
                <w:lang w:val="en-US" w:eastAsia="zh-CN"/>
              </w:rPr>
              <w:t>寿县安康医院</w:t>
            </w:r>
            <w:r>
              <w:rPr>
                <w:rFonts w:hint="eastAsia" w:cs="Times New Roman"/>
                <w:b/>
                <w:bCs/>
                <w:color w:val="auto"/>
              </w:rPr>
              <w:t>将具有与其所从事的</w:t>
            </w:r>
            <w:r>
              <w:rPr>
                <w:rFonts w:hint="eastAsia" w:cs="Times New Roman"/>
                <w:b/>
                <w:bCs/>
                <w:color w:val="auto"/>
                <w:highlight w:val="none"/>
              </w:rPr>
              <w:t>辐射活动相适应的管理能力并具备相应的辐射安全防护措施。“</w:t>
            </w:r>
            <w:r>
              <w:rPr>
                <w:rFonts w:hint="eastAsia" w:cs="Times New Roman"/>
                <w:b/>
                <w:bCs/>
                <w:color w:val="auto"/>
                <w:highlight w:val="none"/>
                <w:lang w:val="en-US" w:eastAsia="zh-CN"/>
              </w:rPr>
              <w:t>寿县安康医院新增DSA设备项目</w:t>
            </w:r>
            <w:r>
              <w:rPr>
                <w:rFonts w:hint="eastAsia" w:cs="Times New Roman"/>
                <w:b/>
                <w:bCs/>
                <w:color w:val="auto"/>
                <w:highlight w:val="none"/>
              </w:rPr>
              <w:t>”的建设、运行对周围环境产生的影响能够满足辐射环境保护的要求，从辐射环境影响的</w:t>
            </w:r>
            <w:r>
              <w:rPr>
                <w:rFonts w:hint="eastAsia" w:cs="Times New Roman"/>
                <w:b/>
                <w:bCs/>
                <w:color w:val="auto"/>
              </w:rPr>
              <w:t>角度论证，本项目的建设和运行是可行的。</w:t>
            </w:r>
          </w:p>
        </w:tc>
      </w:tr>
      <w:tr w14:paraId="08EC3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78" w:type="dxa"/>
          </w:tcPr>
          <w:p w14:paraId="1490CB0B">
            <w:pPr>
              <w:pStyle w:val="23"/>
              <w:keepNext w:val="0"/>
              <w:keepLines w:val="0"/>
              <w:suppressLineNumbers w:val="0"/>
              <w:spacing w:before="0" w:beforeAutospacing="0" w:after="0" w:afterAutospacing="0"/>
              <w:ind w:left="0" w:leftChars="0" w:right="0" w:firstLine="0" w:firstLineChars="0"/>
              <w:rPr>
                <w:rFonts w:hint="default" w:cs="Times New Roman"/>
                <w:b/>
                <w:bCs/>
                <w:color w:val="auto"/>
              </w:rPr>
            </w:pPr>
            <w:r>
              <w:rPr>
                <w:rFonts w:hint="eastAsia" w:cs="Times New Roman"/>
                <w:b/>
                <w:bCs/>
                <w:color w:val="auto"/>
              </w:rPr>
              <w:t>建议和承诺：</w:t>
            </w:r>
          </w:p>
          <w:p w14:paraId="7C8AF9C9">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1、项目运行中，应严格遵循操作规程，加强对操作人员的培训，杜绝麻痹大意思想，以避免意外事故造成对公众和职业人员的附加影响，使对环境的影响降低到最低。</w:t>
            </w:r>
          </w:p>
          <w:p w14:paraId="63DD0F73">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default" w:cs="Times New Roman"/>
                <w:color w:val="auto"/>
              </w:rPr>
              <w:t>2</w:t>
            </w:r>
            <w:r>
              <w:rPr>
                <w:rFonts w:hint="eastAsia" w:cs="Times New Roman"/>
                <w:color w:val="auto"/>
              </w:rPr>
              <w:t>、根据医院核技术应用项目的实际变化情况及时对医院辐射安全与环境保护管理制度进行更新。</w:t>
            </w:r>
          </w:p>
          <w:p w14:paraId="4862BE7C">
            <w:pPr>
              <w:pStyle w:val="23"/>
              <w:keepNext w:val="0"/>
              <w:keepLines w:val="0"/>
              <w:suppressLineNumbers w:val="0"/>
              <w:spacing w:before="0" w:beforeAutospacing="0" w:after="0" w:afterAutospacing="0"/>
              <w:ind w:left="0" w:right="0" w:firstLine="480" w:firstLineChars="200"/>
              <w:rPr>
                <w:rFonts w:hint="default" w:cs="Times New Roman"/>
                <w:color w:val="auto"/>
              </w:rPr>
            </w:pPr>
            <w:r>
              <w:rPr>
                <w:rFonts w:hint="eastAsia" w:cs="Times New Roman"/>
                <w:color w:val="auto"/>
              </w:rPr>
              <w:t>3、定期进行辐射工作场所进行监督检查和检测，发现异常及时调查、及时整改，定期查看辐射工作人员个人剂量报告，发现异常及时调查并记录调查结果，调查结果应有被调查人签字确认。</w:t>
            </w:r>
          </w:p>
          <w:p w14:paraId="434DE2B1">
            <w:pPr>
              <w:pStyle w:val="15"/>
              <w:keepNext w:val="0"/>
              <w:keepLines w:val="0"/>
              <w:suppressLineNumbers w:val="0"/>
              <w:spacing w:before="0" w:beforeAutospacing="0" w:after="0" w:afterAutospacing="0"/>
              <w:ind w:left="0" w:right="0" w:firstLine="480" w:firstLineChars="200"/>
              <w:rPr>
                <w:rFonts w:hint="eastAsia" w:cs="Times New Roman"/>
                <w:b/>
                <w:bCs/>
                <w:color w:val="auto"/>
              </w:rPr>
            </w:pPr>
            <w:r>
              <w:rPr>
                <w:rFonts w:hint="default" w:cs="Times New Roman"/>
                <w:color w:val="auto"/>
              </w:rPr>
              <w:t>4</w:t>
            </w:r>
            <w:r>
              <w:rPr>
                <w:rFonts w:hint="eastAsia" w:cs="Times New Roman"/>
                <w:color w:val="auto"/>
              </w:rPr>
              <w:t>、医院需加强辐射工作人员的管理，建立辐射工作人员职业健康档案，做到个人剂量监测、职业体检、辐射安全防护考核人员三统一，对辐射人员进行动态管理。</w:t>
            </w:r>
          </w:p>
        </w:tc>
      </w:tr>
    </w:tbl>
    <w:p w14:paraId="0EB51F3E">
      <w:pPr>
        <w:pStyle w:val="15"/>
        <w:ind w:left="0" w:leftChars="0" w:firstLine="0" w:firstLineChars="0"/>
        <w:rPr>
          <w:rFonts w:hint="eastAsia"/>
          <w:color w:val="auto"/>
          <w:lang w:val="en-US" w:eastAsia="zh-CN"/>
        </w:rPr>
        <w:sectPr>
          <w:pgSz w:w="11906" w:h="16838"/>
          <w:pgMar w:top="1440" w:right="1080" w:bottom="1440" w:left="1080" w:header="851" w:footer="992" w:gutter="0"/>
          <w:pgNumType w:fmt="decimal"/>
          <w:cols w:space="0" w:num="1"/>
          <w:rtlGutter w:val="0"/>
          <w:docGrid w:type="lines" w:linePitch="312" w:charSpace="0"/>
        </w:sectPr>
      </w:pPr>
    </w:p>
    <w:p w14:paraId="088D8686">
      <w:pPr>
        <w:pStyle w:val="3"/>
        <w:bidi w:val="0"/>
        <w:rPr>
          <w:color w:val="auto"/>
          <w:lang w:val="en-US" w:eastAsia="zh-CN"/>
        </w:rPr>
      </w:pPr>
      <w:bookmarkStart w:id="82" w:name="_Toc26141"/>
      <w:bookmarkStart w:id="83" w:name="_Toc16726"/>
      <w:bookmarkStart w:id="84" w:name="_Toc84244216"/>
      <w:bookmarkStart w:id="85" w:name="_Toc56004489"/>
      <w:bookmarkStart w:id="86" w:name="_Toc16240"/>
      <w:bookmarkStart w:id="87" w:name="_Toc71788697"/>
      <w:bookmarkStart w:id="88" w:name="_Toc56003451"/>
      <w:r>
        <w:rPr>
          <w:color w:val="auto"/>
          <w:lang w:val="en-US" w:eastAsia="zh-CN"/>
        </w:rPr>
        <w:t xml:space="preserve">表14 </w:t>
      </w:r>
      <w:r>
        <w:rPr>
          <w:rFonts w:hint="eastAsia"/>
          <w:color w:val="auto"/>
          <w:lang w:val="en-US" w:eastAsia="zh-CN"/>
        </w:rPr>
        <w:t>审批</w:t>
      </w:r>
      <w:bookmarkEnd w:id="82"/>
      <w:bookmarkEnd w:id="83"/>
      <w:bookmarkEnd w:id="84"/>
      <w:bookmarkEnd w:id="85"/>
      <w:bookmarkEnd w:id="86"/>
      <w:bookmarkEnd w:id="87"/>
      <w:bookmarkEnd w:id="88"/>
    </w:p>
    <w:tbl>
      <w:tblPr>
        <w:tblStyle w:val="18"/>
        <w:tblW w:w="9843"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9843"/>
      </w:tblGrid>
      <w:tr w14:paraId="27B3FB6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832" w:hRule="atLeast"/>
          <w:jc w:val="center"/>
        </w:trPr>
        <w:tc>
          <w:tcPr>
            <w:tcW w:w="9843" w:type="dxa"/>
          </w:tcPr>
          <w:p w14:paraId="7E8DBEF3">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b/>
                <w:bCs/>
                <w:snapToGrid w:val="0"/>
                <w:color w:val="auto"/>
                <w:kern w:val="0"/>
                <w:sz w:val="28"/>
                <w:szCs w:val="22"/>
                <w:lang w:val="en-US" w:eastAsia="zh-CN" w:bidi="ar-SA"/>
              </w:rPr>
            </w:pPr>
            <w:r>
              <w:rPr>
                <w:rFonts w:hint="eastAsia" w:ascii="Times New Roman" w:hAnsi="Times New Roman" w:eastAsia="宋体" w:cs="Times New Roman"/>
                <w:b/>
                <w:bCs/>
                <w:snapToGrid w:val="0"/>
                <w:color w:val="auto"/>
                <w:kern w:val="0"/>
                <w:sz w:val="28"/>
                <w:szCs w:val="22"/>
                <w:lang w:val="en-US" w:eastAsia="zh-CN" w:bidi="ar-SA"/>
              </w:rPr>
              <w:t>下一级环保部门预审意见：</w:t>
            </w:r>
          </w:p>
          <w:p w14:paraId="3398F309">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666B9D7F">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7280FF02">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46E66105">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408E8302">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3879912E">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7113A7BA">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43C65E10">
            <w:pPr>
              <w:keepNext w:val="0"/>
              <w:keepLines w:val="0"/>
              <w:widowControl w:val="0"/>
              <w:suppressLineNumbers w:val="0"/>
              <w:wordWrap w:val="0"/>
              <w:spacing w:before="0" w:beforeAutospacing="0" w:after="0" w:afterAutospacing="0" w:line="360" w:lineRule="auto"/>
              <w:ind w:left="0" w:right="0" w:firstLine="560" w:firstLineChars="200"/>
              <w:jc w:val="right"/>
              <w:rPr>
                <w:rFonts w:hint="default" w:ascii="Times New Roman" w:hAnsi="Times New Roman" w:eastAsia="宋体" w:cs="Times New Roman"/>
                <w:snapToGrid w:val="0"/>
                <w:color w:val="auto"/>
                <w:kern w:val="0"/>
                <w:sz w:val="28"/>
                <w:szCs w:val="22"/>
                <w:lang w:val="en-US" w:eastAsia="zh-CN" w:bidi="ar-SA"/>
              </w:rPr>
            </w:pPr>
            <w:r>
              <w:rPr>
                <w:rFonts w:hint="eastAsia" w:ascii="Times New Roman" w:hAnsi="Times New Roman" w:eastAsia="宋体" w:cs="Times New Roman"/>
                <w:snapToGrid w:val="0"/>
                <w:color w:val="auto"/>
                <w:kern w:val="0"/>
                <w:sz w:val="28"/>
                <w:szCs w:val="22"/>
                <w:lang w:val="en-US" w:eastAsia="zh-CN" w:bidi="ar-SA"/>
              </w:rPr>
              <w:t xml:space="preserve">公章 </w:t>
            </w:r>
            <w:r>
              <w:rPr>
                <w:rFonts w:hint="default" w:ascii="Times New Roman" w:hAnsi="Times New Roman" w:eastAsia="宋体" w:cs="Times New Roman"/>
                <w:snapToGrid w:val="0"/>
                <w:color w:val="auto"/>
                <w:kern w:val="0"/>
                <w:sz w:val="28"/>
                <w:szCs w:val="22"/>
                <w:lang w:val="en-US" w:eastAsia="zh-CN" w:bidi="ar-SA"/>
              </w:rPr>
              <w:t xml:space="preserve">           </w:t>
            </w:r>
          </w:p>
          <w:p w14:paraId="34B6368F">
            <w:pPr>
              <w:keepNext w:val="0"/>
              <w:keepLines w:val="0"/>
              <w:widowControl w:val="0"/>
              <w:suppressLineNumbers w:val="0"/>
              <w:spacing w:before="0" w:beforeAutospacing="0" w:after="0" w:afterAutospacing="0" w:line="360" w:lineRule="auto"/>
              <w:ind w:left="0" w:right="0" w:firstLine="56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8"/>
                <w:szCs w:val="22"/>
                <w:lang w:val="en-US" w:eastAsia="zh-CN" w:bidi="ar-SA"/>
              </w:rPr>
              <w:t xml:space="preserve">经办人 </w:t>
            </w:r>
            <w:r>
              <w:rPr>
                <w:rFonts w:hint="default" w:ascii="Times New Roman" w:hAnsi="Times New Roman" w:eastAsia="宋体" w:cs="Times New Roman"/>
                <w:snapToGrid w:val="0"/>
                <w:color w:val="auto"/>
                <w:kern w:val="0"/>
                <w:sz w:val="28"/>
                <w:szCs w:val="22"/>
                <w:lang w:val="en-US" w:eastAsia="zh-CN" w:bidi="ar-SA"/>
              </w:rPr>
              <w:t xml:space="preserve">                                     </w:t>
            </w:r>
            <w:r>
              <w:rPr>
                <w:rFonts w:hint="eastAsia" w:ascii="Times New Roman" w:hAnsi="Times New Roman" w:eastAsia="宋体" w:cs="Times New Roman"/>
                <w:snapToGrid w:val="0"/>
                <w:color w:val="auto"/>
                <w:kern w:val="0"/>
                <w:sz w:val="28"/>
                <w:szCs w:val="22"/>
                <w:lang w:val="en-US" w:eastAsia="zh-CN" w:bidi="ar-SA"/>
              </w:rPr>
              <w:t xml:space="preserve">年 </w:t>
            </w:r>
            <w:r>
              <w:rPr>
                <w:rFonts w:hint="default" w:ascii="Times New Roman" w:hAnsi="Times New Roman" w:eastAsia="宋体" w:cs="Times New Roman"/>
                <w:snapToGrid w:val="0"/>
                <w:color w:val="auto"/>
                <w:kern w:val="0"/>
                <w:sz w:val="28"/>
                <w:szCs w:val="22"/>
                <w:lang w:val="en-US" w:eastAsia="zh-CN" w:bidi="ar-SA"/>
              </w:rPr>
              <w:t xml:space="preserve">  </w:t>
            </w:r>
            <w:r>
              <w:rPr>
                <w:rFonts w:hint="eastAsia" w:ascii="Times New Roman" w:hAnsi="Times New Roman" w:eastAsia="宋体" w:cs="Times New Roman"/>
                <w:snapToGrid w:val="0"/>
                <w:color w:val="auto"/>
                <w:kern w:val="0"/>
                <w:sz w:val="28"/>
                <w:szCs w:val="22"/>
                <w:lang w:val="en-US" w:eastAsia="zh-CN" w:bidi="ar-SA"/>
              </w:rPr>
              <w:t xml:space="preserve">月 </w:t>
            </w:r>
            <w:r>
              <w:rPr>
                <w:rFonts w:hint="default" w:ascii="Times New Roman" w:hAnsi="Times New Roman" w:eastAsia="宋体" w:cs="Times New Roman"/>
                <w:snapToGrid w:val="0"/>
                <w:color w:val="auto"/>
                <w:kern w:val="0"/>
                <w:sz w:val="28"/>
                <w:szCs w:val="22"/>
                <w:lang w:val="en-US" w:eastAsia="zh-CN" w:bidi="ar-SA"/>
              </w:rPr>
              <w:t xml:space="preserve">  </w:t>
            </w:r>
            <w:r>
              <w:rPr>
                <w:rFonts w:hint="eastAsia" w:ascii="Times New Roman" w:hAnsi="Times New Roman" w:eastAsia="宋体" w:cs="Times New Roman"/>
                <w:snapToGrid w:val="0"/>
                <w:color w:val="auto"/>
                <w:kern w:val="0"/>
                <w:sz w:val="28"/>
                <w:szCs w:val="22"/>
                <w:lang w:val="en-US" w:eastAsia="zh-CN" w:bidi="ar-SA"/>
              </w:rPr>
              <w:t>日</w:t>
            </w:r>
          </w:p>
        </w:tc>
      </w:tr>
      <w:tr w14:paraId="585040A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012" w:hRule="atLeast"/>
          <w:jc w:val="center"/>
        </w:trPr>
        <w:tc>
          <w:tcPr>
            <w:tcW w:w="9843" w:type="dxa"/>
          </w:tcPr>
          <w:p w14:paraId="173F8F0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b/>
                <w:bCs/>
                <w:snapToGrid w:val="0"/>
                <w:color w:val="auto"/>
                <w:kern w:val="0"/>
                <w:sz w:val="28"/>
                <w:szCs w:val="22"/>
                <w:lang w:val="en-US" w:eastAsia="zh-CN" w:bidi="ar-SA"/>
              </w:rPr>
            </w:pPr>
            <w:r>
              <w:rPr>
                <w:rFonts w:hint="eastAsia" w:ascii="Times New Roman" w:hAnsi="Times New Roman" w:eastAsia="宋体" w:cs="Times New Roman"/>
                <w:b/>
                <w:bCs/>
                <w:snapToGrid w:val="0"/>
                <w:color w:val="auto"/>
                <w:kern w:val="0"/>
                <w:sz w:val="28"/>
                <w:szCs w:val="22"/>
                <w:lang w:val="en-US" w:eastAsia="zh-CN" w:bidi="ar-SA"/>
              </w:rPr>
              <w:t>审批意见：</w:t>
            </w:r>
          </w:p>
          <w:p w14:paraId="27B928D1">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4DBCA32D">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39617338">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61187B6F">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53819770">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7E3A23B8">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48A2BF99">
            <w:pPr>
              <w:keepNext w:val="0"/>
              <w:keepLines w:val="0"/>
              <w:widowControl w:val="0"/>
              <w:suppressLineNumbers w:val="0"/>
              <w:wordWrap w:val="0"/>
              <w:spacing w:before="0" w:beforeAutospacing="0" w:after="0" w:afterAutospacing="0" w:line="360" w:lineRule="auto"/>
              <w:ind w:left="0" w:right="0" w:firstLine="560" w:firstLineChars="200"/>
              <w:jc w:val="right"/>
              <w:rPr>
                <w:rFonts w:hint="eastAsia" w:ascii="Times New Roman" w:hAnsi="Times New Roman" w:eastAsia="宋体" w:cs="Times New Roman"/>
                <w:snapToGrid w:val="0"/>
                <w:color w:val="auto"/>
                <w:kern w:val="0"/>
                <w:sz w:val="28"/>
                <w:szCs w:val="22"/>
                <w:lang w:val="en-US" w:eastAsia="zh-CN" w:bidi="ar-SA"/>
              </w:rPr>
            </w:pPr>
          </w:p>
          <w:p w14:paraId="28311EF6">
            <w:pPr>
              <w:keepNext w:val="0"/>
              <w:keepLines w:val="0"/>
              <w:widowControl w:val="0"/>
              <w:suppressLineNumbers w:val="0"/>
              <w:wordWrap w:val="0"/>
              <w:spacing w:before="0" w:beforeAutospacing="0" w:after="0" w:afterAutospacing="0" w:line="360" w:lineRule="auto"/>
              <w:ind w:left="0" w:right="0" w:firstLine="560" w:firstLineChars="200"/>
              <w:jc w:val="right"/>
              <w:rPr>
                <w:rFonts w:hint="default" w:ascii="Times New Roman" w:hAnsi="Times New Roman" w:eastAsia="宋体" w:cs="Times New Roman"/>
                <w:snapToGrid w:val="0"/>
                <w:color w:val="auto"/>
                <w:kern w:val="0"/>
                <w:sz w:val="28"/>
                <w:szCs w:val="22"/>
                <w:lang w:val="en-US" w:eastAsia="zh-CN" w:bidi="ar-SA"/>
              </w:rPr>
            </w:pPr>
            <w:r>
              <w:rPr>
                <w:rFonts w:hint="eastAsia" w:ascii="Times New Roman" w:hAnsi="Times New Roman" w:eastAsia="宋体" w:cs="Times New Roman"/>
                <w:snapToGrid w:val="0"/>
                <w:color w:val="auto"/>
                <w:kern w:val="0"/>
                <w:sz w:val="28"/>
                <w:szCs w:val="22"/>
                <w:lang w:val="en-US" w:eastAsia="zh-CN" w:bidi="ar-SA"/>
              </w:rPr>
              <w:t xml:space="preserve">公章 </w:t>
            </w:r>
            <w:r>
              <w:rPr>
                <w:rFonts w:hint="default" w:ascii="Times New Roman" w:hAnsi="Times New Roman" w:eastAsia="宋体" w:cs="Times New Roman"/>
                <w:snapToGrid w:val="0"/>
                <w:color w:val="auto"/>
                <w:kern w:val="0"/>
                <w:sz w:val="28"/>
                <w:szCs w:val="22"/>
                <w:lang w:val="en-US" w:eastAsia="zh-CN" w:bidi="ar-SA"/>
              </w:rPr>
              <w:t xml:space="preserve">            </w:t>
            </w:r>
          </w:p>
          <w:p w14:paraId="795DD98F">
            <w:pPr>
              <w:keepNext w:val="0"/>
              <w:keepLines w:val="0"/>
              <w:widowControl w:val="0"/>
              <w:suppressLineNumbers w:val="0"/>
              <w:spacing w:before="0" w:beforeAutospacing="0" w:after="0" w:afterAutospacing="0" w:line="360" w:lineRule="auto"/>
              <w:ind w:left="0" w:right="0" w:firstLine="560" w:firstLineChars="200"/>
              <w:jc w:val="both"/>
              <w:rPr>
                <w:rFonts w:hint="default" w:ascii="Times New Roman" w:hAnsi="Times New Roman" w:eastAsia="宋体" w:cs="Times New Roman"/>
                <w:snapToGrid w:val="0"/>
                <w:color w:val="auto"/>
                <w:kern w:val="0"/>
                <w:sz w:val="24"/>
                <w:szCs w:val="21"/>
                <w:lang w:val="en-US" w:eastAsia="zh-CN" w:bidi="ar-SA"/>
              </w:rPr>
            </w:pPr>
            <w:r>
              <w:rPr>
                <w:rFonts w:hint="eastAsia" w:ascii="Times New Roman" w:hAnsi="Times New Roman" w:eastAsia="宋体" w:cs="Times New Roman"/>
                <w:snapToGrid w:val="0"/>
                <w:color w:val="auto"/>
                <w:kern w:val="0"/>
                <w:sz w:val="28"/>
                <w:szCs w:val="22"/>
                <w:lang w:val="en-US" w:eastAsia="zh-CN" w:bidi="ar-SA"/>
              </w:rPr>
              <w:t xml:space="preserve">经办人 </w:t>
            </w:r>
            <w:r>
              <w:rPr>
                <w:rFonts w:hint="default" w:ascii="Times New Roman" w:hAnsi="Times New Roman" w:eastAsia="宋体" w:cs="Times New Roman"/>
                <w:snapToGrid w:val="0"/>
                <w:color w:val="auto"/>
                <w:kern w:val="0"/>
                <w:sz w:val="28"/>
                <w:szCs w:val="22"/>
                <w:lang w:val="en-US" w:eastAsia="zh-CN" w:bidi="ar-SA"/>
              </w:rPr>
              <w:t xml:space="preserve">                                     </w:t>
            </w:r>
            <w:r>
              <w:rPr>
                <w:rFonts w:hint="eastAsia" w:ascii="Times New Roman" w:hAnsi="Times New Roman" w:eastAsia="宋体" w:cs="Times New Roman"/>
                <w:snapToGrid w:val="0"/>
                <w:color w:val="auto"/>
                <w:kern w:val="0"/>
                <w:sz w:val="28"/>
                <w:szCs w:val="22"/>
                <w:lang w:val="en-US" w:eastAsia="zh-CN" w:bidi="ar-SA"/>
              </w:rPr>
              <w:t xml:space="preserve">年 </w:t>
            </w:r>
            <w:r>
              <w:rPr>
                <w:rFonts w:hint="default" w:ascii="Times New Roman" w:hAnsi="Times New Roman" w:eastAsia="宋体" w:cs="Times New Roman"/>
                <w:snapToGrid w:val="0"/>
                <w:color w:val="auto"/>
                <w:kern w:val="0"/>
                <w:sz w:val="28"/>
                <w:szCs w:val="22"/>
                <w:lang w:val="en-US" w:eastAsia="zh-CN" w:bidi="ar-SA"/>
              </w:rPr>
              <w:t xml:space="preserve">  </w:t>
            </w:r>
            <w:r>
              <w:rPr>
                <w:rFonts w:hint="eastAsia" w:ascii="Times New Roman" w:hAnsi="Times New Roman" w:eastAsia="宋体" w:cs="Times New Roman"/>
                <w:snapToGrid w:val="0"/>
                <w:color w:val="auto"/>
                <w:kern w:val="0"/>
                <w:sz w:val="28"/>
                <w:szCs w:val="22"/>
                <w:lang w:val="en-US" w:eastAsia="zh-CN" w:bidi="ar-SA"/>
              </w:rPr>
              <w:t xml:space="preserve">月 </w:t>
            </w:r>
            <w:r>
              <w:rPr>
                <w:rFonts w:hint="default" w:ascii="Times New Roman" w:hAnsi="Times New Roman" w:eastAsia="宋体" w:cs="Times New Roman"/>
                <w:snapToGrid w:val="0"/>
                <w:color w:val="auto"/>
                <w:kern w:val="0"/>
                <w:sz w:val="28"/>
                <w:szCs w:val="22"/>
                <w:lang w:val="en-US" w:eastAsia="zh-CN" w:bidi="ar-SA"/>
              </w:rPr>
              <w:t xml:space="preserve">  </w:t>
            </w:r>
            <w:r>
              <w:rPr>
                <w:rFonts w:hint="eastAsia" w:ascii="Times New Roman" w:hAnsi="Times New Roman" w:eastAsia="宋体" w:cs="Times New Roman"/>
                <w:snapToGrid w:val="0"/>
                <w:color w:val="auto"/>
                <w:kern w:val="0"/>
                <w:sz w:val="28"/>
                <w:szCs w:val="22"/>
                <w:lang w:val="en-US" w:eastAsia="zh-CN" w:bidi="ar-SA"/>
              </w:rPr>
              <w:t>日</w:t>
            </w:r>
          </w:p>
        </w:tc>
      </w:tr>
    </w:tbl>
    <w:p w14:paraId="7E958110">
      <w:pPr>
        <w:pStyle w:val="15"/>
        <w:ind w:left="0" w:leftChars="0" w:firstLine="0" w:firstLineChars="0"/>
        <w:rPr>
          <w:rFonts w:hint="eastAsia"/>
          <w:color w:val="auto"/>
          <w:lang w:val="en-US" w:eastAsia="zh-CN"/>
        </w:rPr>
      </w:pPr>
    </w:p>
    <w:sectPr>
      <w:pgSz w:w="11906" w:h="16838"/>
      <w:pgMar w:top="1440" w:right="1080" w:bottom="1440" w:left="1080" w:header="851" w:footer="992" w:gutter="0"/>
      <w:pgNumType w:fmt="decimal"/>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Wingdings 2">
    <w:panose1 w:val="05020102010507070707"/>
    <w:charset w:val="02"/>
    <w:family w:val="roman"/>
    <w:pitch w:val="default"/>
    <w:sig w:usb0="00000000" w:usb1="00000000" w:usb2="00000000" w:usb3="00000000" w:csb0="80000000"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80F3C52" w:usb2="00000016" w:usb3="00000000" w:csb0="0004001F" w:csb1="00000000"/>
  </w:font>
  <w:font w:name="华文新魏">
    <w:panose1 w:val="02010800040101010101"/>
    <w:charset w:val="86"/>
    <w:family w:val="auto"/>
    <w:pitch w:val="default"/>
    <w:sig w:usb0="00000001" w:usb1="080F0000" w:usb2="00000000" w:usb3="00000000" w:csb0="00040000" w:csb1="00000000"/>
  </w:font>
  <w:font w:name="Cambria Math">
    <w:panose1 w:val="02040503050406030204"/>
    <w:charset w:val="00"/>
    <w:family w:val="roman"/>
    <w:pitch w:val="default"/>
    <w:sig w:usb0="E00002FF" w:usb1="420024FF" w:usb2="00000000" w:usb3="00000000" w:csb0="2000019F"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BEBEAD">
    <w:pPr>
      <w:pStyle w:val="12"/>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21242D">
    <w:pPr>
      <w:pStyle w:val="12"/>
      <w:jc w:val="right"/>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9EC082">
                          <w:pPr>
                            <w:pStyle w:val="11"/>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219EC082">
                    <w:pPr>
                      <w:pStyle w:val="11"/>
                    </w:pPr>
                    <w:r>
                      <w:fldChar w:fldCharType="begin"/>
                    </w:r>
                    <w:r>
                      <w:instrText xml:space="preserve"> PAGE  \* MERGEFORMAT </w:instrText>
                    </w:r>
                    <w:r>
                      <w:fldChar w:fldCharType="separate"/>
                    </w:r>
                    <w:r>
                      <w:t>4</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4CA9EA">
    <w:pPr>
      <w:keepNext w:val="0"/>
      <w:keepLines w:val="0"/>
      <w:pageBreakBefore w:val="0"/>
      <w:widowControl w:val="0"/>
      <w:kinsoku/>
      <w:wordWrap/>
      <w:overflowPunct/>
      <w:topLinePunct w:val="0"/>
      <w:autoSpaceDE/>
      <w:autoSpaceDN/>
      <w:bidi w:val="0"/>
      <w:adjustRightInd/>
      <w:snapToGrid/>
      <w:ind w:firstLine="361" w:firstLineChars="200"/>
      <w:jc w:val="right"/>
      <w:textAlignment w:val="auto"/>
      <w:rPr>
        <w:rFonts w:ascii="宋体" w:hAnsi="宋体" w:eastAsia="宋体"/>
        <w:b/>
        <w:color w:val="auto"/>
        <w:sz w:val="18"/>
        <w:szCs w:val="18"/>
      </w:rPr>
    </w:pPr>
  </w:p>
  <w:p w14:paraId="39E2C4FA">
    <w:pPr>
      <w:pStyle w:val="12"/>
      <w:jc w:val="right"/>
      <w:rPr>
        <w:rFonts w:hint="default" w:eastAsiaTheme="minorEastAsia"/>
        <w:lang w:val="en-US"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9D335C">
    <w:pPr>
      <w:pStyle w:val="12"/>
      <w:jc w:val="right"/>
      <w:rPr>
        <w:rFonts w:hint="default" w:eastAsiaTheme="minorEastAsia"/>
        <w:lang w:val="en-US" w:eastAsia="zh-CN"/>
      </w:rPr>
    </w:pPr>
    <w:r>
      <w:rPr>
        <w:rFonts w:hint="eastAsia"/>
        <w:lang w:eastAsia="zh-CN"/>
      </w:rPr>
      <w:t>寿县安康医院</w:t>
    </w:r>
    <w:r>
      <w:rPr>
        <w:rFonts w:hint="eastAsia"/>
        <w:lang w:val="en-US" w:eastAsia="zh-CN"/>
      </w:rPr>
      <w:t>新增DSA设备项目</w:t>
    </w:r>
  </w:p>
  <w:p w14:paraId="74FC1D94">
    <w:pPr>
      <w:pStyle w:val="12"/>
      <w:jc w:val="right"/>
      <w:rPr>
        <w:rFonts w:hint="default" w:eastAsiaTheme="minorEastAsia"/>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0549BBE"/>
    <w:multiLevelType w:val="singleLevel"/>
    <w:tmpl w:val="A0549BBE"/>
    <w:lvl w:ilvl="0" w:tentative="0">
      <w:start w:val="1"/>
      <w:numFmt w:val="decimal"/>
      <w:suff w:val="nothing"/>
      <w:lvlText w:val="%1、"/>
      <w:lvlJc w:val="left"/>
    </w:lvl>
  </w:abstractNum>
  <w:abstractNum w:abstractNumId="1">
    <w:nsid w:val="AC966BFF"/>
    <w:multiLevelType w:val="singleLevel"/>
    <w:tmpl w:val="AC966BFF"/>
    <w:lvl w:ilvl="0" w:tentative="0">
      <w:start w:val="6"/>
      <w:numFmt w:val="decimal"/>
      <w:suff w:val="nothing"/>
      <w:lvlText w:val="（%1）"/>
      <w:lvlJc w:val="left"/>
    </w:lvl>
  </w:abstractNum>
  <w:abstractNum w:abstractNumId="2">
    <w:nsid w:val="C06A7878"/>
    <w:multiLevelType w:val="singleLevel"/>
    <w:tmpl w:val="C06A7878"/>
    <w:lvl w:ilvl="0" w:tentative="0">
      <w:start w:val="2"/>
      <w:numFmt w:val="decimal"/>
      <w:suff w:val="nothing"/>
      <w:lvlText w:val="（%1）"/>
      <w:lvlJc w:val="left"/>
    </w:lvl>
  </w:abstractNum>
  <w:abstractNum w:abstractNumId="3">
    <w:nsid w:val="CDE2E27A"/>
    <w:multiLevelType w:val="singleLevel"/>
    <w:tmpl w:val="CDE2E27A"/>
    <w:lvl w:ilvl="0" w:tentative="0">
      <w:start w:val="1"/>
      <w:numFmt w:val="decimal"/>
      <w:suff w:val="nothing"/>
      <w:lvlText w:val="（%1）"/>
      <w:lvlJc w:val="left"/>
      <w:pPr>
        <w:ind w:left="-60"/>
      </w:pPr>
    </w:lvl>
  </w:abstractNum>
  <w:abstractNum w:abstractNumId="4">
    <w:nsid w:val="5347D657"/>
    <w:multiLevelType w:val="singleLevel"/>
    <w:tmpl w:val="5347D657"/>
    <w:lvl w:ilvl="0" w:tentative="0">
      <w:start w:val="2"/>
      <w:numFmt w:val="decimal"/>
      <w:suff w:val="nothing"/>
      <w:lvlText w:val="（%1）"/>
      <w:lvlJc w:val="left"/>
    </w:lvl>
  </w:abstractNum>
  <w:abstractNum w:abstractNumId="5">
    <w:nsid w:val="6E1D511D"/>
    <w:multiLevelType w:val="singleLevel"/>
    <w:tmpl w:val="6E1D511D"/>
    <w:lvl w:ilvl="0" w:tentative="0">
      <w:start w:val="2"/>
      <w:numFmt w:val="decimal"/>
      <w:suff w:val="nothing"/>
      <w:lvlText w:val="（%1）"/>
      <w:lvlJc w:val="left"/>
    </w:lvl>
  </w:abstractNum>
  <w:num w:numId="1">
    <w:abstractNumId w:val="2"/>
  </w:num>
  <w:num w:numId="2">
    <w:abstractNumId w:val="4"/>
  </w:num>
  <w:num w:numId="3">
    <w:abstractNumId w:val="0"/>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5"/>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Y0M2EyYjQwNzU3NTBjZjg1OWM0NDQwMjMwZTVjMzQifQ=="/>
  </w:docVars>
  <w:rsids>
    <w:rsidRoot w:val="00172A27"/>
    <w:rsid w:val="00B4611E"/>
    <w:rsid w:val="01457570"/>
    <w:rsid w:val="014C4DA3"/>
    <w:rsid w:val="01A17A4A"/>
    <w:rsid w:val="02673D2F"/>
    <w:rsid w:val="027619AC"/>
    <w:rsid w:val="02A367A0"/>
    <w:rsid w:val="02F76F90"/>
    <w:rsid w:val="030701B3"/>
    <w:rsid w:val="034824C3"/>
    <w:rsid w:val="0361440A"/>
    <w:rsid w:val="037D22A8"/>
    <w:rsid w:val="03AE3AF3"/>
    <w:rsid w:val="0558539D"/>
    <w:rsid w:val="05790131"/>
    <w:rsid w:val="05917228"/>
    <w:rsid w:val="05CA26BF"/>
    <w:rsid w:val="06451DC1"/>
    <w:rsid w:val="065344DE"/>
    <w:rsid w:val="067B3A34"/>
    <w:rsid w:val="067C5BA2"/>
    <w:rsid w:val="06964D40"/>
    <w:rsid w:val="06EB2968"/>
    <w:rsid w:val="06F51A39"/>
    <w:rsid w:val="06FC2453"/>
    <w:rsid w:val="07041C7C"/>
    <w:rsid w:val="076A1CEA"/>
    <w:rsid w:val="079B4C06"/>
    <w:rsid w:val="07A02504"/>
    <w:rsid w:val="07B93F0F"/>
    <w:rsid w:val="08071A24"/>
    <w:rsid w:val="081C5C35"/>
    <w:rsid w:val="08433DDE"/>
    <w:rsid w:val="0A1B3564"/>
    <w:rsid w:val="0A3168F2"/>
    <w:rsid w:val="0A3A6153"/>
    <w:rsid w:val="0A4A5BF8"/>
    <w:rsid w:val="0A9D041D"/>
    <w:rsid w:val="0ABB2EA2"/>
    <w:rsid w:val="0ADB2CF4"/>
    <w:rsid w:val="0B6B7F87"/>
    <w:rsid w:val="0B6D4294"/>
    <w:rsid w:val="0C670696"/>
    <w:rsid w:val="0C6E02C3"/>
    <w:rsid w:val="0C8D10CF"/>
    <w:rsid w:val="0CC9765A"/>
    <w:rsid w:val="0D0522AA"/>
    <w:rsid w:val="0D4B23B2"/>
    <w:rsid w:val="0E3F5F5D"/>
    <w:rsid w:val="0E7319C8"/>
    <w:rsid w:val="0F0B71F3"/>
    <w:rsid w:val="0F1B7084"/>
    <w:rsid w:val="0F4323EC"/>
    <w:rsid w:val="0F673D97"/>
    <w:rsid w:val="0F725482"/>
    <w:rsid w:val="0F79276E"/>
    <w:rsid w:val="0FEB55E6"/>
    <w:rsid w:val="103B6D60"/>
    <w:rsid w:val="10944070"/>
    <w:rsid w:val="109A0F5B"/>
    <w:rsid w:val="10AD0C8E"/>
    <w:rsid w:val="110E3970"/>
    <w:rsid w:val="115F7824"/>
    <w:rsid w:val="11B147AE"/>
    <w:rsid w:val="11BA18B5"/>
    <w:rsid w:val="11DD06C0"/>
    <w:rsid w:val="121F66D1"/>
    <w:rsid w:val="123A0C48"/>
    <w:rsid w:val="12EA6574"/>
    <w:rsid w:val="1303728B"/>
    <w:rsid w:val="139D4FEA"/>
    <w:rsid w:val="13CF6167"/>
    <w:rsid w:val="13D23218"/>
    <w:rsid w:val="13EB21F9"/>
    <w:rsid w:val="141D0D3A"/>
    <w:rsid w:val="14AD33D0"/>
    <w:rsid w:val="14BD68F0"/>
    <w:rsid w:val="1508656B"/>
    <w:rsid w:val="15086DDB"/>
    <w:rsid w:val="152533FF"/>
    <w:rsid w:val="154C4F1A"/>
    <w:rsid w:val="156675AA"/>
    <w:rsid w:val="156A35F2"/>
    <w:rsid w:val="15A15F11"/>
    <w:rsid w:val="15DB4FB3"/>
    <w:rsid w:val="1726179A"/>
    <w:rsid w:val="172B6DB1"/>
    <w:rsid w:val="173D7210"/>
    <w:rsid w:val="17462118"/>
    <w:rsid w:val="179D1A5D"/>
    <w:rsid w:val="17C968E3"/>
    <w:rsid w:val="17E430BD"/>
    <w:rsid w:val="17EF7DDE"/>
    <w:rsid w:val="181A12FF"/>
    <w:rsid w:val="18722EE9"/>
    <w:rsid w:val="187F5606"/>
    <w:rsid w:val="189F2265"/>
    <w:rsid w:val="18EF5A71"/>
    <w:rsid w:val="18F34373"/>
    <w:rsid w:val="19662322"/>
    <w:rsid w:val="19D00785"/>
    <w:rsid w:val="19DD25E4"/>
    <w:rsid w:val="1A9A6727"/>
    <w:rsid w:val="1A9F3D3E"/>
    <w:rsid w:val="1AA55249"/>
    <w:rsid w:val="1AB07CF9"/>
    <w:rsid w:val="1ADA4D76"/>
    <w:rsid w:val="1B0179ED"/>
    <w:rsid w:val="1B0B4F2F"/>
    <w:rsid w:val="1B261D69"/>
    <w:rsid w:val="1B462A0A"/>
    <w:rsid w:val="1B682381"/>
    <w:rsid w:val="1B8A054A"/>
    <w:rsid w:val="1BB76E65"/>
    <w:rsid w:val="1BC03F6C"/>
    <w:rsid w:val="1BD75525"/>
    <w:rsid w:val="1C185B56"/>
    <w:rsid w:val="1C2F10F1"/>
    <w:rsid w:val="1C332197"/>
    <w:rsid w:val="1CBA08D9"/>
    <w:rsid w:val="1D0E6F59"/>
    <w:rsid w:val="1D9619BD"/>
    <w:rsid w:val="1DCD4F2F"/>
    <w:rsid w:val="1DFE6FCD"/>
    <w:rsid w:val="1E2F7187"/>
    <w:rsid w:val="1F1924B1"/>
    <w:rsid w:val="1F8F4381"/>
    <w:rsid w:val="201C7BDE"/>
    <w:rsid w:val="20234B41"/>
    <w:rsid w:val="207279D6"/>
    <w:rsid w:val="20CC6F0F"/>
    <w:rsid w:val="20CF69FF"/>
    <w:rsid w:val="213A656E"/>
    <w:rsid w:val="2199230D"/>
    <w:rsid w:val="21A97250"/>
    <w:rsid w:val="226A69DF"/>
    <w:rsid w:val="227C4964"/>
    <w:rsid w:val="22A56226"/>
    <w:rsid w:val="23547BB8"/>
    <w:rsid w:val="242A0B1C"/>
    <w:rsid w:val="24364219"/>
    <w:rsid w:val="25063EE8"/>
    <w:rsid w:val="25142A31"/>
    <w:rsid w:val="255E0351"/>
    <w:rsid w:val="259D531E"/>
    <w:rsid w:val="25A246E2"/>
    <w:rsid w:val="25CD55AB"/>
    <w:rsid w:val="25E116AE"/>
    <w:rsid w:val="25F767DC"/>
    <w:rsid w:val="25FF0FFA"/>
    <w:rsid w:val="26084E8D"/>
    <w:rsid w:val="26472FFB"/>
    <w:rsid w:val="265953CF"/>
    <w:rsid w:val="26B26E88"/>
    <w:rsid w:val="26FE51EE"/>
    <w:rsid w:val="270D0281"/>
    <w:rsid w:val="270E64D3"/>
    <w:rsid w:val="271352BE"/>
    <w:rsid w:val="271635D9"/>
    <w:rsid w:val="27313F6F"/>
    <w:rsid w:val="27A407CA"/>
    <w:rsid w:val="281A69A2"/>
    <w:rsid w:val="290A4A78"/>
    <w:rsid w:val="296D5007"/>
    <w:rsid w:val="2973261D"/>
    <w:rsid w:val="299F78B6"/>
    <w:rsid w:val="29C46B5C"/>
    <w:rsid w:val="29F64FFC"/>
    <w:rsid w:val="2A2C6C70"/>
    <w:rsid w:val="2A30067B"/>
    <w:rsid w:val="2ABB4D38"/>
    <w:rsid w:val="2B163280"/>
    <w:rsid w:val="2B231E21"/>
    <w:rsid w:val="2BF37567"/>
    <w:rsid w:val="2BF974BB"/>
    <w:rsid w:val="2C957F6C"/>
    <w:rsid w:val="2CE04777"/>
    <w:rsid w:val="2D144117"/>
    <w:rsid w:val="2D5C4D78"/>
    <w:rsid w:val="2D8A19C9"/>
    <w:rsid w:val="2D8A4554"/>
    <w:rsid w:val="2DA56E81"/>
    <w:rsid w:val="2DF301D1"/>
    <w:rsid w:val="2E976DAE"/>
    <w:rsid w:val="2EA26077"/>
    <w:rsid w:val="2EAB0AAB"/>
    <w:rsid w:val="2F634EE2"/>
    <w:rsid w:val="2F7060C6"/>
    <w:rsid w:val="2FAF56A6"/>
    <w:rsid w:val="304E5B92"/>
    <w:rsid w:val="3098505F"/>
    <w:rsid w:val="30B005FB"/>
    <w:rsid w:val="30BC6FA0"/>
    <w:rsid w:val="31293F09"/>
    <w:rsid w:val="315076E8"/>
    <w:rsid w:val="31A40B0B"/>
    <w:rsid w:val="31B53264"/>
    <w:rsid w:val="31CE0C25"/>
    <w:rsid w:val="31F84007"/>
    <w:rsid w:val="32990C1B"/>
    <w:rsid w:val="32FA3DAF"/>
    <w:rsid w:val="32FB66EC"/>
    <w:rsid w:val="336E5CE9"/>
    <w:rsid w:val="33C87A09"/>
    <w:rsid w:val="33C969D0"/>
    <w:rsid w:val="34AE0353"/>
    <w:rsid w:val="34E00D83"/>
    <w:rsid w:val="34F53CFE"/>
    <w:rsid w:val="356E71D8"/>
    <w:rsid w:val="359D061A"/>
    <w:rsid w:val="35A7522A"/>
    <w:rsid w:val="35D00DF7"/>
    <w:rsid w:val="36092276"/>
    <w:rsid w:val="361B7342"/>
    <w:rsid w:val="36D6243D"/>
    <w:rsid w:val="36EE4819"/>
    <w:rsid w:val="372E5DD5"/>
    <w:rsid w:val="37B7226F"/>
    <w:rsid w:val="37F963E3"/>
    <w:rsid w:val="384B1A6B"/>
    <w:rsid w:val="3891486E"/>
    <w:rsid w:val="38B30C88"/>
    <w:rsid w:val="38CC3AF8"/>
    <w:rsid w:val="38D86941"/>
    <w:rsid w:val="39930ABA"/>
    <w:rsid w:val="39BA6BF7"/>
    <w:rsid w:val="39D51B61"/>
    <w:rsid w:val="39D61BFB"/>
    <w:rsid w:val="39D709A6"/>
    <w:rsid w:val="39EA0FA5"/>
    <w:rsid w:val="39EE5CF0"/>
    <w:rsid w:val="39F101FC"/>
    <w:rsid w:val="39F5707E"/>
    <w:rsid w:val="3A157721"/>
    <w:rsid w:val="3A25564B"/>
    <w:rsid w:val="3A577D39"/>
    <w:rsid w:val="3A924DD4"/>
    <w:rsid w:val="3A940645"/>
    <w:rsid w:val="3AD51D3F"/>
    <w:rsid w:val="3B0F3A2C"/>
    <w:rsid w:val="3B732951"/>
    <w:rsid w:val="3B7F4E52"/>
    <w:rsid w:val="3BAB5CEA"/>
    <w:rsid w:val="3C432323"/>
    <w:rsid w:val="3CBF3E99"/>
    <w:rsid w:val="3CCA65A0"/>
    <w:rsid w:val="3CE768B7"/>
    <w:rsid w:val="3D062FA5"/>
    <w:rsid w:val="3D63100A"/>
    <w:rsid w:val="3D813BBD"/>
    <w:rsid w:val="3D820C29"/>
    <w:rsid w:val="3E2F7621"/>
    <w:rsid w:val="3E4F3FEA"/>
    <w:rsid w:val="3E681B83"/>
    <w:rsid w:val="3E6D18D9"/>
    <w:rsid w:val="3E886713"/>
    <w:rsid w:val="3ED55D4C"/>
    <w:rsid w:val="3F0C3184"/>
    <w:rsid w:val="3F6F51DD"/>
    <w:rsid w:val="3F79605C"/>
    <w:rsid w:val="3FA15201"/>
    <w:rsid w:val="3FA16870"/>
    <w:rsid w:val="40124CBB"/>
    <w:rsid w:val="40224FF7"/>
    <w:rsid w:val="40251D40"/>
    <w:rsid w:val="40297A82"/>
    <w:rsid w:val="404B3E9C"/>
    <w:rsid w:val="40654324"/>
    <w:rsid w:val="40A255B5"/>
    <w:rsid w:val="40B03CFF"/>
    <w:rsid w:val="4132412B"/>
    <w:rsid w:val="416077EF"/>
    <w:rsid w:val="417C64DA"/>
    <w:rsid w:val="418807D8"/>
    <w:rsid w:val="420322BC"/>
    <w:rsid w:val="426254CD"/>
    <w:rsid w:val="429F3593"/>
    <w:rsid w:val="42BE0955"/>
    <w:rsid w:val="438A476A"/>
    <w:rsid w:val="439E0787"/>
    <w:rsid w:val="43CF0940"/>
    <w:rsid w:val="444A7FC7"/>
    <w:rsid w:val="4484645A"/>
    <w:rsid w:val="449D459A"/>
    <w:rsid w:val="44DA759D"/>
    <w:rsid w:val="44FA3C84"/>
    <w:rsid w:val="45056439"/>
    <w:rsid w:val="45701CAF"/>
    <w:rsid w:val="45801CFE"/>
    <w:rsid w:val="45AA51C1"/>
    <w:rsid w:val="461E170B"/>
    <w:rsid w:val="463158E2"/>
    <w:rsid w:val="465971F8"/>
    <w:rsid w:val="46625A9C"/>
    <w:rsid w:val="47064679"/>
    <w:rsid w:val="47777F0A"/>
    <w:rsid w:val="477C493B"/>
    <w:rsid w:val="47A0771D"/>
    <w:rsid w:val="47C167F2"/>
    <w:rsid w:val="47F00E85"/>
    <w:rsid w:val="481B1EC8"/>
    <w:rsid w:val="48643D4D"/>
    <w:rsid w:val="48783354"/>
    <w:rsid w:val="487B4BF3"/>
    <w:rsid w:val="48B17B73"/>
    <w:rsid w:val="48FF7639"/>
    <w:rsid w:val="4961296D"/>
    <w:rsid w:val="49B20AE8"/>
    <w:rsid w:val="4A4A6F73"/>
    <w:rsid w:val="4A657908"/>
    <w:rsid w:val="4A7E7653"/>
    <w:rsid w:val="4B051E3C"/>
    <w:rsid w:val="4B7D669F"/>
    <w:rsid w:val="4B9F6E4A"/>
    <w:rsid w:val="4C05749A"/>
    <w:rsid w:val="4C3A6B73"/>
    <w:rsid w:val="4CA77AF4"/>
    <w:rsid w:val="4CB6269D"/>
    <w:rsid w:val="4CD82614"/>
    <w:rsid w:val="4CE23AC3"/>
    <w:rsid w:val="4D4077C2"/>
    <w:rsid w:val="4D445EFB"/>
    <w:rsid w:val="4D844549"/>
    <w:rsid w:val="4D8A17DD"/>
    <w:rsid w:val="4DED20EF"/>
    <w:rsid w:val="4E826947"/>
    <w:rsid w:val="4EB66985"/>
    <w:rsid w:val="4EE15A5B"/>
    <w:rsid w:val="4EED47F4"/>
    <w:rsid w:val="4F204A3C"/>
    <w:rsid w:val="4F7A3EE6"/>
    <w:rsid w:val="4FDF63AF"/>
    <w:rsid w:val="50010C59"/>
    <w:rsid w:val="5028510C"/>
    <w:rsid w:val="50503260"/>
    <w:rsid w:val="50617C30"/>
    <w:rsid w:val="50A54F03"/>
    <w:rsid w:val="50D921EB"/>
    <w:rsid w:val="51043921"/>
    <w:rsid w:val="51063212"/>
    <w:rsid w:val="5160707C"/>
    <w:rsid w:val="519136D9"/>
    <w:rsid w:val="51AF590D"/>
    <w:rsid w:val="51BA678C"/>
    <w:rsid w:val="51F026DB"/>
    <w:rsid w:val="521D4F6D"/>
    <w:rsid w:val="52906D2C"/>
    <w:rsid w:val="52A11EB1"/>
    <w:rsid w:val="53670B95"/>
    <w:rsid w:val="538C361F"/>
    <w:rsid w:val="53A662DF"/>
    <w:rsid w:val="53AC0356"/>
    <w:rsid w:val="53F3391A"/>
    <w:rsid w:val="54E16725"/>
    <w:rsid w:val="553E76D4"/>
    <w:rsid w:val="565A053D"/>
    <w:rsid w:val="56876E58"/>
    <w:rsid w:val="56AF02C9"/>
    <w:rsid w:val="56D227CA"/>
    <w:rsid w:val="56F1499A"/>
    <w:rsid w:val="56FF0D4D"/>
    <w:rsid w:val="5721005D"/>
    <w:rsid w:val="572453F9"/>
    <w:rsid w:val="57C32112"/>
    <w:rsid w:val="57C540DC"/>
    <w:rsid w:val="57D460CD"/>
    <w:rsid w:val="584B45E2"/>
    <w:rsid w:val="58584F50"/>
    <w:rsid w:val="58A61818"/>
    <w:rsid w:val="58B008E9"/>
    <w:rsid w:val="58FF3A11"/>
    <w:rsid w:val="592B665D"/>
    <w:rsid w:val="5939268C"/>
    <w:rsid w:val="5967204C"/>
    <w:rsid w:val="5BD743DE"/>
    <w:rsid w:val="5C166CB5"/>
    <w:rsid w:val="5C6957DE"/>
    <w:rsid w:val="5C8C3B37"/>
    <w:rsid w:val="5D4F59F3"/>
    <w:rsid w:val="5DBC580A"/>
    <w:rsid w:val="5E144556"/>
    <w:rsid w:val="5E3D3D55"/>
    <w:rsid w:val="5E4D0EA8"/>
    <w:rsid w:val="5E5B6340"/>
    <w:rsid w:val="5EC96260"/>
    <w:rsid w:val="5F170E07"/>
    <w:rsid w:val="5F540989"/>
    <w:rsid w:val="5F7A2D1B"/>
    <w:rsid w:val="5F926F9A"/>
    <w:rsid w:val="5FFAB883"/>
    <w:rsid w:val="6016499A"/>
    <w:rsid w:val="601D426E"/>
    <w:rsid w:val="601D47A6"/>
    <w:rsid w:val="60471B32"/>
    <w:rsid w:val="606902AA"/>
    <w:rsid w:val="60B44CEE"/>
    <w:rsid w:val="610B0DB2"/>
    <w:rsid w:val="61113EEE"/>
    <w:rsid w:val="611F50A6"/>
    <w:rsid w:val="61711105"/>
    <w:rsid w:val="62145A44"/>
    <w:rsid w:val="6260512D"/>
    <w:rsid w:val="62DD677E"/>
    <w:rsid w:val="63267A59"/>
    <w:rsid w:val="638B7F88"/>
    <w:rsid w:val="63BF337F"/>
    <w:rsid w:val="63F73043"/>
    <w:rsid w:val="640815D9"/>
    <w:rsid w:val="646F2AD9"/>
    <w:rsid w:val="649D4E24"/>
    <w:rsid w:val="64C51278"/>
    <w:rsid w:val="64D911C7"/>
    <w:rsid w:val="64EF4547"/>
    <w:rsid w:val="652C0AA7"/>
    <w:rsid w:val="65744A4C"/>
    <w:rsid w:val="65A11CE5"/>
    <w:rsid w:val="65DE37F4"/>
    <w:rsid w:val="65EB11B2"/>
    <w:rsid w:val="66344907"/>
    <w:rsid w:val="665B3FC7"/>
    <w:rsid w:val="66602210"/>
    <w:rsid w:val="67002A3B"/>
    <w:rsid w:val="67C001C2"/>
    <w:rsid w:val="68246BFD"/>
    <w:rsid w:val="68480F0C"/>
    <w:rsid w:val="687875CD"/>
    <w:rsid w:val="68AF1392"/>
    <w:rsid w:val="690070AC"/>
    <w:rsid w:val="690305C1"/>
    <w:rsid w:val="69054339"/>
    <w:rsid w:val="69CB5582"/>
    <w:rsid w:val="69CC1035"/>
    <w:rsid w:val="6A5C0073"/>
    <w:rsid w:val="6A902328"/>
    <w:rsid w:val="6AB44268"/>
    <w:rsid w:val="6ADE3093"/>
    <w:rsid w:val="6AEF34F2"/>
    <w:rsid w:val="6AF66C06"/>
    <w:rsid w:val="6B543355"/>
    <w:rsid w:val="6B5D048B"/>
    <w:rsid w:val="6B6537B4"/>
    <w:rsid w:val="6B8C2AEF"/>
    <w:rsid w:val="6BF3491C"/>
    <w:rsid w:val="6C272818"/>
    <w:rsid w:val="6C7C4328"/>
    <w:rsid w:val="6CA950DA"/>
    <w:rsid w:val="6CB56076"/>
    <w:rsid w:val="6D486EEA"/>
    <w:rsid w:val="6DC33CC5"/>
    <w:rsid w:val="6DCB2611"/>
    <w:rsid w:val="6DE70756"/>
    <w:rsid w:val="6E891315"/>
    <w:rsid w:val="6EBE3907"/>
    <w:rsid w:val="6F086931"/>
    <w:rsid w:val="6F0F14F9"/>
    <w:rsid w:val="6F372E3A"/>
    <w:rsid w:val="6F3F60CB"/>
    <w:rsid w:val="6F5C4ECE"/>
    <w:rsid w:val="6F743FC6"/>
    <w:rsid w:val="6F795A80"/>
    <w:rsid w:val="6FC36CFC"/>
    <w:rsid w:val="70256BE0"/>
    <w:rsid w:val="70534C0E"/>
    <w:rsid w:val="706C2EEF"/>
    <w:rsid w:val="70874969"/>
    <w:rsid w:val="70BD374B"/>
    <w:rsid w:val="70E64A50"/>
    <w:rsid w:val="713E488C"/>
    <w:rsid w:val="71662034"/>
    <w:rsid w:val="71BA7C8A"/>
    <w:rsid w:val="71DB032D"/>
    <w:rsid w:val="71E371E1"/>
    <w:rsid w:val="72331F17"/>
    <w:rsid w:val="72404633"/>
    <w:rsid w:val="727730A4"/>
    <w:rsid w:val="729F2989"/>
    <w:rsid w:val="731C58DD"/>
    <w:rsid w:val="73A05C59"/>
    <w:rsid w:val="73BB55A2"/>
    <w:rsid w:val="747D391D"/>
    <w:rsid w:val="748B3D69"/>
    <w:rsid w:val="74EA0887"/>
    <w:rsid w:val="75407B63"/>
    <w:rsid w:val="7595636D"/>
    <w:rsid w:val="76085DE6"/>
    <w:rsid w:val="761402B1"/>
    <w:rsid w:val="765E152C"/>
    <w:rsid w:val="765E32DA"/>
    <w:rsid w:val="76E27609"/>
    <w:rsid w:val="77183DD1"/>
    <w:rsid w:val="77304C77"/>
    <w:rsid w:val="77CE50E8"/>
    <w:rsid w:val="77D1066D"/>
    <w:rsid w:val="78047EB1"/>
    <w:rsid w:val="78C56D5E"/>
    <w:rsid w:val="78F956A0"/>
    <w:rsid w:val="79020895"/>
    <w:rsid w:val="7940316B"/>
    <w:rsid w:val="796B614E"/>
    <w:rsid w:val="79E24222"/>
    <w:rsid w:val="7A8D23E0"/>
    <w:rsid w:val="7AA421C5"/>
    <w:rsid w:val="7AB001D5"/>
    <w:rsid w:val="7B164183"/>
    <w:rsid w:val="7B6B0973"/>
    <w:rsid w:val="7B8504F4"/>
    <w:rsid w:val="7BC1679F"/>
    <w:rsid w:val="7BD36518"/>
    <w:rsid w:val="7C947A56"/>
    <w:rsid w:val="7D6943A8"/>
    <w:rsid w:val="7DA71A0B"/>
    <w:rsid w:val="7DB71A27"/>
    <w:rsid w:val="7DE01A8C"/>
    <w:rsid w:val="7DE56660"/>
    <w:rsid w:val="7E926217"/>
    <w:rsid w:val="7EB048EF"/>
    <w:rsid w:val="7F1135E0"/>
    <w:rsid w:val="7FA51F7A"/>
    <w:rsid w:val="D7FF987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name="Body Text First Indent 2"/>
    <w:lsdException w:unhideWhenUsed="0" w:uiPriority="0" w:semiHidden="0" w:name="Note Heading"/>
    <w:lsdException w:qFormat="1" w:uiPriority="99" w:semiHidden="0" w:name="Body Text 2"/>
    <w:lsdException w:unhideWhenUsed="0" w:uiPriority="0" w:semiHidden="0" w:name="Body Text 3"/>
    <w:lsdException w:qFormat="1" w:uiPriority="99"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Ascii" w:hAnsiTheme="minorAscii" w:eastAsiaTheme="minorEastAsia" w:cstheme="minorBidi"/>
      <w:kern w:val="2"/>
      <w:sz w:val="21"/>
      <w:szCs w:val="22"/>
      <w:lang w:val="en-US" w:eastAsia="zh-CN" w:bidi="ar-SA"/>
    </w:rPr>
  </w:style>
  <w:style w:type="paragraph" w:styleId="3">
    <w:name w:val="heading 1"/>
    <w:basedOn w:val="1"/>
    <w:next w:val="1"/>
    <w:autoRedefine/>
    <w:qFormat/>
    <w:uiPriority w:val="9"/>
    <w:pPr>
      <w:keepNext/>
      <w:keepLines/>
      <w:spacing w:line="240" w:lineRule="auto"/>
      <w:outlineLvl w:val="0"/>
    </w:pPr>
    <w:rPr>
      <w:rFonts w:ascii="Times New Roman" w:hAnsi="Times New Roman" w:eastAsia="宋体"/>
      <w:b/>
      <w:bCs/>
      <w:kern w:val="44"/>
      <w:sz w:val="28"/>
      <w:szCs w:val="44"/>
    </w:rPr>
  </w:style>
  <w:style w:type="paragraph" w:styleId="4">
    <w:name w:val="heading 3"/>
    <w:basedOn w:val="1"/>
    <w:next w:val="1"/>
    <w:autoRedefine/>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basedOn w:val="1"/>
    <w:next w:val="1"/>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19">
    <w:name w:val="Default Paragraph Font"/>
    <w:autoRedefine/>
    <w:semiHidden/>
    <w:qFormat/>
    <w:uiPriority w:val="0"/>
  </w:style>
  <w:style w:type="table" w:default="1" w:styleId="17">
    <w:name w:val="Normal Table"/>
    <w:autoRedefin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customStyle="1" w:styleId="2">
    <w:name w:val="样式小4"/>
    <w:basedOn w:val="1"/>
    <w:link w:val="32"/>
    <w:autoRedefine/>
    <w:qFormat/>
    <w:uiPriority w:val="0"/>
    <w:pPr>
      <w:spacing w:afterLines="0" w:line="360" w:lineRule="auto"/>
      <w:ind w:firstLine="480" w:firstLineChars="200"/>
    </w:pPr>
    <w:rPr>
      <w:rFonts w:ascii="Times New Roman" w:hAnsi="Times New Roman" w:eastAsia="宋体" w:cs="Times New Roman"/>
      <w:sz w:val="24"/>
    </w:rPr>
  </w:style>
  <w:style w:type="paragraph" w:styleId="6">
    <w:name w:val="annotation text"/>
    <w:basedOn w:val="1"/>
    <w:autoRedefine/>
    <w:semiHidden/>
    <w:unhideWhenUsed/>
    <w:qFormat/>
    <w:uiPriority w:val="99"/>
    <w:pPr>
      <w:jc w:val="left"/>
    </w:pPr>
  </w:style>
  <w:style w:type="paragraph" w:styleId="7">
    <w:name w:val="Body Text"/>
    <w:basedOn w:val="1"/>
    <w:next w:val="8"/>
    <w:autoRedefine/>
    <w:semiHidden/>
    <w:unhideWhenUsed/>
    <w:qFormat/>
    <w:uiPriority w:val="99"/>
    <w:pPr>
      <w:spacing w:after="120"/>
    </w:pPr>
  </w:style>
  <w:style w:type="paragraph" w:customStyle="1" w:styleId="8">
    <w:name w:val="xl27"/>
    <w:basedOn w:val="1"/>
    <w:autoRedefine/>
    <w:qFormat/>
    <w:uiPriority w:val="0"/>
    <w:pPr>
      <w:widowControl/>
      <w:pBdr>
        <w:bottom w:val="single" w:color="auto" w:sz="12" w:space="0"/>
      </w:pBdr>
      <w:spacing w:before="100" w:after="100"/>
      <w:jc w:val="center"/>
    </w:pPr>
    <w:rPr>
      <w:rFonts w:ascii="宋体" w:hAnsi="宋体"/>
      <w:kern w:val="0"/>
      <w:szCs w:val="20"/>
    </w:rPr>
  </w:style>
  <w:style w:type="paragraph" w:styleId="9">
    <w:name w:val="Body Text Indent"/>
    <w:basedOn w:val="1"/>
    <w:autoRedefine/>
    <w:semiHidden/>
    <w:unhideWhenUsed/>
    <w:qFormat/>
    <w:uiPriority w:val="99"/>
    <w:pPr>
      <w:spacing w:after="120"/>
      <w:ind w:left="420" w:leftChars="200"/>
    </w:pPr>
  </w:style>
  <w:style w:type="paragraph" w:styleId="10">
    <w:name w:val="Body Text Indent 2"/>
    <w:basedOn w:val="1"/>
    <w:autoRedefine/>
    <w:unhideWhenUsed/>
    <w:qFormat/>
    <w:uiPriority w:val="99"/>
    <w:pPr>
      <w:spacing w:line="360" w:lineRule="auto"/>
      <w:ind w:left="420" w:leftChars="200"/>
    </w:pPr>
    <w:rPr>
      <w:rFonts w:asciiTheme="minorAscii" w:hAnsiTheme="minorAscii"/>
    </w:rPr>
  </w:style>
  <w:style w:type="paragraph" w:styleId="11">
    <w:name w:val="footer"/>
    <w:basedOn w:val="1"/>
    <w:autoRedefine/>
    <w:unhideWhenUsed/>
    <w:qFormat/>
    <w:uiPriority w:val="99"/>
    <w:pPr>
      <w:tabs>
        <w:tab w:val="center" w:pos="4153"/>
        <w:tab w:val="right" w:pos="8306"/>
      </w:tabs>
      <w:snapToGrid w:val="0"/>
      <w:jc w:val="left"/>
    </w:pPr>
    <w:rPr>
      <w:sz w:val="18"/>
      <w:szCs w:val="18"/>
    </w:rPr>
  </w:style>
  <w:style w:type="paragraph" w:styleId="12">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Body Text 2"/>
    <w:basedOn w:val="1"/>
    <w:next w:val="1"/>
    <w:autoRedefine/>
    <w:unhideWhenUsed/>
    <w:qFormat/>
    <w:uiPriority w:val="99"/>
    <w:pPr>
      <w:spacing w:after="120" w:line="480" w:lineRule="auto"/>
    </w:pPr>
  </w:style>
  <w:style w:type="paragraph" w:styleId="14">
    <w:name w:val="Normal (Web)"/>
    <w:basedOn w:val="1"/>
    <w:autoRedefine/>
    <w:qFormat/>
    <w:uiPriority w:val="0"/>
    <w:pPr>
      <w:spacing w:before="0" w:beforeAutospacing="1" w:after="0" w:afterAutospacing="1"/>
      <w:ind w:left="0" w:right="0"/>
      <w:jc w:val="left"/>
    </w:pPr>
    <w:rPr>
      <w:kern w:val="0"/>
      <w:sz w:val="24"/>
      <w:lang w:val="en-US" w:eastAsia="zh-CN" w:bidi="ar"/>
    </w:rPr>
  </w:style>
  <w:style w:type="paragraph" w:styleId="15">
    <w:name w:val="Body Text First Indent"/>
    <w:basedOn w:val="7"/>
    <w:link w:val="24"/>
    <w:autoRedefine/>
    <w:qFormat/>
    <w:uiPriority w:val="0"/>
    <w:pPr>
      <w:spacing w:line="360" w:lineRule="auto"/>
      <w:ind w:firstLine="960" w:firstLineChars="200"/>
    </w:pPr>
    <w:rPr>
      <w:rFonts w:ascii="Times New Roman" w:hAnsi="Times New Roman" w:eastAsia="宋体"/>
      <w:sz w:val="24"/>
    </w:rPr>
  </w:style>
  <w:style w:type="paragraph" w:styleId="16">
    <w:name w:val="Body Text First Indent 2"/>
    <w:basedOn w:val="9"/>
    <w:next w:val="1"/>
    <w:autoRedefine/>
    <w:semiHidden/>
    <w:unhideWhenUsed/>
    <w:qFormat/>
    <w:uiPriority w:val="99"/>
    <w:pPr>
      <w:ind w:firstLine="420" w:firstLineChars="200"/>
    </w:pPr>
    <w:rPr>
      <w:rFonts w:eastAsia="宋体" w:asciiTheme="minorAscii" w:hAnsiTheme="minorAscii"/>
      <w:sz w:val="24"/>
    </w:rPr>
  </w:style>
  <w:style w:type="table" w:styleId="18">
    <w:name w:val="Table Grid"/>
    <w:basedOn w:val="17"/>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FollowedHyperlink"/>
    <w:basedOn w:val="19"/>
    <w:autoRedefine/>
    <w:qFormat/>
    <w:uiPriority w:val="0"/>
    <w:rPr>
      <w:color w:val="333333"/>
      <w:u w:val="none"/>
    </w:rPr>
  </w:style>
  <w:style w:type="character" w:styleId="21">
    <w:name w:val="Hyperlink"/>
    <w:basedOn w:val="19"/>
    <w:autoRedefine/>
    <w:qFormat/>
    <w:uiPriority w:val="0"/>
    <w:rPr>
      <w:color w:val="333333"/>
      <w:u w:val="none"/>
    </w:rPr>
  </w:style>
  <w:style w:type="paragraph" w:customStyle="1" w:styleId="22">
    <w:name w:val="Default"/>
    <w:basedOn w:val="1"/>
    <w:qFormat/>
    <w:uiPriority w:val="0"/>
    <w:pPr>
      <w:keepNext w:val="0"/>
      <w:keepLines w:val="0"/>
      <w:widowControl w:val="0"/>
      <w:suppressLineNumbers w:val="0"/>
      <w:autoSpaceDE w:val="0"/>
      <w:autoSpaceDN w:val="0"/>
      <w:spacing w:before="0" w:beforeAutospacing="0" w:after="0" w:afterAutospacing="0"/>
      <w:ind w:left="0" w:right="0"/>
      <w:jc w:val="left"/>
    </w:pPr>
    <w:rPr>
      <w:rFonts w:hint="eastAsia" w:ascii="宋体" w:hAnsi="Times New Roman" w:eastAsia="宋体" w:cs="宋体"/>
      <w:color w:val="000000"/>
      <w:kern w:val="0"/>
      <w:sz w:val="24"/>
      <w:szCs w:val="24"/>
      <w:lang w:val="en-US" w:eastAsia="zh-CN" w:bidi="ar"/>
    </w:rPr>
  </w:style>
  <w:style w:type="paragraph" w:customStyle="1" w:styleId="23">
    <w:name w:val="1正文段落"/>
    <w:basedOn w:val="1"/>
    <w:link w:val="31"/>
    <w:autoRedefine/>
    <w:qFormat/>
    <w:uiPriority w:val="0"/>
    <w:pPr>
      <w:spacing w:line="360" w:lineRule="auto"/>
      <w:ind w:firstLine="200" w:firstLineChars="200"/>
    </w:pPr>
    <w:rPr>
      <w:rFonts w:ascii="Times New Roman" w:hAnsi="Times New Roman" w:eastAsia="宋体"/>
      <w:snapToGrid w:val="0"/>
      <w:kern w:val="0"/>
      <w:sz w:val="24"/>
      <w:szCs w:val="21"/>
    </w:rPr>
  </w:style>
  <w:style w:type="character" w:customStyle="1" w:styleId="24">
    <w:name w:val="正文首行缩进 Char"/>
    <w:link w:val="15"/>
    <w:autoRedefine/>
    <w:qFormat/>
    <w:uiPriority w:val="0"/>
    <w:rPr>
      <w:rFonts w:ascii="Times New Roman" w:hAnsi="Times New Roman" w:eastAsia="宋体"/>
      <w:sz w:val="24"/>
    </w:rPr>
  </w:style>
  <w:style w:type="paragraph" w:customStyle="1" w:styleId="25">
    <w:name w:val="表头"/>
    <w:basedOn w:val="23"/>
    <w:autoRedefine/>
    <w:qFormat/>
    <w:uiPriority w:val="0"/>
    <w:pPr>
      <w:spacing w:line="240" w:lineRule="auto"/>
      <w:ind w:firstLine="0" w:firstLineChars="0"/>
      <w:jc w:val="center"/>
    </w:pPr>
    <w:rPr>
      <w:rFonts w:ascii="Times New Roman" w:hAnsi="Times New Roman" w:eastAsia="宋体" w:cs="Times New Roman"/>
      <w:b/>
    </w:rPr>
  </w:style>
  <w:style w:type="paragraph" w:customStyle="1" w:styleId="26">
    <w:name w:val="表格"/>
    <w:basedOn w:val="25"/>
    <w:autoRedefine/>
    <w:qFormat/>
    <w:uiPriority w:val="0"/>
    <w:rPr>
      <w:rFonts w:eastAsia="宋体"/>
      <w:b w:val="0"/>
    </w:rPr>
  </w:style>
  <w:style w:type="paragraph" w:customStyle="1" w:styleId="27">
    <w:name w:val="纯文本1"/>
    <w:basedOn w:val="1"/>
    <w:autoRedefine/>
    <w:qFormat/>
    <w:uiPriority w:val="0"/>
    <w:pPr>
      <w:adjustRightInd w:val="0"/>
      <w:jc w:val="left"/>
      <w:textAlignment w:val="baseline"/>
    </w:pPr>
    <w:rPr>
      <w:rFonts w:ascii="宋体" w:hAnsi="Courier New" w:eastAsia="宋体" w:cs="Times New Roman"/>
      <w:sz w:val="24"/>
      <w:szCs w:val="20"/>
    </w:rPr>
  </w:style>
  <w:style w:type="paragraph" w:customStyle="1" w:styleId="28">
    <w:name w:val="纯文本2"/>
    <w:basedOn w:val="1"/>
    <w:autoRedefine/>
    <w:qFormat/>
    <w:uiPriority w:val="0"/>
    <w:pPr>
      <w:adjustRightInd w:val="0"/>
      <w:jc w:val="left"/>
      <w:textAlignment w:val="baseline"/>
    </w:pPr>
    <w:rPr>
      <w:rFonts w:ascii="宋体" w:hAnsi="Courier New" w:eastAsia="宋体" w:cs="Times New Roman"/>
      <w:sz w:val="24"/>
      <w:szCs w:val="20"/>
    </w:rPr>
  </w:style>
  <w:style w:type="paragraph" w:customStyle="1" w:styleId="29">
    <w:name w:val="标题XXX"/>
    <w:basedOn w:val="1"/>
    <w:autoRedefine/>
    <w:qFormat/>
    <w:uiPriority w:val="0"/>
    <w:pPr>
      <w:keepNext/>
      <w:widowControl/>
      <w:adjustRightInd w:val="0"/>
      <w:snapToGrid w:val="0"/>
      <w:jc w:val="left"/>
      <w:outlineLvl w:val="0"/>
    </w:pPr>
    <w:rPr>
      <w:rFonts w:ascii="Times New Roman" w:hAnsi="Times New Roman" w:eastAsia="宋体" w:cs="Times New Roman"/>
      <w:b/>
      <w:bCs/>
      <w:kern w:val="44"/>
      <w:sz w:val="28"/>
      <w:szCs w:val="28"/>
    </w:rPr>
  </w:style>
  <w:style w:type="paragraph" w:customStyle="1" w:styleId="30">
    <w:name w:val="新表头"/>
    <w:basedOn w:val="23"/>
    <w:autoRedefine/>
    <w:qFormat/>
    <w:uiPriority w:val="0"/>
    <w:pPr>
      <w:spacing w:line="240" w:lineRule="auto"/>
      <w:ind w:firstLine="0" w:firstLineChars="0"/>
      <w:jc w:val="center"/>
    </w:pPr>
    <w:rPr>
      <w:rFonts w:cs="Times New Roman"/>
      <w:b/>
      <w:bCs/>
    </w:rPr>
  </w:style>
  <w:style w:type="character" w:customStyle="1" w:styleId="31">
    <w:name w:val="1正文段落 Char"/>
    <w:link w:val="23"/>
    <w:autoRedefine/>
    <w:qFormat/>
    <w:uiPriority w:val="0"/>
    <w:rPr>
      <w:rFonts w:ascii="Times New Roman" w:hAnsi="Times New Roman" w:eastAsia="宋体"/>
      <w:snapToGrid w:val="0"/>
      <w:kern w:val="0"/>
      <w:sz w:val="24"/>
      <w:szCs w:val="21"/>
    </w:rPr>
  </w:style>
  <w:style w:type="character" w:customStyle="1" w:styleId="32">
    <w:name w:val="样式小4 Char"/>
    <w:link w:val="2"/>
    <w:autoRedefine/>
    <w:qFormat/>
    <w:uiPriority w:val="0"/>
    <w:rPr>
      <w:rFonts w:ascii="Times New Roman" w:hAnsi="Times New Roman" w:eastAsia="宋体" w:cs="Times New Roman"/>
      <w:sz w:val="24"/>
    </w:rPr>
  </w:style>
  <w:style w:type="paragraph" w:customStyle="1" w:styleId="33">
    <w:name w:val="WPSOffice手动目录 1"/>
    <w:autoRedefine/>
    <w:qFormat/>
    <w:uiPriority w:val="0"/>
    <w:pPr>
      <w:ind w:leftChars="0"/>
    </w:pPr>
    <w:rPr>
      <w:rFonts w:ascii="Times New Roman" w:hAnsi="Times New Roman" w:eastAsia="宋体" w:cs="Times New Roman"/>
      <w:sz w:val="20"/>
      <w:szCs w:val="20"/>
    </w:rPr>
  </w:style>
  <w:style w:type="paragraph" w:customStyle="1" w:styleId="34">
    <w:name w:val="报告表正文"/>
    <w:basedOn w:val="1"/>
    <w:autoRedefine/>
    <w:qFormat/>
    <w:uiPriority w:val="0"/>
    <w:pPr>
      <w:autoSpaceDE w:val="0"/>
      <w:autoSpaceDN w:val="0"/>
      <w:spacing w:line="360" w:lineRule="exact"/>
    </w:pPr>
    <w:rPr>
      <w:rFonts w:ascii="宋体" w:hAnsi="宋体" w:cs="宋体"/>
      <w:kern w:val="0"/>
      <w:sz w:val="21"/>
      <w:szCs w:val="21"/>
    </w:rPr>
  </w:style>
  <w:style w:type="paragraph" w:customStyle="1" w:styleId="35">
    <w:name w:val="p0"/>
    <w:basedOn w:val="1"/>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1" Type="http://schemas.openxmlformats.org/officeDocument/2006/relationships/fontTable" Target="fontTable.xml"/><Relationship Id="rId40" Type="http://schemas.openxmlformats.org/officeDocument/2006/relationships/numbering" Target="numbering.xml"/><Relationship Id="rId4" Type="http://schemas.openxmlformats.org/officeDocument/2006/relationships/header" Target="header2.xml"/><Relationship Id="rId39" Type="http://schemas.openxmlformats.org/officeDocument/2006/relationships/customXml" Target="../customXml/item1.xml"/><Relationship Id="rId38" Type="http://schemas.openxmlformats.org/officeDocument/2006/relationships/image" Target="media/image23.wmf"/><Relationship Id="rId37" Type="http://schemas.openxmlformats.org/officeDocument/2006/relationships/oleObject" Target="embeddings/oleObject8.bin"/><Relationship Id="rId36" Type="http://schemas.openxmlformats.org/officeDocument/2006/relationships/image" Target="media/image22.wmf"/><Relationship Id="rId35" Type="http://schemas.openxmlformats.org/officeDocument/2006/relationships/oleObject" Target="embeddings/oleObject7.bin"/><Relationship Id="rId34" Type="http://schemas.openxmlformats.org/officeDocument/2006/relationships/image" Target="media/image21.wmf"/><Relationship Id="rId33" Type="http://schemas.openxmlformats.org/officeDocument/2006/relationships/oleObject" Target="embeddings/oleObject6.bin"/><Relationship Id="rId32" Type="http://schemas.openxmlformats.org/officeDocument/2006/relationships/image" Target="media/image20.wmf"/><Relationship Id="rId31" Type="http://schemas.openxmlformats.org/officeDocument/2006/relationships/oleObject" Target="embeddings/oleObject5.bin"/><Relationship Id="rId30" Type="http://schemas.openxmlformats.org/officeDocument/2006/relationships/image" Target="media/image19.wmf"/><Relationship Id="rId3" Type="http://schemas.openxmlformats.org/officeDocument/2006/relationships/header" Target="header1.xml"/><Relationship Id="rId29" Type="http://schemas.openxmlformats.org/officeDocument/2006/relationships/oleObject" Target="embeddings/oleObject4.bin"/><Relationship Id="rId28" Type="http://schemas.openxmlformats.org/officeDocument/2006/relationships/image" Target="media/image18.wmf"/><Relationship Id="rId27" Type="http://schemas.openxmlformats.org/officeDocument/2006/relationships/oleObject" Target="embeddings/oleObject3.bin"/><Relationship Id="rId26" Type="http://schemas.openxmlformats.org/officeDocument/2006/relationships/image" Target="media/image17.wmf"/><Relationship Id="rId25" Type="http://schemas.openxmlformats.org/officeDocument/2006/relationships/oleObject" Target="embeddings/oleObject2.bin"/><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jpeg"/><Relationship Id="rId21" Type="http://schemas.openxmlformats.org/officeDocument/2006/relationships/image" Target="media/image13.w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FF0000"/>
        </a:solidFill>
        <a:ln w="28575">
          <a:solidFill>
            <a:srgbClr val="FF0000"/>
          </a:solidFill>
        </a:ln>
      </a:spPr>
      <a:bodyPr rot="0" vertOverflow="overflow" horzOverflow="overflow" vert="horz" wrap="square" lIns="91440" tIns="45720" rIns="91440" bIns="45720" numCol="1" spcCol="0" rtlCol="0" fromWordArt="0" anchor="ctr" anchorCtr="0" forceAA="0" compatLnSpc="1">
        <a:noAutofit/>
      </a:bodyPr>
      <a:lstStyle/>
      <a:style>
        <a:lnRef idx="2">
          <a:schemeClr val="accent1">
            <a:shade val="50000"/>
          </a:schemeClr>
        </a:lnRef>
        <a:fillRef idx="1">
          <a:schemeClr val="accent1"/>
        </a:fillRef>
        <a:effectRef idx="0">
          <a:schemeClr val="accent1"/>
        </a:effectRef>
        <a:fontRef idx="minor">
          <a:schemeClr val="lt1"/>
        </a:fontRef>
      </a:style>
    </a:sp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76</Pages>
  <Words>43914</Words>
  <Characters>49688</Characters>
  <Lines>1</Lines>
  <Paragraphs>1</Paragraphs>
  <TotalTime>27</TotalTime>
  <ScaleCrop>false</ScaleCrop>
  <LinksUpToDate>false</LinksUpToDate>
  <CharactersWithSpaces>50249</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2022-04-07T09:30:00Z</dcterms:created>
  <dc:creator>JAgain</dc:creator>
  <cp:lastModifiedBy>陌稻丫炼翁</cp:lastModifiedBy>
  <dcterms:modified xsi:type="dcterms:W3CDTF">2024-08-13T03:43:34Z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8B380885E5DA482CB28ABF288B89121C_13</vt:lpwstr>
  </property>
</Properties>
</file>